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jc w:val="center"/>
        <w:outlineLvl w:val="0"/>
        <w:rPr>
          <w:rFonts w:ascii="Times New Roman" w:hAnsi="Times New Roman"/>
          <w:snapToGrid w:val="0"/>
          <w:color w:val="auto"/>
          <w:sz w:val="30"/>
          <w:szCs w:val="30"/>
          <w:highlight w:val="none"/>
        </w:rPr>
      </w:pPr>
      <w:bookmarkStart w:id="21" w:name="_GoBack"/>
      <w:bookmarkEnd w:id="21"/>
      <w:r>
        <w:rPr>
          <w:rFonts w:hint="eastAsia" w:ascii="Times New Roman" w:hAnsi="Times New Roman"/>
          <w:snapToGrid w:val="0"/>
          <w:color w:val="auto"/>
          <w:sz w:val="30"/>
          <w:szCs w:val="30"/>
          <w:highlight w:val="none"/>
        </w:rPr>
        <w:t>一、建设项目基本情况</w:t>
      </w:r>
    </w:p>
    <w:tbl>
      <w:tblPr>
        <w:tblStyle w:val="28"/>
        <w:tblW w:w="89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17"/>
        <w:gridCol w:w="1699"/>
        <w:gridCol w:w="2269"/>
        <w:gridCol w:w="32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1717" w:type="dxa"/>
            <w:tcMar>
              <w:top w:w="16" w:type="dxa"/>
              <w:left w:w="16" w:type="dxa"/>
              <w:right w:w="16" w:type="dxa"/>
            </w:tcMar>
            <w:vAlign w:val="center"/>
          </w:tcPr>
          <w:p>
            <w:pPr>
              <w:adjustRightInd w:val="0"/>
              <w:snapToGrid w:val="0"/>
              <w:jc w:val="center"/>
              <w:rPr>
                <w:rFonts w:cs="宋体"/>
                <w:color w:val="auto"/>
                <w:sz w:val="24"/>
                <w:highlight w:val="none"/>
              </w:rPr>
            </w:pPr>
            <w:bookmarkStart w:id="0" w:name="_Hlk66185663"/>
            <w:r>
              <w:rPr>
                <w:rFonts w:hint="eastAsia" w:cs="宋体"/>
                <w:color w:val="auto"/>
                <w:sz w:val="24"/>
                <w:highlight w:val="none"/>
              </w:rPr>
              <w:t>建设项目名称</w:t>
            </w:r>
          </w:p>
        </w:tc>
        <w:tc>
          <w:tcPr>
            <w:tcW w:w="7204" w:type="dxa"/>
            <w:gridSpan w:val="3"/>
            <w:vAlign w:val="center"/>
          </w:tcPr>
          <w:p>
            <w:pPr>
              <w:adjustRightInd w:val="0"/>
              <w:snapToGrid w:val="0"/>
              <w:jc w:val="center"/>
              <w:rPr>
                <w:rFonts w:hint="eastAsia" w:eastAsia="宋体" w:cs="宋体"/>
                <w:color w:val="auto"/>
                <w:sz w:val="24"/>
                <w:highlight w:val="none"/>
                <w:lang w:eastAsia="zh-CN"/>
              </w:rPr>
            </w:pPr>
            <w:r>
              <w:rPr>
                <w:rFonts w:hint="eastAsia" w:cs="宋体"/>
                <w:color w:val="auto"/>
                <w:sz w:val="24"/>
                <w:highlight w:val="none"/>
                <w:lang w:eastAsia="zh-CN"/>
              </w:rPr>
              <w:t>铜梁淮阳110千伏输变电工程</w:t>
            </w:r>
          </w:p>
        </w:tc>
      </w:tr>
      <w:bookmarkEnd w:id="0"/>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1717" w:type="dxa"/>
            <w:tcMar>
              <w:top w:w="16" w:type="dxa"/>
              <w:left w:w="16" w:type="dxa"/>
              <w:right w:w="16" w:type="dxa"/>
            </w:tcMar>
            <w:vAlign w:val="center"/>
          </w:tcPr>
          <w:p>
            <w:pPr>
              <w:adjustRightInd w:val="0"/>
              <w:snapToGrid w:val="0"/>
              <w:jc w:val="center"/>
              <w:rPr>
                <w:rFonts w:cs="宋体"/>
                <w:color w:val="auto"/>
                <w:sz w:val="24"/>
                <w:highlight w:val="none"/>
              </w:rPr>
            </w:pPr>
            <w:r>
              <w:rPr>
                <w:rFonts w:hint="eastAsia" w:cs="宋体"/>
                <w:color w:val="auto"/>
                <w:sz w:val="24"/>
                <w:highlight w:val="none"/>
              </w:rPr>
              <w:t>项目代码</w:t>
            </w:r>
          </w:p>
        </w:tc>
        <w:tc>
          <w:tcPr>
            <w:tcW w:w="7204" w:type="dxa"/>
            <w:gridSpan w:val="3"/>
            <w:tcBorders>
              <w:bottom w:val="single" w:color="auto" w:sz="6" w:space="0"/>
            </w:tcBorders>
            <w:vAlign w:val="center"/>
          </w:tcPr>
          <w:p>
            <w:pPr>
              <w:adjustRightInd w:val="0"/>
              <w:snapToGrid w:val="0"/>
              <w:jc w:val="center"/>
              <w:rPr>
                <w:rFonts w:hint="default" w:eastAsia="宋体" w:cs="宋体"/>
                <w:color w:val="auto"/>
                <w:sz w:val="24"/>
                <w:highlight w:val="none"/>
                <w:lang w:val="en-US" w:eastAsia="zh-CN"/>
              </w:rPr>
            </w:pPr>
            <w:r>
              <w:rPr>
                <w:rFonts w:hint="eastAsia" w:cs="宋体"/>
                <w:color w:val="auto"/>
                <w:sz w:val="24"/>
                <w:highlight w:val="none"/>
                <w:lang w:val="en-US" w:eastAsia="zh-CN"/>
              </w:rPr>
              <w:t>2207-500151-04-01-255193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1717" w:type="dxa"/>
            <w:tcMar>
              <w:top w:w="16" w:type="dxa"/>
              <w:left w:w="16" w:type="dxa"/>
              <w:right w:w="16" w:type="dxa"/>
            </w:tcMar>
            <w:vAlign w:val="center"/>
          </w:tcPr>
          <w:p>
            <w:pPr>
              <w:adjustRightInd w:val="0"/>
              <w:snapToGrid w:val="0"/>
              <w:jc w:val="center"/>
              <w:rPr>
                <w:rFonts w:cs="宋体"/>
                <w:color w:val="auto"/>
                <w:sz w:val="24"/>
                <w:highlight w:val="none"/>
              </w:rPr>
            </w:pPr>
            <w:r>
              <w:rPr>
                <w:rFonts w:hint="eastAsia" w:cs="宋体"/>
                <w:color w:val="auto"/>
                <w:sz w:val="24"/>
                <w:highlight w:val="none"/>
              </w:rPr>
              <w:t>建设单位联系人</w:t>
            </w:r>
          </w:p>
        </w:tc>
        <w:tc>
          <w:tcPr>
            <w:tcW w:w="1699" w:type="dxa"/>
            <w:tcBorders>
              <w:top w:val="single" w:color="auto" w:sz="6" w:space="0"/>
              <w:left w:val="single" w:color="auto" w:sz="8" w:space="0"/>
              <w:bottom w:val="single" w:color="auto" w:sz="6" w:space="0"/>
              <w:right w:val="single" w:color="auto" w:sz="4" w:space="0"/>
            </w:tcBorders>
            <w:vAlign w:val="center"/>
          </w:tcPr>
          <w:p>
            <w:pPr>
              <w:widowControl/>
              <w:jc w:val="center"/>
              <w:rPr>
                <w:color w:val="auto"/>
                <w:sz w:val="24"/>
                <w:highlight w:val="none"/>
              </w:rPr>
            </w:pPr>
            <w:r>
              <w:rPr>
                <w:rFonts w:ascii="宋体" w:hAnsi="宋体" w:eastAsia="宋体" w:cs="宋体"/>
                <w:color w:val="auto"/>
                <w:sz w:val="24"/>
                <w:szCs w:val="24"/>
                <w:highlight w:val="none"/>
              </w:rPr>
              <w:t>秦大为</w:t>
            </w:r>
          </w:p>
        </w:tc>
        <w:tc>
          <w:tcPr>
            <w:tcW w:w="2269" w:type="dxa"/>
            <w:tcBorders>
              <w:top w:val="single" w:color="auto" w:sz="6" w:space="0"/>
              <w:left w:val="single" w:color="auto" w:sz="4" w:space="0"/>
              <w:bottom w:val="single" w:color="auto" w:sz="6" w:space="0"/>
              <w:right w:val="single" w:color="auto" w:sz="4" w:space="0"/>
            </w:tcBorders>
            <w:vAlign w:val="center"/>
          </w:tcPr>
          <w:p>
            <w:pPr>
              <w:widowControl/>
              <w:jc w:val="center"/>
              <w:rPr>
                <w:color w:val="auto"/>
                <w:sz w:val="24"/>
                <w:highlight w:val="none"/>
              </w:rPr>
            </w:pPr>
            <w:r>
              <w:rPr>
                <w:rFonts w:hint="eastAsia"/>
                <w:color w:val="auto"/>
                <w:sz w:val="24"/>
                <w:highlight w:val="none"/>
              </w:rPr>
              <w:t>联系方式</w:t>
            </w:r>
          </w:p>
        </w:tc>
        <w:tc>
          <w:tcPr>
            <w:tcW w:w="3236" w:type="dxa"/>
            <w:tcBorders>
              <w:top w:val="single" w:color="auto" w:sz="6" w:space="0"/>
              <w:left w:val="single" w:color="auto" w:sz="4" w:space="0"/>
              <w:bottom w:val="single" w:color="auto" w:sz="6" w:space="0"/>
              <w:right w:val="single" w:color="auto" w:sz="8" w:space="0"/>
            </w:tcBorders>
            <w:vAlign w:val="center"/>
          </w:tcPr>
          <w:p>
            <w:pPr>
              <w:adjustRightInd w:val="0"/>
              <w:snapToGrid w:val="0"/>
              <w:jc w:val="center"/>
              <w:rPr>
                <w:rFonts w:cs="宋体"/>
                <w:color w:val="auto"/>
                <w:sz w:val="24"/>
                <w:highlight w:val="none"/>
              </w:rPr>
            </w:pPr>
            <w:r>
              <w:rPr>
                <w:rFonts w:hint="eastAsia" w:cs="宋体"/>
                <w:color w:val="auto"/>
                <w:sz w:val="24"/>
                <w:highlight w:val="none"/>
              </w:rPr>
              <w:t>13883128478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1717"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建设地点</w:t>
            </w:r>
          </w:p>
        </w:tc>
        <w:tc>
          <w:tcPr>
            <w:tcW w:w="7204" w:type="dxa"/>
            <w:gridSpan w:val="3"/>
            <w:tcBorders>
              <w:top w:val="single" w:color="auto" w:sz="6" w:space="0"/>
            </w:tcBorders>
            <w:vAlign w:val="center"/>
          </w:tcPr>
          <w:p>
            <w:pPr>
              <w:widowControl/>
              <w:jc w:val="center"/>
              <w:rPr>
                <w:color w:val="auto"/>
                <w:sz w:val="24"/>
                <w:highlight w:val="none"/>
              </w:rPr>
            </w:pPr>
            <w:r>
              <w:rPr>
                <w:rFonts w:hint="eastAsia"/>
                <w:color w:val="auto"/>
                <w:sz w:val="24"/>
                <w:highlight w:val="none"/>
                <w:lang w:eastAsia="zh-CN"/>
              </w:rPr>
              <w:t>重庆市铜梁区</w:t>
            </w:r>
            <w:r>
              <w:rPr>
                <w:rFonts w:hint="default" w:ascii="Times New Roman" w:hAnsi="Times New Roman" w:cs="Times New Roman"/>
                <w:color w:val="auto"/>
                <w:sz w:val="24"/>
                <w:highlight w:val="none"/>
              </w:rPr>
              <w:t>二坪镇、东城街道、</w:t>
            </w:r>
            <w:r>
              <w:rPr>
                <w:rFonts w:hint="eastAsia" w:cs="Times New Roman"/>
                <w:color w:val="auto"/>
                <w:sz w:val="24"/>
                <w:highlight w:val="none"/>
                <w:lang w:eastAsia="zh-CN"/>
              </w:rPr>
              <w:t>旧县街道、</w:t>
            </w:r>
            <w:r>
              <w:rPr>
                <w:rFonts w:hint="default" w:ascii="Times New Roman" w:hAnsi="Times New Roman" w:cs="Times New Roman"/>
                <w:color w:val="auto"/>
                <w:sz w:val="24"/>
                <w:highlight w:val="none"/>
              </w:rPr>
              <w:t>蒲吕街道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717"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地理坐标</w:t>
            </w:r>
          </w:p>
        </w:tc>
        <w:tc>
          <w:tcPr>
            <w:tcW w:w="7204" w:type="dxa"/>
            <w:gridSpan w:val="3"/>
            <w:vAlign w:val="center"/>
          </w:tcPr>
          <w:p>
            <w:pPr>
              <w:adjustRightInd w:val="0"/>
              <w:snapToGrid w:val="0"/>
              <w:jc w:val="left"/>
              <w:rPr>
                <w:color w:val="auto"/>
                <w:sz w:val="24"/>
                <w:szCs w:val="24"/>
              </w:rPr>
            </w:pPr>
            <w:r>
              <w:rPr>
                <w:rFonts w:hint="eastAsia"/>
                <w:color w:val="auto"/>
                <w:sz w:val="24"/>
                <w:szCs w:val="24"/>
                <w:lang w:val="en-US" w:eastAsia="zh-CN"/>
              </w:rPr>
              <w:t>110kV淮阳</w:t>
            </w:r>
            <w:r>
              <w:rPr>
                <w:color w:val="auto"/>
                <w:sz w:val="24"/>
                <w:szCs w:val="24"/>
              </w:rPr>
              <w:t>变电站：</w:t>
            </w:r>
          </w:p>
          <w:p>
            <w:pPr>
              <w:adjustRightInd w:val="0"/>
              <w:snapToGrid w:val="0"/>
              <w:jc w:val="left"/>
              <w:rPr>
                <w:color w:val="auto"/>
                <w:sz w:val="24"/>
                <w:szCs w:val="24"/>
              </w:rPr>
            </w:pPr>
            <w:r>
              <w:rPr>
                <w:color w:val="auto"/>
                <w:sz w:val="24"/>
                <w:szCs w:val="24"/>
              </w:rPr>
              <w:t>（</w:t>
            </w:r>
            <w:r>
              <w:rPr>
                <w:color w:val="auto"/>
                <w:sz w:val="24"/>
                <w:szCs w:val="24"/>
                <w:u w:val="single"/>
              </w:rPr>
              <w:t>10</w:t>
            </w:r>
            <w:r>
              <w:rPr>
                <w:rFonts w:hint="eastAsia"/>
                <w:color w:val="auto"/>
                <w:sz w:val="24"/>
                <w:szCs w:val="24"/>
                <w:u w:val="single"/>
                <w:lang w:val="en-US" w:eastAsia="zh-CN"/>
              </w:rPr>
              <w:t>6</w:t>
            </w:r>
            <w:r>
              <w:rPr>
                <w:color w:val="auto"/>
                <w:sz w:val="24"/>
                <w:szCs w:val="24"/>
              </w:rPr>
              <w:t>度</w:t>
            </w:r>
            <w:r>
              <w:rPr>
                <w:rFonts w:hint="eastAsia"/>
                <w:color w:val="auto"/>
                <w:sz w:val="24"/>
                <w:szCs w:val="24"/>
                <w:u w:val="single"/>
                <w:lang w:val="en-US" w:eastAsia="zh-CN"/>
              </w:rPr>
              <w:t>10</w:t>
            </w:r>
            <w:r>
              <w:rPr>
                <w:color w:val="auto"/>
                <w:sz w:val="24"/>
                <w:szCs w:val="24"/>
              </w:rPr>
              <w:t>分</w:t>
            </w:r>
            <w:r>
              <w:rPr>
                <w:rFonts w:hint="eastAsia"/>
                <w:color w:val="auto"/>
                <w:sz w:val="24"/>
                <w:szCs w:val="24"/>
                <w:u w:val="single"/>
                <w:lang w:val="en-US" w:eastAsia="zh-CN"/>
              </w:rPr>
              <w:t>0.64</w:t>
            </w:r>
            <w:r>
              <w:rPr>
                <w:color w:val="auto"/>
                <w:sz w:val="24"/>
                <w:szCs w:val="24"/>
                <w:u w:val="single"/>
              </w:rPr>
              <w:t>2</w:t>
            </w:r>
            <w:r>
              <w:rPr>
                <w:color w:val="auto"/>
                <w:sz w:val="24"/>
                <w:szCs w:val="24"/>
              </w:rPr>
              <w:t xml:space="preserve"> 秒，</w:t>
            </w:r>
            <w:r>
              <w:rPr>
                <w:color w:val="auto"/>
                <w:sz w:val="24"/>
                <w:szCs w:val="24"/>
                <w:u w:val="single"/>
              </w:rPr>
              <w:t>29</w:t>
            </w:r>
            <w:r>
              <w:rPr>
                <w:color w:val="auto"/>
                <w:sz w:val="24"/>
                <w:szCs w:val="24"/>
              </w:rPr>
              <w:t>度</w:t>
            </w:r>
            <w:r>
              <w:rPr>
                <w:rFonts w:hint="eastAsia"/>
                <w:color w:val="auto"/>
                <w:sz w:val="24"/>
                <w:szCs w:val="24"/>
                <w:u w:val="single"/>
                <w:lang w:val="en-US" w:eastAsia="zh-CN"/>
              </w:rPr>
              <w:t>50</w:t>
            </w:r>
            <w:r>
              <w:rPr>
                <w:color w:val="auto"/>
                <w:sz w:val="24"/>
                <w:szCs w:val="24"/>
              </w:rPr>
              <w:t>分</w:t>
            </w:r>
            <w:r>
              <w:rPr>
                <w:rFonts w:hint="eastAsia"/>
                <w:color w:val="auto"/>
                <w:sz w:val="24"/>
                <w:szCs w:val="24"/>
                <w:u w:val="single"/>
                <w:lang w:val="en-US" w:eastAsia="zh-CN"/>
              </w:rPr>
              <w:t>25.88</w:t>
            </w:r>
            <w:r>
              <w:rPr>
                <w:color w:val="auto"/>
                <w:sz w:val="24"/>
                <w:szCs w:val="24"/>
                <w:u w:val="single"/>
              </w:rPr>
              <w:t>4</w:t>
            </w:r>
            <w:r>
              <w:rPr>
                <w:color w:val="auto"/>
                <w:sz w:val="24"/>
                <w:szCs w:val="24"/>
              </w:rPr>
              <w:t xml:space="preserve"> 秒）</w:t>
            </w:r>
            <w:r>
              <w:rPr>
                <w:rFonts w:hint="eastAsia"/>
                <w:color w:val="auto"/>
                <w:sz w:val="24"/>
                <w:szCs w:val="24"/>
              </w:rPr>
              <w:t>；</w:t>
            </w:r>
          </w:p>
          <w:p>
            <w:pPr>
              <w:adjustRightInd w:val="0"/>
              <w:snapToGrid w:val="0"/>
              <w:ind w:left="1260" w:hanging="1440" w:hangingChars="600"/>
              <w:jc w:val="left"/>
              <w:rPr>
                <w:color w:val="auto"/>
                <w:sz w:val="24"/>
                <w:szCs w:val="24"/>
              </w:rPr>
            </w:pPr>
            <w:r>
              <w:rPr>
                <w:rFonts w:hint="eastAsia"/>
                <w:color w:val="auto"/>
                <w:sz w:val="24"/>
                <w:szCs w:val="24"/>
                <w:lang w:val="en-US" w:eastAsia="zh-CN"/>
              </w:rPr>
              <w:t>220kV全德</w:t>
            </w:r>
            <w:r>
              <w:rPr>
                <w:color w:val="auto"/>
                <w:sz w:val="24"/>
                <w:szCs w:val="24"/>
              </w:rPr>
              <w:t>变电站</w:t>
            </w:r>
            <w:r>
              <w:rPr>
                <w:rFonts w:hint="eastAsia"/>
                <w:color w:val="auto"/>
                <w:sz w:val="24"/>
                <w:szCs w:val="24"/>
                <w:lang w:eastAsia="zh-CN"/>
              </w:rPr>
              <w:t>扩建间隔侧</w:t>
            </w:r>
            <w:r>
              <w:rPr>
                <w:color w:val="auto"/>
                <w:sz w:val="24"/>
                <w:szCs w:val="24"/>
              </w:rPr>
              <w:t>：</w:t>
            </w:r>
          </w:p>
          <w:p>
            <w:pPr>
              <w:adjustRightInd w:val="0"/>
              <w:snapToGrid w:val="0"/>
              <w:ind w:left="1260" w:hanging="1440" w:hangingChars="600"/>
              <w:jc w:val="left"/>
              <w:rPr>
                <w:color w:val="auto"/>
                <w:sz w:val="24"/>
                <w:szCs w:val="24"/>
              </w:rPr>
            </w:pPr>
            <w:r>
              <w:rPr>
                <w:color w:val="auto"/>
                <w:sz w:val="24"/>
                <w:szCs w:val="24"/>
              </w:rPr>
              <w:t>（</w:t>
            </w:r>
            <w:r>
              <w:rPr>
                <w:color w:val="auto"/>
                <w:sz w:val="24"/>
                <w:szCs w:val="24"/>
                <w:u w:val="single"/>
              </w:rPr>
              <w:t>10</w:t>
            </w:r>
            <w:r>
              <w:rPr>
                <w:rFonts w:hint="eastAsia"/>
                <w:color w:val="auto"/>
                <w:sz w:val="24"/>
                <w:szCs w:val="24"/>
                <w:u w:val="single"/>
                <w:lang w:val="en-US" w:eastAsia="zh-CN"/>
              </w:rPr>
              <w:t>6</w:t>
            </w:r>
            <w:r>
              <w:rPr>
                <w:color w:val="auto"/>
                <w:sz w:val="24"/>
                <w:szCs w:val="24"/>
              </w:rPr>
              <w:t>度</w:t>
            </w:r>
            <w:r>
              <w:rPr>
                <w:rFonts w:hint="eastAsia"/>
                <w:color w:val="auto"/>
                <w:sz w:val="24"/>
                <w:szCs w:val="24"/>
                <w:u w:val="single"/>
                <w:lang w:val="en-US" w:eastAsia="zh-CN"/>
              </w:rPr>
              <w:t>9</w:t>
            </w:r>
            <w:r>
              <w:rPr>
                <w:color w:val="auto"/>
                <w:sz w:val="24"/>
                <w:szCs w:val="24"/>
              </w:rPr>
              <w:t>分</w:t>
            </w:r>
            <w:r>
              <w:rPr>
                <w:rFonts w:hint="eastAsia"/>
                <w:color w:val="auto"/>
                <w:sz w:val="24"/>
                <w:szCs w:val="24"/>
                <w:u w:val="single"/>
                <w:lang w:val="en-US" w:eastAsia="zh-CN"/>
              </w:rPr>
              <w:t>4.00</w:t>
            </w:r>
            <w:r>
              <w:rPr>
                <w:color w:val="auto"/>
                <w:sz w:val="24"/>
                <w:szCs w:val="24"/>
                <w:u w:val="single"/>
              </w:rPr>
              <w:t>1</w:t>
            </w:r>
            <w:r>
              <w:rPr>
                <w:color w:val="auto"/>
                <w:sz w:val="24"/>
                <w:szCs w:val="24"/>
              </w:rPr>
              <w:t>秒，</w:t>
            </w:r>
            <w:r>
              <w:rPr>
                <w:color w:val="auto"/>
                <w:sz w:val="24"/>
                <w:szCs w:val="24"/>
                <w:u w:val="single"/>
              </w:rPr>
              <w:t>29</w:t>
            </w:r>
            <w:r>
              <w:rPr>
                <w:color w:val="auto"/>
                <w:sz w:val="24"/>
                <w:szCs w:val="24"/>
              </w:rPr>
              <w:t>度</w:t>
            </w:r>
            <w:r>
              <w:rPr>
                <w:rFonts w:hint="eastAsia"/>
                <w:color w:val="auto"/>
                <w:sz w:val="24"/>
                <w:szCs w:val="24"/>
                <w:u w:val="single"/>
                <w:lang w:val="en-US" w:eastAsia="zh-CN"/>
              </w:rPr>
              <w:t>52</w:t>
            </w:r>
            <w:r>
              <w:rPr>
                <w:color w:val="auto"/>
                <w:sz w:val="24"/>
                <w:szCs w:val="24"/>
              </w:rPr>
              <w:t>分</w:t>
            </w:r>
            <w:r>
              <w:rPr>
                <w:rFonts w:hint="eastAsia"/>
                <w:color w:val="auto"/>
                <w:sz w:val="24"/>
                <w:szCs w:val="24"/>
                <w:u w:val="single"/>
                <w:lang w:val="en-US" w:eastAsia="zh-CN"/>
              </w:rPr>
              <w:t>2.478</w:t>
            </w:r>
            <w:r>
              <w:rPr>
                <w:color w:val="auto"/>
                <w:sz w:val="24"/>
                <w:szCs w:val="24"/>
              </w:rPr>
              <w:t>秒）</w:t>
            </w:r>
          </w:p>
          <w:p>
            <w:pPr>
              <w:adjustRightInd w:val="0"/>
              <w:snapToGrid w:val="0"/>
              <w:ind w:left="1260" w:hanging="1440" w:hangingChars="600"/>
              <w:jc w:val="left"/>
              <w:rPr>
                <w:bCs/>
                <w:color w:val="auto"/>
                <w:kern w:val="0"/>
                <w:sz w:val="24"/>
                <w:szCs w:val="24"/>
              </w:rPr>
            </w:pPr>
            <w:r>
              <w:rPr>
                <w:rFonts w:hint="eastAsia"/>
                <w:color w:val="auto"/>
                <w:sz w:val="24"/>
                <w:szCs w:val="24"/>
                <w:lang w:val="en-US" w:eastAsia="zh-CN"/>
              </w:rPr>
              <w:t>110kV</w:t>
            </w:r>
            <w:r>
              <w:rPr>
                <w:rFonts w:hint="eastAsia"/>
                <w:bCs/>
                <w:color w:val="auto"/>
                <w:kern w:val="0"/>
                <w:sz w:val="24"/>
                <w:szCs w:val="24"/>
                <w:lang w:eastAsia="zh-CN"/>
              </w:rPr>
              <w:t>线路</w:t>
            </w:r>
            <w:r>
              <w:rPr>
                <w:bCs/>
                <w:color w:val="auto"/>
                <w:kern w:val="0"/>
                <w:sz w:val="24"/>
                <w:szCs w:val="24"/>
              </w:rPr>
              <w:t>：</w:t>
            </w:r>
          </w:p>
          <w:p>
            <w:pPr>
              <w:adjustRightInd w:val="0"/>
              <w:snapToGrid w:val="0"/>
              <w:ind w:left="1260" w:hanging="1440" w:hangingChars="600"/>
              <w:jc w:val="left"/>
              <w:rPr>
                <w:color w:val="auto"/>
                <w:sz w:val="24"/>
                <w:szCs w:val="24"/>
              </w:rPr>
            </w:pPr>
            <w:r>
              <w:rPr>
                <w:color w:val="auto"/>
                <w:sz w:val="24"/>
                <w:szCs w:val="24"/>
              </w:rPr>
              <w:t>起点（</w:t>
            </w:r>
            <w:r>
              <w:rPr>
                <w:color w:val="auto"/>
                <w:sz w:val="24"/>
                <w:szCs w:val="24"/>
                <w:u w:val="single"/>
              </w:rPr>
              <w:t>10</w:t>
            </w:r>
            <w:r>
              <w:rPr>
                <w:rFonts w:hint="eastAsia"/>
                <w:color w:val="auto"/>
                <w:sz w:val="24"/>
                <w:szCs w:val="24"/>
                <w:u w:val="single"/>
                <w:lang w:val="en-US" w:eastAsia="zh-CN"/>
              </w:rPr>
              <w:t>6</w:t>
            </w:r>
            <w:r>
              <w:rPr>
                <w:color w:val="auto"/>
                <w:sz w:val="24"/>
                <w:szCs w:val="24"/>
              </w:rPr>
              <w:t>度</w:t>
            </w:r>
            <w:r>
              <w:rPr>
                <w:rFonts w:hint="eastAsia"/>
                <w:color w:val="auto"/>
                <w:sz w:val="24"/>
                <w:szCs w:val="24"/>
                <w:u w:val="single"/>
                <w:lang w:val="en-US" w:eastAsia="zh-CN"/>
              </w:rPr>
              <w:t>9</w:t>
            </w:r>
            <w:r>
              <w:rPr>
                <w:color w:val="auto"/>
                <w:sz w:val="24"/>
                <w:szCs w:val="24"/>
              </w:rPr>
              <w:t>分</w:t>
            </w:r>
            <w:r>
              <w:rPr>
                <w:rFonts w:hint="eastAsia"/>
                <w:color w:val="auto"/>
                <w:sz w:val="24"/>
                <w:szCs w:val="24"/>
                <w:u w:val="single"/>
                <w:lang w:val="en-US" w:eastAsia="zh-CN"/>
              </w:rPr>
              <w:t>3.86</w:t>
            </w:r>
            <w:r>
              <w:rPr>
                <w:color w:val="auto"/>
                <w:sz w:val="24"/>
                <w:szCs w:val="24"/>
                <w:u w:val="single"/>
              </w:rPr>
              <w:t>1</w:t>
            </w:r>
            <w:r>
              <w:rPr>
                <w:color w:val="auto"/>
                <w:sz w:val="24"/>
                <w:szCs w:val="24"/>
              </w:rPr>
              <w:t>秒，</w:t>
            </w:r>
            <w:r>
              <w:rPr>
                <w:color w:val="auto"/>
                <w:sz w:val="24"/>
                <w:szCs w:val="24"/>
                <w:u w:val="single"/>
              </w:rPr>
              <w:t>29</w:t>
            </w:r>
            <w:r>
              <w:rPr>
                <w:color w:val="auto"/>
                <w:sz w:val="24"/>
                <w:szCs w:val="24"/>
              </w:rPr>
              <w:t>度</w:t>
            </w:r>
            <w:r>
              <w:rPr>
                <w:rFonts w:hint="eastAsia"/>
                <w:color w:val="auto"/>
                <w:sz w:val="24"/>
                <w:szCs w:val="24"/>
                <w:u w:val="single"/>
                <w:lang w:val="en-US" w:eastAsia="zh-CN"/>
              </w:rPr>
              <w:t>52</w:t>
            </w:r>
            <w:r>
              <w:rPr>
                <w:color w:val="auto"/>
                <w:sz w:val="24"/>
                <w:szCs w:val="24"/>
              </w:rPr>
              <w:t>分</w:t>
            </w:r>
            <w:r>
              <w:rPr>
                <w:rFonts w:hint="eastAsia"/>
                <w:color w:val="auto"/>
                <w:sz w:val="24"/>
                <w:szCs w:val="24"/>
                <w:u w:val="single"/>
                <w:lang w:val="en-US" w:eastAsia="zh-CN"/>
              </w:rPr>
              <w:t>0.977</w:t>
            </w:r>
            <w:r>
              <w:rPr>
                <w:color w:val="auto"/>
                <w:sz w:val="24"/>
                <w:szCs w:val="24"/>
              </w:rPr>
              <w:t>秒）</w:t>
            </w:r>
          </w:p>
          <w:p>
            <w:pPr>
              <w:adjustRightInd w:val="0"/>
              <w:snapToGrid w:val="0"/>
              <w:jc w:val="left"/>
              <w:rPr>
                <w:color w:val="auto"/>
                <w:szCs w:val="21"/>
                <w:highlight w:val="yellow"/>
              </w:rPr>
            </w:pPr>
            <w:r>
              <w:rPr>
                <w:color w:val="auto"/>
                <w:sz w:val="24"/>
                <w:szCs w:val="24"/>
              </w:rPr>
              <w:t>止点（</w:t>
            </w:r>
            <w:r>
              <w:rPr>
                <w:color w:val="auto"/>
                <w:sz w:val="24"/>
                <w:szCs w:val="24"/>
                <w:u w:val="single"/>
              </w:rPr>
              <w:t>10</w:t>
            </w:r>
            <w:r>
              <w:rPr>
                <w:rFonts w:hint="eastAsia"/>
                <w:color w:val="auto"/>
                <w:sz w:val="24"/>
                <w:szCs w:val="24"/>
                <w:u w:val="single"/>
                <w:lang w:val="en-US" w:eastAsia="zh-CN"/>
              </w:rPr>
              <w:t>6</w:t>
            </w:r>
            <w:r>
              <w:rPr>
                <w:color w:val="auto"/>
                <w:sz w:val="24"/>
                <w:szCs w:val="24"/>
              </w:rPr>
              <w:t>度</w:t>
            </w:r>
            <w:r>
              <w:rPr>
                <w:rFonts w:hint="eastAsia"/>
                <w:color w:val="auto"/>
                <w:sz w:val="24"/>
                <w:szCs w:val="24"/>
                <w:u w:val="single"/>
                <w:lang w:val="en-US" w:eastAsia="zh-CN"/>
              </w:rPr>
              <w:t>9</w:t>
            </w:r>
            <w:r>
              <w:rPr>
                <w:color w:val="auto"/>
                <w:sz w:val="24"/>
                <w:szCs w:val="24"/>
              </w:rPr>
              <w:t>分</w:t>
            </w:r>
            <w:r>
              <w:rPr>
                <w:rFonts w:hint="eastAsia"/>
                <w:color w:val="auto"/>
                <w:sz w:val="24"/>
                <w:szCs w:val="24"/>
                <w:u w:val="single"/>
                <w:lang w:val="en-US" w:eastAsia="zh-CN"/>
              </w:rPr>
              <w:t>59.904</w:t>
            </w:r>
            <w:r>
              <w:rPr>
                <w:color w:val="auto"/>
                <w:sz w:val="24"/>
                <w:szCs w:val="24"/>
              </w:rPr>
              <w:t xml:space="preserve"> 秒，</w:t>
            </w:r>
            <w:r>
              <w:rPr>
                <w:color w:val="auto"/>
                <w:sz w:val="24"/>
                <w:szCs w:val="24"/>
                <w:u w:val="single"/>
              </w:rPr>
              <w:t>29</w:t>
            </w:r>
            <w:r>
              <w:rPr>
                <w:color w:val="auto"/>
                <w:sz w:val="24"/>
                <w:szCs w:val="24"/>
              </w:rPr>
              <w:t>度</w:t>
            </w:r>
            <w:r>
              <w:rPr>
                <w:rFonts w:hint="eastAsia"/>
                <w:color w:val="auto"/>
                <w:sz w:val="24"/>
                <w:szCs w:val="24"/>
                <w:u w:val="single"/>
                <w:lang w:val="en-US" w:eastAsia="zh-CN"/>
              </w:rPr>
              <w:t>50</w:t>
            </w:r>
            <w:r>
              <w:rPr>
                <w:color w:val="auto"/>
                <w:sz w:val="24"/>
                <w:szCs w:val="24"/>
              </w:rPr>
              <w:t>分</w:t>
            </w:r>
            <w:r>
              <w:rPr>
                <w:rFonts w:hint="eastAsia"/>
                <w:color w:val="auto"/>
                <w:sz w:val="24"/>
                <w:szCs w:val="24"/>
                <w:u w:val="single"/>
                <w:lang w:val="en-US" w:eastAsia="zh-CN"/>
              </w:rPr>
              <w:t>27.025</w:t>
            </w:r>
            <w:r>
              <w:rPr>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717"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建设项目</w:t>
            </w:r>
          </w:p>
          <w:p>
            <w:pPr>
              <w:adjustRightInd w:val="0"/>
              <w:snapToGrid w:val="0"/>
              <w:jc w:val="center"/>
              <w:rPr>
                <w:color w:val="auto"/>
                <w:sz w:val="24"/>
                <w:highlight w:val="none"/>
              </w:rPr>
            </w:pPr>
            <w:r>
              <w:rPr>
                <w:color w:val="auto"/>
                <w:sz w:val="24"/>
                <w:highlight w:val="none"/>
              </w:rPr>
              <w:t>行业类别</w:t>
            </w:r>
          </w:p>
        </w:tc>
        <w:tc>
          <w:tcPr>
            <w:tcW w:w="1699" w:type="dxa"/>
            <w:vAlign w:val="center"/>
          </w:tcPr>
          <w:p>
            <w:pPr>
              <w:adjustRightInd w:val="0"/>
              <w:snapToGrid w:val="0"/>
              <w:jc w:val="center"/>
              <w:rPr>
                <w:color w:val="auto"/>
                <w:sz w:val="24"/>
                <w:highlight w:val="yellow"/>
              </w:rPr>
            </w:pPr>
            <w:r>
              <w:rPr>
                <w:rFonts w:hint="eastAsia"/>
                <w:color w:val="auto"/>
                <w:sz w:val="24"/>
              </w:rPr>
              <w:t>五十五、核与辐射</w:t>
            </w:r>
            <w:r>
              <w:rPr>
                <w:color w:val="auto"/>
                <w:sz w:val="24"/>
              </w:rPr>
              <w:t>161</w:t>
            </w:r>
            <w:r>
              <w:rPr>
                <w:rFonts w:hint="eastAsia"/>
                <w:color w:val="auto"/>
                <w:sz w:val="24"/>
              </w:rPr>
              <w:t>输变电工程</w:t>
            </w:r>
          </w:p>
        </w:tc>
        <w:tc>
          <w:tcPr>
            <w:tcW w:w="2269" w:type="dxa"/>
            <w:vAlign w:val="center"/>
          </w:tcPr>
          <w:p>
            <w:pPr>
              <w:adjustRightInd w:val="0"/>
              <w:snapToGrid w:val="0"/>
              <w:jc w:val="center"/>
              <w:rPr>
                <w:color w:val="auto"/>
                <w:sz w:val="24"/>
                <w:highlight w:val="none"/>
              </w:rPr>
            </w:pPr>
            <w:r>
              <w:rPr>
                <w:color w:val="auto"/>
                <w:sz w:val="24"/>
                <w:highlight w:val="none"/>
              </w:rPr>
              <w:t>用地面积（m</w:t>
            </w:r>
            <w:r>
              <w:rPr>
                <w:color w:val="auto"/>
                <w:sz w:val="24"/>
                <w:highlight w:val="none"/>
                <w:vertAlign w:val="superscript"/>
              </w:rPr>
              <w:t>2</w:t>
            </w:r>
            <w:r>
              <w:rPr>
                <w:color w:val="auto"/>
                <w:sz w:val="24"/>
                <w:highlight w:val="none"/>
              </w:rPr>
              <w:t>）/长度（km）</w:t>
            </w:r>
          </w:p>
        </w:tc>
        <w:tc>
          <w:tcPr>
            <w:tcW w:w="3236" w:type="dxa"/>
            <w:vAlign w:val="center"/>
          </w:tcPr>
          <w:p>
            <w:pPr>
              <w:pStyle w:val="13"/>
              <w:jc w:val="center"/>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总用地面积</w:t>
            </w:r>
            <w:r>
              <w:rPr>
                <w:rFonts w:hint="eastAsia" w:ascii="Times New Roman" w:hAnsi="Times New Roman" w:eastAsiaTheme="minorEastAsia"/>
                <w:color w:val="auto"/>
                <w:sz w:val="24"/>
                <w:szCs w:val="24"/>
                <w:highlight w:val="none"/>
                <w:lang w:val="en-US" w:eastAsia="zh-CN"/>
              </w:rPr>
              <w:t>9925</w:t>
            </w:r>
            <w:r>
              <w:rPr>
                <w:rFonts w:ascii="Times New Roman" w:hAnsi="Times New Roman" w:eastAsiaTheme="minorEastAsia"/>
                <w:color w:val="auto"/>
                <w:sz w:val="24"/>
                <w:szCs w:val="24"/>
                <w:highlight w:val="none"/>
              </w:rPr>
              <w:t>m</w:t>
            </w:r>
            <w:r>
              <w:rPr>
                <w:rFonts w:ascii="Times New Roman" w:hAnsi="Times New Roman" w:eastAsiaTheme="minorEastAsia"/>
                <w:color w:val="auto"/>
                <w:sz w:val="24"/>
                <w:szCs w:val="24"/>
                <w:highlight w:val="none"/>
                <w:vertAlign w:val="superscript"/>
              </w:rPr>
              <w:t>2</w:t>
            </w:r>
            <w:r>
              <w:rPr>
                <w:rFonts w:ascii="Times New Roman" w:hAnsi="Times New Roman" w:eastAsiaTheme="minorEastAsia"/>
                <w:color w:val="auto"/>
                <w:sz w:val="24"/>
                <w:szCs w:val="24"/>
                <w:highlight w:val="none"/>
              </w:rPr>
              <w:t>，其中变电站永久占地</w:t>
            </w:r>
            <w:r>
              <w:rPr>
                <w:rFonts w:hint="eastAsia" w:ascii="Times New Roman" w:hAnsi="Times New Roman" w:eastAsiaTheme="minorEastAsia"/>
                <w:color w:val="auto"/>
                <w:sz w:val="24"/>
                <w:szCs w:val="24"/>
                <w:highlight w:val="none"/>
                <w:lang w:val="en-US" w:eastAsia="zh-CN"/>
              </w:rPr>
              <w:t>7025</w:t>
            </w:r>
            <w:r>
              <w:rPr>
                <w:rFonts w:ascii="Times New Roman" w:hAnsi="Times New Roman" w:eastAsiaTheme="minorEastAsia"/>
                <w:color w:val="auto"/>
                <w:sz w:val="24"/>
                <w:szCs w:val="24"/>
                <w:highlight w:val="none"/>
              </w:rPr>
              <w:t>m</w:t>
            </w:r>
            <w:r>
              <w:rPr>
                <w:rFonts w:ascii="Times New Roman" w:hAnsi="Times New Roman" w:eastAsiaTheme="minorEastAsia"/>
                <w:color w:val="auto"/>
                <w:sz w:val="24"/>
                <w:szCs w:val="24"/>
                <w:highlight w:val="none"/>
                <w:vertAlign w:val="superscript"/>
              </w:rPr>
              <w:t>2</w:t>
            </w:r>
            <w:r>
              <w:rPr>
                <w:rFonts w:ascii="Times New Roman" w:hAnsi="Times New Roman" w:eastAsiaTheme="minorEastAsia"/>
                <w:color w:val="auto"/>
                <w:sz w:val="24"/>
                <w:szCs w:val="24"/>
                <w:highlight w:val="none"/>
              </w:rPr>
              <w:t>，线路永久占地约</w:t>
            </w:r>
            <w:r>
              <w:rPr>
                <w:rFonts w:hint="eastAsia" w:ascii="Times New Roman" w:hAnsi="Times New Roman" w:eastAsiaTheme="minorEastAsia"/>
                <w:color w:val="auto"/>
                <w:sz w:val="24"/>
                <w:szCs w:val="24"/>
                <w:highlight w:val="none"/>
                <w:lang w:val="en-US" w:eastAsia="zh-CN"/>
              </w:rPr>
              <w:t>850</w:t>
            </w:r>
            <w:r>
              <w:rPr>
                <w:rFonts w:ascii="Times New Roman" w:hAnsi="Times New Roman" w:eastAsiaTheme="minorEastAsia"/>
                <w:color w:val="auto"/>
                <w:sz w:val="24"/>
                <w:szCs w:val="24"/>
                <w:highlight w:val="none"/>
              </w:rPr>
              <w:t>m</w:t>
            </w:r>
            <w:r>
              <w:rPr>
                <w:rFonts w:ascii="Times New Roman" w:hAnsi="Times New Roman" w:eastAsiaTheme="minorEastAsia"/>
                <w:color w:val="auto"/>
                <w:sz w:val="24"/>
                <w:szCs w:val="24"/>
                <w:highlight w:val="none"/>
                <w:vertAlign w:val="superscript"/>
              </w:rPr>
              <w:t>2</w:t>
            </w:r>
            <w:r>
              <w:rPr>
                <w:rFonts w:ascii="Times New Roman" w:hAnsi="Times New Roman" w:eastAsiaTheme="minorEastAsia"/>
                <w:color w:val="auto"/>
                <w:sz w:val="24"/>
                <w:szCs w:val="24"/>
                <w:highlight w:val="none"/>
              </w:rPr>
              <w:t>，临时占地</w:t>
            </w:r>
            <w:r>
              <w:rPr>
                <w:rFonts w:hint="eastAsia" w:ascii="Times New Roman" w:hAnsi="Times New Roman" w:eastAsiaTheme="minorEastAsia"/>
                <w:color w:val="auto"/>
                <w:sz w:val="24"/>
                <w:szCs w:val="24"/>
                <w:highlight w:val="none"/>
                <w:lang w:val="en-US" w:eastAsia="zh-CN"/>
              </w:rPr>
              <w:t>2025</w:t>
            </w:r>
            <w:r>
              <w:rPr>
                <w:rFonts w:ascii="Times New Roman" w:hAnsi="Times New Roman" w:eastAsiaTheme="minorEastAsia"/>
                <w:color w:val="auto"/>
                <w:sz w:val="24"/>
                <w:szCs w:val="24"/>
                <w:highlight w:val="none"/>
              </w:rPr>
              <w:t>m</w:t>
            </w:r>
            <w:r>
              <w:rPr>
                <w:rFonts w:ascii="Times New Roman" w:hAnsi="Times New Roman" w:eastAsiaTheme="minorEastAsia"/>
                <w:color w:val="auto"/>
                <w:sz w:val="24"/>
                <w:szCs w:val="24"/>
                <w:highlight w:val="none"/>
                <w:vertAlign w:val="superscript"/>
              </w:rPr>
              <w:t>2</w:t>
            </w:r>
            <w:r>
              <w:rPr>
                <w:rFonts w:hint="eastAsia" w:ascii="Times New Roman" w:hAnsi="Times New Roman" w:eastAsiaTheme="minorEastAsia"/>
                <w:color w:val="auto"/>
                <w:sz w:val="24"/>
                <w:szCs w:val="24"/>
                <w:highlight w:val="none"/>
              </w:rPr>
              <w:t>，架空线路</w:t>
            </w:r>
            <w:r>
              <w:rPr>
                <w:rFonts w:ascii="Times New Roman" w:hAnsi="Times New Roman" w:eastAsiaTheme="minorEastAsia"/>
                <w:color w:val="auto"/>
                <w:sz w:val="24"/>
                <w:szCs w:val="24"/>
                <w:highlight w:val="none"/>
              </w:rPr>
              <w:t>总长</w:t>
            </w:r>
            <w:r>
              <w:rPr>
                <w:rFonts w:hint="eastAsia" w:ascii="Times New Roman" w:hAnsi="Times New Roman" w:eastAsiaTheme="minorEastAsia"/>
                <w:color w:val="auto"/>
                <w:sz w:val="24"/>
                <w:szCs w:val="24"/>
                <w:highlight w:val="none"/>
              </w:rPr>
              <w:t>2×4.1+0.3km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25" w:hRule="atLeast"/>
          <w:jc w:val="center"/>
        </w:trPr>
        <w:tc>
          <w:tcPr>
            <w:tcW w:w="1717" w:type="dxa"/>
            <w:tcMar>
              <w:top w:w="16" w:type="dxa"/>
              <w:left w:w="16" w:type="dxa"/>
              <w:right w:w="16" w:type="dxa"/>
            </w:tcMar>
            <w:vAlign w:val="center"/>
          </w:tcPr>
          <w:p>
            <w:pPr>
              <w:adjustRightInd w:val="0"/>
              <w:snapToGrid w:val="0"/>
              <w:jc w:val="center"/>
              <w:rPr>
                <w:rFonts w:cs="宋体"/>
                <w:color w:val="auto"/>
                <w:sz w:val="24"/>
                <w:highlight w:val="none"/>
              </w:rPr>
            </w:pPr>
            <w:r>
              <w:rPr>
                <w:rFonts w:hint="eastAsia" w:cs="宋体"/>
                <w:color w:val="auto"/>
                <w:sz w:val="24"/>
                <w:highlight w:val="none"/>
              </w:rPr>
              <w:t>建设性质</w:t>
            </w:r>
          </w:p>
        </w:tc>
        <w:tc>
          <w:tcPr>
            <w:tcW w:w="1699" w:type="dxa"/>
            <w:vAlign w:val="center"/>
          </w:tcPr>
          <w:p>
            <w:pPr>
              <w:adjustRightInd w:val="0"/>
              <w:snapToGrid w:val="0"/>
              <w:spacing w:line="400" w:lineRule="exact"/>
              <w:jc w:val="left"/>
              <w:rPr>
                <w:rFonts w:cs="宋体"/>
                <w:color w:val="auto"/>
                <w:sz w:val="24"/>
                <w:highlight w:val="none"/>
              </w:rPr>
            </w:pPr>
            <w:r>
              <w:rPr>
                <w:rFonts w:hint="eastAsia" w:cs="宋体"/>
                <w:color w:val="auto"/>
                <w:sz w:val="24"/>
                <w:highlight w:val="none"/>
              </w:rPr>
              <w:sym w:font="Wingdings 2" w:char="0052"/>
            </w:r>
            <w:r>
              <w:rPr>
                <w:rFonts w:hint="eastAsia" w:cs="宋体"/>
                <w:color w:val="auto"/>
                <w:sz w:val="24"/>
                <w:highlight w:val="none"/>
              </w:rPr>
              <w:t>新建（迁建）</w:t>
            </w:r>
          </w:p>
          <w:p>
            <w:pPr>
              <w:adjustRightInd w:val="0"/>
              <w:snapToGrid w:val="0"/>
              <w:spacing w:line="400" w:lineRule="exact"/>
              <w:jc w:val="left"/>
              <w:rPr>
                <w:rFonts w:cs="宋体"/>
                <w:color w:val="auto"/>
                <w:sz w:val="24"/>
                <w:highlight w:val="none"/>
              </w:rPr>
            </w:pPr>
            <w:r>
              <w:rPr>
                <w:rFonts w:hint="eastAsia" w:cs="宋体"/>
                <w:color w:val="auto"/>
                <w:sz w:val="24"/>
                <w:highlight w:val="none"/>
              </w:rPr>
              <w:sym w:font="Wingdings 2" w:char="00A3"/>
            </w:r>
            <w:r>
              <w:rPr>
                <w:rFonts w:hint="eastAsia" w:cs="宋体"/>
                <w:color w:val="auto"/>
                <w:sz w:val="24"/>
                <w:highlight w:val="none"/>
              </w:rPr>
              <w:t>改建</w:t>
            </w:r>
          </w:p>
          <w:p>
            <w:pPr>
              <w:adjustRightInd w:val="0"/>
              <w:snapToGrid w:val="0"/>
              <w:spacing w:line="400" w:lineRule="exact"/>
              <w:jc w:val="left"/>
              <w:rPr>
                <w:rFonts w:cs="宋体"/>
                <w:color w:val="auto"/>
                <w:sz w:val="24"/>
                <w:highlight w:val="none"/>
              </w:rPr>
            </w:pPr>
            <w:r>
              <w:rPr>
                <w:rFonts w:hint="eastAsia" w:cs="宋体"/>
                <w:color w:val="auto"/>
                <w:sz w:val="24"/>
                <w:highlight w:val="none"/>
              </w:rPr>
              <w:sym w:font="Wingdings 2" w:char="00A3"/>
            </w:r>
            <w:r>
              <w:rPr>
                <w:rFonts w:hint="eastAsia" w:cs="宋体"/>
                <w:color w:val="auto"/>
                <w:sz w:val="24"/>
                <w:highlight w:val="none"/>
              </w:rPr>
              <w:t>扩建</w:t>
            </w:r>
          </w:p>
          <w:p>
            <w:pPr>
              <w:adjustRightInd w:val="0"/>
              <w:snapToGrid w:val="0"/>
              <w:spacing w:line="400" w:lineRule="exact"/>
              <w:jc w:val="left"/>
              <w:rPr>
                <w:rFonts w:cs="宋体"/>
                <w:color w:val="auto"/>
                <w:sz w:val="24"/>
                <w:highlight w:val="none"/>
              </w:rPr>
            </w:pPr>
            <w:r>
              <w:rPr>
                <w:rFonts w:hint="eastAsia" w:cs="宋体"/>
                <w:color w:val="auto"/>
                <w:sz w:val="24"/>
                <w:highlight w:val="none"/>
              </w:rPr>
              <w:sym w:font="Wingdings 2" w:char="00A3"/>
            </w:r>
            <w:r>
              <w:rPr>
                <w:rFonts w:hint="eastAsia" w:cs="宋体"/>
                <w:color w:val="auto"/>
                <w:sz w:val="24"/>
                <w:highlight w:val="none"/>
              </w:rPr>
              <w:t>技术改造</w:t>
            </w:r>
          </w:p>
        </w:tc>
        <w:tc>
          <w:tcPr>
            <w:tcW w:w="2269" w:type="dxa"/>
            <w:vAlign w:val="center"/>
          </w:tcPr>
          <w:p>
            <w:pPr>
              <w:adjustRightInd w:val="0"/>
              <w:snapToGrid w:val="0"/>
              <w:spacing w:line="400" w:lineRule="exact"/>
              <w:jc w:val="center"/>
              <w:rPr>
                <w:rFonts w:cs="宋体"/>
                <w:color w:val="auto"/>
                <w:sz w:val="24"/>
                <w:highlight w:val="none"/>
              </w:rPr>
            </w:pPr>
            <w:r>
              <w:rPr>
                <w:rFonts w:hint="eastAsia" w:cs="宋体"/>
                <w:color w:val="auto"/>
                <w:sz w:val="24"/>
                <w:highlight w:val="none"/>
              </w:rPr>
              <w:t>建设项目</w:t>
            </w:r>
          </w:p>
          <w:p>
            <w:pPr>
              <w:adjustRightInd w:val="0"/>
              <w:snapToGrid w:val="0"/>
              <w:spacing w:line="400" w:lineRule="exact"/>
              <w:jc w:val="center"/>
              <w:rPr>
                <w:rFonts w:cs="宋体"/>
                <w:color w:val="auto"/>
                <w:sz w:val="24"/>
                <w:highlight w:val="none"/>
              </w:rPr>
            </w:pPr>
            <w:r>
              <w:rPr>
                <w:rFonts w:hint="eastAsia" w:cs="宋体"/>
                <w:color w:val="auto"/>
                <w:sz w:val="24"/>
                <w:highlight w:val="none"/>
              </w:rPr>
              <w:t>申报情形</w:t>
            </w:r>
          </w:p>
        </w:tc>
        <w:tc>
          <w:tcPr>
            <w:tcW w:w="3236" w:type="dxa"/>
            <w:vAlign w:val="center"/>
          </w:tcPr>
          <w:p>
            <w:pPr>
              <w:adjustRightInd w:val="0"/>
              <w:snapToGrid w:val="0"/>
              <w:spacing w:line="400" w:lineRule="exact"/>
              <w:jc w:val="left"/>
              <w:rPr>
                <w:rFonts w:cs="宋体"/>
                <w:color w:val="auto"/>
                <w:sz w:val="24"/>
                <w:highlight w:val="none"/>
              </w:rPr>
            </w:pPr>
            <w:r>
              <w:rPr>
                <w:rFonts w:hint="eastAsia" w:cs="宋体"/>
                <w:color w:val="auto"/>
                <w:sz w:val="24"/>
                <w:highlight w:val="none"/>
              </w:rPr>
              <w:sym w:font="Wingdings 2" w:char="0052"/>
            </w:r>
            <w:r>
              <w:rPr>
                <w:rFonts w:hint="eastAsia" w:cs="宋体"/>
                <w:color w:val="auto"/>
                <w:sz w:val="24"/>
                <w:highlight w:val="none"/>
              </w:rPr>
              <w:t>首次申报项目</w:t>
            </w:r>
          </w:p>
          <w:p>
            <w:pPr>
              <w:adjustRightInd w:val="0"/>
              <w:snapToGrid w:val="0"/>
              <w:spacing w:line="400" w:lineRule="exact"/>
              <w:jc w:val="left"/>
              <w:rPr>
                <w:rFonts w:cs="宋体"/>
                <w:color w:val="auto"/>
                <w:sz w:val="24"/>
                <w:highlight w:val="none"/>
              </w:rPr>
            </w:pPr>
            <w:r>
              <w:rPr>
                <w:rFonts w:hint="eastAsia" w:cs="宋体"/>
                <w:color w:val="auto"/>
                <w:sz w:val="24"/>
                <w:highlight w:val="none"/>
              </w:rPr>
              <w:t>□不予批准后再次申报项目</w:t>
            </w:r>
          </w:p>
          <w:p>
            <w:pPr>
              <w:adjustRightInd w:val="0"/>
              <w:snapToGrid w:val="0"/>
              <w:spacing w:line="400" w:lineRule="exact"/>
              <w:jc w:val="left"/>
              <w:rPr>
                <w:rFonts w:cs="宋体"/>
                <w:color w:val="auto"/>
                <w:sz w:val="24"/>
                <w:highlight w:val="none"/>
              </w:rPr>
            </w:pPr>
            <w:r>
              <w:rPr>
                <w:rFonts w:hint="eastAsia" w:cs="宋体"/>
                <w:color w:val="auto"/>
                <w:sz w:val="24"/>
                <w:highlight w:val="none"/>
              </w:rPr>
              <w:t>□超五年重新审核项目</w:t>
            </w:r>
          </w:p>
          <w:p>
            <w:pPr>
              <w:adjustRightInd w:val="0"/>
              <w:snapToGrid w:val="0"/>
              <w:spacing w:line="400" w:lineRule="exact"/>
              <w:rPr>
                <w:rFonts w:cs="宋体"/>
                <w:color w:val="auto"/>
                <w:sz w:val="24"/>
                <w:highlight w:val="none"/>
              </w:rPr>
            </w:pPr>
            <w:r>
              <w:rPr>
                <w:rFonts w:hint="eastAsia" w:cs="宋体"/>
                <w:color w:val="auto"/>
                <w:sz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717" w:type="dxa"/>
            <w:tcMar>
              <w:top w:w="16" w:type="dxa"/>
              <w:left w:w="16" w:type="dxa"/>
              <w:right w:w="16" w:type="dxa"/>
            </w:tcMar>
            <w:vAlign w:val="center"/>
          </w:tcPr>
          <w:p>
            <w:pPr>
              <w:adjustRightInd w:val="0"/>
              <w:snapToGrid w:val="0"/>
              <w:jc w:val="center"/>
              <w:rPr>
                <w:rFonts w:cs="宋体"/>
                <w:color w:val="auto"/>
                <w:sz w:val="24"/>
                <w:highlight w:val="none"/>
              </w:rPr>
            </w:pPr>
            <w:r>
              <w:rPr>
                <w:rFonts w:hint="eastAsia" w:cs="宋体"/>
                <w:color w:val="auto"/>
                <w:sz w:val="24"/>
                <w:highlight w:val="none"/>
              </w:rPr>
              <w:t>项目审批（核准</w:t>
            </w:r>
            <w:r>
              <w:rPr>
                <w:rFonts w:cs="宋体"/>
                <w:color w:val="auto"/>
                <w:sz w:val="24"/>
                <w:highlight w:val="none"/>
              </w:rPr>
              <w:t>/</w:t>
            </w:r>
            <w:r>
              <w:rPr>
                <w:rFonts w:hint="eastAsia" w:cs="宋体"/>
                <w:color w:val="auto"/>
                <w:sz w:val="24"/>
                <w:highlight w:val="none"/>
              </w:rPr>
              <w:t>备案）部门（选填）</w:t>
            </w:r>
          </w:p>
        </w:tc>
        <w:tc>
          <w:tcPr>
            <w:tcW w:w="1699" w:type="dxa"/>
            <w:vAlign w:val="center"/>
          </w:tcPr>
          <w:p>
            <w:pPr>
              <w:adjustRightInd w:val="0"/>
              <w:snapToGrid w:val="0"/>
              <w:jc w:val="center"/>
              <w:rPr>
                <w:rFonts w:cs="宋体"/>
                <w:color w:val="auto"/>
                <w:sz w:val="24"/>
                <w:highlight w:val="none"/>
              </w:rPr>
            </w:pPr>
            <w:r>
              <w:rPr>
                <w:rFonts w:hint="eastAsia" w:cs="宋体"/>
                <w:color w:val="auto"/>
                <w:sz w:val="24"/>
                <w:highlight w:val="none"/>
              </w:rPr>
              <w:t>重庆市发展和改革委员会</w:t>
            </w:r>
          </w:p>
        </w:tc>
        <w:tc>
          <w:tcPr>
            <w:tcW w:w="2269" w:type="dxa"/>
            <w:vAlign w:val="center"/>
          </w:tcPr>
          <w:p>
            <w:pPr>
              <w:adjustRightInd w:val="0"/>
              <w:snapToGrid w:val="0"/>
              <w:jc w:val="center"/>
              <w:rPr>
                <w:rFonts w:cs="宋体"/>
                <w:color w:val="auto"/>
                <w:sz w:val="24"/>
                <w:highlight w:val="none"/>
              </w:rPr>
            </w:pPr>
            <w:r>
              <w:rPr>
                <w:rFonts w:hint="eastAsia" w:cs="宋体"/>
                <w:color w:val="auto"/>
                <w:sz w:val="24"/>
                <w:highlight w:val="none"/>
              </w:rPr>
              <w:t>项目审批（核准</w:t>
            </w:r>
            <w:r>
              <w:rPr>
                <w:rFonts w:cs="宋体"/>
                <w:color w:val="auto"/>
                <w:sz w:val="24"/>
                <w:highlight w:val="none"/>
              </w:rPr>
              <w:t>/</w:t>
            </w:r>
          </w:p>
          <w:p>
            <w:pPr>
              <w:adjustRightInd w:val="0"/>
              <w:snapToGrid w:val="0"/>
              <w:jc w:val="center"/>
              <w:rPr>
                <w:rFonts w:cs="宋体"/>
                <w:color w:val="auto"/>
                <w:sz w:val="24"/>
                <w:highlight w:val="none"/>
              </w:rPr>
            </w:pPr>
            <w:r>
              <w:rPr>
                <w:rFonts w:hint="eastAsia" w:cs="宋体"/>
                <w:color w:val="auto"/>
                <w:sz w:val="24"/>
                <w:highlight w:val="none"/>
              </w:rPr>
              <w:t>备案）文号（选填）</w:t>
            </w:r>
          </w:p>
        </w:tc>
        <w:tc>
          <w:tcPr>
            <w:tcW w:w="3236" w:type="dxa"/>
            <w:vAlign w:val="center"/>
          </w:tcPr>
          <w:p>
            <w:pPr>
              <w:adjustRightInd w:val="0"/>
              <w:snapToGrid w:val="0"/>
              <w:jc w:val="center"/>
              <w:rPr>
                <w:snapToGrid w:val="0"/>
                <w:color w:val="auto"/>
                <w:sz w:val="24"/>
                <w:highlight w:val="none"/>
              </w:rPr>
            </w:pPr>
            <w:r>
              <w:rPr>
                <w:snapToGrid w:val="0"/>
                <w:color w:val="auto"/>
                <w:sz w:val="24"/>
                <w:highlight w:val="none"/>
              </w:rPr>
              <w:t>渝发改能源〔202</w:t>
            </w:r>
            <w:r>
              <w:rPr>
                <w:rFonts w:hint="eastAsia"/>
                <w:snapToGrid w:val="0"/>
                <w:color w:val="auto"/>
                <w:sz w:val="24"/>
                <w:highlight w:val="none"/>
                <w:lang w:val="en-US" w:eastAsia="zh-CN"/>
              </w:rPr>
              <w:t>3</w:t>
            </w:r>
            <w:r>
              <w:rPr>
                <w:snapToGrid w:val="0"/>
                <w:color w:val="auto"/>
                <w:sz w:val="24"/>
                <w:highlight w:val="none"/>
              </w:rPr>
              <w:t>〕</w:t>
            </w:r>
            <w:r>
              <w:rPr>
                <w:rFonts w:hint="eastAsia"/>
                <w:snapToGrid w:val="0"/>
                <w:color w:val="auto"/>
                <w:sz w:val="24"/>
                <w:highlight w:val="none"/>
                <w:lang w:val="en-US" w:eastAsia="zh-CN"/>
              </w:rPr>
              <w:t>857</w:t>
            </w:r>
            <w:r>
              <w:rPr>
                <w:snapToGrid w:val="0"/>
                <w:color w:val="auto"/>
                <w:sz w:val="24"/>
                <w:highlight w:val="none"/>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1717" w:type="dxa"/>
            <w:tcMar>
              <w:top w:w="16" w:type="dxa"/>
              <w:left w:w="16" w:type="dxa"/>
              <w:right w:w="16" w:type="dxa"/>
            </w:tcMar>
            <w:vAlign w:val="center"/>
          </w:tcPr>
          <w:p>
            <w:pPr>
              <w:adjustRightInd w:val="0"/>
              <w:snapToGrid w:val="0"/>
              <w:jc w:val="center"/>
              <w:rPr>
                <w:rFonts w:cs="宋体"/>
                <w:color w:val="auto"/>
                <w:sz w:val="24"/>
                <w:highlight w:val="none"/>
              </w:rPr>
            </w:pPr>
            <w:r>
              <w:rPr>
                <w:rFonts w:hint="eastAsia" w:cs="宋体"/>
                <w:color w:val="auto"/>
                <w:sz w:val="24"/>
                <w:highlight w:val="none"/>
              </w:rPr>
              <w:t>总投资</w:t>
            </w:r>
          </w:p>
          <w:p>
            <w:pPr>
              <w:adjustRightInd w:val="0"/>
              <w:snapToGrid w:val="0"/>
              <w:jc w:val="center"/>
              <w:rPr>
                <w:rFonts w:cs="宋体"/>
                <w:color w:val="auto"/>
                <w:sz w:val="24"/>
                <w:highlight w:val="none"/>
              </w:rPr>
            </w:pPr>
            <w:r>
              <w:rPr>
                <w:rFonts w:hint="eastAsia" w:cs="宋体"/>
                <w:color w:val="auto"/>
                <w:sz w:val="24"/>
                <w:highlight w:val="none"/>
              </w:rPr>
              <w:t>（万元）</w:t>
            </w:r>
          </w:p>
        </w:tc>
        <w:tc>
          <w:tcPr>
            <w:tcW w:w="1699" w:type="dxa"/>
            <w:vAlign w:val="center"/>
          </w:tcPr>
          <w:p>
            <w:pPr>
              <w:adjustRightInd w:val="0"/>
              <w:snapToGrid w:val="0"/>
              <w:jc w:val="center"/>
              <w:rPr>
                <w:rFonts w:hint="default" w:eastAsia="宋体" w:cs="宋体"/>
                <w:color w:val="auto"/>
                <w:sz w:val="24"/>
                <w:highlight w:val="none"/>
                <w:lang w:val="en-US" w:eastAsia="zh-CN"/>
              </w:rPr>
            </w:pPr>
            <w:r>
              <w:rPr>
                <w:rFonts w:hint="eastAsia" w:cs="宋体"/>
                <w:color w:val="auto"/>
                <w:sz w:val="24"/>
                <w:highlight w:val="none"/>
                <w:lang w:val="en-US" w:eastAsia="zh-CN"/>
              </w:rPr>
              <w:t>8125.4</w:t>
            </w:r>
          </w:p>
        </w:tc>
        <w:tc>
          <w:tcPr>
            <w:tcW w:w="2269" w:type="dxa"/>
            <w:tcMar>
              <w:top w:w="16" w:type="dxa"/>
              <w:left w:w="16" w:type="dxa"/>
              <w:right w:w="16" w:type="dxa"/>
            </w:tcMar>
            <w:vAlign w:val="center"/>
          </w:tcPr>
          <w:p>
            <w:pPr>
              <w:adjustRightInd w:val="0"/>
              <w:snapToGrid w:val="0"/>
              <w:jc w:val="center"/>
              <w:rPr>
                <w:rFonts w:cs="宋体"/>
                <w:color w:val="auto"/>
                <w:sz w:val="24"/>
                <w:highlight w:val="none"/>
              </w:rPr>
            </w:pPr>
            <w:r>
              <w:rPr>
                <w:rFonts w:hint="eastAsia" w:cs="宋体"/>
                <w:color w:val="auto"/>
                <w:sz w:val="24"/>
                <w:highlight w:val="none"/>
              </w:rPr>
              <w:t>环保投资（万元）</w:t>
            </w:r>
          </w:p>
        </w:tc>
        <w:tc>
          <w:tcPr>
            <w:tcW w:w="3236" w:type="dxa"/>
            <w:vAlign w:val="center"/>
          </w:tcPr>
          <w:p>
            <w:pPr>
              <w:adjustRightInd w:val="0"/>
              <w:snapToGrid w:val="0"/>
              <w:jc w:val="center"/>
              <w:rPr>
                <w:rFonts w:hint="default" w:eastAsia="宋体" w:cs="宋体"/>
                <w:color w:val="auto"/>
                <w:sz w:val="24"/>
                <w:highlight w:val="none"/>
                <w:lang w:val="en-US" w:eastAsia="zh-CN"/>
              </w:rPr>
            </w:pPr>
            <w:r>
              <w:rPr>
                <w:rFonts w:hint="eastAsia" w:cs="宋体"/>
                <w:color w:val="auto"/>
                <w:sz w:val="24"/>
                <w:highlight w:val="none"/>
                <w:lang w:val="en-US" w:eastAsia="zh-CN"/>
              </w:rPr>
              <w:t>108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9" w:hRule="atLeast"/>
          <w:jc w:val="center"/>
        </w:trPr>
        <w:tc>
          <w:tcPr>
            <w:tcW w:w="1717" w:type="dxa"/>
            <w:tcMar>
              <w:top w:w="16" w:type="dxa"/>
              <w:left w:w="16" w:type="dxa"/>
              <w:right w:w="16" w:type="dxa"/>
            </w:tcMar>
            <w:vAlign w:val="center"/>
          </w:tcPr>
          <w:p>
            <w:pPr>
              <w:adjustRightInd w:val="0"/>
              <w:snapToGrid w:val="0"/>
              <w:jc w:val="center"/>
              <w:rPr>
                <w:rFonts w:cs="宋体"/>
                <w:color w:val="auto"/>
                <w:sz w:val="24"/>
                <w:highlight w:val="none"/>
              </w:rPr>
            </w:pPr>
            <w:r>
              <w:rPr>
                <w:rFonts w:hint="eastAsia" w:cs="宋体"/>
                <w:color w:val="auto"/>
                <w:sz w:val="24"/>
                <w:highlight w:val="none"/>
              </w:rPr>
              <w:t>环保投资占比（</w:t>
            </w:r>
            <w:r>
              <w:rPr>
                <w:rFonts w:cs="宋体"/>
                <w:color w:val="auto"/>
                <w:sz w:val="24"/>
                <w:highlight w:val="none"/>
              </w:rPr>
              <w:t>%</w:t>
            </w:r>
            <w:r>
              <w:rPr>
                <w:rFonts w:hint="eastAsia" w:cs="宋体"/>
                <w:color w:val="auto"/>
                <w:sz w:val="24"/>
                <w:highlight w:val="none"/>
              </w:rPr>
              <w:t>）</w:t>
            </w:r>
          </w:p>
        </w:tc>
        <w:tc>
          <w:tcPr>
            <w:tcW w:w="1699" w:type="dxa"/>
            <w:vAlign w:val="center"/>
          </w:tcPr>
          <w:p>
            <w:pPr>
              <w:adjustRightInd w:val="0"/>
              <w:snapToGrid w:val="0"/>
              <w:jc w:val="center"/>
              <w:rPr>
                <w:rFonts w:hint="default" w:eastAsia="宋体" w:cs="宋体"/>
                <w:color w:val="auto"/>
                <w:sz w:val="24"/>
                <w:highlight w:val="none"/>
                <w:lang w:val="en-US" w:eastAsia="zh-CN"/>
              </w:rPr>
            </w:pPr>
            <w:r>
              <w:rPr>
                <w:rFonts w:hint="eastAsia" w:cs="宋体"/>
                <w:color w:val="auto"/>
                <w:sz w:val="24"/>
                <w:highlight w:val="none"/>
                <w:lang w:val="en-US" w:eastAsia="zh-CN"/>
              </w:rPr>
              <w:t>1.33</w:t>
            </w:r>
          </w:p>
        </w:tc>
        <w:tc>
          <w:tcPr>
            <w:tcW w:w="2269" w:type="dxa"/>
            <w:tcMar>
              <w:top w:w="16" w:type="dxa"/>
              <w:left w:w="16" w:type="dxa"/>
              <w:right w:w="16" w:type="dxa"/>
            </w:tcMar>
            <w:vAlign w:val="center"/>
          </w:tcPr>
          <w:p>
            <w:pPr>
              <w:adjustRightInd w:val="0"/>
              <w:snapToGrid w:val="0"/>
              <w:jc w:val="center"/>
              <w:rPr>
                <w:rFonts w:cs="宋体"/>
                <w:color w:val="auto"/>
                <w:sz w:val="24"/>
                <w:highlight w:val="none"/>
              </w:rPr>
            </w:pPr>
            <w:r>
              <w:rPr>
                <w:rFonts w:hint="eastAsia" w:cs="宋体"/>
                <w:color w:val="auto"/>
                <w:sz w:val="24"/>
                <w:highlight w:val="none"/>
              </w:rPr>
              <w:t>施工工期</w:t>
            </w:r>
          </w:p>
        </w:tc>
        <w:tc>
          <w:tcPr>
            <w:tcW w:w="3236" w:type="dxa"/>
            <w:vAlign w:val="center"/>
          </w:tcPr>
          <w:p>
            <w:pPr>
              <w:adjustRightInd w:val="0"/>
              <w:snapToGrid w:val="0"/>
              <w:jc w:val="center"/>
              <w:rPr>
                <w:rFonts w:cs="宋体"/>
                <w:color w:val="auto"/>
                <w:sz w:val="24"/>
                <w:highlight w:val="none"/>
              </w:rPr>
            </w:pPr>
            <w:r>
              <w:rPr>
                <w:rFonts w:hint="eastAsia" w:cs="宋体"/>
                <w:color w:val="auto"/>
                <w:sz w:val="24"/>
                <w:highlight w:val="none"/>
                <w:lang w:val="en-US" w:eastAsia="zh-CN"/>
              </w:rPr>
              <w:t>1</w:t>
            </w:r>
            <w:r>
              <w:rPr>
                <w:rFonts w:hint="eastAsia" w:cs="宋体"/>
                <w:color w:val="auto"/>
                <w:sz w:val="24"/>
                <w:highlight w:val="none"/>
              </w:rPr>
              <w:t>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53" w:hRule="atLeast"/>
          <w:jc w:val="center"/>
        </w:trPr>
        <w:tc>
          <w:tcPr>
            <w:tcW w:w="1717" w:type="dxa"/>
            <w:tcMar>
              <w:top w:w="16" w:type="dxa"/>
              <w:left w:w="16" w:type="dxa"/>
              <w:right w:w="16" w:type="dxa"/>
            </w:tcMar>
            <w:vAlign w:val="center"/>
          </w:tcPr>
          <w:p>
            <w:pPr>
              <w:adjustRightInd w:val="0"/>
              <w:snapToGrid w:val="0"/>
              <w:spacing w:line="360" w:lineRule="auto"/>
              <w:jc w:val="center"/>
              <w:rPr>
                <w:rFonts w:cs="宋体"/>
                <w:color w:val="auto"/>
                <w:sz w:val="24"/>
                <w:highlight w:val="none"/>
              </w:rPr>
            </w:pPr>
            <w:r>
              <w:rPr>
                <w:rFonts w:hint="eastAsia" w:cs="宋体"/>
                <w:color w:val="auto"/>
                <w:sz w:val="24"/>
                <w:highlight w:val="none"/>
              </w:rPr>
              <w:t>是否开工建设</w:t>
            </w:r>
          </w:p>
        </w:tc>
        <w:tc>
          <w:tcPr>
            <w:tcW w:w="7204" w:type="dxa"/>
            <w:gridSpan w:val="3"/>
            <w:vAlign w:val="center"/>
          </w:tcPr>
          <w:p>
            <w:pPr>
              <w:adjustRightInd w:val="0"/>
              <w:snapToGrid w:val="0"/>
              <w:spacing w:line="360" w:lineRule="auto"/>
              <w:ind w:firstLine="105"/>
              <w:jc w:val="left"/>
              <w:rPr>
                <w:rFonts w:cs="宋体"/>
                <w:color w:val="auto"/>
                <w:sz w:val="24"/>
                <w:highlight w:val="none"/>
              </w:rPr>
            </w:pPr>
            <w:r>
              <w:rPr>
                <w:rFonts w:hint="eastAsia" w:cs="宋体"/>
                <w:color w:val="auto"/>
                <w:sz w:val="24"/>
                <w:highlight w:val="none"/>
              </w:rPr>
              <w:t>√否</w:t>
            </w:r>
          </w:p>
          <w:p>
            <w:pPr>
              <w:adjustRightInd w:val="0"/>
              <w:snapToGrid w:val="0"/>
              <w:spacing w:line="360" w:lineRule="auto"/>
              <w:ind w:firstLine="92"/>
              <w:jc w:val="left"/>
              <w:rPr>
                <w:rFonts w:cs="宋体"/>
                <w:color w:val="auto"/>
                <w:sz w:val="24"/>
                <w:highlight w:val="none"/>
              </w:rPr>
            </w:pPr>
            <w:r>
              <w:rPr>
                <w:rFonts w:hint="eastAsia" w:cs="宋体"/>
                <w:color w:val="auto"/>
                <w:sz w:val="24"/>
                <w:highlight w:val="none"/>
              </w:rPr>
              <w:t>□是：</w:t>
            </w:r>
            <w:r>
              <w:rPr>
                <w:rFonts w:cs="宋体"/>
                <w:color w:val="auto"/>
                <w:sz w:val="24"/>
                <w:highlight w:val="none"/>
                <w:u w:val="single"/>
              </w:rPr>
              <w:t xml:space="preserve"> </w:t>
            </w:r>
            <w:r>
              <w:rPr>
                <w:rFonts w:hint="eastAsia" w:cs="宋体"/>
                <w:color w:val="auto"/>
                <w:sz w:val="24"/>
                <w:highlight w:val="none"/>
                <w:u w:val="single"/>
              </w:rPr>
              <w:t xml:space="preserve">                     </w:t>
            </w:r>
            <w:r>
              <w:rPr>
                <w:rFonts w:cs="宋体"/>
                <w:color w:val="auto"/>
                <w:sz w:val="24"/>
                <w:highlight w:val="none"/>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73" w:hRule="atLeast"/>
          <w:jc w:val="center"/>
        </w:trPr>
        <w:tc>
          <w:tcPr>
            <w:tcW w:w="1717" w:type="dxa"/>
            <w:tcMar>
              <w:top w:w="16" w:type="dxa"/>
              <w:left w:w="16" w:type="dxa"/>
              <w:right w:w="16" w:type="dxa"/>
            </w:tcMar>
            <w:vAlign w:val="center"/>
          </w:tcPr>
          <w:p>
            <w:pPr>
              <w:autoSpaceDE w:val="0"/>
              <w:autoSpaceDN w:val="0"/>
              <w:adjustRightInd w:val="0"/>
              <w:snapToGrid w:val="0"/>
              <w:spacing w:line="440" w:lineRule="exact"/>
              <w:jc w:val="center"/>
              <w:rPr>
                <w:rFonts w:cs="宋体"/>
                <w:color w:val="auto"/>
                <w:kern w:val="0"/>
                <w:sz w:val="24"/>
                <w:highlight w:val="none"/>
              </w:rPr>
            </w:pPr>
            <w:r>
              <w:rPr>
                <w:rFonts w:hint="eastAsia" w:cs="宋体"/>
                <w:color w:val="auto"/>
                <w:kern w:val="0"/>
                <w:sz w:val="24"/>
                <w:highlight w:val="none"/>
              </w:rPr>
              <w:t>专项评价</w:t>
            </w:r>
          </w:p>
          <w:p>
            <w:pPr>
              <w:autoSpaceDE w:val="0"/>
              <w:autoSpaceDN w:val="0"/>
              <w:adjustRightInd w:val="0"/>
              <w:snapToGrid w:val="0"/>
              <w:spacing w:line="440" w:lineRule="exact"/>
              <w:jc w:val="center"/>
              <w:rPr>
                <w:rFonts w:cs="宋体"/>
                <w:color w:val="auto"/>
                <w:kern w:val="0"/>
                <w:sz w:val="24"/>
                <w:highlight w:val="none"/>
              </w:rPr>
            </w:pPr>
            <w:r>
              <w:rPr>
                <w:rFonts w:hint="eastAsia" w:cs="宋体"/>
                <w:color w:val="auto"/>
                <w:kern w:val="0"/>
                <w:sz w:val="24"/>
                <w:highlight w:val="none"/>
              </w:rPr>
              <w:t>设置情况</w:t>
            </w:r>
          </w:p>
        </w:tc>
        <w:tc>
          <w:tcPr>
            <w:tcW w:w="7204" w:type="dxa"/>
            <w:gridSpan w:val="3"/>
            <w:tcMar>
              <w:top w:w="16" w:type="dxa"/>
              <w:left w:w="16" w:type="dxa"/>
              <w:right w:w="16" w:type="dxa"/>
            </w:tcMar>
            <w:vAlign w:val="center"/>
          </w:tcPr>
          <w:p>
            <w:pPr>
              <w:pStyle w:val="35"/>
              <w:spacing w:line="360" w:lineRule="auto"/>
              <w:ind w:firstLine="468" w:firstLineChars="195"/>
              <w:rPr>
                <w:color w:val="auto"/>
                <w:kern w:val="0"/>
                <w:highlight w:val="none"/>
              </w:rPr>
            </w:pPr>
            <w:r>
              <w:rPr>
                <w:rFonts w:hint="eastAsia" w:ascii="Times New Roman" w:hAnsi="Times New Roman" w:cs="Times New Roman"/>
                <w:color w:val="auto"/>
                <w:highlight w:val="none"/>
              </w:rPr>
              <w:t>根据《环境影响评价技术导则</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输变电》（</w:t>
            </w:r>
            <w:r>
              <w:rPr>
                <w:rFonts w:ascii="Times New Roman" w:hAnsi="Times New Roman" w:cs="Times New Roman"/>
                <w:color w:val="auto"/>
                <w:highlight w:val="none"/>
              </w:rPr>
              <w:t>HJ24-2020</w:t>
            </w:r>
            <w:r>
              <w:rPr>
                <w:rFonts w:hint="eastAsia" w:ascii="Times New Roman" w:hAnsi="Times New Roman" w:cs="Times New Roman"/>
                <w:color w:val="auto"/>
                <w:highlight w:val="none"/>
              </w:rPr>
              <w:t>），设置电磁环境影响评价专题。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27" w:hRule="atLeast"/>
          <w:jc w:val="center"/>
        </w:trPr>
        <w:tc>
          <w:tcPr>
            <w:tcW w:w="1717" w:type="dxa"/>
            <w:tcMar>
              <w:top w:w="16" w:type="dxa"/>
              <w:left w:w="16" w:type="dxa"/>
              <w:right w:w="16" w:type="dxa"/>
            </w:tcMar>
            <w:vAlign w:val="center"/>
          </w:tcPr>
          <w:p>
            <w:pPr>
              <w:autoSpaceDE w:val="0"/>
              <w:autoSpaceDN w:val="0"/>
              <w:adjustRightInd w:val="0"/>
              <w:snapToGrid w:val="0"/>
              <w:spacing w:line="440" w:lineRule="exact"/>
              <w:jc w:val="center"/>
              <w:rPr>
                <w:rFonts w:ascii="Times New Roman" w:hAnsi="Times New Roman" w:eastAsia="宋体" w:cs="宋体"/>
                <w:color w:val="auto"/>
                <w:kern w:val="0"/>
                <w:sz w:val="24"/>
                <w:szCs w:val="24"/>
                <w:lang w:val="en-US" w:eastAsia="zh-CN" w:bidi="ar-SA"/>
              </w:rPr>
            </w:pPr>
            <w:r>
              <w:rPr>
                <w:rFonts w:hint="eastAsia" w:cs="宋体"/>
                <w:color w:val="auto"/>
                <w:sz w:val="24"/>
              </w:rPr>
              <w:t>规划情况</w:t>
            </w:r>
          </w:p>
        </w:tc>
        <w:tc>
          <w:tcPr>
            <w:tcW w:w="7204" w:type="dxa"/>
            <w:gridSpan w:val="3"/>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cs="宋体"/>
                <w:color w:val="auto"/>
                <w:kern w:val="0"/>
                <w:sz w:val="24"/>
              </w:rPr>
            </w:pPr>
            <w:r>
              <w:rPr>
                <w:rFonts w:hint="eastAsia" w:cs="宋体"/>
                <w:color w:val="auto"/>
                <w:kern w:val="0"/>
                <w:sz w:val="24"/>
              </w:rPr>
              <w:t>规划名称：《重庆市“十四五”电力发展规划》；</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cs="宋体"/>
                <w:color w:val="auto"/>
                <w:kern w:val="0"/>
                <w:sz w:val="24"/>
              </w:rPr>
            </w:pPr>
            <w:r>
              <w:rPr>
                <w:rFonts w:hint="eastAsia" w:cs="宋体"/>
                <w:color w:val="auto"/>
                <w:kern w:val="0"/>
                <w:sz w:val="24"/>
              </w:rPr>
              <w:t>审批机关：重庆市发展和改革委员会、重庆市能源局；</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lang w:val="en-US" w:eastAsia="zh-CN"/>
              </w:rPr>
            </w:pPr>
            <w:r>
              <w:rPr>
                <w:rFonts w:hint="eastAsia" w:cs="宋体"/>
                <w:color w:val="auto"/>
                <w:kern w:val="0"/>
                <w:sz w:val="24"/>
              </w:rPr>
              <w:t>审批文件名称及文号：《重庆市发展和改革委员会、重庆市能源局关于印发重庆市“十四五”电力发展规划（</w:t>
            </w:r>
            <w:r>
              <w:rPr>
                <w:rFonts w:cs="宋体"/>
                <w:color w:val="auto"/>
                <w:kern w:val="0"/>
                <w:sz w:val="24"/>
              </w:rPr>
              <w:t>2021-2025</w:t>
            </w:r>
            <w:r>
              <w:rPr>
                <w:rFonts w:hint="eastAsia" w:cs="宋体"/>
                <w:color w:val="auto"/>
                <w:kern w:val="0"/>
                <w:sz w:val="24"/>
              </w:rPr>
              <w:t>年）的通知》（渝发改能源</w:t>
            </w:r>
            <w:r>
              <w:rPr>
                <w:rFonts w:hint="eastAsia" w:ascii="宋体" w:hAnsi="宋体" w:cs="宋体"/>
                <w:color w:val="auto"/>
                <w:kern w:val="0"/>
                <w:sz w:val="24"/>
              </w:rPr>
              <w:t>[</w:t>
            </w:r>
            <w:r>
              <w:rPr>
                <w:rFonts w:cs="宋体"/>
                <w:color w:val="auto"/>
                <w:kern w:val="0"/>
                <w:sz w:val="24"/>
              </w:rPr>
              <w:t>2022</w:t>
            </w:r>
            <w:r>
              <w:rPr>
                <w:rFonts w:hint="eastAsia" w:ascii="宋体" w:hAnsi="宋体" w:cs="宋体"/>
                <w:color w:val="auto"/>
                <w:kern w:val="0"/>
                <w:sz w:val="24"/>
              </w:rPr>
              <w:t>]</w:t>
            </w:r>
            <w:r>
              <w:rPr>
                <w:rFonts w:cs="宋体"/>
                <w:color w:val="auto"/>
                <w:kern w:val="0"/>
                <w:sz w:val="24"/>
              </w:rPr>
              <w:t>674</w:t>
            </w:r>
            <w:r>
              <w:rPr>
                <w:rFonts w:hint="eastAsia" w:cs="宋体"/>
                <w:color w:val="auto"/>
                <w:kern w:val="0"/>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854" w:hRule="atLeast"/>
          <w:jc w:val="center"/>
        </w:trPr>
        <w:tc>
          <w:tcPr>
            <w:tcW w:w="1717" w:type="dxa"/>
            <w:tcMar>
              <w:top w:w="16" w:type="dxa"/>
              <w:left w:w="16" w:type="dxa"/>
              <w:right w:w="16" w:type="dxa"/>
            </w:tcMar>
            <w:vAlign w:val="center"/>
          </w:tcPr>
          <w:p>
            <w:pPr>
              <w:autoSpaceDE w:val="0"/>
              <w:autoSpaceDN w:val="0"/>
              <w:adjustRightInd w:val="0"/>
              <w:snapToGrid w:val="0"/>
              <w:spacing w:line="440" w:lineRule="exact"/>
              <w:jc w:val="center"/>
              <w:rPr>
                <w:rFonts w:cs="宋体"/>
                <w:color w:val="auto"/>
                <w:sz w:val="24"/>
              </w:rPr>
            </w:pPr>
            <w:r>
              <w:rPr>
                <w:rFonts w:hint="eastAsia" w:cs="宋体"/>
                <w:color w:val="auto"/>
                <w:sz w:val="24"/>
              </w:rPr>
              <w:t>规划环境影响</w:t>
            </w:r>
          </w:p>
          <w:p>
            <w:pPr>
              <w:autoSpaceDE w:val="0"/>
              <w:autoSpaceDN w:val="0"/>
              <w:adjustRightInd w:val="0"/>
              <w:snapToGrid w:val="0"/>
              <w:spacing w:line="440" w:lineRule="exact"/>
              <w:jc w:val="center"/>
              <w:rPr>
                <w:rFonts w:ascii="Times New Roman" w:hAnsi="Times New Roman" w:eastAsia="宋体" w:cs="宋体"/>
                <w:color w:val="auto"/>
                <w:kern w:val="0"/>
                <w:sz w:val="24"/>
                <w:szCs w:val="24"/>
                <w:lang w:val="en-US" w:eastAsia="zh-CN" w:bidi="ar-SA"/>
              </w:rPr>
            </w:pPr>
            <w:r>
              <w:rPr>
                <w:rFonts w:hint="eastAsia" w:cs="宋体"/>
                <w:color w:val="auto"/>
                <w:sz w:val="24"/>
              </w:rPr>
              <w:t>评价情况</w:t>
            </w:r>
          </w:p>
        </w:tc>
        <w:tc>
          <w:tcPr>
            <w:tcW w:w="7204" w:type="dxa"/>
            <w:gridSpan w:val="3"/>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Calibri" w:hAnsi="Calibri" w:eastAsia="宋体" w:cs="Calibri"/>
                <w:color w:val="auto"/>
                <w:kern w:val="0"/>
                <w:sz w:val="24"/>
                <w:szCs w:val="24"/>
                <w:lang w:val="en-US" w:eastAsia="zh-CN"/>
              </w:rPr>
              <w:t>①</w:t>
            </w:r>
            <w:r>
              <w:rPr>
                <w:rFonts w:hint="default" w:ascii="Times New Roman" w:hAnsi="Times New Roman" w:eastAsia="宋体" w:cs="Times New Roman"/>
                <w:color w:val="auto"/>
                <w:kern w:val="0"/>
                <w:sz w:val="24"/>
                <w:szCs w:val="24"/>
                <w:lang w:val="en-US" w:eastAsia="zh-CN"/>
              </w:rPr>
              <w:t>规划环评名称：《重庆市“十四五”电力发展规划（2021—2025年）环境影响报告书》；</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审批机关：重庆市生态环境局；</w:t>
            </w:r>
          </w:p>
          <w:p>
            <w:pPr>
              <w:keepNext w:val="0"/>
              <w:keepLines w:val="0"/>
              <w:pageBreakBefore w:val="0"/>
              <w:widowControl w:val="0"/>
              <w:kinsoku/>
              <w:wordWrap/>
              <w:overflowPunct/>
              <w:topLinePunct w:val="0"/>
              <w:autoSpaceDE w:val="0"/>
              <w:autoSpaceDN w:val="0"/>
              <w:bidi w:val="0"/>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审批文件名称及文号：《重庆市生态环境局关于重庆市“十四五”电力发展规划（2021-2025年）环境影响报告书审查意见的函》（渝环函〔2023〕365号）。</w:t>
            </w:r>
          </w:p>
          <w:p>
            <w:pPr>
              <w:autoSpaceDE w:val="0"/>
              <w:autoSpaceDN w:val="0"/>
              <w:spacing w:line="360" w:lineRule="auto"/>
              <w:ind w:firstLine="480" w:firstLineChars="200"/>
              <w:rPr>
                <w:rFonts w:cs="宋体"/>
                <w:color w:val="auto"/>
                <w:kern w:val="0"/>
                <w:sz w:val="24"/>
                <w:highlight w:val="none"/>
              </w:rPr>
            </w:pPr>
            <w:r>
              <w:rPr>
                <w:rFonts w:hint="default" w:ascii="Calibri" w:hAnsi="Calibri" w:cs="Calibri"/>
                <w:color w:val="auto"/>
                <w:kern w:val="0"/>
                <w:sz w:val="24"/>
                <w:highlight w:val="none"/>
              </w:rPr>
              <w:t>②</w:t>
            </w:r>
            <w:r>
              <w:rPr>
                <w:rFonts w:hint="eastAsia" w:cs="宋体"/>
                <w:color w:val="auto"/>
                <w:kern w:val="0"/>
                <w:sz w:val="24"/>
                <w:highlight w:val="none"/>
              </w:rPr>
              <w:t>规划环评文件名称：《重庆铜梁高新区铜梁片区及全蒲片区规划环境影响跟踪评价报告书》；</w:t>
            </w:r>
          </w:p>
          <w:p>
            <w:pPr>
              <w:autoSpaceDE w:val="0"/>
              <w:autoSpaceDN w:val="0"/>
              <w:spacing w:line="360" w:lineRule="auto"/>
              <w:ind w:firstLine="480" w:firstLineChars="200"/>
              <w:rPr>
                <w:rFonts w:cs="宋体"/>
                <w:color w:val="auto"/>
                <w:kern w:val="0"/>
                <w:sz w:val="24"/>
                <w:highlight w:val="none"/>
              </w:rPr>
            </w:pPr>
            <w:r>
              <w:rPr>
                <w:rFonts w:hint="eastAsia" w:cs="宋体"/>
                <w:color w:val="auto"/>
                <w:kern w:val="0"/>
                <w:sz w:val="24"/>
                <w:highlight w:val="none"/>
              </w:rPr>
              <w:t>审查机关：重庆市生态环境局；</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eastAsia="宋体"/>
                <w:color w:val="auto"/>
                <w:lang w:val="en-US" w:eastAsia="zh-CN"/>
              </w:rPr>
            </w:pPr>
            <w:r>
              <w:rPr>
                <w:rFonts w:hint="eastAsia" w:cs="宋体"/>
                <w:color w:val="auto"/>
                <w:kern w:val="0"/>
                <w:sz w:val="24"/>
                <w:highlight w:val="none"/>
              </w:rPr>
              <w:t>审查文件名称及文号:关于《重庆铜梁高新区铜梁片区及全蒲片区规划环境影响跟踪划评价报告书》的审查意见的函（渝环函〔2019〕94 号）</w:t>
            </w:r>
            <w:r>
              <w:rPr>
                <w:rFonts w:hint="eastAsia" w:cs="宋体"/>
                <w:color w:val="auto"/>
                <w:kern w:val="0"/>
                <w:sz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3" w:hRule="atLeast"/>
          <w:jc w:val="center"/>
        </w:trPr>
        <w:tc>
          <w:tcPr>
            <w:tcW w:w="1717" w:type="dxa"/>
            <w:tcMar>
              <w:top w:w="16" w:type="dxa"/>
              <w:left w:w="16" w:type="dxa"/>
              <w:right w:w="16" w:type="dxa"/>
            </w:tcMar>
            <w:vAlign w:val="center"/>
          </w:tcPr>
          <w:p>
            <w:pPr>
              <w:autoSpaceDE w:val="0"/>
              <w:autoSpaceDN w:val="0"/>
              <w:adjustRightInd w:val="0"/>
              <w:snapToGrid w:val="0"/>
              <w:spacing w:line="440" w:lineRule="exact"/>
              <w:jc w:val="center"/>
              <w:rPr>
                <w:rFonts w:ascii="Times New Roman" w:hAnsi="Times New Roman" w:eastAsia="宋体" w:cs="宋体"/>
                <w:color w:val="auto"/>
                <w:kern w:val="0"/>
                <w:sz w:val="24"/>
                <w:szCs w:val="24"/>
                <w:lang w:val="en-US" w:eastAsia="zh-CN" w:bidi="ar-SA"/>
              </w:rPr>
            </w:pPr>
            <w:r>
              <w:rPr>
                <w:rFonts w:hint="eastAsia" w:cs="宋体"/>
                <w:color w:val="auto"/>
                <w:kern w:val="0"/>
                <w:sz w:val="24"/>
              </w:rPr>
              <w:t>规划及</w:t>
            </w:r>
            <w:r>
              <w:rPr>
                <w:rFonts w:hint="eastAsia" w:cs="宋体"/>
                <w:color w:val="auto"/>
                <w:sz w:val="24"/>
              </w:rPr>
              <w:t>规划环境影响评价</w:t>
            </w:r>
            <w:r>
              <w:rPr>
                <w:rFonts w:hint="eastAsia" w:cs="宋体"/>
                <w:color w:val="auto"/>
                <w:kern w:val="0"/>
                <w:sz w:val="24"/>
              </w:rPr>
              <w:t>符合性分析</w:t>
            </w:r>
          </w:p>
        </w:tc>
        <w:tc>
          <w:tcPr>
            <w:tcW w:w="7204" w:type="dxa"/>
            <w:gridSpan w:val="3"/>
            <w:tcMar>
              <w:top w:w="16" w:type="dxa"/>
              <w:left w:w="16" w:type="dxa"/>
              <w:right w:w="16" w:type="dxa"/>
            </w:tcMar>
            <w:vAlign w:val="center"/>
          </w:tcPr>
          <w:p>
            <w:pPr>
              <w:autoSpaceDE w:val="0"/>
              <w:autoSpaceDN w:val="0"/>
              <w:spacing w:line="360" w:lineRule="auto"/>
              <w:rPr>
                <w:rFonts w:cs="宋体"/>
                <w:b/>
                <w:bCs/>
                <w:color w:val="auto"/>
                <w:kern w:val="0"/>
                <w:sz w:val="24"/>
              </w:rPr>
            </w:pPr>
            <w:r>
              <w:rPr>
                <w:rFonts w:cs="宋体"/>
                <w:b/>
                <w:bCs/>
                <w:color w:val="auto"/>
                <w:kern w:val="0"/>
                <w:sz w:val="24"/>
              </w:rPr>
              <w:t xml:space="preserve">1.1 </w:t>
            </w:r>
            <w:r>
              <w:rPr>
                <w:rFonts w:hint="eastAsia" w:cs="宋体"/>
                <w:b/>
                <w:bCs/>
                <w:color w:val="auto"/>
                <w:kern w:val="0"/>
                <w:sz w:val="24"/>
              </w:rPr>
              <w:t>与重庆市“十四五”电力发展规划符合性分析</w:t>
            </w:r>
          </w:p>
          <w:p>
            <w:pPr>
              <w:keepNext w:val="0"/>
              <w:keepLines w:val="0"/>
              <w:pageBreakBefore w:val="0"/>
              <w:widowControl w:val="0"/>
              <w:kinsoku/>
              <w:wordWrap/>
              <w:overflowPunct/>
              <w:topLinePunct w:val="0"/>
              <w:autoSpaceDE/>
              <w:autoSpaceDN/>
              <w:bidi w:val="0"/>
              <w:adjustRightInd w:val="0"/>
              <w:snapToGrid w:val="0"/>
              <w:spacing w:line="360" w:lineRule="auto"/>
              <w:ind w:left="38" w:leftChars="18" w:right="19" w:rightChars="9"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该规划：“三、构建多元安全的电力供给体系，（二）推动输配设施协调发展：提升城乡配网可靠运行水平。按照满足负荷增长、分布式电源接入和新能源消纳要求，适度超前规划建设城乡配电网，着力解决配电网发展不平衡不充分问题。按照“电从网上来、也从身边取”的模式，推动配电网向智能互动的能源互联网转变，提升配电网可靠性和智能化水平。提高城乡配电网的技术装备水平，促进城乡配电网建设升级。完善农村电力基础设施，着力解决城乡配电网存在的负荷转移能力不强、网架搭配不合理、农网“低电压”问题。促进全市供电可靠率达到99.893%，综合电压合格率达到99.849%。按照“结构清晰、局部坚韧、快速恢复”原则推进坚强局部电网建设，“十四五”初期基本建设完成坚强局部电网，到2025年初步建成坚强局部电网。”</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color w:val="auto"/>
                <w:sz w:val="24"/>
              </w:rPr>
              <w:t>根据</w:t>
            </w:r>
            <w:r>
              <w:rPr>
                <w:rFonts w:hint="eastAsia"/>
                <w:color w:val="auto"/>
                <w:sz w:val="24"/>
              </w:rPr>
              <w:t>《重庆市“十四五”电力发展规划（2</w:t>
            </w:r>
            <w:r>
              <w:rPr>
                <w:color w:val="auto"/>
                <w:sz w:val="24"/>
              </w:rPr>
              <w:t>021-2025</w:t>
            </w:r>
            <w:r>
              <w:rPr>
                <w:rFonts w:hint="eastAsia"/>
                <w:color w:val="auto"/>
                <w:sz w:val="24"/>
              </w:rPr>
              <w:t>年）》，本项目属于重庆市“十四五”1</w:t>
            </w:r>
            <w:r>
              <w:rPr>
                <w:color w:val="auto"/>
                <w:sz w:val="24"/>
              </w:rPr>
              <w:t>10</w:t>
            </w:r>
            <w:r>
              <w:rPr>
                <w:rFonts w:hint="eastAsia"/>
                <w:color w:val="auto"/>
                <w:sz w:val="24"/>
              </w:rPr>
              <w:t>千伏电网建设项目汇总表中的第</w:t>
            </w:r>
            <w:r>
              <w:rPr>
                <w:rFonts w:hint="eastAsia"/>
                <w:color w:val="auto"/>
                <w:sz w:val="24"/>
                <w:lang w:val="en-US" w:eastAsia="zh-CN"/>
              </w:rPr>
              <w:t>157</w:t>
            </w:r>
            <w:r>
              <w:rPr>
                <w:rFonts w:hint="eastAsia"/>
                <w:color w:val="auto"/>
                <w:sz w:val="24"/>
              </w:rPr>
              <w:t>项（见附件</w:t>
            </w:r>
            <w:r>
              <w:rPr>
                <w:rFonts w:hint="eastAsia"/>
                <w:color w:val="auto"/>
                <w:sz w:val="24"/>
                <w:lang w:val="en-US" w:eastAsia="zh-CN"/>
              </w:rPr>
              <w:t>3</w:t>
            </w:r>
            <w:r>
              <w:rPr>
                <w:rFonts w:hint="eastAsia"/>
                <w:color w:val="auto"/>
                <w:sz w:val="24"/>
              </w:rPr>
              <w:t>）</w:t>
            </w:r>
            <w:r>
              <w:rPr>
                <w:color w:val="auto"/>
                <w:sz w:val="24"/>
              </w:rPr>
              <w:t>，</w:t>
            </w:r>
            <w:r>
              <w:rPr>
                <w:rFonts w:hint="eastAsia"/>
                <w:color w:val="auto"/>
                <w:sz w:val="24"/>
              </w:rPr>
              <w:t>项目建设</w:t>
            </w:r>
            <w:r>
              <w:rPr>
                <w:color w:val="auto"/>
                <w:sz w:val="24"/>
              </w:rPr>
              <w:t>符合规划要求。</w:t>
            </w:r>
          </w:p>
          <w:p>
            <w:pPr>
              <w:keepNext w:val="0"/>
              <w:keepLines w:val="0"/>
              <w:pageBreakBefore w:val="0"/>
              <w:widowControl w:val="0"/>
              <w:kinsoku/>
              <w:wordWrap/>
              <w:overflowPunct/>
              <w:topLinePunct w:val="0"/>
              <w:autoSpaceDE/>
              <w:autoSpaceDN/>
              <w:bidi w:val="0"/>
              <w:adjustRightInd w:val="0"/>
              <w:snapToGrid w:val="0"/>
              <w:spacing w:line="360" w:lineRule="auto"/>
              <w:ind w:right="19" w:rightChars="9"/>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1.2</w:t>
            </w:r>
            <w:r>
              <w:rPr>
                <w:rFonts w:hint="default" w:ascii="Times New Roman" w:hAnsi="Times New Roman" w:eastAsia="宋体" w:cs="Times New Roman"/>
                <w:b/>
                <w:bCs/>
                <w:color w:val="auto"/>
                <w:sz w:val="24"/>
                <w:lang w:val="en-US" w:eastAsia="zh-CN"/>
              </w:rPr>
              <w:t>与重庆市“十四五”电力发展规划环境影响报告书符合性分析</w:t>
            </w:r>
          </w:p>
          <w:p>
            <w:pPr>
              <w:pStyle w:val="35"/>
              <w:keepNext w:val="0"/>
              <w:keepLines w:val="0"/>
              <w:pageBreakBefore w:val="0"/>
              <w:widowControl w:val="0"/>
              <w:kinsoku/>
              <w:wordWrap/>
              <w:overflowPunct/>
              <w:topLinePunct w:val="0"/>
              <w:autoSpaceDE/>
              <w:autoSpaceDN/>
              <w:bidi w:val="0"/>
              <w:adjustRightInd w:val="0"/>
              <w:snapToGrid w:val="0"/>
              <w:ind w:right="0" w:righ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重庆市“十四五”电力发展规划（2021—2025年）环境影响报告书》已通过了审批，取得了环评批复（渝环函〔2023〕365号）。报告书及环评批复中对规划的主要意见：优化项目布局选址，避让生态保护红线、自然保护区、风景名胜区、森林公园等生态环境敏感区；严格控制占地范围，采取相应的环境保护和生态修复措施，确保污染物达标排放等。</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本项目不涉及生态保护红线、自然保护区、风景名胜区、森林公园等生态环境敏感区，占地严格控制在本项目红线内，采取报告中各项环境保护措施后，能够确保污染物达标排放</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符</w:t>
            </w:r>
            <w:r>
              <w:rPr>
                <w:rFonts w:hint="default" w:ascii="Times New Roman" w:hAnsi="Times New Roman" w:eastAsia="宋体" w:cs="Times New Roman"/>
                <w:color w:val="auto"/>
                <w:sz w:val="24"/>
                <w:lang w:val="en-US" w:eastAsia="zh-CN"/>
              </w:rPr>
              <w:t>合相关要求。</w:t>
            </w:r>
          </w:p>
          <w:p>
            <w:pPr>
              <w:autoSpaceDE w:val="0"/>
              <w:autoSpaceDN w:val="0"/>
              <w:adjustRightInd w:val="0"/>
              <w:snapToGrid w:val="0"/>
              <w:spacing w:line="360" w:lineRule="auto"/>
              <w:rPr>
                <w:rFonts w:hint="eastAsia" w:eastAsia="宋体"/>
                <w:b/>
                <w:bCs/>
                <w:color w:val="auto"/>
                <w:kern w:val="0"/>
                <w:sz w:val="24"/>
                <w:lang w:val="en-US" w:eastAsia="zh-CN"/>
              </w:rPr>
            </w:pPr>
            <w:r>
              <w:rPr>
                <w:rFonts w:hint="eastAsia"/>
                <w:b/>
                <w:bCs/>
                <w:color w:val="auto"/>
                <w:kern w:val="0"/>
                <w:sz w:val="24"/>
                <w:lang w:val="en-US" w:eastAsia="zh-CN"/>
              </w:rPr>
              <w:t>1.2 与</w:t>
            </w:r>
            <w:r>
              <w:rPr>
                <w:b/>
                <w:bCs/>
                <w:color w:val="auto"/>
                <w:kern w:val="0"/>
                <w:sz w:val="24"/>
              </w:rPr>
              <w:t>《重庆铜梁高新区铜梁片区及全蒲片区规划环境影响跟踪评价报告书》</w:t>
            </w:r>
            <w:r>
              <w:rPr>
                <w:rFonts w:hint="eastAsia"/>
                <w:b/>
                <w:bCs/>
                <w:color w:val="auto"/>
                <w:kern w:val="0"/>
                <w:sz w:val="24"/>
                <w:lang w:eastAsia="zh-CN"/>
              </w:rPr>
              <w:t>及其审查意见的符合性分析</w:t>
            </w:r>
          </w:p>
          <w:p>
            <w:pPr>
              <w:spacing w:line="360" w:lineRule="auto"/>
              <w:ind w:firstLine="480" w:firstLineChars="200"/>
              <w:rPr>
                <w:rFonts w:hint="eastAsia"/>
                <w:color w:val="auto"/>
                <w:kern w:val="0"/>
                <w:sz w:val="24"/>
                <w:lang w:eastAsia="zh-CN"/>
              </w:rPr>
            </w:pPr>
            <w:r>
              <w:rPr>
                <w:rFonts w:hint="eastAsia"/>
                <w:color w:val="auto"/>
                <w:kern w:val="0"/>
                <w:sz w:val="24"/>
                <w:lang w:eastAsia="zh-CN"/>
              </w:rPr>
              <w:t>根据</w:t>
            </w:r>
            <w:r>
              <w:rPr>
                <w:b w:val="0"/>
                <w:bCs w:val="0"/>
                <w:color w:val="auto"/>
                <w:kern w:val="0"/>
                <w:sz w:val="24"/>
              </w:rPr>
              <w:t>《重庆铜梁高新区铜梁片区及全蒲片区规划环境影响跟踪评价报告书》</w:t>
            </w:r>
            <w:r>
              <w:rPr>
                <w:rFonts w:hint="eastAsia"/>
                <w:b w:val="0"/>
                <w:bCs w:val="0"/>
                <w:color w:val="auto"/>
                <w:kern w:val="0"/>
                <w:sz w:val="24"/>
                <w:lang w:eastAsia="zh-CN"/>
              </w:rPr>
              <w:t>可知，</w:t>
            </w:r>
            <w:r>
              <w:rPr>
                <w:rFonts w:hint="eastAsia"/>
                <w:b w:val="0"/>
                <w:bCs w:val="0"/>
                <w:color w:val="auto"/>
                <w:sz w:val="24"/>
              </w:rPr>
              <w:t>铜梁高新区</w:t>
            </w:r>
            <w:r>
              <w:rPr>
                <w:rFonts w:hint="eastAsia" w:cs="宋体"/>
                <w:color w:val="auto"/>
                <w:kern w:val="0"/>
                <w:sz w:val="24"/>
              </w:rPr>
              <w:t>市政基础设施</w:t>
            </w:r>
            <w:r>
              <w:rPr>
                <w:rFonts w:hint="eastAsia" w:cs="宋体"/>
                <w:color w:val="auto"/>
                <w:kern w:val="0"/>
                <w:sz w:val="24"/>
                <w:lang w:eastAsia="zh-CN"/>
              </w:rPr>
              <w:t>电力工程</w:t>
            </w:r>
            <w:r>
              <w:rPr>
                <w:rFonts w:hint="eastAsia" w:cs="宋体"/>
                <w:color w:val="auto"/>
                <w:kern w:val="0"/>
                <w:sz w:val="24"/>
              </w:rPr>
              <w:t>规划</w:t>
            </w:r>
            <w:r>
              <w:rPr>
                <w:rFonts w:hint="eastAsia" w:cs="宋体"/>
                <w:color w:val="auto"/>
                <w:kern w:val="0"/>
                <w:sz w:val="24"/>
                <w:lang w:eastAsia="zh-CN"/>
              </w:rPr>
              <w:t>包括</w:t>
            </w:r>
            <w:r>
              <w:rPr>
                <w:rFonts w:hint="eastAsia" w:hAnsi="宋体"/>
                <w:color w:val="auto"/>
                <w:sz w:val="24"/>
              </w:rPr>
              <w:t>新增一座工业园区变电站，</w:t>
            </w:r>
            <w:r>
              <w:rPr>
                <w:rFonts w:hint="eastAsia" w:hAnsi="宋体"/>
                <w:color w:val="auto"/>
                <w:sz w:val="24"/>
                <w:lang w:eastAsia="zh-CN"/>
              </w:rPr>
              <w:t>等压等级为</w:t>
            </w:r>
            <w:r>
              <w:rPr>
                <w:rFonts w:hint="eastAsia" w:hAnsi="宋体"/>
                <w:color w:val="auto"/>
                <w:sz w:val="24"/>
                <w:lang w:val="en-US" w:eastAsia="zh-CN"/>
              </w:rPr>
              <w:t>110kV</w:t>
            </w:r>
            <w:r>
              <w:rPr>
                <w:rFonts w:hint="eastAsia" w:hAnsi="宋体"/>
                <w:color w:val="auto"/>
                <w:sz w:val="24"/>
              </w:rPr>
              <w:t>。</w:t>
            </w:r>
            <w:r>
              <w:rPr>
                <w:rFonts w:hint="eastAsia" w:hAnsi="宋体"/>
                <w:color w:val="auto"/>
                <w:sz w:val="24"/>
                <w:lang w:eastAsia="zh-CN"/>
              </w:rPr>
              <w:t>本项目拟建淮阳变电站为规划工业园区变电站，符合入园要求。</w:t>
            </w:r>
          </w:p>
          <w:p>
            <w:pPr>
              <w:autoSpaceDE w:val="0"/>
              <w:autoSpaceDN w:val="0"/>
              <w:adjustRightInd w:val="0"/>
              <w:snapToGrid w:val="0"/>
              <w:spacing w:line="360" w:lineRule="auto"/>
              <w:ind w:firstLine="480" w:firstLineChars="200"/>
              <w:rPr>
                <w:color w:val="auto"/>
                <w:kern w:val="0"/>
                <w:sz w:val="24"/>
              </w:rPr>
            </w:pPr>
            <w:r>
              <w:rPr>
                <w:rFonts w:hint="eastAsia"/>
                <w:color w:val="auto"/>
                <w:kern w:val="0"/>
                <w:sz w:val="24"/>
                <w:lang w:eastAsia="zh-CN"/>
              </w:rPr>
              <w:t>本项目拟建</w:t>
            </w:r>
            <w:r>
              <w:rPr>
                <w:rFonts w:hint="eastAsia"/>
                <w:color w:val="auto"/>
                <w:kern w:val="0"/>
                <w:sz w:val="24"/>
                <w:lang w:val="en-US" w:eastAsia="zh-CN"/>
              </w:rPr>
              <w:t>110kV淮阳变电站及部分线路</w:t>
            </w:r>
            <w:r>
              <w:rPr>
                <w:color w:val="auto"/>
                <w:kern w:val="0"/>
                <w:sz w:val="24"/>
              </w:rPr>
              <w:t>位于重庆铜梁高新技术产业</w:t>
            </w:r>
            <w:r>
              <w:rPr>
                <w:rFonts w:hint="eastAsia"/>
                <w:color w:val="auto"/>
                <w:kern w:val="0"/>
                <w:sz w:val="24"/>
              </w:rPr>
              <w:t>园蒲吕片区</w:t>
            </w:r>
            <w:r>
              <w:rPr>
                <w:color w:val="auto"/>
                <w:kern w:val="0"/>
                <w:sz w:val="24"/>
              </w:rPr>
              <w:t>范围内，与《重庆铜梁高新区铜梁片区及全蒲片区规划环境影响跟踪评价报告书》相关内容对比分析如下：</w:t>
            </w:r>
          </w:p>
          <w:p>
            <w:pPr>
              <w:autoSpaceDE w:val="0"/>
              <w:autoSpaceDN w:val="0"/>
              <w:adjustRightInd w:val="0"/>
              <w:snapToGrid w:val="0"/>
              <w:spacing w:line="360" w:lineRule="auto"/>
              <w:jc w:val="center"/>
              <w:rPr>
                <w:b/>
                <w:bCs/>
                <w:color w:val="auto"/>
                <w:kern w:val="0"/>
                <w:sz w:val="24"/>
              </w:rPr>
            </w:pPr>
            <w:r>
              <w:rPr>
                <w:b/>
                <w:bCs/>
                <w:color w:val="auto"/>
                <w:kern w:val="0"/>
                <w:sz w:val="24"/>
              </w:rPr>
              <w:t>表1-1  拟建项目与规划环评符合性分析</w:t>
            </w:r>
          </w:p>
          <w:tbl>
            <w:tblPr>
              <w:tblStyle w:val="28"/>
              <w:tblW w:w="4999"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89"/>
              <w:gridCol w:w="983"/>
              <w:gridCol w:w="1215"/>
              <w:gridCol w:w="2252"/>
              <w:gridCol w:w="193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0" w:hRule="atLeast"/>
              </w:trPr>
              <w:tc>
                <w:tcPr>
                  <w:tcW w:w="550"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ind w:left="0" w:leftChars="0" w:right="0" w:rightChars="0"/>
                    <w:jc w:val="center"/>
                    <w:rPr>
                      <w:b/>
                      <w:bCs/>
                      <w:color w:val="auto"/>
                      <w:sz w:val="21"/>
                      <w:szCs w:val="21"/>
                    </w:rPr>
                  </w:pPr>
                  <w:r>
                    <w:rPr>
                      <w:b/>
                      <w:bCs/>
                      <w:color w:val="auto"/>
                      <w:sz w:val="21"/>
                      <w:szCs w:val="21"/>
                    </w:rPr>
                    <w:t>项目</w:t>
                  </w:r>
                </w:p>
              </w:tc>
              <w:tc>
                <w:tcPr>
                  <w:tcW w:w="3102" w:type="pct"/>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b/>
                      <w:bCs/>
                      <w:color w:val="auto"/>
                      <w:sz w:val="21"/>
                      <w:szCs w:val="21"/>
                    </w:rPr>
                  </w:pPr>
                  <w:r>
                    <w:rPr>
                      <w:b/>
                      <w:bCs/>
                      <w:color w:val="auto"/>
                      <w:sz w:val="21"/>
                      <w:szCs w:val="21"/>
                    </w:rPr>
                    <w:t>规划环评情况</w:t>
                  </w:r>
                </w:p>
              </w:tc>
              <w:tc>
                <w:tcPr>
                  <w:tcW w:w="13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b/>
                      <w:bCs/>
                      <w:color w:val="auto"/>
                      <w:sz w:val="21"/>
                      <w:szCs w:val="21"/>
                    </w:rPr>
                  </w:pPr>
                  <w:r>
                    <w:rPr>
                      <w:b/>
                      <w:bCs/>
                      <w:color w:val="auto"/>
                      <w:sz w:val="21"/>
                      <w:szCs w:val="21"/>
                    </w:rPr>
                    <w:t>本项目情况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275" w:hRule="atLeast"/>
              </w:trPr>
              <w:tc>
                <w:tcPr>
                  <w:tcW w:w="55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生态保护红线</w:t>
                  </w:r>
                </w:p>
              </w:tc>
              <w:tc>
                <w:tcPr>
                  <w:tcW w:w="3102" w:type="pct"/>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禁止开发区：包括饮用水水源保护区、自然保护区、自然文化遗产地、湿地公园、森林公园、风景名胜区、地质公园。其中，饮用水水源保护区包括一级保护区和二级保护区；自然保护区包括县级及以上自然保护区的核心区、缓冲区、实验区；自然文化遗产地、湿地公园、森林公园、风景名胜区、地质公园包括规划范围以内全部区域。 本次规划区域内不涉及生态保护红线划定范围。在园区开发建设过程中应加强生态保护，不得随意改变规划绿地用途</w:t>
                  </w:r>
                </w:p>
              </w:tc>
              <w:tc>
                <w:tcPr>
                  <w:tcW w:w="13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rFonts w:hint="eastAsia"/>
                      <w:color w:val="auto"/>
                      <w:sz w:val="21"/>
                      <w:szCs w:val="21"/>
                      <w:lang w:eastAsia="zh-CN"/>
                    </w:rPr>
                    <w:t>拟建变电站和部分线路</w:t>
                  </w:r>
                  <w:r>
                    <w:rPr>
                      <w:color w:val="auto"/>
                      <w:sz w:val="21"/>
                      <w:szCs w:val="21"/>
                    </w:rPr>
                    <w:t>位于铜梁高新</w:t>
                  </w:r>
                  <w:r>
                    <w:rPr>
                      <w:rFonts w:hint="eastAsia"/>
                      <w:color w:val="auto"/>
                      <w:sz w:val="21"/>
                      <w:szCs w:val="21"/>
                    </w:rPr>
                    <w:t>技术产业园蒲吕片区内，</w:t>
                  </w:r>
                  <w:r>
                    <w:rPr>
                      <w:rFonts w:hint="eastAsia"/>
                      <w:color w:val="auto"/>
                      <w:sz w:val="21"/>
                      <w:szCs w:val="21"/>
                      <w:lang w:eastAsia="zh-CN"/>
                    </w:rPr>
                    <w:t>其余线路位于农村区域，</w:t>
                  </w:r>
                  <w:r>
                    <w:rPr>
                      <w:color w:val="auto"/>
                      <w:sz w:val="21"/>
                      <w:szCs w:val="21"/>
                    </w:rPr>
                    <w:t>不</w:t>
                  </w:r>
                  <w:r>
                    <w:rPr>
                      <w:rFonts w:hint="eastAsia"/>
                      <w:color w:val="auto"/>
                      <w:sz w:val="21"/>
                      <w:szCs w:val="21"/>
                    </w:rPr>
                    <w:t>属于禁止开发区。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55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资源利用上限</w:t>
                  </w:r>
                </w:p>
              </w:tc>
              <w:tc>
                <w:tcPr>
                  <w:tcW w:w="3102" w:type="pct"/>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（1）水资源利用上限：园区水资源利用上限：用水总量上限973万m</w:t>
                  </w:r>
                  <w:r>
                    <w:rPr>
                      <w:color w:val="auto"/>
                      <w:sz w:val="21"/>
                      <w:szCs w:val="21"/>
                      <w:vertAlign w:val="superscript"/>
                    </w:rPr>
                    <w:t>3</w:t>
                  </w:r>
                  <w:r>
                    <w:rPr>
                      <w:color w:val="auto"/>
                      <w:sz w:val="21"/>
                      <w:szCs w:val="21"/>
                    </w:rPr>
                    <w:t>/a；工业用水量上限360万m</w:t>
                  </w:r>
                  <w:r>
                    <w:rPr>
                      <w:color w:val="auto"/>
                      <w:sz w:val="21"/>
                      <w:szCs w:val="21"/>
                      <w:vertAlign w:val="superscript"/>
                    </w:rPr>
                    <w:t>3</w:t>
                  </w:r>
                  <w:r>
                    <w:rPr>
                      <w:color w:val="auto"/>
                      <w:sz w:val="21"/>
                      <w:szCs w:val="21"/>
                    </w:rPr>
                    <w:t>/a。（2）园区土地资源利用上限：土地资源总上限22.3348km</w:t>
                  </w:r>
                  <w:r>
                    <w:rPr>
                      <w:color w:val="auto"/>
                      <w:sz w:val="21"/>
                      <w:szCs w:val="21"/>
                      <w:vertAlign w:val="superscript"/>
                    </w:rPr>
                    <w:t>2</w:t>
                  </w:r>
                  <w:r>
                    <w:rPr>
                      <w:color w:val="auto"/>
                      <w:sz w:val="21"/>
                      <w:szCs w:val="21"/>
                    </w:rPr>
                    <w:t>；建设用地总量上限21.3651km</w:t>
                  </w:r>
                  <w:r>
                    <w:rPr>
                      <w:color w:val="auto"/>
                      <w:sz w:val="21"/>
                      <w:szCs w:val="21"/>
                      <w:vertAlign w:val="superscript"/>
                    </w:rPr>
                    <w:t>2</w:t>
                  </w:r>
                  <w:r>
                    <w:rPr>
                      <w:color w:val="auto"/>
                      <w:sz w:val="21"/>
                      <w:szCs w:val="21"/>
                    </w:rPr>
                    <w:t>；工业用地总量上限12.95546km</w:t>
                  </w:r>
                  <w:r>
                    <w:rPr>
                      <w:color w:val="auto"/>
                      <w:sz w:val="21"/>
                      <w:szCs w:val="21"/>
                      <w:vertAlign w:val="superscript"/>
                    </w:rPr>
                    <w:t>2</w:t>
                  </w:r>
                  <w:r>
                    <w:rPr>
                      <w:color w:val="auto"/>
                      <w:sz w:val="21"/>
                      <w:szCs w:val="21"/>
                    </w:rPr>
                    <w:t>。</w:t>
                  </w:r>
                </w:p>
              </w:tc>
              <w:tc>
                <w:tcPr>
                  <w:tcW w:w="13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rFonts w:hint="eastAsia"/>
                      <w:color w:val="auto"/>
                      <w:sz w:val="21"/>
                      <w:szCs w:val="21"/>
                      <w:lang w:eastAsia="zh-CN"/>
                    </w:rPr>
                    <w:t>拟建变电站</w:t>
                  </w:r>
                  <w:r>
                    <w:rPr>
                      <w:rFonts w:hint="eastAsia"/>
                      <w:color w:val="auto"/>
                      <w:sz w:val="21"/>
                      <w:szCs w:val="21"/>
                    </w:rPr>
                    <w:t>运营期只有2人值守，</w:t>
                  </w:r>
                  <w:r>
                    <w:rPr>
                      <w:rFonts w:hint="eastAsia"/>
                      <w:color w:val="auto"/>
                      <w:sz w:val="21"/>
                      <w:szCs w:val="21"/>
                      <w:lang w:eastAsia="zh-CN"/>
                    </w:rPr>
                    <w:t>变电站用地属于规划供电用地</w:t>
                  </w:r>
                  <w:r>
                    <w:rPr>
                      <w:color w:val="auto"/>
                      <w:sz w:val="21"/>
                      <w:szCs w:val="21"/>
                    </w:rPr>
                    <w:t>，因此本项目不会受</w:t>
                  </w:r>
                  <w:r>
                    <w:rPr>
                      <w:rFonts w:hint="eastAsia"/>
                      <w:color w:val="auto"/>
                      <w:sz w:val="21"/>
                      <w:szCs w:val="21"/>
                    </w:rPr>
                    <w:t>水资源及</w:t>
                  </w:r>
                  <w:r>
                    <w:rPr>
                      <w:color w:val="auto"/>
                      <w:sz w:val="21"/>
                      <w:szCs w:val="21"/>
                    </w:rPr>
                    <w:t>土地资源利用上限约束。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133" w:hRule="atLeast"/>
              </w:trPr>
              <w:tc>
                <w:tcPr>
                  <w:tcW w:w="55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环境质量底限</w:t>
                  </w:r>
                </w:p>
              </w:tc>
              <w:tc>
                <w:tcPr>
                  <w:tcW w:w="3102" w:type="pct"/>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highlight w:val="none"/>
                    </w:rPr>
                  </w:pPr>
                  <w:r>
                    <w:rPr>
                      <w:color w:val="auto"/>
                      <w:sz w:val="21"/>
                      <w:szCs w:val="21"/>
                      <w:highlight w:val="none"/>
                    </w:rPr>
                    <w:t>（1）地表水环境质量底线 规划区淮远河、小安溪河断面水环境质量不恶化，并持续改善。完成整治后，淮远河满足《地表水环境质量标准》 (GB3838-2002)Ⅳ类水质标准，小安溪河水质满足Ⅲ类水质标准。 （2）大气环境质量底线 区域大气环境质量满足《环境空气质量标准》(GB3095-2012)二级标准。HCl、硫酸雾、铬酸雾、苯、二甲苯限值均满足原《工业企业设计卫生标准》（TJ36-79）中居住区大气有害物质最高容许浓度；甲苯参照执行前苏联质量标准；非甲烷总烃参照执行河北省地方标准《环境空气质量 非甲烷总烃限值》（DB13/1577-2012）中二级标准限值。（3）土壤 规划区土壤满足《土壤环境质量 建设用地土壤污染风险管控标准（试行）》（GB36600-2018）、《土壤环境质量 农用地土地污染风险管控标准（试行》（GB15618-2018）标准，底泥满足《农用污泥中污染物控制标准》GBGB 4284-84）标准。 （4）地下水 区域地下水质量满足《地下水质量标准》(GB/T14848-2017)中III类标准。 （5）规划区内交通干线两侧满足《声环境质量标准》（GB3096-2008）4a类标准，工业区3类标准，居民区及居住、商业、工业混杂区2类标准。</w:t>
                  </w:r>
                </w:p>
              </w:tc>
              <w:tc>
                <w:tcPr>
                  <w:tcW w:w="13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highlight w:val="none"/>
                    </w:rPr>
                  </w:pPr>
                  <w:r>
                    <w:rPr>
                      <w:color w:val="auto"/>
                      <w:sz w:val="21"/>
                      <w:szCs w:val="21"/>
                      <w:highlight w:val="none"/>
                    </w:rPr>
                    <w:t>（1）</w:t>
                  </w:r>
                  <w:r>
                    <w:rPr>
                      <w:rFonts w:hint="eastAsia"/>
                      <w:color w:val="auto"/>
                      <w:sz w:val="21"/>
                      <w:szCs w:val="21"/>
                      <w:highlight w:val="none"/>
                      <w:lang w:eastAsia="zh-CN"/>
                    </w:rPr>
                    <w:t>本项目</w:t>
                  </w:r>
                  <w:r>
                    <w:rPr>
                      <w:rFonts w:hint="eastAsia"/>
                      <w:color w:val="auto"/>
                      <w:sz w:val="21"/>
                      <w:szCs w:val="21"/>
                      <w:highlight w:val="none"/>
                    </w:rPr>
                    <w:t>所在</w:t>
                  </w:r>
                  <w:r>
                    <w:rPr>
                      <w:rFonts w:hint="eastAsia"/>
                      <w:color w:val="auto"/>
                      <w:sz w:val="21"/>
                      <w:szCs w:val="21"/>
                      <w:highlight w:val="none"/>
                      <w:lang w:eastAsia="zh-CN"/>
                    </w:rPr>
                    <w:t>淮远河</w:t>
                  </w:r>
                  <w:r>
                    <w:rPr>
                      <w:rFonts w:hint="eastAsia"/>
                      <w:color w:val="auto"/>
                      <w:sz w:val="21"/>
                      <w:szCs w:val="21"/>
                      <w:highlight w:val="none"/>
                    </w:rPr>
                    <w:t>段水环境质量满足标准要求</w:t>
                  </w:r>
                  <w:r>
                    <w:rPr>
                      <w:color w:val="auto"/>
                      <w:sz w:val="21"/>
                      <w:szCs w:val="21"/>
                      <w:highlight w:val="none"/>
                    </w:rPr>
                    <w:t>。（2）铜梁区区域内常规大气因子均能够满足《环境空气质量标准》（GB3095-2012）中二级标准。（3）</w:t>
                  </w:r>
                  <w:r>
                    <w:rPr>
                      <w:rFonts w:hint="eastAsia"/>
                      <w:color w:val="auto"/>
                      <w:sz w:val="21"/>
                      <w:szCs w:val="21"/>
                      <w:highlight w:val="none"/>
                      <w:lang w:eastAsia="zh-CN"/>
                    </w:rPr>
                    <w:t>拟建变电站</w:t>
                  </w:r>
                  <w:r>
                    <w:rPr>
                      <w:color w:val="auto"/>
                      <w:sz w:val="21"/>
                      <w:szCs w:val="21"/>
                      <w:highlight w:val="none"/>
                    </w:rPr>
                    <w:t>不涉及重金属污染物排放。</w:t>
                  </w:r>
                  <w:r>
                    <w:rPr>
                      <w:rFonts w:hint="eastAsia"/>
                      <w:color w:val="auto"/>
                      <w:sz w:val="21"/>
                      <w:szCs w:val="21"/>
                      <w:highlight w:val="none"/>
                      <w:lang w:eastAsia="zh-CN"/>
                    </w:rPr>
                    <w:t>拟建变电站</w:t>
                  </w:r>
                  <w:r>
                    <w:rPr>
                      <w:color w:val="auto"/>
                      <w:sz w:val="21"/>
                      <w:szCs w:val="21"/>
                      <w:highlight w:val="none"/>
                    </w:rPr>
                    <w:t>在严格落实环评提出的分区防渗要求条件下，项目不会对土壤和地下水造成污染。 （4）</w:t>
                  </w:r>
                  <w:r>
                    <w:rPr>
                      <w:rFonts w:hint="eastAsia"/>
                      <w:color w:val="auto"/>
                      <w:sz w:val="21"/>
                      <w:szCs w:val="21"/>
                      <w:highlight w:val="none"/>
                      <w:lang w:eastAsia="zh-CN"/>
                    </w:rPr>
                    <w:t>拟建项目满足</w:t>
                  </w:r>
                  <w:r>
                    <w:rPr>
                      <w:color w:val="auto"/>
                      <w:sz w:val="21"/>
                      <w:szCs w:val="21"/>
                      <w:highlight w:val="none"/>
                    </w:rPr>
                    <w:t>声环境质量标准》（GB3096-2008）</w:t>
                  </w:r>
                  <w:r>
                    <w:rPr>
                      <w:rFonts w:hint="eastAsia"/>
                      <w:color w:val="auto"/>
                      <w:sz w:val="21"/>
                      <w:szCs w:val="21"/>
                      <w:highlight w:val="none"/>
                      <w:lang w:eastAsia="zh-CN"/>
                    </w:rPr>
                    <w:t>中</w:t>
                  </w:r>
                  <w:r>
                    <w:rPr>
                      <w:rFonts w:hint="eastAsia"/>
                      <w:color w:val="auto"/>
                      <w:sz w:val="21"/>
                      <w:szCs w:val="21"/>
                      <w:highlight w:val="none"/>
                      <w:lang w:val="en-US" w:eastAsia="zh-CN"/>
                    </w:rPr>
                    <w:t>1类、</w:t>
                  </w:r>
                  <w:r>
                    <w:rPr>
                      <w:color w:val="auto"/>
                      <w:sz w:val="21"/>
                      <w:szCs w:val="21"/>
                      <w:highlight w:val="none"/>
                    </w:rPr>
                    <w:t>3类</w:t>
                  </w:r>
                  <w:r>
                    <w:rPr>
                      <w:rFonts w:hint="eastAsia"/>
                      <w:color w:val="auto"/>
                      <w:sz w:val="21"/>
                      <w:szCs w:val="21"/>
                      <w:highlight w:val="none"/>
                      <w:lang w:eastAsia="zh-CN"/>
                    </w:rPr>
                    <w:t>、</w:t>
                  </w:r>
                  <w:r>
                    <w:rPr>
                      <w:rFonts w:hint="eastAsia"/>
                      <w:color w:val="auto"/>
                      <w:sz w:val="21"/>
                      <w:szCs w:val="21"/>
                      <w:highlight w:val="none"/>
                      <w:lang w:val="en-US" w:eastAsia="zh-CN"/>
                    </w:rPr>
                    <w:t>4a类</w:t>
                  </w:r>
                  <w:r>
                    <w:rPr>
                      <w:color w:val="auto"/>
                      <w:sz w:val="21"/>
                      <w:szCs w:val="21"/>
                      <w:highlight w:val="none"/>
                    </w:rPr>
                    <w:t>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275" w:hRule="atLeast"/>
              </w:trPr>
              <w:tc>
                <w:tcPr>
                  <w:tcW w:w="550"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生态环境准入清单</w:t>
                  </w:r>
                </w:p>
              </w:tc>
              <w:tc>
                <w:tcPr>
                  <w:tcW w:w="3102" w:type="pct"/>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环境准入原则和条件： （1）准入原则 ①引进项目应符合国家产业政策和清洁生产要求、生产工艺和设备先进、自动化程度高、具有可靠先进的污染治理技术； ②发展产业集群，提高产品的关联度，发展系列产品，力求发挥各项目间的最佳协同效应； ③注意生产装置的规模效益，鼓励在规划区内建设具有国际竞争力的、符合规模经济的生产装置； ④根据资源环境承载力控制合理的发展规模，严格控制污染因子排放总量。 （2）准入条件 严格执行国家和地方产业政策要求以及各行业准入要求，同时与规划区主导产业定位无明显冲突。对规划区环境准入条件提出“三类”控制。禁止钢铁冶炼、重化工、造纸、印染等重污染行业入驻园区。禁止新建、扩建化学合成药类项目。工业园区禁止燃煤。电镀企业应进入表面处理园。</w:t>
                  </w:r>
                </w:p>
              </w:tc>
              <w:tc>
                <w:tcPr>
                  <w:tcW w:w="13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本项目</w:t>
                  </w:r>
                  <w:r>
                    <w:rPr>
                      <w:rFonts w:hint="eastAsia"/>
                      <w:color w:val="auto"/>
                      <w:sz w:val="21"/>
                      <w:szCs w:val="21"/>
                    </w:rPr>
                    <w:t>为输变电项目</w:t>
                  </w:r>
                  <w:r>
                    <w:rPr>
                      <w:color w:val="auto"/>
                      <w:sz w:val="21"/>
                      <w:szCs w:val="21"/>
                    </w:rPr>
                    <w:t>，不属于规划环评中禁止及限制准入的产业清单。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70" w:hRule="atLeast"/>
              </w:trPr>
              <w:tc>
                <w:tcPr>
                  <w:tcW w:w="5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68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分类</w:t>
                  </w:r>
                </w:p>
              </w:tc>
              <w:tc>
                <w:tcPr>
                  <w:tcW w:w="8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限制类</w:t>
                  </w:r>
                </w:p>
              </w:tc>
              <w:tc>
                <w:tcPr>
                  <w:tcW w:w="156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禁止类</w:t>
                  </w:r>
                </w:p>
              </w:tc>
              <w:tc>
                <w:tcPr>
                  <w:tcW w:w="13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10" w:hRule="atLeast"/>
              </w:trPr>
              <w:tc>
                <w:tcPr>
                  <w:tcW w:w="5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68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清洁生产标准</w:t>
                  </w:r>
                </w:p>
              </w:tc>
              <w:tc>
                <w:tcPr>
                  <w:tcW w:w="8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低于清洁生产国内先进水平</w:t>
                  </w:r>
                </w:p>
              </w:tc>
              <w:tc>
                <w:tcPr>
                  <w:tcW w:w="156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w:t>
                  </w:r>
                </w:p>
              </w:tc>
              <w:tc>
                <w:tcPr>
                  <w:tcW w:w="13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rFonts w:hint="eastAsia" w:eastAsia="宋体"/>
                      <w:color w:val="auto"/>
                      <w:sz w:val="21"/>
                      <w:szCs w:val="21"/>
                      <w:lang w:eastAsia="zh-CN"/>
                    </w:rPr>
                  </w:pPr>
                  <w:r>
                    <w:rPr>
                      <w:rFonts w:hint="eastAsia"/>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275" w:hRule="atLeast"/>
              </w:trPr>
              <w:tc>
                <w:tcPr>
                  <w:tcW w:w="5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685"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行业准入清单</w:t>
                  </w:r>
                </w:p>
              </w:tc>
              <w:tc>
                <w:tcPr>
                  <w:tcW w:w="8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w:t>
                  </w:r>
                </w:p>
              </w:tc>
              <w:tc>
                <w:tcPr>
                  <w:tcW w:w="156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禁止钢铁冶炼、重化工、造纸、印染等重污染行业入驻园区。禁止新建、扩建化学合成药类项目</w:t>
                  </w:r>
                </w:p>
              </w:tc>
              <w:tc>
                <w:tcPr>
                  <w:tcW w:w="13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本项目不属于禁止类项目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40" w:hRule="atLeast"/>
              </w:trPr>
              <w:tc>
                <w:tcPr>
                  <w:tcW w:w="5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68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8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w:t>
                  </w:r>
                </w:p>
              </w:tc>
              <w:tc>
                <w:tcPr>
                  <w:tcW w:w="156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园区距离中心城区及其主导风上风向20公里、其他方向5公里范围内和乡镇人民政府所在地及其周边3公里范围内，禁止新建燃煤电厂、水泥、钢铁冶炼等大气污染严重的项目</w:t>
                  </w:r>
                </w:p>
              </w:tc>
              <w:tc>
                <w:tcPr>
                  <w:tcW w:w="13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本项目不属于大气污染严重的项目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610" w:hRule="atLeast"/>
              </w:trPr>
              <w:tc>
                <w:tcPr>
                  <w:tcW w:w="5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685"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工艺、产品准入清单</w:t>
                  </w:r>
                </w:p>
              </w:tc>
              <w:tc>
                <w:tcPr>
                  <w:tcW w:w="8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高能耗、高耗水的工艺</w:t>
                  </w:r>
                </w:p>
              </w:tc>
              <w:tc>
                <w:tcPr>
                  <w:tcW w:w="156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《产业结构调整指导目录(2011年本)》(修订)、《部分工业行业淘汰落后生产工艺装备和产品指导目录（2010年本）》和《外商投资产业指导目录(2011年修订)》中所列淘汰类、禁止类项目。</w:t>
                  </w:r>
                </w:p>
              </w:tc>
              <w:tc>
                <w:tcPr>
                  <w:tcW w:w="13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本项目不属于淘汰类、禁止类项目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530" w:hRule="atLeast"/>
              </w:trPr>
              <w:tc>
                <w:tcPr>
                  <w:tcW w:w="5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68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8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除国防军工等特殊需要外，严格限制含铅电镀工艺</w:t>
                  </w:r>
                </w:p>
              </w:tc>
              <w:tc>
                <w:tcPr>
                  <w:tcW w:w="156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严格执行国家含氰电镀工艺方面的产业政策规定，禁止含有毒有害氰化物电镀工艺（氰化金钾电金及氰化亚金钾镀金）</w:t>
                  </w:r>
                </w:p>
              </w:tc>
              <w:tc>
                <w:tcPr>
                  <w:tcW w:w="13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本项目不涉及电镀工艺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10" w:hRule="atLeast"/>
              </w:trPr>
              <w:tc>
                <w:tcPr>
                  <w:tcW w:w="5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68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8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w:t>
                  </w:r>
                </w:p>
              </w:tc>
              <w:tc>
                <w:tcPr>
                  <w:tcW w:w="156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旧县水厂取水口位于规划区小安溪下游约6.8km，小安溪河沿岸一公里范围禁止建设排放重金属（铬、镉、汞、砷、铅等五类重金属）、剧毒物质和持久性有机污染物工艺。</w:t>
                  </w:r>
                </w:p>
              </w:tc>
              <w:tc>
                <w:tcPr>
                  <w:tcW w:w="13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本项目不涉及排放重金属（铬、镉、汞、砷、铅等五类重金属）、剧毒物质和持久性有机污染物工艺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25" w:hRule="atLeast"/>
              </w:trPr>
              <w:tc>
                <w:tcPr>
                  <w:tcW w:w="5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685"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其他</w:t>
                  </w:r>
                </w:p>
              </w:tc>
              <w:tc>
                <w:tcPr>
                  <w:tcW w:w="8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w:t>
                  </w:r>
                </w:p>
              </w:tc>
              <w:tc>
                <w:tcPr>
                  <w:tcW w:w="156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禁止引进使用煤为燃料的工业项目</w:t>
                  </w:r>
                </w:p>
              </w:tc>
              <w:tc>
                <w:tcPr>
                  <w:tcW w:w="13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本项目不使用煤作为燃料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10" w:hRule="atLeast"/>
              </w:trPr>
              <w:tc>
                <w:tcPr>
                  <w:tcW w:w="5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68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8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电镀企业应进入表面处理园</w:t>
                  </w:r>
                </w:p>
              </w:tc>
              <w:tc>
                <w:tcPr>
                  <w:tcW w:w="156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w:t>
                  </w:r>
                </w:p>
              </w:tc>
              <w:tc>
                <w:tcPr>
                  <w:tcW w:w="134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top"/>
                    <w:rPr>
                      <w:color w:val="auto"/>
                      <w:sz w:val="21"/>
                      <w:szCs w:val="21"/>
                    </w:rPr>
                  </w:pPr>
                  <w:r>
                    <w:rPr>
                      <w:color w:val="auto"/>
                      <w:sz w:val="21"/>
                      <w:szCs w:val="21"/>
                    </w:rPr>
                    <w:t>本项目不涉及电镀工艺</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textAlignment w:val="auto"/>
              <w:rPr>
                <w:color w:val="auto"/>
                <w:kern w:val="0"/>
                <w:sz w:val="24"/>
              </w:rPr>
            </w:pPr>
            <w:r>
              <w:rPr>
                <w:rFonts w:hint="eastAsia"/>
                <w:color w:val="auto"/>
                <w:kern w:val="0"/>
                <w:sz w:val="24"/>
                <w:lang w:eastAsia="zh-CN"/>
              </w:rPr>
              <w:t>本项目</w:t>
            </w:r>
            <w:r>
              <w:rPr>
                <w:color w:val="auto"/>
                <w:kern w:val="0"/>
                <w:sz w:val="24"/>
              </w:rPr>
              <w:t>与《重庆市生态环境局关于重庆铜梁高新区铜梁片区及全蒲片区规划环境影响跟踪评价报告书审查意见的函》（渝环函〔2019〕94号）相关内容对比分析如下：</w:t>
            </w:r>
          </w:p>
          <w:p>
            <w:pPr>
              <w:autoSpaceDE w:val="0"/>
              <w:autoSpaceDN w:val="0"/>
              <w:adjustRightInd w:val="0"/>
              <w:snapToGrid w:val="0"/>
              <w:spacing w:line="360" w:lineRule="auto"/>
              <w:jc w:val="center"/>
              <w:rPr>
                <w:b/>
                <w:bCs/>
                <w:color w:val="auto"/>
                <w:kern w:val="0"/>
                <w:sz w:val="24"/>
              </w:rPr>
            </w:pPr>
            <w:r>
              <w:rPr>
                <w:b/>
                <w:bCs/>
                <w:color w:val="auto"/>
                <w:kern w:val="0"/>
                <w:sz w:val="24"/>
              </w:rPr>
              <w:t>表1-2  与渝环函〔2019〕94号符合性分析</w:t>
            </w:r>
          </w:p>
          <w:tbl>
            <w:tblPr>
              <w:tblStyle w:val="28"/>
              <w:tblW w:w="69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3887"/>
              <w:gridCol w:w="1768"/>
              <w:gridCol w:w="7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color w:val="auto"/>
                      <w:sz w:val="21"/>
                      <w:szCs w:val="21"/>
                    </w:rPr>
                  </w:pPr>
                  <w:r>
                    <w:rPr>
                      <w:color w:val="auto"/>
                      <w:sz w:val="21"/>
                      <w:szCs w:val="21"/>
                    </w:rPr>
                    <w:t>序号</w:t>
                  </w:r>
                </w:p>
              </w:tc>
              <w:tc>
                <w:tcPr>
                  <w:tcW w:w="38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color w:val="auto"/>
                      <w:sz w:val="21"/>
                      <w:szCs w:val="21"/>
                    </w:rPr>
                  </w:pPr>
                  <w:r>
                    <w:rPr>
                      <w:color w:val="auto"/>
                      <w:sz w:val="21"/>
                      <w:szCs w:val="21"/>
                    </w:rPr>
                    <w:t>审查意见的函中相关要求</w:t>
                  </w:r>
                </w:p>
              </w:tc>
              <w:tc>
                <w:tcPr>
                  <w:tcW w:w="17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color w:val="auto"/>
                      <w:sz w:val="21"/>
                      <w:szCs w:val="21"/>
                    </w:rPr>
                  </w:pPr>
                  <w:r>
                    <w:rPr>
                      <w:color w:val="auto"/>
                      <w:sz w:val="21"/>
                      <w:szCs w:val="21"/>
                    </w:rPr>
                    <w:t>本项目情况</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color w:val="auto"/>
                      <w:sz w:val="21"/>
                      <w:szCs w:val="21"/>
                    </w:rPr>
                  </w:pPr>
                  <w:r>
                    <w:rPr>
                      <w:color w:val="auto"/>
                      <w:sz w:val="21"/>
                      <w:szCs w:val="21"/>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color w:val="auto"/>
                      <w:sz w:val="21"/>
                      <w:szCs w:val="21"/>
                    </w:rPr>
                  </w:pPr>
                  <w:r>
                    <w:rPr>
                      <w:color w:val="auto"/>
                      <w:sz w:val="21"/>
                      <w:szCs w:val="21"/>
                    </w:rPr>
                    <w:t>1</w:t>
                  </w:r>
                </w:p>
              </w:tc>
              <w:tc>
                <w:tcPr>
                  <w:tcW w:w="38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规划区应不断优化产业发展方向，按照报告书提出的“三线一单”管理要求，以资源利用上线、环境质量底线为约束，严格建设项目环境准入，入驻工业企业应满足《重庆市工业项目环境准入规定（修订）》《报告书》确定的环境准入清单要求，禁止发展印染、化学合成药类等重污染企业，限制引进食品发酵业等耗水量大、水污染物排放强度高的项目。</w:t>
                  </w:r>
                </w:p>
              </w:tc>
              <w:tc>
                <w:tcPr>
                  <w:tcW w:w="17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本项目满足《重庆市工业项目环境准入规定（修订）》，符合园区环境准入清单要求，不属于印染、化学合成药类等重污染企业，不属于食品发酵业等耗水量大、水污染物排放强度高的项目。</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5"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color w:val="auto"/>
                      <w:sz w:val="21"/>
                      <w:szCs w:val="21"/>
                    </w:rPr>
                  </w:pPr>
                  <w:r>
                    <w:rPr>
                      <w:color w:val="auto"/>
                      <w:sz w:val="21"/>
                      <w:szCs w:val="21"/>
                    </w:rPr>
                    <w:t>2</w:t>
                  </w:r>
                </w:p>
              </w:tc>
              <w:tc>
                <w:tcPr>
                  <w:tcW w:w="38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规划区内淮远河、小安溪等河流两岸以及拦河堰水库、生基嘴水库库岸应设置一定宽度的绿化缓冲带，绿化缓冲带要保持原有的状况和自然形态，原则上应为绿地，除护岸工程及必要的市政设施外，禁止修建任何建筑物和构筑物。规划区要优化区域内的工业景观设计和建设，调整不和谐的建筑因素，按国务院实现全域旅游景观的原则要求，逐步调整工业园区与城市的景观和谐、自然，达到园区工业景观的“产业美”目标。规划区后续涉及环境防护距离的工业企业或项目，应通过选址或调整布局严格控制环境防护距离。结合铜梁区工业发展规划，白土坝片区采取“腾笼换鸟”的方式，发展以物流、生产资料交易为主的生产性服务业，将片区内不符合产业规划、排污量大企业逐步迁出片区。</w:t>
                  </w:r>
                </w:p>
              </w:tc>
              <w:tc>
                <w:tcPr>
                  <w:tcW w:w="17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rFonts w:hint="eastAsia"/>
                      <w:color w:val="auto"/>
                      <w:sz w:val="21"/>
                      <w:szCs w:val="21"/>
                      <w:lang w:eastAsia="zh-CN"/>
                    </w:rPr>
                    <w:t>拟建变电站和部分线路</w:t>
                  </w:r>
                  <w:r>
                    <w:rPr>
                      <w:color w:val="auto"/>
                      <w:sz w:val="21"/>
                      <w:szCs w:val="21"/>
                    </w:rPr>
                    <w:t>位于铜梁高新</w:t>
                  </w:r>
                  <w:r>
                    <w:rPr>
                      <w:rFonts w:hint="eastAsia"/>
                      <w:color w:val="auto"/>
                      <w:sz w:val="21"/>
                      <w:szCs w:val="21"/>
                    </w:rPr>
                    <w:t>技术产业园蒲吕片区内，</w:t>
                  </w:r>
                  <w:r>
                    <w:rPr>
                      <w:rFonts w:hint="eastAsia"/>
                      <w:color w:val="auto"/>
                      <w:sz w:val="21"/>
                      <w:szCs w:val="21"/>
                      <w:lang w:eastAsia="zh-CN"/>
                    </w:rPr>
                    <w:t>其余线路位于农村区域，</w:t>
                  </w:r>
                  <w:r>
                    <w:rPr>
                      <w:color w:val="auto"/>
                      <w:sz w:val="21"/>
                      <w:szCs w:val="21"/>
                      <w:highlight w:val="none"/>
                    </w:rPr>
                    <w:t>不属于白土坝片区，符合园区规划</w:t>
                  </w:r>
                  <w:r>
                    <w:rPr>
                      <w:color w:val="auto"/>
                      <w:sz w:val="21"/>
                      <w:szCs w:val="21"/>
                    </w:rPr>
                    <w:t>。</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6"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color w:val="auto"/>
                      <w:sz w:val="21"/>
                      <w:szCs w:val="21"/>
                    </w:rPr>
                  </w:pPr>
                  <w:r>
                    <w:rPr>
                      <w:color w:val="auto"/>
                      <w:sz w:val="21"/>
                      <w:szCs w:val="21"/>
                    </w:rPr>
                    <w:t>3</w:t>
                  </w:r>
                </w:p>
              </w:tc>
              <w:tc>
                <w:tcPr>
                  <w:tcW w:w="38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严格环境准入。禁止燃煤，鼓励燃气锅炉采用低氮燃烧技术。加强现状企业大气污染治理和监管，各入驻企业采用清洁工艺，采取先进的污染防治措施，确保废气稳定达标排放。排放挥发性有机物的企业应符合《重庆市“十三五”挥发性有机物污染防治工作实施方案》等相关要求。合理布局，产生有毒有害气体、粉尘的项目尽量远离生活配套服务区等集中居住区，尽量降低企业达标扰民的影响。食品加工、生物医药等对环境要求较高企业布局应考虑周边企业污染排放，留足防护距离。</w:t>
                  </w:r>
                </w:p>
              </w:tc>
              <w:tc>
                <w:tcPr>
                  <w:tcW w:w="17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rFonts w:hint="eastAsia"/>
                      <w:color w:val="auto"/>
                      <w:sz w:val="21"/>
                      <w:szCs w:val="21"/>
                      <w:lang w:eastAsia="zh-CN"/>
                    </w:rPr>
                    <w:t>拟建变电站和部分线路</w:t>
                  </w:r>
                  <w:r>
                    <w:rPr>
                      <w:color w:val="auto"/>
                      <w:sz w:val="21"/>
                      <w:szCs w:val="21"/>
                    </w:rPr>
                    <w:t>位于铜梁高新</w:t>
                  </w:r>
                  <w:r>
                    <w:rPr>
                      <w:rFonts w:hint="eastAsia"/>
                      <w:color w:val="auto"/>
                      <w:sz w:val="21"/>
                      <w:szCs w:val="21"/>
                    </w:rPr>
                    <w:t>技术产业园蒲吕片区内，</w:t>
                  </w:r>
                  <w:r>
                    <w:rPr>
                      <w:rFonts w:hint="eastAsia"/>
                      <w:color w:val="auto"/>
                      <w:sz w:val="21"/>
                      <w:szCs w:val="21"/>
                      <w:lang w:eastAsia="zh-CN"/>
                    </w:rPr>
                    <w:t>其余线路位于农村区域，</w:t>
                  </w:r>
                  <w:r>
                    <w:rPr>
                      <w:color w:val="auto"/>
                      <w:sz w:val="21"/>
                      <w:szCs w:val="21"/>
                    </w:rPr>
                    <w:t>主要能耗为电能，不使用燃煤。排放的污染物物均经有效处理后达标排放，符合要求。</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color w:val="auto"/>
                      <w:sz w:val="21"/>
                      <w:szCs w:val="21"/>
                    </w:rPr>
                  </w:pPr>
                  <w:r>
                    <w:rPr>
                      <w:color w:val="auto"/>
                      <w:sz w:val="21"/>
                      <w:szCs w:val="21"/>
                    </w:rPr>
                    <w:t>4</w:t>
                  </w:r>
                </w:p>
              </w:tc>
              <w:tc>
                <w:tcPr>
                  <w:tcW w:w="38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淮远河、小安溪水环境容量有限</w:t>
                  </w:r>
                  <w:r>
                    <w:rPr>
                      <w:rFonts w:hint="eastAsia"/>
                      <w:color w:val="auto"/>
                      <w:sz w:val="21"/>
                      <w:szCs w:val="21"/>
                    </w:rPr>
                    <w:t>，</w:t>
                  </w:r>
                  <w:r>
                    <w:rPr>
                      <w:color w:val="auto"/>
                      <w:sz w:val="21"/>
                      <w:szCs w:val="21"/>
                    </w:rPr>
                    <w:t>规划实施必须采取严格的水污染防治措施，尽可能减小对区域地表水带来的不利影响。应根据《铜梁区小安溪流域水环境整治提升方案》(铜府办[2016]152号)《淮远河（含茨巴河）库综合治理工作方案》(铜河长办发[2017]32号)《铜梁区小安溪流域减排方案(2018-2020年)》(铜府[2018]134号)，进一步系统地开展淮远河、小安溪流域水污染环境综合整治工作，同时加快调整旧县街道水厂水源，保障饮用水安全。尽快实施铜梁污水处理厂和东城污水处理厂提标改造</w:t>
                  </w:r>
                  <w:r>
                    <w:rPr>
                      <w:rFonts w:hint="eastAsia"/>
                      <w:color w:val="auto"/>
                      <w:sz w:val="21"/>
                      <w:szCs w:val="21"/>
                    </w:rPr>
                    <w:t>，</w:t>
                  </w:r>
                  <w:r>
                    <w:rPr>
                      <w:color w:val="auto"/>
                      <w:sz w:val="21"/>
                      <w:szCs w:val="21"/>
                    </w:rPr>
                    <w:t>园区污水处理厂新建或改扩建时，应根据当期地表水环境容量确定尾水排放标准，至少达到《城镇污水处理厂污染物排放标准》(GB 18918-2002）中一级A标准，确保淮远河、小安溪水质满足水环境功能区划要求。</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采取源头控制为主的原则，落实分区、分级防渗措施</w:t>
                  </w:r>
                  <w:r>
                    <w:rPr>
                      <w:rFonts w:hint="eastAsia"/>
                      <w:color w:val="auto"/>
                      <w:sz w:val="21"/>
                      <w:szCs w:val="21"/>
                    </w:rPr>
                    <w:t>，</w:t>
                  </w:r>
                  <w:r>
                    <w:rPr>
                      <w:color w:val="auto"/>
                      <w:sz w:val="21"/>
                      <w:szCs w:val="21"/>
                    </w:rPr>
                    <w:t>防止规划实施对区域地下水环境的污染。按监测计划，园区应定期开展地下水跟踪监测工作，根据监测结论，督促相关企业完善相应的地下水污染防控措施。</w:t>
                  </w:r>
                </w:p>
              </w:tc>
              <w:tc>
                <w:tcPr>
                  <w:tcW w:w="17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eastAsia" w:eastAsia="宋体"/>
                      <w:color w:val="auto"/>
                      <w:sz w:val="21"/>
                      <w:szCs w:val="21"/>
                      <w:lang w:eastAsia="zh-CN"/>
                    </w:rPr>
                  </w:pPr>
                  <w:r>
                    <w:rPr>
                      <w:color w:val="auto"/>
                      <w:sz w:val="21"/>
                      <w:szCs w:val="21"/>
                    </w:rPr>
                    <w:t>本项目</w:t>
                  </w:r>
                  <w:r>
                    <w:rPr>
                      <w:rFonts w:hint="eastAsia"/>
                      <w:color w:val="auto"/>
                      <w:sz w:val="21"/>
                      <w:szCs w:val="21"/>
                      <w:lang w:eastAsia="zh-CN"/>
                    </w:rPr>
                    <w:t>拟建变电站近期</w:t>
                  </w:r>
                  <w:r>
                    <w:rPr>
                      <w:color w:val="auto"/>
                      <w:sz w:val="21"/>
                      <w:szCs w:val="21"/>
                    </w:rPr>
                    <w:t>生活污水通过</w:t>
                  </w:r>
                  <w:r>
                    <w:rPr>
                      <w:rFonts w:hint="eastAsia"/>
                      <w:color w:val="auto"/>
                      <w:sz w:val="21"/>
                      <w:szCs w:val="21"/>
                    </w:rPr>
                    <w:t>一体化污水处理设施</w:t>
                  </w:r>
                  <w:r>
                    <w:rPr>
                      <w:color w:val="auto"/>
                      <w:sz w:val="21"/>
                      <w:szCs w:val="21"/>
                    </w:rPr>
                    <w:t>处理</w:t>
                  </w:r>
                  <w:r>
                    <w:rPr>
                      <w:rFonts w:hint="eastAsia"/>
                      <w:color w:val="auto"/>
                      <w:sz w:val="21"/>
                      <w:szCs w:val="21"/>
                      <w:lang w:eastAsia="zh-CN"/>
                    </w:rPr>
                    <w:t>后用于绿化，不外排；远期经市政污水管网排入园区污水处理设施处理后排放。</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1"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color w:val="auto"/>
                      <w:sz w:val="21"/>
                      <w:szCs w:val="21"/>
                    </w:rPr>
                  </w:pPr>
                  <w:r>
                    <w:rPr>
                      <w:color w:val="auto"/>
                      <w:sz w:val="21"/>
                      <w:szCs w:val="21"/>
                    </w:rPr>
                    <w:t>5</w:t>
                  </w:r>
                </w:p>
              </w:tc>
              <w:tc>
                <w:tcPr>
                  <w:tcW w:w="38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color w:val="auto"/>
                      <w:sz w:val="21"/>
                      <w:szCs w:val="21"/>
                    </w:rPr>
                  </w:pPr>
                  <w:r>
                    <w:rPr>
                      <w:color w:val="auto"/>
                      <w:sz w:val="21"/>
                      <w:szCs w:val="21"/>
                    </w:rPr>
                    <w:t>合理布局企业噪声源，高噪声源企业选址和布局应满足相应的环境防护距离要求，尽量远离居住区；选择低噪声设备，采取消声、隔声、减震等措施，确保厂界噪声达标；合理布局、科学设定建筑物与交通干线的防噪声距离，严格落实规划区内交通主干道两侧的防护绿化带要求。</w:t>
                  </w:r>
                </w:p>
              </w:tc>
              <w:tc>
                <w:tcPr>
                  <w:tcW w:w="17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本项目</w:t>
                  </w:r>
                  <w:r>
                    <w:rPr>
                      <w:color w:val="auto"/>
                      <w:sz w:val="21"/>
                      <w:szCs w:val="21"/>
                      <w:highlight w:val="none"/>
                    </w:rPr>
                    <w:t>噪声采取隔声、减震等措施，</w:t>
                  </w:r>
                  <w:r>
                    <w:rPr>
                      <w:rFonts w:hint="eastAsia"/>
                      <w:color w:val="auto"/>
                      <w:sz w:val="21"/>
                      <w:szCs w:val="21"/>
                      <w:highlight w:val="none"/>
                      <w:lang w:eastAsia="zh-CN"/>
                    </w:rPr>
                    <w:t>变电站</w:t>
                  </w:r>
                  <w:r>
                    <w:rPr>
                      <w:color w:val="auto"/>
                      <w:sz w:val="21"/>
                      <w:szCs w:val="21"/>
                      <w:highlight w:val="none"/>
                    </w:rPr>
                    <w:t>厂界噪声能达标。</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color w:val="auto"/>
                      <w:sz w:val="21"/>
                      <w:szCs w:val="21"/>
                    </w:rPr>
                  </w:pPr>
                  <w:r>
                    <w:rPr>
                      <w:color w:val="auto"/>
                      <w:sz w:val="21"/>
                      <w:szCs w:val="21"/>
                    </w:rPr>
                    <w:t>6</w:t>
                  </w:r>
                </w:p>
              </w:tc>
              <w:tc>
                <w:tcPr>
                  <w:tcW w:w="38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固体废物应按相关要求进行妥善收集、处理。加强一般工业固体废物综合利用和处置；危险废物交有相应危险废物处理资质的单位进行处置；生活垃圾经收集后由环卫部门统一清运处置。严格执行土壤风险评估和污染土壤修复制度，对疑似污染地块开展调查评估，建立污染地块名录及其开发利用负面清单，土地开发利用必须满足规划用地土壤环境质量要求。</w:t>
                  </w:r>
                </w:p>
              </w:tc>
              <w:tc>
                <w:tcPr>
                  <w:tcW w:w="17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本项目</w:t>
                  </w:r>
                  <w:r>
                    <w:rPr>
                      <w:rFonts w:hint="eastAsia"/>
                      <w:color w:val="auto"/>
                      <w:sz w:val="21"/>
                      <w:szCs w:val="21"/>
                    </w:rPr>
                    <w:t>生活垃圾交环卫部门处理</w:t>
                  </w:r>
                  <w:r>
                    <w:rPr>
                      <w:color w:val="auto"/>
                      <w:sz w:val="21"/>
                      <w:szCs w:val="21"/>
                    </w:rPr>
                    <w:t>；危险废物收集后交由相应资质单位进行处置；本项目</w:t>
                  </w:r>
                  <w:r>
                    <w:rPr>
                      <w:rFonts w:hint="eastAsia"/>
                      <w:color w:val="auto"/>
                      <w:sz w:val="21"/>
                      <w:szCs w:val="21"/>
                    </w:rPr>
                    <w:t>为新建项目</w:t>
                  </w:r>
                  <w:r>
                    <w:rPr>
                      <w:color w:val="auto"/>
                      <w:sz w:val="21"/>
                      <w:szCs w:val="21"/>
                    </w:rPr>
                    <w:t>，不涉及土壤修复。</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0"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color w:val="auto"/>
                      <w:sz w:val="21"/>
                      <w:szCs w:val="21"/>
                    </w:rPr>
                  </w:pPr>
                  <w:r>
                    <w:rPr>
                      <w:color w:val="auto"/>
                      <w:sz w:val="21"/>
                      <w:szCs w:val="21"/>
                    </w:rPr>
                    <w:t>7</w:t>
                  </w:r>
                </w:p>
              </w:tc>
              <w:tc>
                <w:tcPr>
                  <w:tcW w:w="38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环境风险防范和应急处置是确保环境安全的重要工作内容，园区应在现有基础上完善环境风险防范体系建设，相关企业尤其是涉及危化品的企业应严格落实各项环境风险防范措施，防范突发性环境风险事故发生。完善环境污染事故应急预案，配备相应风险防范应急物资，定期做好应急演练，完善园区三级风险防范体系，保障环境安全</w:t>
                  </w:r>
                </w:p>
              </w:tc>
              <w:tc>
                <w:tcPr>
                  <w:tcW w:w="17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本项目按照相关要求，严格落实各项环境风险防范措施，设置风险防范应急物资。</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textAlignment w:val="auto"/>
                    <w:rPr>
                      <w:color w:val="auto"/>
                      <w:sz w:val="21"/>
                      <w:szCs w:val="21"/>
                    </w:rPr>
                  </w:pPr>
                  <w:r>
                    <w:rPr>
                      <w:color w:val="auto"/>
                      <w:sz w:val="21"/>
                      <w:szCs w:val="21"/>
                    </w:rPr>
                    <w:t>符合</w:t>
                  </w:r>
                </w:p>
              </w:tc>
            </w:tr>
          </w:tbl>
          <w:p>
            <w:pPr>
              <w:pStyle w:val="36"/>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82"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根据表1-1和表1-2可知，拟建项目为输变电工程，不属于“限制”、“禁止”清单，符合园区规划要求，项目与园区规划及批复要求不冲突。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492" w:hRule="atLeast"/>
          <w:jc w:val="center"/>
        </w:trPr>
        <w:tc>
          <w:tcPr>
            <w:tcW w:w="1717" w:type="dxa"/>
            <w:tcMar>
              <w:top w:w="16" w:type="dxa"/>
              <w:left w:w="16" w:type="dxa"/>
              <w:right w:w="16" w:type="dxa"/>
            </w:tcMar>
            <w:vAlign w:val="center"/>
          </w:tcPr>
          <w:p>
            <w:pPr>
              <w:autoSpaceDE w:val="0"/>
              <w:autoSpaceDN w:val="0"/>
              <w:adjustRightInd w:val="0"/>
              <w:snapToGrid w:val="0"/>
              <w:spacing w:line="360" w:lineRule="auto"/>
              <w:jc w:val="center"/>
              <w:rPr>
                <w:rFonts w:cs="宋体"/>
                <w:color w:val="auto"/>
                <w:kern w:val="0"/>
                <w:sz w:val="24"/>
                <w:highlight w:val="none"/>
              </w:rPr>
            </w:pPr>
            <w:bookmarkStart w:id="1" w:name="_Hlk56690880"/>
            <w:r>
              <w:rPr>
                <w:rFonts w:hint="eastAsia" w:cs="宋体"/>
                <w:color w:val="auto"/>
                <w:kern w:val="0"/>
                <w:sz w:val="24"/>
                <w:highlight w:val="none"/>
              </w:rPr>
              <w:t>其他符合性分析</w:t>
            </w:r>
            <w:bookmarkEnd w:id="1"/>
          </w:p>
        </w:tc>
        <w:tc>
          <w:tcPr>
            <w:tcW w:w="7204" w:type="dxa"/>
            <w:gridSpan w:val="3"/>
            <w:tcMar>
              <w:top w:w="16" w:type="dxa"/>
              <w:left w:w="16" w:type="dxa"/>
              <w:right w:w="16" w:type="dxa"/>
            </w:tcMar>
          </w:tcPr>
          <w:p>
            <w:pPr>
              <w:autoSpaceDE w:val="0"/>
              <w:autoSpaceDN w:val="0"/>
              <w:adjustRightInd w:val="0"/>
              <w:snapToGrid w:val="0"/>
              <w:spacing w:line="360" w:lineRule="auto"/>
              <w:rPr>
                <w:b/>
                <w:bCs/>
                <w:color w:val="auto"/>
                <w:kern w:val="0"/>
                <w:sz w:val="24"/>
                <w:highlight w:val="none"/>
              </w:rPr>
            </w:pPr>
            <w:r>
              <w:rPr>
                <w:rFonts w:hint="eastAsia"/>
                <w:b/>
                <w:bCs/>
                <w:color w:val="auto"/>
                <w:kern w:val="0"/>
                <w:sz w:val="24"/>
                <w:highlight w:val="none"/>
              </w:rPr>
              <w:t>1.</w:t>
            </w:r>
            <w:r>
              <w:rPr>
                <w:rFonts w:hint="eastAsia"/>
                <w:b/>
                <w:bCs/>
                <w:color w:val="auto"/>
                <w:kern w:val="0"/>
                <w:sz w:val="24"/>
                <w:highlight w:val="none"/>
                <w:lang w:val="en-US" w:eastAsia="zh-CN"/>
              </w:rPr>
              <w:t>3</w:t>
            </w:r>
            <w:r>
              <w:rPr>
                <w:b/>
                <w:bCs/>
                <w:color w:val="auto"/>
                <w:kern w:val="0"/>
                <w:sz w:val="24"/>
                <w:highlight w:val="none"/>
              </w:rPr>
              <w:t>与“三线一单”符合性分析</w:t>
            </w:r>
          </w:p>
          <w:p>
            <w:pPr>
              <w:spacing w:line="360" w:lineRule="auto"/>
              <w:ind w:firstLine="480" w:firstLineChars="200"/>
              <w:rPr>
                <w:rFonts w:hint="eastAsia"/>
                <w:color w:val="auto"/>
                <w:sz w:val="24"/>
                <w:highlight w:val="none"/>
              </w:rPr>
            </w:pPr>
            <w:r>
              <w:rPr>
                <w:rFonts w:hint="eastAsia"/>
                <w:color w:val="auto"/>
                <w:sz w:val="24"/>
                <w:highlight w:val="none"/>
              </w:rPr>
              <w:t>根据《重庆市生态环境局关于印发</w:t>
            </w:r>
            <w:r>
              <w:rPr>
                <w:color w:val="auto"/>
                <w:sz w:val="24"/>
                <w:highlight w:val="none"/>
              </w:rPr>
              <w:t>&lt;</w:t>
            </w:r>
            <w:r>
              <w:rPr>
                <w:rFonts w:hint="eastAsia"/>
                <w:color w:val="auto"/>
                <w:sz w:val="24"/>
                <w:highlight w:val="none"/>
              </w:rPr>
              <w:t>规划环评</w:t>
            </w:r>
            <w:r>
              <w:rPr>
                <w:color w:val="auto"/>
                <w:sz w:val="24"/>
                <w:highlight w:val="none"/>
              </w:rPr>
              <w:t>“</w:t>
            </w:r>
            <w:r>
              <w:rPr>
                <w:rFonts w:hint="eastAsia"/>
                <w:color w:val="auto"/>
                <w:sz w:val="24"/>
                <w:highlight w:val="none"/>
              </w:rPr>
              <w:t>三线一单</w:t>
            </w:r>
            <w:r>
              <w:rPr>
                <w:color w:val="auto"/>
                <w:sz w:val="24"/>
                <w:highlight w:val="none"/>
              </w:rPr>
              <w:t>”</w:t>
            </w:r>
            <w:r>
              <w:rPr>
                <w:rFonts w:hint="eastAsia"/>
                <w:color w:val="auto"/>
                <w:sz w:val="24"/>
                <w:highlight w:val="none"/>
              </w:rPr>
              <w:t>符合性分析技术要点（试行）</w:t>
            </w:r>
            <w:r>
              <w:rPr>
                <w:color w:val="auto"/>
                <w:sz w:val="24"/>
                <w:highlight w:val="none"/>
              </w:rPr>
              <w:t>&gt;&lt;</w:t>
            </w:r>
            <w:r>
              <w:rPr>
                <w:rFonts w:hint="eastAsia"/>
                <w:color w:val="auto"/>
                <w:sz w:val="24"/>
                <w:highlight w:val="none"/>
              </w:rPr>
              <w:t>建设项目环评</w:t>
            </w:r>
            <w:r>
              <w:rPr>
                <w:color w:val="auto"/>
                <w:sz w:val="24"/>
                <w:highlight w:val="none"/>
              </w:rPr>
              <w:t>“</w:t>
            </w:r>
            <w:r>
              <w:rPr>
                <w:rFonts w:hint="eastAsia"/>
                <w:color w:val="auto"/>
                <w:sz w:val="24"/>
                <w:highlight w:val="none"/>
              </w:rPr>
              <w:t>三线一单</w:t>
            </w:r>
            <w:r>
              <w:rPr>
                <w:color w:val="auto"/>
                <w:sz w:val="24"/>
                <w:highlight w:val="none"/>
              </w:rPr>
              <w:t>”</w:t>
            </w:r>
            <w:r>
              <w:rPr>
                <w:rFonts w:hint="eastAsia"/>
                <w:color w:val="auto"/>
                <w:sz w:val="24"/>
                <w:highlight w:val="none"/>
              </w:rPr>
              <w:t>符合性分析技术要点（试行）</w:t>
            </w:r>
            <w:r>
              <w:rPr>
                <w:color w:val="auto"/>
                <w:sz w:val="24"/>
                <w:highlight w:val="none"/>
              </w:rPr>
              <w:t>&gt;</w:t>
            </w:r>
            <w:r>
              <w:rPr>
                <w:rFonts w:hint="eastAsia"/>
                <w:color w:val="auto"/>
                <w:sz w:val="24"/>
                <w:highlight w:val="none"/>
              </w:rPr>
              <w:t>的通知》（渝环函〔</w:t>
            </w:r>
            <w:r>
              <w:rPr>
                <w:color w:val="auto"/>
                <w:sz w:val="24"/>
                <w:highlight w:val="none"/>
              </w:rPr>
              <w:t>2022</w:t>
            </w:r>
            <w:r>
              <w:rPr>
                <w:rFonts w:hint="eastAsia"/>
                <w:color w:val="auto"/>
                <w:sz w:val="24"/>
                <w:highlight w:val="none"/>
              </w:rPr>
              <w:t>〕</w:t>
            </w:r>
            <w:r>
              <w:rPr>
                <w:color w:val="auto"/>
                <w:sz w:val="24"/>
                <w:highlight w:val="none"/>
              </w:rPr>
              <w:t>397</w:t>
            </w:r>
            <w:r>
              <w:rPr>
                <w:rFonts w:hint="eastAsia"/>
                <w:color w:val="auto"/>
                <w:sz w:val="24"/>
                <w:highlight w:val="none"/>
              </w:rPr>
              <w:t>号）：如建设项目位于产业园区内，且产业园区规划环境影响评价中已经开展了园区规划与“三线一单”生态环境分区管控的符合性分析，则项目环评只需明确与产业园区位置关系，并分析与产业园区规划环评提出的生态环境管控要求的符合性。铁路、公路、长输管线等以生态影响为主的线性建设项目重点分析对优先保护单元的生态环境影响，可不开展重点管控单元、一般管控单元管控要求的符合性分析。</w:t>
            </w:r>
          </w:p>
          <w:p>
            <w:pPr>
              <w:spacing w:line="360" w:lineRule="auto"/>
              <w:ind w:firstLine="480" w:firstLineChars="200"/>
              <w:rPr>
                <w:rFonts w:hint="eastAsia"/>
                <w:color w:val="auto"/>
                <w:sz w:val="24"/>
                <w:highlight w:val="none"/>
              </w:rPr>
            </w:pPr>
            <w:r>
              <w:rPr>
                <w:rFonts w:hint="eastAsia"/>
                <w:color w:val="auto"/>
                <w:sz w:val="24"/>
                <w:highlight w:val="none"/>
              </w:rPr>
              <w:t>根据本项目《三线一单检测分析报告》，项目所在环境管控单元为：铜梁区重点管控单元-淮远河众志桥、铜梁区重点管控单元-小安溪段家塘两个重点管控单元，环境管控单元编码：ZH50015120002，ZH50015120001。</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olor w:val="auto"/>
                <w:sz w:val="24"/>
                <w:highlight w:val="none"/>
                <w:lang w:eastAsia="zh-CN"/>
              </w:rPr>
              <w:t>本项目线路不涉及</w:t>
            </w:r>
            <w:r>
              <w:rPr>
                <w:rFonts w:hint="eastAsia"/>
                <w:color w:val="auto"/>
                <w:sz w:val="24"/>
                <w:highlight w:val="none"/>
              </w:rPr>
              <w:t>优先保护单元和一般管控单元</w:t>
            </w:r>
            <w:r>
              <w:rPr>
                <w:rFonts w:hint="eastAsia"/>
                <w:color w:val="auto"/>
                <w:sz w:val="24"/>
                <w:highlight w:val="none"/>
                <w:lang w:eastAsia="zh-CN"/>
              </w:rPr>
              <w:t>，因此不开展线路“三线一单”符合性分析。拟新建变电站位于铜梁高新技术产业园蒲吕片区内，用地性质为规划供电用地，且该园区</w:t>
            </w:r>
            <w:r>
              <w:rPr>
                <w:rFonts w:hint="eastAsia"/>
                <w:color w:val="auto"/>
                <w:sz w:val="24"/>
                <w:highlight w:val="none"/>
              </w:rPr>
              <w:t>划环境影响评价中已经开展了园区规划与“</w:t>
            </w:r>
            <w:r>
              <w:rPr>
                <w:rFonts w:hint="eastAsia" w:ascii="Times New Roman" w:hAnsi="Times New Roman" w:eastAsia="宋体" w:cs="Times New Roman"/>
                <w:color w:val="auto"/>
                <w:sz w:val="24"/>
                <w:highlight w:val="none"/>
                <w:lang w:eastAsia="zh-CN"/>
              </w:rPr>
              <w:t>三线一单”生态环境分区管控的符合性分析，</w:t>
            </w:r>
            <w:r>
              <w:rPr>
                <w:rFonts w:hint="eastAsia" w:ascii="Times New Roman" w:hAnsi="Times New Roman" w:eastAsia="宋体" w:cs="Times New Roman"/>
                <w:color w:val="auto"/>
                <w:sz w:val="24"/>
                <w:highlight w:val="none"/>
                <w:lang w:val="en-US" w:eastAsia="zh-CN"/>
              </w:rPr>
              <w:t>根据表1-1和表1-2可知，拟建项目为输变电工程，不属于“限制”、“禁止”清单，符合园区规划要求，项目与园区规划及批复要求不冲突。</w:t>
            </w:r>
          </w:p>
          <w:p>
            <w:pPr>
              <w:spacing w:line="360" w:lineRule="auto"/>
              <w:ind w:firstLine="480" w:firstLineChars="200"/>
              <w:rPr>
                <w:rFonts w:hAnsi="Times New Roman"/>
                <w:color w:val="auto"/>
                <w:highlight w:val="none"/>
              </w:rPr>
            </w:pPr>
            <w:r>
              <w:rPr>
                <w:rFonts w:hint="eastAsia" w:ascii="Times New Roman" w:hAnsi="Times New Roman" w:eastAsia="宋体" w:cs="Times New Roman"/>
                <w:color w:val="auto"/>
                <w:sz w:val="24"/>
                <w:highlight w:val="none"/>
                <w:lang w:val="en-US" w:eastAsia="zh-CN"/>
              </w:rPr>
              <w:t>因此，</w:t>
            </w:r>
            <w:r>
              <w:rPr>
                <w:rFonts w:hint="eastAsia" w:ascii="Times New Roman" w:hAnsi="Times New Roman" w:eastAsia="宋体" w:cs="Times New Roman"/>
                <w:color w:val="auto"/>
                <w:sz w:val="24"/>
                <w:highlight w:val="none"/>
                <w:lang w:eastAsia="zh-CN"/>
              </w:rPr>
              <w:t>根据分析，本项目建设符合“三线一单”相关要求。</w:t>
            </w:r>
          </w:p>
          <w:p>
            <w:pPr>
              <w:pStyle w:val="4"/>
              <w:adjustRightInd w:val="0"/>
              <w:snapToGrid w:val="0"/>
              <w:spacing w:before="0" w:after="0" w:line="360" w:lineRule="auto"/>
              <w:rPr>
                <w:rFonts w:cs="宋体"/>
                <w:color w:val="auto"/>
                <w:kern w:val="0"/>
                <w:sz w:val="24"/>
                <w:szCs w:val="24"/>
                <w:highlight w:val="none"/>
              </w:rPr>
            </w:pPr>
            <w:r>
              <w:rPr>
                <w:rFonts w:hint="eastAsia"/>
                <w:color w:val="auto"/>
                <w:kern w:val="0"/>
                <w:sz w:val="24"/>
                <w:szCs w:val="24"/>
                <w:highlight w:val="none"/>
              </w:rPr>
              <w:t>1.</w:t>
            </w:r>
            <w:r>
              <w:rPr>
                <w:rFonts w:hint="eastAsia"/>
                <w:color w:val="auto"/>
                <w:kern w:val="0"/>
                <w:sz w:val="24"/>
                <w:szCs w:val="24"/>
                <w:highlight w:val="none"/>
                <w:lang w:val="en-US" w:eastAsia="zh-CN"/>
              </w:rPr>
              <w:t>4</w:t>
            </w:r>
            <w:r>
              <w:rPr>
                <w:rFonts w:hint="eastAsia"/>
                <w:color w:val="auto"/>
                <w:kern w:val="0"/>
                <w:sz w:val="24"/>
                <w:szCs w:val="24"/>
                <w:highlight w:val="none"/>
              </w:rPr>
              <w:t>产</w:t>
            </w:r>
            <w:r>
              <w:rPr>
                <w:rFonts w:cs="宋体"/>
                <w:color w:val="auto"/>
                <w:kern w:val="0"/>
                <w:sz w:val="24"/>
                <w:szCs w:val="24"/>
                <w:highlight w:val="none"/>
              </w:rPr>
              <w:t>业政策</w:t>
            </w:r>
            <w:r>
              <w:rPr>
                <w:rFonts w:hint="eastAsia" w:cs="宋体"/>
                <w:color w:val="auto"/>
                <w:kern w:val="0"/>
                <w:sz w:val="24"/>
                <w:szCs w:val="24"/>
                <w:highlight w:val="none"/>
              </w:rPr>
              <w:t>符合性分析</w:t>
            </w:r>
          </w:p>
          <w:p>
            <w:pPr>
              <w:pStyle w:val="6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Ansi="Times New Roman" w:cs="宋体"/>
                <w:color w:val="auto"/>
                <w:kern w:val="0"/>
                <w:szCs w:val="24"/>
                <w:highlight w:val="none"/>
              </w:rPr>
            </w:pPr>
            <w:r>
              <w:rPr>
                <w:rFonts w:hint="eastAsia" w:cs="宋体"/>
                <w:color w:val="auto"/>
                <w:kern w:val="0"/>
                <w:highlight w:val="none"/>
              </w:rPr>
              <w:t>本项目属于输变电项目，根据国家发展和改革委员会《产业</w:t>
            </w:r>
            <w:r>
              <w:rPr>
                <w:rFonts w:cs="宋体"/>
                <w:color w:val="auto"/>
                <w:kern w:val="0"/>
                <w:highlight w:val="none"/>
              </w:rPr>
              <w:t>结构调整指导目录（2019年本）》，该项目属于鼓励类“四、电力”中“10、</w:t>
            </w:r>
            <w:r>
              <w:rPr>
                <w:rFonts w:hint="eastAsia" w:cs="宋体"/>
                <w:color w:val="auto"/>
                <w:kern w:val="0"/>
                <w:highlight w:val="none"/>
              </w:rPr>
              <w:t>电网改造与建设，增量配电网建设”，故项目的建设符合国家的产业政策。</w:t>
            </w:r>
          </w:p>
        </w:tc>
      </w:tr>
    </w:tbl>
    <w:p>
      <w:pPr>
        <w:spacing w:line="360" w:lineRule="auto"/>
        <w:outlineLvl w:val="0"/>
        <w:rPr>
          <w:color w:val="auto"/>
          <w:sz w:val="30"/>
          <w:highlight w:val="yellow"/>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5"/>
        <w:jc w:val="center"/>
        <w:outlineLvl w:val="0"/>
        <w:rPr>
          <w:rFonts w:ascii="Times New Roman" w:hAnsi="Times New Roman"/>
          <w:snapToGrid w:val="0"/>
          <w:color w:val="auto"/>
          <w:sz w:val="30"/>
          <w:szCs w:val="30"/>
          <w:highlight w:val="yellow"/>
        </w:rPr>
      </w:pPr>
      <w:r>
        <w:rPr>
          <w:rFonts w:hint="eastAsia" w:ascii="Times New Roman" w:hAnsi="Times New Roman"/>
          <w:snapToGrid w:val="0"/>
          <w:color w:val="auto"/>
          <w:sz w:val="30"/>
          <w:szCs w:val="30"/>
          <w:highlight w:val="none"/>
        </w:rPr>
        <w:t>二、建设内容</w:t>
      </w:r>
    </w:p>
    <w:tbl>
      <w:tblPr>
        <w:tblStyle w:val="28"/>
        <w:tblW w:w="91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56" w:type="dxa"/>
            <w:vAlign w:val="center"/>
          </w:tcPr>
          <w:p>
            <w:pPr>
              <w:adjustRightInd w:val="0"/>
              <w:snapToGrid w:val="0"/>
              <w:jc w:val="center"/>
              <w:rPr>
                <w:rFonts w:cs="宋体"/>
                <w:color w:val="auto"/>
                <w:kern w:val="0"/>
                <w:sz w:val="24"/>
                <w:highlight w:val="none"/>
              </w:rPr>
            </w:pPr>
            <w:r>
              <w:rPr>
                <w:rFonts w:hint="eastAsia" w:cs="宋体"/>
                <w:color w:val="auto"/>
                <w:kern w:val="0"/>
                <w:sz w:val="24"/>
                <w:highlight w:val="none"/>
              </w:rPr>
              <w:t>地理位置</w:t>
            </w:r>
          </w:p>
        </w:tc>
        <w:tc>
          <w:tcPr>
            <w:tcW w:w="8646" w:type="dxa"/>
            <w:vAlign w:val="center"/>
          </w:tcPr>
          <w:p>
            <w:pPr>
              <w:adjustRightInd w:val="0"/>
              <w:snapToGrid w:val="0"/>
              <w:spacing w:line="360" w:lineRule="auto"/>
              <w:rPr>
                <w:b/>
                <w:bCs/>
                <w:color w:val="auto"/>
                <w:sz w:val="24"/>
                <w:highlight w:val="none"/>
              </w:rPr>
            </w:pPr>
            <w:r>
              <w:rPr>
                <w:rFonts w:hint="eastAsia"/>
                <w:b/>
                <w:bCs/>
                <w:color w:val="auto"/>
                <w:sz w:val="24"/>
                <w:highlight w:val="none"/>
              </w:rPr>
              <w:t>2.1地理位置</w:t>
            </w:r>
          </w:p>
          <w:p>
            <w:pPr>
              <w:adjustRightInd w:val="0"/>
              <w:snapToGrid w:val="0"/>
              <w:spacing w:line="360" w:lineRule="auto"/>
              <w:ind w:firstLine="480" w:firstLineChars="200"/>
              <w:rPr>
                <w:color w:val="auto"/>
                <w:sz w:val="24"/>
                <w:highlight w:val="yellow"/>
              </w:rPr>
            </w:pPr>
            <w:r>
              <w:rPr>
                <w:rFonts w:hint="eastAsia"/>
                <w:bCs/>
                <w:color w:val="auto"/>
                <w:sz w:val="24"/>
              </w:rPr>
              <w:t>本项目新建</w:t>
            </w:r>
            <w:r>
              <w:rPr>
                <w:rFonts w:hint="eastAsia"/>
                <w:bCs/>
                <w:color w:val="auto"/>
                <w:sz w:val="24"/>
                <w:lang w:eastAsia="zh-CN"/>
              </w:rPr>
              <w:t>110kV淮阳变电站</w:t>
            </w:r>
            <w:r>
              <w:rPr>
                <w:rFonts w:hint="eastAsia"/>
                <w:bCs/>
                <w:color w:val="auto"/>
                <w:sz w:val="24"/>
              </w:rPr>
              <w:t>位于</w:t>
            </w:r>
            <w:r>
              <w:rPr>
                <w:rFonts w:hint="eastAsia"/>
                <w:color w:val="auto"/>
                <w:sz w:val="24"/>
                <w:szCs w:val="24"/>
                <w:highlight w:val="none"/>
                <w:lang w:val="en-US" w:eastAsia="zh-CN"/>
              </w:rPr>
              <w:t>铜梁区蒲吕街道沙心村</w:t>
            </w:r>
            <w:r>
              <w:rPr>
                <w:rFonts w:hint="eastAsia"/>
                <w:bCs/>
                <w:color w:val="auto"/>
                <w:sz w:val="24"/>
                <w:lang w:eastAsia="zh-CN"/>
              </w:rPr>
              <w:t>；</w:t>
            </w:r>
            <w:r>
              <w:rPr>
                <w:rFonts w:hint="eastAsia"/>
                <w:bCs/>
                <w:color w:val="auto"/>
                <w:sz w:val="24"/>
              </w:rPr>
              <w:t>新建</w:t>
            </w:r>
            <w:r>
              <w:rPr>
                <w:rFonts w:hint="eastAsia"/>
                <w:color w:val="auto"/>
                <w:sz w:val="24"/>
                <w:highlight w:val="none"/>
                <w:lang w:val="en-US" w:eastAsia="zh-CN"/>
              </w:rPr>
              <w:t>220kV全德变电站至110kV淮阳变电站的双回线路起于</w:t>
            </w:r>
            <w:r>
              <w:rPr>
                <w:rFonts w:hint="eastAsia" w:ascii="Times New Roman" w:hAnsi="Times New Roman" w:eastAsia="宋体" w:cs="Times New Roman"/>
                <w:b w:val="0"/>
                <w:bCs w:val="0"/>
                <w:color w:val="auto"/>
                <w:sz w:val="24"/>
                <w:highlight w:val="none"/>
                <w:lang w:val="en-US" w:eastAsia="zh-CN"/>
              </w:rPr>
              <w:t>铜梁区</w:t>
            </w:r>
            <w:r>
              <w:rPr>
                <w:rFonts w:hint="eastAsia" w:cs="Times New Roman"/>
                <w:b w:val="0"/>
                <w:bCs w:val="0"/>
                <w:color w:val="auto"/>
                <w:sz w:val="24"/>
                <w:highlight w:val="none"/>
                <w:lang w:val="en-US" w:eastAsia="zh-CN"/>
              </w:rPr>
              <w:t>二坪镇红庙村</w:t>
            </w:r>
            <w:r>
              <w:rPr>
                <w:rFonts w:hint="eastAsia"/>
                <w:color w:val="auto"/>
                <w:sz w:val="24"/>
                <w:highlight w:val="none"/>
                <w:lang w:val="en-US" w:eastAsia="zh-CN"/>
              </w:rPr>
              <w:t>220kV全德变电站，途经东城街道、旧县街道，止于</w:t>
            </w:r>
            <w:r>
              <w:rPr>
                <w:rFonts w:hint="eastAsia"/>
                <w:color w:val="auto"/>
                <w:sz w:val="24"/>
                <w:szCs w:val="24"/>
                <w:highlight w:val="none"/>
                <w:lang w:val="en-US" w:eastAsia="zh-CN"/>
              </w:rPr>
              <w:t>蒲吕街道沙心村拟建</w:t>
            </w:r>
            <w:r>
              <w:rPr>
                <w:rFonts w:hint="eastAsia"/>
                <w:color w:val="auto"/>
                <w:sz w:val="24"/>
                <w:highlight w:val="none"/>
                <w:lang w:val="en-US" w:eastAsia="zh-CN"/>
              </w:rPr>
              <w:t>110kV淮阳变电站。</w:t>
            </w:r>
            <w:r>
              <w:rPr>
                <w:rFonts w:hint="eastAsia"/>
                <w:bCs/>
                <w:color w:val="auto"/>
                <w:sz w:val="24"/>
              </w:rPr>
              <w:t>项目地理位置见附图1。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pPr>
              <w:adjustRightInd w:val="0"/>
              <w:snapToGrid w:val="0"/>
              <w:jc w:val="center"/>
              <w:rPr>
                <w:rFonts w:cs="宋体"/>
                <w:color w:val="auto"/>
                <w:kern w:val="0"/>
                <w:sz w:val="24"/>
                <w:highlight w:val="none"/>
              </w:rPr>
            </w:pPr>
            <w:r>
              <w:rPr>
                <w:rFonts w:hint="eastAsia" w:cs="宋体"/>
                <w:color w:val="auto"/>
                <w:kern w:val="0"/>
                <w:sz w:val="24"/>
                <w:highlight w:val="none"/>
              </w:rPr>
              <w:t>项目组成及规模</w:t>
            </w:r>
          </w:p>
        </w:tc>
        <w:tc>
          <w:tcPr>
            <w:tcW w:w="8646" w:type="dxa"/>
            <w:vAlign w:val="center"/>
          </w:tcPr>
          <w:p>
            <w:pPr>
              <w:adjustRightInd w:val="0"/>
              <w:snapToGrid w:val="0"/>
              <w:spacing w:line="360" w:lineRule="auto"/>
              <w:rPr>
                <w:b/>
                <w:bCs/>
                <w:color w:val="auto"/>
                <w:sz w:val="24"/>
                <w:highlight w:val="none"/>
              </w:rPr>
            </w:pPr>
            <w:r>
              <w:rPr>
                <w:rFonts w:hint="eastAsia"/>
                <w:b/>
                <w:bCs/>
                <w:color w:val="auto"/>
                <w:sz w:val="24"/>
                <w:highlight w:val="none"/>
              </w:rPr>
              <w:t>2</w:t>
            </w:r>
            <w:r>
              <w:rPr>
                <w:b/>
                <w:bCs/>
                <w:color w:val="auto"/>
                <w:sz w:val="24"/>
                <w:highlight w:val="none"/>
              </w:rPr>
              <w:t>.2</w:t>
            </w:r>
            <w:r>
              <w:rPr>
                <w:rFonts w:hint="eastAsia"/>
                <w:b/>
                <w:bCs/>
                <w:color w:val="auto"/>
                <w:sz w:val="24"/>
                <w:highlight w:val="none"/>
              </w:rPr>
              <w:t>项目由来</w:t>
            </w:r>
          </w:p>
          <w:p>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为满足铜梁工业园东区网格及其东北部区域负荷增长</w:t>
            </w:r>
            <w:r>
              <w:rPr>
                <w:rFonts w:hint="eastAsia"/>
                <w:color w:val="auto"/>
                <w:sz w:val="24"/>
                <w:highlight w:val="none"/>
              </w:rPr>
              <w:t>的需要，</w:t>
            </w:r>
            <w:r>
              <w:rPr>
                <w:rFonts w:hint="eastAsia"/>
                <w:color w:val="auto"/>
                <w:sz w:val="24"/>
                <w:highlight w:val="none"/>
                <w:lang w:val="en-US" w:eastAsia="zh-CN"/>
              </w:rPr>
              <w:t>同时减轻周边云雾山110kV变电站供电压力，降低运行风险，国网重庆市电力公司铜梁供电分公司拟建“</w:t>
            </w:r>
            <w:r>
              <w:rPr>
                <w:rFonts w:hint="eastAsia"/>
                <w:bCs/>
                <w:color w:val="auto"/>
                <w:sz w:val="24"/>
                <w:highlight w:val="none"/>
                <w:lang w:eastAsia="zh-CN"/>
              </w:rPr>
              <w:t>铜梁淮阳110千伏输变电工程</w:t>
            </w:r>
            <w:r>
              <w:rPr>
                <w:rFonts w:hint="eastAsia"/>
                <w:color w:val="auto"/>
                <w:sz w:val="24"/>
                <w:highlight w:val="none"/>
                <w:lang w:val="en-US" w:eastAsia="zh-CN"/>
              </w:rPr>
              <w:t>”。</w:t>
            </w:r>
          </w:p>
          <w:p>
            <w:pPr>
              <w:adjustRightInd w:val="0"/>
              <w:snapToGrid w:val="0"/>
              <w:spacing w:line="360" w:lineRule="auto"/>
              <w:rPr>
                <w:b/>
                <w:bCs/>
                <w:color w:val="auto"/>
                <w:sz w:val="24"/>
                <w:highlight w:val="none"/>
              </w:rPr>
            </w:pPr>
            <w:r>
              <w:rPr>
                <w:rFonts w:hint="eastAsia"/>
                <w:b/>
                <w:bCs/>
                <w:color w:val="auto"/>
                <w:sz w:val="24"/>
                <w:highlight w:val="none"/>
              </w:rPr>
              <w:t>2</w:t>
            </w:r>
            <w:r>
              <w:rPr>
                <w:b/>
                <w:bCs/>
                <w:color w:val="auto"/>
                <w:sz w:val="24"/>
                <w:highlight w:val="none"/>
              </w:rPr>
              <w:t>.3</w:t>
            </w:r>
            <w:r>
              <w:rPr>
                <w:rFonts w:hint="eastAsia"/>
                <w:b/>
                <w:bCs/>
                <w:color w:val="auto"/>
                <w:sz w:val="24"/>
                <w:highlight w:val="none"/>
              </w:rPr>
              <w:t>项目概况</w:t>
            </w:r>
          </w:p>
          <w:p>
            <w:pPr>
              <w:spacing w:line="360" w:lineRule="auto"/>
              <w:ind w:firstLine="480"/>
              <w:rPr>
                <w:bCs/>
                <w:color w:val="auto"/>
                <w:sz w:val="24"/>
              </w:rPr>
            </w:pPr>
            <w:bookmarkStart w:id="2" w:name="_Hlk116379671"/>
            <w:bookmarkStart w:id="3" w:name="_Hlk112679036"/>
            <w:r>
              <w:rPr>
                <w:rFonts w:hint="eastAsia"/>
                <w:bCs/>
                <w:color w:val="auto"/>
                <w:sz w:val="24"/>
              </w:rPr>
              <w:t>（</w:t>
            </w:r>
            <w:r>
              <w:rPr>
                <w:bCs/>
                <w:color w:val="auto"/>
                <w:sz w:val="24"/>
              </w:rPr>
              <w:t>1</w:t>
            </w:r>
            <w:r>
              <w:rPr>
                <w:rFonts w:hint="eastAsia"/>
                <w:bCs/>
                <w:color w:val="auto"/>
                <w:sz w:val="24"/>
              </w:rPr>
              <w:t>）新建</w:t>
            </w:r>
            <w:r>
              <w:rPr>
                <w:rFonts w:hint="eastAsia"/>
                <w:bCs/>
                <w:color w:val="auto"/>
                <w:sz w:val="24"/>
                <w:lang w:eastAsia="zh-CN"/>
              </w:rPr>
              <w:t>110kV淮阳变电站</w:t>
            </w:r>
          </w:p>
          <w:p>
            <w:pPr>
              <w:spacing w:line="360" w:lineRule="auto"/>
              <w:ind w:firstLine="480" w:firstLineChars="200"/>
              <w:rPr>
                <w:rFonts w:hint="eastAsia"/>
                <w:color w:val="auto"/>
              </w:rPr>
            </w:pPr>
            <w:r>
              <w:rPr>
                <w:rFonts w:hint="eastAsia"/>
                <w:bCs/>
                <w:color w:val="auto"/>
                <w:sz w:val="24"/>
              </w:rPr>
              <w:t>拟在</w:t>
            </w:r>
            <w:r>
              <w:rPr>
                <w:rFonts w:hint="eastAsia"/>
                <w:bCs/>
                <w:color w:val="auto"/>
                <w:sz w:val="24"/>
                <w:lang w:eastAsia="zh-CN"/>
              </w:rPr>
              <w:t>铜梁区蒲吕街道沙心村</w:t>
            </w:r>
            <w:r>
              <w:rPr>
                <w:rFonts w:hint="eastAsia"/>
                <w:bCs/>
                <w:color w:val="auto"/>
                <w:sz w:val="24"/>
              </w:rPr>
              <w:t>新建一座</w:t>
            </w:r>
            <w:r>
              <w:rPr>
                <w:rFonts w:hint="eastAsia"/>
                <w:bCs/>
                <w:color w:val="auto"/>
                <w:sz w:val="24"/>
                <w:lang w:eastAsia="zh-CN"/>
              </w:rPr>
              <w:t>110kV淮阳变电站，</w:t>
            </w:r>
            <w:r>
              <w:rPr>
                <w:color w:val="auto"/>
                <w:sz w:val="24"/>
              </w:rPr>
              <w:t>征地面积约</w:t>
            </w:r>
            <w:r>
              <w:rPr>
                <w:rFonts w:hint="eastAsia"/>
                <w:color w:val="auto"/>
                <w:sz w:val="24"/>
                <w:lang w:val="en-US" w:eastAsia="zh-CN"/>
              </w:rPr>
              <w:t>7025</w:t>
            </w:r>
            <w:r>
              <w:rPr>
                <w:color w:val="auto"/>
                <w:sz w:val="24"/>
              </w:rPr>
              <w:t>m</w:t>
            </w:r>
            <w:r>
              <w:rPr>
                <w:color w:val="auto"/>
                <w:sz w:val="24"/>
                <w:vertAlign w:val="superscript"/>
              </w:rPr>
              <w:t>2</w:t>
            </w:r>
            <w:r>
              <w:rPr>
                <w:color w:val="auto"/>
                <w:sz w:val="24"/>
              </w:rPr>
              <w:t>，变电站围墙内占地面积约</w:t>
            </w:r>
            <w:r>
              <w:rPr>
                <w:rFonts w:hint="eastAsia"/>
                <w:color w:val="auto"/>
                <w:sz w:val="24"/>
                <w:lang w:val="en-US" w:eastAsia="zh-CN"/>
              </w:rPr>
              <w:t>4638</w:t>
            </w:r>
            <w:r>
              <w:rPr>
                <w:color w:val="auto"/>
                <w:sz w:val="24"/>
              </w:rPr>
              <w:t>m</w:t>
            </w:r>
            <w:r>
              <w:rPr>
                <w:color w:val="auto"/>
                <w:sz w:val="24"/>
                <w:vertAlign w:val="superscript"/>
              </w:rPr>
              <w:t>2</w:t>
            </w:r>
            <w:r>
              <w:rPr>
                <w:rFonts w:hint="eastAsia"/>
                <w:color w:val="auto"/>
                <w:sz w:val="24"/>
                <w:lang w:eastAsia="zh-CN"/>
              </w:rPr>
              <w:t>。</w:t>
            </w:r>
            <w:r>
              <w:rPr>
                <w:color w:val="auto"/>
                <w:sz w:val="24"/>
              </w:rPr>
              <w:t>建设主变容量终期为3×</w:t>
            </w:r>
            <w:r>
              <w:rPr>
                <w:rFonts w:hint="eastAsia"/>
                <w:color w:val="auto"/>
                <w:sz w:val="24"/>
                <w:lang w:val="en-US" w:eastAsia="zh-CN"/>
              </w:rPr>
              <w:t>50</w:t>
            </w:r>
            <w:r>
              <w:rPr>
                <w:color w:val="auto"/>
                <w:sz w:val="24"/>
              </w:rPr>
              <w:t>MVA，本期为2×</w:t>
            </w:r>
            <w:r>
              <w:rPr>
                <w:rFonts w:hint="eastAsia"/>
                <w:color w:val="auto"/>
                <w:sz w:val="24"/>
                <w:lang w:val="en-US" w:eastAsia="zh-CN"/>
              </w:rPr>
              <w:t>50</w:t>
            </w:r>
            <w:r>
              <w:rPr>
                <w:color w:val="auto"/>
                <w:sz w:val="24"/>
              </w:rPr>
              <w:t>MVA，</w:t>
            </w:r>
            <w:r>
              <w:rPr>
                <w:bCs/>
                <w:color w:val="auto"/>
                <w:sz w:val="24"/>
              </w:rPr>
              <w:t>主变户外布置</w:t>
            </w:r>
            <w:r>
              <w:rPr>
                <w:rFonts w:hint="eastAsia"/>
                <w:bCs/>
                <w:color w:val="auto"/>
                <w:sz w:val="24"/>
                <w:lang w:eastAsia="zh-CN"/>
              </w:rPr>
              <w:t>。</w:t>
            </w:r>
            <w:r>
              <w:rPr>
                <w:color w:val="auto"/>
                <w:sz w:val="24"/>
              </w:rPr>
              <w:t>110kV出线终期</w:t>
            </w:r>
            <w:r>
              <w:rPr>
                <w:rFonts w:hint="eastAsia"/>
                <w:color w:val="auto"/>
                <w:sz w:val="24"/>
                <w:lang w:val="en-US" w:eastAsia="zh-CN"/>
              </w:rPr>
              <w:t>4</w:t>
            </w:r>
            <w:r>
              <w:rPr>
                <w:color w:val="auto"/>
                <w:sz w:val="24"/>
              </w:rPr>
              <w:t>回，本期</w:t>
            </w:r>
            <w:r>
              <w:rPr>
                <w:rFonts w:hint="eastAsia"/>
                <w:color w:val="auto"/>
                <w:sz w:val="24"/>
                <w:lang w:val="en-US" w:eastAsia="zh-CN"/>
              </w:rPr>
              <w:t>2</w:t>
            </w:r>
            <w:r>
              <w:rPr>
                <w:color w:val="auto"/>
                <w:sz w:val="24"/>
              </w:rPr>
              <w:t>回，采用双母线接线；10kV出线终期</w:t>
            </w:r>
            <w:r>
              <w:rPr>
                <w:rFonts w:hint="eastAsia"/>
                <w:color w:val="auto"/>
                <w:sz w:val="24"/>
                <w:lang w:val="en-US" w:eastAsia="zh-CN"/>
              </w:rPr>
              <w:t>36</w:t>
            </w:r>
            <w:r>
              <w:rPr>
                <w:color w:val="auto"/>
                <w:sz w:val="24"/>
              </w:rPr>
              <w:t>回，本期</w:t>
            </w:r>
            <w:r>
              <w:rPr>
                <w:rFonts w:hint="eastAsia"/>
                <w:color w:val="auto"/>
                <w:sz w:val="24"/>
                <w:lang w:val="en-US" w:eastAsia="zh-CN"/>
              </w:rPr>
              <w:t>24</w:t>
            </w:r>
            <w:r>
              <w:rPr>
                <w:color w:val="auto"/>
                <w:sz w:val="24"/>
              </w:rPr>
              <w:t>回，采用单母线分段接线。无功补偿装置终期</w:t>
            </w:r>
            <w:r>
              <w:rPr>
                <w:rFonts w:hint="eastAsia" w:ascii="Times New Roman" w:hAnsi="Times New Roman" w:eastAsia="宋体" w:cs="Times New Roman"/>
                <w:color w:val="auto"/>
                <w:sz w:val="24"/>
                <w:szCs w:val="24"/>
                <w:highlight w:val="none"/>
              </w:rPr>
              <w:t>3×(</w:t>
            </w:r>
            <w:r>
              <w:rPr>
                <w:rFonts w:hint="eastAsia" w:ascii="Times New Roman" w:hAnsi="Times New Roman" w:eastAsia="宋体" w:cs="Times New Roman"/>
                <w:color w:val="auto"/>
                <w:sz w:val="24"/>
                <w:szCs w:val="24"/>
                <w:highlight w:val="none"/>
                <w:lang w:val="en-US" w:eastAsia="zh-CN"/>
              </w:rPr>
              <w:t>3600+4</w:t>
            </w:r>
            <w:r>
              <w:rPr>
                <w:rFonts w:hint="eastAsia" w:ascii="Times New Roman" w:hAnsi="Times New Roman" w:eastAsia="宋体" w:cs="Times New Roman"/>
                <w:color w:val="auto"/>
                <w:sz w:val="24"/>
                <w:szCs w:val="24"/>
                <w:highlight w:val="none"/>
              </w:rPr>
              <w:t>8</w:t>
            </w:r>
            <w:r>
              <w:rPr>
                <w:rFonts w:hint="eastAsia"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k</w:t>
            </w:r>
            <w:r>
              <w:rPr>
                <w:rFonts w:hint="eastAsia" w:ascii="Times New Roman" w:hAnsi="Times New Roman" w:eastAsia="宋体" w:cs="Times New Roman"/>
                <w:color w:val="auto"/>
                <w:sz w:val="24"/>
                <w:szCs w:val="24"/>
                <w:highlight w:val="none"/>
              </w:rPr>
              <w:t>var</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本期</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3600+4</w:t>
            </w:r>
            <w:r>
              <w:rPr>
                <w:rFonts w:hint="eastAsia" w:ascii="Times New Roman" w:hAnsi="Times New Roman" w:eastAsia="宋体" w:cs="Times New Roman"/>
                <w:color w:val="auto"/>
                <w:sz w:val="24"/>
                <w:szCs w:val="24"/>
                <w:highlight w:val="none"/>
              </w:rPr>
              <w:t>8</w:t>
            </w:r>
            <w:r>
              <w:rPr>
                <w:rFonts w:hint="eastAsia"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k</w:t>
            </w:r>
            <w:r>
              <w:rPr>
                <w:rFonts w:hint="eastAsia" w:ascii="Times New Roman" w:hAnsi="Times New Roman" w:eastAsia="宋体" w:cs="Times New Roman"/>
                <w:color w:val="auto"/>
                <w:sz w:val="24"/>
                <w:szCs w:val="24"/>
                <w:highlight w:val="none"/>
              </w:rPr>
              <w:t>var</w:t>
            </w:r>
            <w:r>
              <w:rPr>
                <w:bCs/>
                <w:color w:val="auto"/>
                <w:sz w:val="24"/>
              </w:rPr>
              <w:t>，110kV配电装置均采用户外GIS布置。</w:t>
            </w:r>
          </w:p>
          <w:p>
            <w:pPr>
              <w:spacing w:line="360" w:lineRule="auto"/>
              <w:ind w:firstLine="480" w:firstLineChars="200"/>
              <w:rPr>
                <w:bCs/>
                <w:color w:val="auto"/>
                <w:sz w:val="24"/>
              </w:rPr>
            </w:pPr>
            <w:r>
              <w:rPr>
                <w:rFonts w:hint="eastAsia"/>
                <w:bCs/>
                <w:color w:val="auto"/>
                <w:sz w:val="24"/>
              </w:rPr>
              <w:t>（</w:t>
            </w:r>
            <w:r>
              <w:rPr>
                <w:rFonts w:hint="eastAsia"/>
                <w:bCs/>
                <w:color w:val="auto"/>
                <w:sz w:val="24"/>
                <w:lang w:val="en-US" w:eastAsia="zh-CN"/>
              </w:rPr>
              <w:t>2</w:t>
            </w:r>
            <w:r>
              <w:rPr>
                <w:rFonts w:hint="eastAsia"/>
                <w:bCs/>
                <w:color w:val="auto"/>
                <w:sz w:val="24"/>
              </w:rPr>
              <w:t>）</w:t>
            </w:r>
            <w:r>
              <w:rPr>
                <w:rFonts w:hint="eastAsia" w:ascii="Times New Roman" w:hAnsi="Times New Roman" w:eastAsia="宋体" w:cs="Times New Roman"/>
                <w:color w:val="auto"/>
                <w:sz w:val="24"/>
                <w:szCs w:val="24"/>
                <w:highlight w:val="none"/>
              </w:rPr>
              <w:t>220kV变电站</w:t>
            </w:r>
            <w:r>
              <w:rPr>
                <w:rFonts w:hint="eastAsia" w:ascii="Times New Roman" w:hAnsi="Times New Roman" w:eastAsia="宋体" w:cs="Times New Roman"/>
                <w:color w:val="auto"/>
                <w:sz w:val="24"/>
                <w:szCs w:val="24"/>
                <w:highlight w:val="none"/>
                <w:lang w:val="en-US" w:eastAsia="zh-CN"/>
              </w:rPr>
              <w:t>110kV间隔扩建工程</w:t>
            </w:r>
          </w:p>
          <w:p>
            <w:pPr>
              <w:spacing w:line="360" w:lineRule="auto"/>
              <w:ind w:firstLine="480" w:firstLineChars="200"/>
              <w:rPr>
                <w:bCs/>
                <w:color w:val="auto"/>
                <w:sz w:val="24"/>
                <w:highlight w:val="none"/>
              </w:rPr>
            </w:pPr>
            <w:r>
              <w:rPr>
                <w:rFonts w:hint="eastAsia" w:ascii="Times New Roman" w:hAnsi="Times New Roman" w:eastAsia="宋体" w:cs="Times New Roman"/>
                <w:color w:val="auto"/>
                <w:sz w:val="24"/>
                <w:szCs w:val="24"/>
                <w:highlight w:val="none"/>
                <w:lang w:eastAsia="zh-CN"/>
              </w:rPr>
              <w:t>站内</w:t>
            </w:r>
            <w:r>
              <w:rPr>
                <w:rFonts w:hint="eastAsia" w:ascii="Times New Roman" w:hAnsi="Times New Roman" w:eastAsia="宋体" w:cs="Times New Roman"/>
                <w:color w:val="auto"/>
                <w:sz w:val="24"/>
                <w:szCs w:val="24"/>
                <w:highlight w:val="none"/>
              </w:rPr>
              <w:t>扩建</w:t>
            </w:r>
            <w:r>
              <w:rPr>
                <w:rFonts w:hint="eastAsia" w:ascii="Times New Roman" w:hAnsi="Times New Roman" w:eastAsia="宋体" w:cs="Times New Roman"/>
                <w:color w:val="auto"/>
                <w:sz w:val="24"/>
                <w:szCs w:val="24"/>
                <w:highlight w:val="none"/>
                <w:lang w:eastAsia="zh-CN"/>
              </w:rPr>
              <w:t>220kV全德变电站</w:t>
            </w:r>
            <w:r>
              <w:rPr>
                <w:rFonts w:hint="eastAsia" w:ascii="Times New Roman" w:hAnsi="Times New Roman" w:eastAsia="宋体" w:cs="Times New Roman"/>
                <w:color w:val="auto"/>
                <w:sz w:val="24"/>
                <w:szCs w:val="24"/>
                <w:highlight w:val="none"/>
              </w:rPr>
              <w:t>110kV出线间隔2个</w:t>
            </w:r>
            <w:r>
              <w:rPr>
                <w:rFonts w:hint="eastAsia" w:cs="Times New Roman"/>
                <w:color w:val="auto"/>
                <w:sz w:val="24"/>
                <w:szCs w:val="24"/>
                <w:highlight w:val="none"/>
                <w:lang w:eastAsia="zh-CN"/>
              </w:rPr>
              <w:t>，</w:t>
            </w:r>
            <w:r>
              <w:rPr>
                <w:rFonts w:hint="eastAsia" w:ascii="Times New Roman" w:hAnsi="Times New Roman" w:eastAsia="宋体" w:cs="Times New Roman"/>
                <w:bCs/>
                <w:color w:val="auto"/>
                <w:sz w:val="24"/>
                <w:highlight w:val="none"/>
              </w:rPr>
              <w:t>采用光纤通信</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rPr>
              <w:t>完善相关一、二次设备</w:t>
            </w:r>
            <w:r>
              <w:rPr>
                <w:rFonts w:hint="eastAsia" w:ascii="Times New Roman" w:hAnsi="Times New Roman" w:eastAsia="宋体" w:cs="Times New Roman"/>
                <w:color w:val="auto"/>
                <w:sz w:val="24"/>
                <w:szCs w:val="24"/>
                <w:highlight w:val="none"/>
                <w:lang w:eastAsia="zh-CN"/>
              </w:rPr>
              <w:t>。</w:t>
            </w:r>
          </w:p>
          <w:p>
            <w:pPr>
              <w:spacing w:line="360" w:lineRule="auto"/>
              <w:ind w:firstLine="480" w:firstLineChars="200"/>
              <w:rPr>
                <w:bCs/>
                <w:color w:val="auto"/>
                <w:sz w:val="24"/>
              </w:rPr>
            </w:pPr>
            <w:r>
              <w:rPr>
                <w:rFonts w:hint="eastAsia"/>
                <w:bCs/>
                <w:color w:val="auto"/>
                <w:sz w:val="24"/>
              </w:rPr>
              <w:t>（</w:t>
            </w:r>
            <w:r>
              <w:rPr>
                <w:rFonts w:hint="eastAsia"/>
                <w:bCs/>
                <w:color w:val="auto"/>
                <w:sz w:val="24"/>
                <w:lang w:val="en-US" w:eastAsia="zh-CN"/>
              </w:rPr>
              <w:t>3</w:t>
            </w:r>
            <w:r>
              <w:rPr>
                <w:rFonts w:hint="eastAsia"/>
                <w:bCs/>
                <w:color w:val="auto"/>
                <w:sz w:val="24"/>
              </w:rPr>
              <w:t>）新建</w:t>
            </w:r>
            <w:r>
              <w:rPr>
                <w:rFonts w:hint="eastAsia"/>
                <w:color w:val="auto"/>
                <w:sz w:val="24"/>
                <w:highlight w:val="none"/>
                <w:lang w:val="en-US" w:eastAsia="zh-CN"/>
              </w:rPr>
              <w:t>110kV德淮南北线</w:t>
            </w:r>
          </w:p>
          <w:p>
            <w:pPr>
              <w:spacing w:line="360" w:lineRule="auto"/>
              <w:ind w:firstLine="480" w:firstLineChars="200"/>
              <w:rPr>
                <w:bCs/>
                <w:color w:val="auto"/>
                <w:sz w:val="24"/>
              </w:rPr>
            </w:pPr>
            <w:r>
              <w:rPr>
                <w:rFonts w:hint="eastAsia"/>
                <w:color w:val="auto"/>
                <w:sz w:val="24"/>
              </w:rPr>
              <w:t>新建线路</w:t>
            </w:r>
            <w:r>
              <w:rPr>
                <w:rFonts w:hint="eastAsia"/>
                <w:color w:val="auto"/>
                <w:sz w:val="24"/>
                <w:highlight w:val="none"/>
                <w:lang w:val="en-US" w:eastAsia="zh-CN"/>
              </w:rPr>
              <w:t>起于220kV全德变电站，止于110kV淮阳变电站</w:t>
            </w:r>
            <w:r>
              <w:rPr>
                <w:rFonts w:hint="eastAsia"/>
                <w:color w:val="auto"/>
                <w:sz w:val="24"/>
                <w:lang w:eastAsia="zh-CN"/>
              </w:rPr>
              <w:t>，为双回单分裂线路，采用单回、双回混合架空架设，新建线路长度2×4.1+0.3km</w:t>
            </w:r>
            <w:r>
              <w:rPr>
                <w:rFonts w:hint="eastAsia"/>
                <w:bCs/>
                <w:color w:val="auto"/>
                <w:sz w:val="24"/>
              </w:rPr>
              <w:t>；</w:t>
            </w:r>
            <w:r>
              <w:rPr>
                <w:rFonts w:hint="eastAsia" w:ascii="Times New Roman" w:hAnsi="Times New Roman" w:eastAsia="宋体" w:cs="Times New Roman"/>
                <w:color w:val="auto"/>
                <w:sz w:val="24"/>
                <w:lang w:eastAsia="zh-CN"/>
              </w:rPr>
              <w:t>其中双回段长2×4.1</w:t>
            </w:r>
            <w:r>
              <w:rPr>
                <w:rFonts w:hint="eastAsia" w:ascii="Times New Roman" w:hAnsi="Times New Roman" w:eastAsia="宋体" w:cs="Times New Roman"/>
                <w:color w:val="auto"/>
                <w:sz w:val="24"/>
                <w:lang w:val="en-US" w:eastAsia="zh-CN"/>
              </w:rPr>
              <w:t>km，新建双回铁塔17基；</w:t>
            </w:r>
            <w:r>
              <w:rPr>
                <w:rFonts w:hint="eastAsia"/>
                <w:color w:val="auto"/>
                <w:sz w:val="24"/>
                <w:lang w:val="en-US" w:eastAsia="zh-CN"/>
              </w:rPr>
              <w:t>单回段折单长度为0.3km，新建单回铁塔2基</w:t>
            </w:r>
            <w:r>
              <w:rPr>
                <w:rFonts w:hint="eastAsia"/>
                <w:bCs/>
                <w:color w:val="auto"/>
                <w:sz w:val="24"/>
                <w:lang w:eastAsia="zh-CN"/>
              </w:rPr>
              <w:t>，导线型号均为JL3/G1A-300/40型钢芯高导电率铝绞线</w:t>
            </w:r>
            <w:r>
              <w:rPr>
                <w:rFonts w:hint="eastAsia"/>
                <w:bCs/>
                <w:color w:val="auto"/>
                <w:sz w:val="24"/>
              </w:rPr>
              <w:t>。</w:t>
            </w:r>
          </w:p>
          <w:p>
            <w:pPr>
              <w:pStyle w:val="35"/>
              <w:ind w:firstLine="482" w:firstLineChars="200"/>
              <w:rPr>
                <w:b/>
                <w:bCs/>
                <w:color w:val="auto"/>
                <w:sz w:val="24"/>
                <w:highlight w:val="none"/>
              </w:rPr>
            </w:pPr>
            <w:r>
              <w:rPr>
                <w:rFonts w:ascii="Times New Roman" w:hAnsi="Times New Roman" w:cs="Times New Roman"/>
                <w:b/>
                <w:bCs/>
                <w:color w:val="auto"/>
                <w:highlight w:val="none"/>
              </w:rPr>
              <w:t>本项目</w:t>
            </w:r>
            <w:r>
              <w:rPr>
                <w:rFonts w:hint="eastAsia" w:ascii="Times New Roman" w:hAnsi="Times New Roman" w:cs="Times New Roman"/>
                <w:b/>
                <w:bCs/>
                <w:color w:val="auto"/>
                <w:highlight w:val="none"/>
              </w:rPr>
              <w:t>110kV淮阳变电站</w:t>
            </w:r>
            <w:r>
              <w:rPr>
                <w:rFonts w:ascii="Times New Roman" w:hAnsi="Times New Roman" w:cs="Times New Roman"/>
                <w:b/>
                <w:bCs/>
                <w:color w:val="auto"/>
                <w:highlight w:val="none"/>
              </w:rPr>
              <w:t>土建一次性建成（3#主变仅预留位置），本环评变电站及</w:t>
            </w:r>
            <w:r>
              <w:rPr>
                <w:rFonts w:hint="eastAsia" w:ascii="Times New Roman" w:hAnsi="Times New Roman" w:cs="Times New Roman"/>
                <w:b/>
                <w:bCs/>
                <w:color w:val="auto"/>
                <w:highlight w:val="none"/>
                <w:lang w:val="en-US" w:eastAsia="zh-CN"/>
              </w:rPr>
              <w:t>11</w:t>
            </w:r>
            <w:r>
              <w:rPr>
                <w:rFonts w:ascii="Times New Roman" w:hAnsi="Times New Roman" w:cs="Times New Roman"/>
                <w:b/>
                <w:bCs/>
                <w:color w:val="auto"/>
                <w:highlight w:val="none"/>
              </w:rPr>
              <w:t>0kV线路均按照本期评价。</w:t>
            </w:r>
            <w:bookmarkEnd w:id="2"/>
            <w:bookmarkEnd w:id="3"/>
          </w:p>
          <w:p>
            <w:pPr>
              <w:autoSpaceDE w:val="0"/>
              <w:adjustRightInd w:val="0"/>
              <w:snapToGrid w:val="0"/>
              <w:spacing w:line="360" w:lineRule="auto"/>
              <w:ind w:firstLine="480" w:firstLineChars="200"/>
              <w:rPr>
                <w:color w:val="auto"/>
                <w:sz w:val="24"/>
                <w:highlight w:val="none"/>
              </w:rPr>
            </w:pPr>
            <w:r>
              <w:rPr>
                <w:color w:val="auto"/>
                <w:sz w:val="24"/>
                <w:highlight w:val="none"/>
              </w:rPr>
              <w:t>工程组成一览表见表2-1。</w:t>
            </w:r>
          </w:p>
          <w:p>
            <w:pPr>
              <w:adjustRightInd w:val="0"/>
              <w:snapToGrid w:val="0"/>
              <w:jc w:val="center"/>
              <w:rPr>
                <w:b/>
                <w:bCs/>
                <w:color w:val="auto"/>
                <w:kern w:val="0"/>
                <w:sz w:val="24"/>
                <w:highlight w:val="none"/>
              </w:rPr>
            </w:pPr>
            <w:r>
              <w:rPr>
                <w:b/>
                <w:bCs/>
                <w:color w:val="auto"/>
                <w:kern w:val="0"/>
                <w:sz w:val="24"/>
                <w:highlight w:val="none"/>
              </w:rPr>
              <w:t>表2-1  工程组成一览表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7"/>
              <w:gridCol w:w="428"/>
              <w:gridCol w:w="1300"/>
              <w:gridCol w:w="62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8" w:hRule="atLeast"/>
                <w:tblHeader/>
                <w:jc w:val="center"/>
              </w:trPr>
              <w:tc>
                <w:tcPr>
                  <w:tcW w:w="1296" w:type="pct"/>
                  <w:gridSpan w:val="3"/>
                  <w:vAlign w:val="center"/>
                </w:tcPr>
                <w:p>
                  <w:pPr>
                    <w:adjustRightInd w:val="0"/>
                    <w:snapToGrid w:val="0"/>
                    <w:jc w:val="center"/>
                    <w:rPr>
                      <w:b/>
                      <w:bCs/>
                      <w:color w:val="auto"/>
                      <w:kern w:val="0"/>
                      <w:szCs w:val="21"/>
                    </w:rPr>
                  </w:pPr>
                  <w:r>
                    <w:rPr>
                      <w:rFonts w:hint="eastAsia"/>
                      <w:b/>
                      <w:bCs/>
                      <w:color w:val="auto"/>
                      <w:szCs w:val="21"/>
                    </w:rPr>
                    <w:t>工程名称</w:t>
                  </w:r>
                </w:p>
              </w:tc>
              <w:tc>
                <w:tcPr>
                  <w:tcW w:w="3703" w:type="pct"/>
                  <w:vAlign w:val="center"/>
                </w:tcPr>
                <w:p>
                  <w:pPr>
                    <w:adjustRightInd w:val="0"/>
                    <w:snapToGrid w:val="0"/>
                    <w:jc w:val="center"/>
                    <w:rPr>
                      <w:b/>
                      <w:bCs/>
                      <w:color w:val="auto"/>
                      <w:szCs w:val="21"/>
                    </w:rPr>
                  </w:pPr>
                  <w:r>
                    <w:rPr>
                      <w:rFonts w:hint="eastAsia"/>
                      <w:b/>
                      <w:bCs/>
                      <w:color w:val="auto"/>
                      <w:szCs w:val="21"/>
                    </w:rPr>
                    <w:t>工程规模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71" w:type="pct"/>
                  <w:vMerge w:val="restart"/>
                  <w:vAlign w:val="center"/>
                </w:tcPr>
                <w:p>
                  <w:pPr>
                    <w:adjustRightInd w:val="0"/>
                    <w:snapToGrid w:val="0"/>
                    <w:jc w:val="center"/>
                    <w:rPr>
                      <w:bCs/>
                      <w:color w:val="auto"/>
                      <w:szCs w:val="21"/>
                    </w:rPr>
                  </w:pPr>
                  <w:r>
                    <w:rPr>
                      <w:rFonts w:hint="eastAsia"/>
                      <w:bCs/>
                      <w:color w:val="auto"/>
                      <w:szCs w:val="21"/>
                    </w:rPr>
                    <w:t>主体工程</w:t>
                  </w:r>
                </w:p>
              </w:tc>
              <w:tc>
                <w:tcPr>
                  <w:tcW w:w="1024" w:type="pct"/>
                  <w:gridSpan w:val="2"/>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eastAsia="zh-CN"/>
                    </w:rPr>
                    <w:t>110kV淮阳变电站</w:t>
                  </w:r>
                </w:p>
              </w:tc>
              <w:tc>
                <w:tcPr>
                  <w:tcW w:w="3703" w:type="pct"/>
                  <w:vAlign w:val="center"/>
                </w:tcPr>
                <w:p>
                  <w:pPr>
                    <w:adjustRightInd w:val="0"/>
                    <w:snapToGrid w:val="0"/>
                    <w:rPr>
                      <w:rFonts w:hint="eastAsia" w:ascii="Times New Roman" w:hAnsi="Times New Roman" w:eastAsia="宋体" w:cs="Times New Roman"/>
                      <w:bCs/>
                      <w:color w:val="auto"/>
                      <w:spacing w:val="-6"/>
                      <w:kern w:val="2"/>
                      <w:sz w:val="21"/>
                      <w:szCs w:val="21"/>
                      <w:lang w:val="en-US" w:eastAsia="zh-CN" w:bidi="ar-SA"/>
                    </w:rPr>
                  </w:pPr>
                  <w:r>
                    <w:rPr>
                      <w:color w:val="auto"/>
                      <w:sz w:val="21"/>
                      <w:szCs w:val="21"/>
                    </w:rPr>
                    <w:t>征地面积约</w:t>
                  </w:r>
                  <w:r>
                    <w:rPr>
                      <w:rFonts w:hint="eastAsia"/>
                      <w:color w:val="auto"/>
                      <w:sz w:val="21"/>
                      <w:szCs w:val="21"/>
                      <w:lang w:val="en-US" w:eastAsia="zh-CN"/>
                    </w:rPr>
                    <w:t>7025</w:t>
                  </w:r>
                  <w:r>
                    <w:rPr>
                      <w:color w:val="auto"/>
                      <w:sz w:val="21"/>
                      <w:szCs w:val="21"/>
                    </w:rPr>
                    <w:t>m</w:t>
                  </w:r>
                  <w:r>
                    <w:rPr>
                      <w:color w:val="auto"/>
                      <w:sz w:val="21"/>
                      <w:szCs w:val="21"/>
                      <w:vertAlign w:val="superscript"/>
                    </w:rPr>
                    <w:t>2</w:t>
                  </w:r>
                  <w:r>
                    <w:rPr>
                      <w:color w:val="auto"/>
                      <w:sz w:val="21"/>
                      <w:szCs w:val="21"/>
                    </w:rPr>
                    <w:t>，变电站围墙内占地面积约</w:t>
                  </w:r>
                  <w:r>
                    <w:rPr>
                      <w:rFonts w:hint="eastAsia"/>
                      <w:color w:val="auto"/>
                      <w:sz w:val="21"/>
                      <w:szCs w:val="21"/>
                      <w:lang w:val="en-US" w:eastAsia="zh-CN"/>
                    </w:rPr>
                    <w:t>4638</w:t>
                  </w:r>
                  <w:r>
                    <w:rPr>
                      <w:color w:val="auto"/>
                      <w:sz w:val="21"/>
                      <w:szCs w:val="21"/>
                    </w:rPr>
                    <w:t>m</w:t>
                  </w:r>
                  <w:r>
                    <w:rPr>
                      <w:color w:val="auto"/>
                      <w:sz w:val="21"/>
                      <w:szCs w:val="21"/>
                      <w:vertAlign w:val="superscript"/>
                    </w:rPr>
                    <w:t>2</w:t>
                  </w:r>
                  <w:r>
                    <w:rPr>
                      <w:rFonts w:hint="eastAsia"/>
                      <w:color w:val="auto"/>
                      <w:sz w:val="21"/>
                      <w:szCs w:val="21"/>
                      <w:lang w:eastAsia="zh-CN"/>
                    </w:rPr>
                    <w:t>。</w:t>
                  </w:r>
                  <w:r>
                    <w:rPr>
                      <w:rFonts w:hint="eastAsia"/>
                      <w:bCs/>
                      <w:color w:val="auto"/>
                      <w:sz w:val="21"/>
                      <w:szCs w:val="21"/>
                    </w:rPr>
                    <w:t>主变本期规模：</w:t>
                  </w:r>
                  <w:r>
                    <w:rPr>
                      <w:rFonts w:hint="eastAsia"/>
                      <w:bCs/>
                      <w:color w:val="auto"/>
                      <w:sz w:val="21"/>
                      <w:szCs w:val="21"/>
                      <w:lang w:eastAsia="zh-CN"/>
                    </w:rPr>
                    <w:t>2×50MVA</w:t>
                  </w:r>
                  <w:r>
                    <w:rPr>
                      <w:rFonts w:hint="eastAsia"/>
                      <w:bCs/>
                      <w:color w:val="auto"/>
                      <w:sz w:val="21"/>
                      <w:szCs w:val="21"/>
                    </w:rPr>
                    <w:t>，电压等级110/10kV，采用三相三绕组油浸式自冷有载调压电力变压器</w:t>
                  </w:r>
                  <w:r>
                    <w:rPr>
                      <w:rFonts w:hint="eastAsia"/>
                      <w:bCs/>
                      <w:color w:val="auto"/>
                      <w:sz w:val="21"/>
                      <w:szCs w:val="21"/>
                      <w:lang w:eastAsia="zh-CN"/>
                    </w:rPr>
                    <w:t>，主变户外布置。</w:t>
                  </w:r>
                  <w:r>
                    <w:rPr>
                      <w:rFonts w:hint="default" w:ascii="Times New Roman" w:hAnsi="Times New Roman" w:cs="Times New Roman"/>
                      <w:bCs/>
                      <w:color w:val="auto"/>
                      <w:sz w:val="21"/>
                      <w:szCs w:val="21"/>
                      <w:lang w:val="en-US" w:eastAsia="zh-CN"/>
                    </w:rPr>
                    <w:t>本期两台主变为</w:t>
                  </w:r>
                  <w:r>
                    <w:rPr>
                      <w:rFonts w:hint="eastAsia" w:ascii="Times New Roman" w:hAnsi="Times New Roman" w:cs="Times New Roman"/>
                      <w:bCs/>
                      <w:color w:val="auto"/>
                      <w:sz w:val="21"/>
                      <w:szCs w:val="21"/>
                      <w:lang w:val="en-US" w:eastAsia="zh-CN"/>
                    </w:rPr>
                    <w:t>1</w:t>
                  </w:r>
                  <w:r>
                    <w:rPr>
                      <w:rFonts w:hint="default"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2</w:t>
                  </w:r>
                  <w:r>
                    <w:rPr>
                      <w:rFonts w:hint="default" w:ascii="Times New Roman" w:hAnsi="Times New Roman" w:cs="Times New Roman"/>
                      <w:bCs/>
                      <w:color w:val="auto"/>
                      <w:sz w:val="21"/>
                      <w:szCs w:val="21"/>
                      <w:lang w:val="en-US" w:eastAsia="zh-CN"/>
                    </w:rPr>
                    <w:t>#，预留</w:t>
                  </w:r>
                  <w:r>
                    <w:rPr>
                      <w:rFonts w:hint="eastAsia" w:ascii="Times New Roman" w:hAnsi="Times New Roman" w:cs="Times New Roman"/>
                      <w:bCs/>
                      <w:color w:val="auto"/>
                      <w:sz w:val="21"/>
                      <w:szCs w:val="21"/>
                      <w:lang w:val="en-US" w:eastAsia="zh-CN"/>
                    </w:rPr>
                    <w:t>3</w:t>
                  </w:r>
                  <w:r>
                    <w:rPr>
                      <w:rFonts w:hint="default" w:ascii="Times New Roman" w:hAnsi="Times New Roman" w:cs="Times New Roman"/>
                      <w:bCs/>
                      <w:color w:val="auto"/>
                      <w:sz w:val="21"/>
                      <w:szCs w:val="21"/>
                      <w:lang w:val="en-US" w:eastAsia="zh-CN"/>
                    </w:rPr>
                    <w:t>#主变。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1" w:hRule="atLeast"/>
                <w:jc w:val="center"/>
              </w:trPr>
              <w:tc>
                <w:tcPr>
                  <w:tcW w:w="271" w:type="pct"/>
                  <w:vMerge w:val="continue"/>
                  <w:vAlign w:val="center"/>
                </w:tcPr>
                <w:p>
                  <w:pPr>
                    <w:adjustRightInd w:val="0"/>
                    <w:snapToGrid w:val="0"/>
                    <w:jc w:val="center"/>
                    <w:rPr>
                      <w:bCs/>
                      <w:color w:val="auto"/>
                      <w:szCs w:val="21"/>
                    </w:rPr>
                  </w:pPr>
                </w:p>
              </w:tc>
              <w:tc>
                <w:tcPr>
                  <w:tcW w:w="1024" w:type="pct"/>
                  <w:gridSpan w:val="2"/>
                  <w:vAlign w:val="center"/>
                </w:tcPr>
                <w:p>
                  <w:pPr>
                    <w:jc w:val="center"/>
                    <w:rPr>
                      <w:rFonts w:ascii="Times New Roman" w:hAnsi="Times New Roman" w:eastAsia="宋体" w:cs="Times New Roman"/>
                      <w:color w:val="auto"/>
                      <w:kern w:val="2"/>
                      <w:sz w:val="21"/>
                      <w:szCs w:val="21"/>
                      <w:lang w:val="en-US" w:eastAsia="zh-CN" w:bidi="ar-SA"/>
                    </w:rPr>
                  </w:pPr>
                  <w:r>
                    <w:rPr>
                      <w:rFonts w:hint="eastAsia"/>
                      <w:bCs/>
                      <w:color w:val="auto"/>
                      <w:sz w:val="21"/>
                      <w:szCs w:val="21"/>
                      <w:lang w:eastAsia="zh-CN"/>
                    </w:rPr>
                    <w:t>110kV德淮南北线</w:t>
                  </w:r>
                </w:p>
              </w:tc>
              <w:tc>
                <w:tcPr>
                  <w:tcW w:w="3703" w:type="pct"/>
                  <w:vAlign w:val="center"/>
                </w:tcPr>
                <w:p>
                  <w:pPr>
                    <w:adjustRightInd w:val="0"/>
                    <w:snapToGrid w:val="0"/>
                    <w:rPr>
                      <w:rFonts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起于全德220kV变电站，止于淮阳110kV变电站</w:t>
                  </w:r>
                  <w:r>
                    <w:rPr>
                      <w:rFonts w:hint="eastAsia"/>
                      <w:bCs/>
                      <w:color w:val="auto"/>
                      <w:sz w:val="21"/>
                      <w:szCs w:val="21"/>
                      <w:lang w:eastAsia="zh-CN"/>
                    </w:rPr>
                    <w:t>，为双回单分裂线路，采用单回、双回混合架空架设，新建线路长度2×4.1+0.3km</w:t>
                  </w:r>
                  <w:r>
                    <w:rPr>
                      <w:rFonts w:hint="eastAsia"/>
                      <w:bCs/>
                      <w:color w:val="auto"/>
                      <w:sz w:val="21"/>
                      <w:szCs w:val="21"/>
                    </w:rPr>
                    <w:t>；</w:t>
                  </w:r>
                  <w:r>
                    <w:rPr>
                      <w:rFonts w:hint="eastAsia"/>
                      <w:bCs/>
                      <w:color w:val="auto"/>
                      <w:sz w:val="21"/>
                      <w:szCs w:val="21"/>
                      <w:lang w:eastAsia="zh-CN"/>
                    </w:rPr>
                    <w:t>新建铁塔19基，导线型号为JL3/G1A-300/40型钢芯高导电率铝绞线</w:t>
                  </w:r>
                  <w:r>
                    <w:rPr>
                      <w:rFonts w:hint="eastAsia"/>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7" w:hRule="atLeast"/>
                <w:jc w:val="center"/>
              </w:trPr>
              <w:tc>
                <w:tcPr>
                  <w:tcW w:w="271" w:type="pct"/>
                  <w:vMerge w:val="continue"/>
                  <w:vAlign w:val="center"/>
                </w:tcPr>
                <w:p>
                  <w:pPr>
                    <w:rPr>
                      <w:bCs/>
                      <w:color w:val="auto"/>
                      <w:szCs w:val="21"/>
                      <w:lang w:bidi="en-US"/>
                    </w:rPr>
                  </w:pPr>
                </w:p>
              </w:tc>
              <w:tc>
                <w:tcPr>
                  <w:tcW w:w="1024" w:type="pct"/>
                  <w:gridSpan w:val="2"/>
                  <w:vAlign w:val="center"/>
                </w:tcPr>
                <w:p>
                  <w:pP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eastAsia="zh-CN"/>
                    </w:rPr>
                    <w:t>220kV变电站110kV间隔扩建</w:t>
                  </w:r>
                </w:p>
              </w:tc>
              <w:tc>
                <w:tcPr>
                  <w:tcW w:w="3703" w:type="pct"/>
                  <w:vAlign w:val="center"/>
                </w:tcPr>
                <w:p>
                  <w:pPr>
                    <w:adjustRightInd w:val="0"/>
                    <w:snapToGrid w:val="0"/>
                    <w:rPr>
                      <w:rFonts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拟扩建220kV全德变电站原预留110kV 3#、4#间隔，并配置相关</w:t>
                  </w:r>
                  <w:r>
                    <w:rPr>
                      <w:rFonts w:hint="eastAsia"/>
                      <w:bCs/>
                      <w:color w:val="auto"/>
                      <w:sz w:val="21"/>
                      <w:szCs w:val="21"/>
                    </w:rPr>
                    <w:t>设备</w:t>
                  </w:r>
                  <w:r>
                    <w:rPr>
                      <w:rFonts w:hint="eastAsia"/>
                      <w:bCs/>
                      <w:color w:val="auto"/>
                      <w:sz w:val="21"/>
                      <w:szCs w:val="21"/>
                      <w:lang w:eastAsia="zh-CN"/>
                    </w:rPr>
                    <w:t>，采用架空出线</w:t>
                  </w:r>
                  <w:r>
                    <w:rPr>
                      <w:rFonts w:hint="eastAsia"/>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67" w:hRule="atLeast"/>
                <w:jc w:val="center"/>
              </w:trPr>
              <w:tc>
                <w:tcPr>
                  <w:tcW w:w="271" w:type="pct"/>
                  <w:vMerge w:val="restart"/>
                  <w:vAlign w:val="center"/>
                </w:tcPr>
                <w:p>
                  <w:pPr>
                    <w:adjustRightInd w:val="0"/>
                    <w:snapToGrid w:val="0"/>
                    <w:jc w:val="center"/>
                    <w:rPr>
                      <w:color w:val="auto"/>
                      <w:szCs w:val="21"/>
                      <w:lang w:eastAsia="en-US"/>
                    </w:rPr>
                  </w:pPr>
                  <w:r>
                    <w:rPr>
                      <w:rFonts w:hint="eastAsia"/>
                      <w:color w:val="auto"/>
                      <w:szCs w:val="21"/>
                    </w:rPr>
                    <w:t>辅助工程</w:t>
                  </w:r>
                </w:p>
              </w:tc>
              <w:tc>
                <w:tcPr>
                  <w:tcW w:w="254" w:type="pct"/>
                  <w:vMerge w:val="restart"/>
                  <w:tcBorders>
                    <w:right w:val="single" w:color="auto" w:sz="4" w:space="0"/>
                  </w:tcBorders>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淮阳变电站</w:t>
                  </w:r>
                </w:p>
              </w:tc>
              <w:tc>
                <w:tcPr>
                  <w:tcW w:w="770" w:type="pct"/>
                  <w:tcBorders>
                    <w:left w:val="single" w:color="auto" w:sz="4" w:space="0"/>
                  </w:tcBorders>
                  <w:vAlign w:val="center"/>
                </w:tcPr>
                <w:p>
                  <w:pPr>
                    <w:adjustRightInd w:val="0"/>
                    <w:snapToGrid w:val="0"/>
                    <w:jc w:val="center"/>
                    <w:rPr>
                      <w:color w:val="auto"/>
                      <w:szCs w:val="21"/>
                    </w:rPr>
                  </w:pPr>
                  <w:r>
                    <w:rPr>
                      <w:color w:val="auto"/>
                      <w:szCs w:val="21"/>
                    </w:rPr>
                    <w:t>110kV</w:t>
                  </w:r>
                  <w:r>
                    <w:rPr>
                      <w:rFonts w:hint="eastAsia"/>
                      <w:bCs/>
                      <w:color w:val="auto"/>
                      <w:szCs w:val="21"/>
                    </w:rPr>
                    <w:t>配电装置</w:t>
                  </w:r>
                </w:p>
              </w:tc>
              <w:tc>
                <w:tcPr>
                  <w:tcW w:w="3703" w:type="pct"/>
                  <w:vAlign w:val="center"/>
                </w:tcPr>
                <w:p>
                  <w:pPr>
                    <w:adjustRightInd w:val="0"/>
                    <w:snapToGrid w:val="0"/>
                    <w:rPr>
                      <w:rFonts w:ascii="Times New Roman" w:hAnsi="Times New Roman" w:eastAsia="宋体" w:cs="Times New Roman"/>
                      <w:bCs/>
                      <w:color w:val="auto"/>
                      <w:kern w:val="2"/>
                      <w:sz w:val="21"/>
                      <w:szCs w:val="21"/>
                      <w:lang w:val="en-US" w:eastAsia="zh-CN" w:bidi="ar-SA"/>
                    </w:rPr>
                  </w:pPr>
                  <w:r>
                    <w:rPr>
                      <w:rFonts w:hint="eastAsia"/>
                      <w:color w:val="auto"/>
                      <w:szCs w:val="21"/>
                    </w:rPr>
                    <w:t>户外</w:t>
                  </w:r>
                  <w:r>
                    <w:rPr>
                      <w:color w:val="auto"/>
                      <w:szCs w:val="21"/>
                    </w:rPr>
                    <w:t>GIS</w:t>
                  </w:r>
                  <w:r>
                    <w:rPr>
                      <w:rFonts w:hint="eastAsia"/>
                      <w:color w:val="auto"/>
                      <w:szCs w:val="21"/>
                    </w:rPr>
                    <w:t>布置，本期</w:t>
                  </w:r>
                  <w:r>
                    <w:rPr>
                      <w:rFonts w:hint="eastAsia"/>
                      <w:color w:val="auto"/>
                      <w:szCs w:val="21"/>
                      <w:lang w:val="en-US" w:eastAsia="zh-CN"/>
                    </w:rPr>
                    <w:t>2</w:t>
                  </w:r>
                  <w:r>
                    <w:rPr>
                      <w:rFonts w:hint="eastAsia"/>
                      <w:color w:val="auto"/>
                      <w:szCs w:val="21"/>
                    </w:rPr>
                    <w:t>回架空出线</w:t>
                  </w:r>
                  <w:r>
                    <w:rPr>
                      <w:rFonts w:hint="default" w:ascii="Times New Roman" w:hAnsi="Times New Roman" w:cs="Times New Roman"/>
                      <w:bCs/>
                      <w:color w:val="auto"/>
                      <w:szCs w:val="21"/>
                    </w:rPr>
                    <w:t>（至220kV</w:t>
                  </w:r>
                  <w:r>
                    <w:rPr>
                      <w:rFonts w:hint="eastAsia" w:ascii="Times New Roman" w:hAnsi="Times New Roman" w:cs="Times New Roman"/>
                      <w:bCs/>
                      <w:color w:val="auto"/>
                      <w:szCs w:val="21"/>
                      <w:lang w:eastAsia="zh-CN"/>
                    </w:rPr>
                    <w:t>全德变电站</w:t>
                  </w:r>
                  <w:r>
                    <w:rPr>
                      <w:rFonts w:hint="default" w:ascii="Times New Roman" w:hAnsi="Times New Roman" w:cs="Times New Roman"/>
                      <w:bCs/>
                      <w:color w:val="auto"/>
                      <w:szCs w:val="21"/>
                    </w:rPr>
                    <w:t>）</w:t>
                  </w:r>
                  <w:r>
                    <w:rPr>
                      <w:rFonts w:hint="eastAsia"/>
                      <w:color w:val="auto"/>
                      <w:szCs w:val="21"/>
                      <w:lang w:eastAsia="zh-CN"/>
                    </w:rPr>
                    <w:t>，</w:t>
                  </w:r>
                  <w:r>
                    <w:rPr>
                      <w:rFonts w:hint="eastAsia"/>
                      <w:color w:val="auto"/>
                      <w:szCs w:val="21"/>
                    </w:rPr>
                    <w:t>预留</w:t>
                  </w:r>
                  <w:r>
                    <w:rPr>
                      <w:rFonts w:hint="eastAsia"/>
                      <w:color w:val="auto"/>
                      <w:szCs w:val="21"/>
                      <w:lang w:val="en-US" w:eastAsia="zh-CN"/>
                    </w:rPr>
                    <w:t>2</w:t>
                  </w:r>
                  <w:r>
                    <w:rPr>
                      <w:rFonts w:hint="eastAsia"/>
                      <w:color w:val="auto"/>
                      <w:szCs w:val="21"/>
                    </w:rPr>
                    <w:t>回架空出线，主变压器采用架空进线方式。</w:t>
                  </w:r>
                  <w:r>
                    <w:rPr>
                      <w:color w:val="auto"/>
                      <w:szCs w:val="21"/>
                    </w:rPr>
                    <w:t>10kV</w:t>
                  </w:r>
                  <w:r>
                    <w:rPr>
                      <w:rFonts w:hint="eastAsia"/>
                      <w:color w:val="auto"/>
                      <w:szCs w:val="21"/>
                    </w:rPr>
                    <w:t>配电装置采用金属铠装移开式开关柜，户内</w:t>
                  </w:r>
                  <w:r>
                    <w:rPr>
                      <w:rFonts w:hint="eastAsia"/>
                      <w:color w:val="auto"/>
                      <w:szCs w:val="21"/>
                      <w:lang w:eastAsia="zh-CN"/>
                    </w:rPr>
                    <w:t>双</w:t>
                  </w:r>
                  <w:r>
                    <w:rPr>
                      <w:rFonts w:hint="eastAsia"/>
                      <w:color w:val="auto"/>
                      <w:szCs w:val="21"/>
                    </w:rPr>
                    <w:t>列布置。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271" w:type="pct"/>
                  <w:vMerge w:val="continue"/>
                  <w:vAlign w:val="center"/>
                </w:tcPr>
                <w:p>
                  <w:pPr>
                    <w:adjustRightInd w:val="0"/>
                    <w:snapToGrid w:val="0"/>
                    <w:jc w:val="center"/>
                    <w:rPr>
                      <w:color w:val="auto"/>
                      <w:szCs w:val="21"/>
                    </w:rPr>
                  </w:pPr>
                </w:p>
              </w:tc>
              <w:tc>
                <w:tcPr>
                  <w:tcW w:w="254" w:type="pct"/>
                  <w:vMerge w:val="continue"/>
                  <w:tcBorders>
                    <w:right w:val="single" w:color="auto" w:sz="4" w:space="0"/>
                  </w:tcBorders>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p>
              </w:tc>
              <w:tc>
                <w:tcPr>
                  <w:tcW w:w="770" w:type="pct"/>
                  <w:tcBorders>
                    <w:left w:val="single" w:color="auto" w:sz="4" w:space="0"/>
                  </w:tcBorders>
                  <w:vAlign w:val="center"/>
                </w:tcPr>
                <w:p>
                  <w:pPr>
                    <w:adjustRightInd w:val="0"/>
                    <w:snapToGrid w:val="0"/>
                    <w:jc w:val="center"/>
                    <w:rPr>
                      <w:rFonts w:hint="eastAsia"/>
                      <w:bCs/>
                      <w:color w:val="auto"/>
                      <w:szCs w:val="21"/>
                    </w:rPr>
                  </w:pPr>
                  <w:r>
                    <w:rPr>
                      <w:rFonts w:hint="eastAsia"/>
                      <w:bCs/>
                      <w:color w:val="auto"/>
                      <w:szCs w:val="21"/>
                    </w:rPr>
                    <w:t>电容器组</w:t>
                  </w:r>
                </w:p>
              </w:tc>
              <w:tc>
                <w:tcPr>
                  <w:tcW w:w="3703" w:type="pct"/>
                  <w:vAlign w:val="center"/>
                </w:tcPr>
                <w:p>
                  <w:pPr>
                    <w:adjustRightInd w:val="0"/>
                    <w:snapToGrid w:val="0"/>
                    <w:rPr>
                      <w:rFonts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Cs w:val="21"/>
                    </w:rPr>
                    <w:t>选用成套装置。本期工程每台主变</w:t>
                  </w:r>
                  <w:r>
                    <w:rPr>
                      <w:rFonts w:hint="eastAsia" w:ascii="Times New Roman" w:hAnsi="Times New Roman" w:eastAsia="宋体" w:cs="Times New Roman"/>
                      <w:color w:val="auto"/>
                      <w:szCs w:val="21"/>
                      <w:lang w:val="zh-CN" w:eastAsia="zh-CN"/>
                    </w:rPr>
                    <w:t>装设（3.6+4.8）MVar低压并联电容器</w:t>
                  </w:r>
                  <w:r>
                    <w:rPr>
                      <w:rFonts w:hint="eastAsia" w:cs="Times New Roman"/>
                      <w:color w:val="auto"/>
                      <w:szCs w:val="21"/>
                      <w:lang w:val="zh-CN" w:eastAsia="zh-CN"/>
                    </w:rPr>
                    <w:t>，</w:t>
                  </w:r>
                  <w:r>
                    <w:rPr>
                      <w:rFonts w:hint="eastAsia" w:ascii="Times New Roman" w:hAnsi="Times New Roman" w:eastAsia="宋体" w:cs="Times New Roman"/>
                      <w:color w:val="auto"/>
                      <w:szCs w:val="21"/>
                      <w:lang w:eastAsia="zh-CN"/>
                    </w:rPr>
                    <w:t>远期</w:t>
                  </w:r>
                  <w:r>
                    <w:rPr>
                      <w:rFonts w:hint="eastAsia" w:ascii="Times New Roman" w:hAnsi="Times New Roman" w:eastAsia="宋体" w:cs="Times New Roman"/>
                      <w:color w:val="auto"/>
                      <w:szCs w:val="21"/>
                      <w:lang w:val="en-US" w:eastAsia="zh-CN"/>
                    </w:rPr>
                    <w:t>3#</w:t>
                  </w:r>
                  <w:r>
                    <w:rPr>
                      <w:rFonts w:hint="eastAsia" w:ascii="Times New Roman" w:hAnsi="Times New Roman" w:eastAsia="宋体" w:cs="Times New Roman"/>
                      <w:color w:val="auto"/>
                      <w:szCs w:val="21"/>
                    </w:rPr>
                    <w:t>主变</w:t>
                  </w:r>
                  <w:r>
                    <w:rPr>
                      <w:rFonts w:hint="eastAsia" w:ascii="Times New Roman" w:hAnsi="Times New Roman" w:eastAsia="宋体" w:cs="Times New Roman"/>
                      <w:color w:val="auto"/>
                      <w:szCs w:val="21"/>
                      <w:lang w:val="zh-CN" w:eastAsia="zh-CN"/>
                    </w:rPr>
                    <w:t>装设（3.6+4.8）MVar低压并联电容器。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271" w:type="pct"/>
                  <w:vMerge w:val="continue"/>
                  <w:vAlign w:val="center"/>
                </w:tcPr>
                <w:p>
                  <w:pPr>
                    <w:adjustRightInd w:val="0"/>
                    <w:snapToGrid w:val="0"/>
                    <w:jc w:val="center"/>
                    <w:rPr>
                      <w:color w:val="auto"/>
                      <w:szCs w:val="21"/>
                    </w:rPr>
                  </w:pPr>
                </w:p>
              </w:tc>
              <w:tc>
                <w:tcPr>
                  <w:tcW w:w="254" w:type="pct"/>
                  <w:vMerge w:val="continue"/>
                  <w:tcBorders>
                    <w:right w:val="single" w:color="auto" w:sz="4" w:space="0"/>
                  </w:tcBorders>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p>
              </w:tc>
              <w:tc>
                <w:tcPr>
                  <w:tcW w:w="770" w:type="pct"/>
                  <w:tcBorders>
                    <w:left w:val="single" w:color="auto" w:sz="4" w:space="0"/>
                  </w:tcBorders>
                  <w:vAlign w:val="center"/>
                </w:tcPr>
                <w:p>
                  <w:pPr>
                    <w:adjustRightInd w:val="0"/>
                    <w:snapToGrid w:val="0"/>
                    <w:jc w:val="center"/>
                    <w:rPr>
                      <w:rFonts w:hint="eastAsia"/>
                      <w:bCs/>
                      <w:color w:val="auto"/>
                      <w:szCs w:val="21"/>
                      <w:lang w:val="en-US" w:eastAsia="zh-CN"/>
                    </w:rPr>
                  </w:pPr>
                  <w:r>
                    <w:rPr>
                      <w:rFonts w:hint="eastAsia"/>
                      <w:bCs/>
                      <w:color w:val="auto"/>
                      <w:szCs w:val="21"/>
                    </w:rPr>
                    <w:t>配电装置楼</w:t>
                  </w:r>
                </w:p>
              </w:tc>
              <w:tc>
                <w:tcPr>
                  <w:tcW w:w="3703" w:type="pct"/>
                  <w:vAlign w:val="center"/>
                </w:tcPr>
                <w:p>
                  <w:pPr>
                    <w:adjustRightInd w:val="0"/>
                    <w:snapToGrid w:val="0"/>
                    <w:rPr>
                      <w:rFonts w:ascii="Times New Roman" w:hAnsi="Times New Roman" w:eastAsia="宋体" w:cs="Times New Roman"/>
                      <w:bCs/>
                      <w:color w:val="auto"/>
                      <w:kern w:val="2"/>
                      <w:sz w:val="21"/>
                      <w:szCs w:val="21"/>
                      <w:lang w:val="en-US" w:eastAsia="zh-CN" w:bidi="ar-SA"/>
                    </w:rPr>
                  </w:pPr>
                  <w:r>
                    <w:rPr>
                      <w:rFonts w:hint="eastAsia"/>
                      <w:bCs/>
                      <w:color w:val="auto"/>
                      <w:szCs w:val="21"/>
                    </w:rPr>
                    <w:t>一层，位于变电站内</w:t>
                  </w:r>
                  <w:r>
                    <w:rPr>
                      <w:rFonts w:hint="eastAsia"/>
                      <w:bCs/>
                      <w:color w:val="auto"/>
                      <w:szCs w:val="21"/>
                      <w:lang w:eastAsia="zh-CN"/>
                    </w:rPr>
                    <w:t>西南</w:t>
                  </w:r>
                  <w:r>
                    <w:rPr>
                      <w:rFonts w:hint="eastAsia"/>
                      <w:bCs/>
                      <w:color w:val="auto"/>
                      <w:szCs w:val="21"/>
                    </w:rPr>
                    <w:t>侧，包括</w:t>
                  </w:r>
                  <w:r>
                    <w:rPr>
                      <w:color w:val="auto"/>
                    </w:rPr>
                    <w:t>10kV</w:t>
                  </w:r>
                  <w:r>
                    <w:rPr>
                      <w:rFonts w:hint="eastAsia"/>
                      <w:color w:val="auto"/>
                    </w:rPr>
                    <w:t>配电装置室、蓄电池室、工具间等，建筑面积约465.30</w:t>
                  </w:r>
                  <w:r>
                    <w:rPr>
                      <w:color w:val="auto"/>
                    </w:rPr>
                    <w:t>m</w:t>
                  </w:r>
                  <w:r>
                    <w:rPr>
                      <w:color w:val="auto"/>
                      <w:vertAlign w:val="superscript"/>
                    </w:rPr>
                    <w:t>2</w:t>
                  </w:r>
                  <w:r>
                    <w:rPr>
                      <w:rFonts w:hint="eastAsia"/>
                      <w:color w:val="auto"/>
                    </w:rPr>
                    <w:t>，单层</w:t>
                  </w:r>
                  <w:r>
                    <w:rPr>
                      <w:rFonts w:hint="eastAsia"/>
                      <w:color w:val="auto"/>
                      <w:lang w:eastAsia="zh-CN"/>
                    </w:rPr>
                    <w:t>钢</w:t>
                  </w:r>
                  <w:r>
                    <w:rPr>
                      <w:rFonts w:hint="eastAsia"/>
                      <w:color w:val="auto"/>
                    </w:rPr>
                    <w:t>结构，层高</w:t>
                  </w:r>
                  <w:r>
                    <w:rPr>
                      <w:rFonts w:hint="eastAsia"/>
                      <w:color w:val="auto"/>
                      <w:lang w:val="en-US" w:eastAsia="zh-CN"/>
                    </w:rPr>
                    <w:t>6.0</w:t>
                  </w:r>
                  <w:r>
                    <w:rPr>
                      <w:color w:val="auto"/>
                    </w:rPr>
                    <w:t>m</w:t>
                  </w:r>
                  <w:r>
                    <w:rPr>
                      <w:rFonts w:hint="eastAsia"/>
                      <w:color w:val="auto"/>
                    </w:rPr>
                    <w:t>。</w:t>
                  </w:r>
                  <w:r>
                    <w:rPr>
                      <w:bCs/>
                      <w:color w:val="auto"/>
                      <w:szCs w:val="21"/>
                    </w:rPr>
                    <w:t xml:space="preserve">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51" w:hRule="atLeast"/>
                <w:jc w:val="center"/>
              </w:trPr>
              <w:tc>
                <w:tcPr>
                  <w:tcW w:w="271" w:type="pct"/>
                  <w:vMerge w:val="continue"/>
                  <w:vAlign w:val="center"/>
                </w:tcPr>
                <w:p>
                  <w:pPr>
                    <w:adjustRightInd w:val="0"/>
                    <w:snapToGrid w:val="0"/>
                    <w:jc w:val="center"/>
                    <w:rPr>
                      <w:color w:val="auto"/>
                      <w:szCs w:val="21"/>
                    </w:rPr>
                  </w:pPr>
                </w:p>
              </w:tc>
              <w:tc>
                <w:tcPr>
                  <w:tcW w:w="254" w:type="pct"/>
                  <w:vMerge w:val="continue"/>
                  <w:tcBorders>
                    <w:right w:val="single" w:color="auto" w:sz="4" w:space="0"/>
                  </w:tcBorders>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p>
              </w:tc>
              <w:tc>
                <w:tcPr>
                  <w:tcW w:w="770" w:type="pct"/>
                  <w:tcBorders>
                    <w:left w:val="single" w:color="auto" w:sz="4" w:space="0"/>
                  </w:tcBorders>
                  <w:vAlign w:val="center"/>
                </w:tcPr>
                <w:p>
                  <w:pPr>
                    <w:adjustRightInd w:val="0"/>
                    <w:snapToGrid w:val="0"/>
                    <w:jc w:val="center"/>
                    <w:rPr>
                      <w:rFonts w:hint="eastAsia"/>
                      <w:color w:val="auto"/>
                      <w:szCs w:val="21"/>
                      <w:highlight w:val="none"/>
                    </w:rPr>
                  </w:pPr>
                  <w:r>
                    <w:rPr>
                      <w:rFonts w:hint="eastAsia"/>
                      <w:color w:val="auto"/>
                      <w:szCs w:val="21"/>
                      <w:highlight w:val="none"/>
                    </w:rPr>
                    <w:t>警卫</w:t>
                  </w:r>
                  <w:r>
                    <w:rPr>
                      <w:rFonts w:hint="eastAsia"/>
                      <w:color w:val="auto"/>
                      <w:szCs w:val="21"/>
                      <w:highlight w:val="none"/>
                      <w:lang w:eastAsia="zh-CN"/>
                    </w:rPr>
                    <w:t>传达</w:t>
                  </w:r>
                  <w:r>
                    <w:rPr>
                      <w:rFonts w:hint="eastAsia"/>
                      <w:color w:val="auto"/>
                      <w:szCs w:val="21"/>
                      <w:highlight w:val="none"/>
                    </w:rPr>
                    <w:t>室</w:t>
                  </w:r>
                </w:p>
              </w:tc>
              <w:tc>
                <w:tcPr>
                  <w:tcW w:w="3703" w:type="pct"/>
                  <w:vAlign w:val="center"/>
                </w:tcPr>
                <w:p>
                  <w:pPr>
                    <w:adjustRightInd w:val="0"/>
                    <w:snapToGrid w:val="0"/>
                    <w:rPr>
                      <w:rFonts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一层，位于变电站内</w:t>
                  </w:r>
                  <w:r>
                    <w:rPr>
                      <w:rFonts w:hint="eastAsia"/>
                      <w:bCs/>
                      <w:color w:val="auto"/>
                      <w:szCs w:val="21"/>
                      <w:highlight w:val="none"/>
                      <w:lang w:eastAsia="zh-CN"/>
                    </w:rPr>
                    <w:t>东南</w:t>
                  </w:r>
                  <w:r>
                    <w:rPr>
                      <w:rFonts w:hint="eastAsia"/>
                      <w:bCs/>
                      <w:color w:val="auto"/>
                      <w:szCs w:val="21"/>
                    </w:rPr>
                    <w:t>侧</w:t>
                  </w:r>
                  <w:r>
                    <w:rPr>
                      <w:rFonts w:hint="eastAsia"/>
                      <w:bCs/>
                      <w:color w:val="auto"/>
                      <w:szCs w:val="21"/>
                      <w:highlight w:val="none"/>
                    </w:rPr>
                    <w:t>，包括警卫室、备餐间、</w:t>
                  </w:r>
                  <w:r>
                    <w:rPr>
                      <w:rFonts w:hint="eastAsia"/>
                      <w:bCs/>
                      <w:color w:val="auto"/>
                      <w:szCs w:val="21"/>
                      <w:highlight w:val="none"/>
                      <w:lang w:eastAsia="zh-CN"/>
                    </w:rPr>
                    <w:t>值班室</w:t>
                  </w:r>
                  <w:r>
                    <w:rPr>
                      <w:rFonts w:hint="eastAsia"/>
                      <w:bCs/>
                      <w:color w:val="auto"/>
                      <w:szCs w:val="21"/>
                      <w:highlight w:val="none"/>
                    </w:rPr>
                    <w:t>、卫生间等，建筑面积约</w:t>
                  </w:r>
                  <w:r>
                    <w:rPr>
                      <w:rFonts w:hint="eastAsia"/>
                      <w:bCs/>
                      <w:color w:val="auto"/>
                      <w:szCs w:val="21"/>
                      <w:highlight w:val="none"/>
                      <w:lang w:val="en-US" w:eastAsia="zh-CN"/>
                    </w:rPr>
                    <w:t>54</w:t>
                  </w:r>
                  <w:r>
                    <w:rPr>
                      <w:color w:val="auto"/>
                      <w:highlight w:val="none"/>
                    </w:rPr>
                    <w:t>m</w:t>
                  </w:r>
                  <w:r>
                    <w:rPr>
                      <w:color w:val="auto"/>
                      <w:highlight w:val="none"/>
                      <w:vertAlign w:val="superscript"/>
                    </w:rPr>
                    <w:t>2</w:t>
                  </w:r>
                  <w:r>
                    <w:rPr>
                      <w:rFonts w:hint="eastAsia"/>
                      <w:color w:val="auto"/>
                      <w:szCs w:val="21"/>
                      <w:highlight w:val="none"/>
                    </w:rPr>
                    <w:t>，单层框架结构</w:t>
                  </w:r>
                  <w:r>
                    <w:rPr>
                      <w:rFonts w:hint="eastAsia"/>
                      <w:color w:val="auto"/>
                      <w:highlight w:val="none"/>
                    </w:rPr>
                    <w:t>，层高</w:t>
                  </w:r>
                  <w:r>
                    <w:rPr>
                      <w:rFonts w:hint="eastAsia"/>
                      <w:color w:val="auto"/>
                      <w:highlight w:val="none"/>
                      <w:lang w:val="en-US" w:eastAsia="zh-CN"/>
                    </w:rPr>
                    <w:t>4.0</w:t>
                  </w:r>
                  <w:r>
                    <w:rPr>
                      <w:color w:val="auto"/>
                      <w:highlight w:val="none"/>
                    </w:rPr>
                    <w:t>m</w:t>
                  </w: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271" w:type="pct"/>
                  <w:vMerge w:val="continue"/>
                  <w:vAlign w:val="center"/>
                </w:tcPr>
                <w:p>
                  <w:pPr>
                    <w:adjustRightInd w:val="0"/>
                    <w:snapToGrid w:val="0"/>
                    <w:jc w:val="center"/>
                    <w:rPr>
                      <w:color w:val="auto"/>
                      <w:szCs w:val="21"/>
                    </w:rPr>
                  </w:pPr>
                </w:p>
              </w:tc>
              <w:tc>
                <w:tcPr>
                  <w:tcW w:w="254" w:type="pct"/>
                  <w:vMerge w:val="continue"/>
                  <w:tcBorders>
                    <w:right w:val="single" w:color="auto" w:sz="4" w:space="0"/>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p>
              </w:tc>
              <w:tc>
                <w:tcPr>
                  <w:tcW w:w="770" w:type="pct"/>
                  <w:tcBorders>
                    <w:left w:val="single" w:color="auto" w:sz="4" w:space="0"/>
                  </w:tcBorders>
                  <w:vAlign w:val="center"/>
                </w:tcPr>
                <w:p>
                  <w:pPr>
                    <w:adjustRightInd w:val="0"/>
                    <w:snapToGrid w:val="0"/>
                    <w:jc w:val="center"/>
                    <w:rPr>
                      <w:rFonts w:hint="eastAsia" w:eastAsia="宋体"/>
                      <w:color w:val="auto"/>
                      <w:szCs w:val="21"/>
                      <w:lang w:eastAsia="zh-CN"/>
                    </w:rPr>
                  </w:pPr>
                  <w:r>
                    <w:rPr>
                      <w:rFonts w:hint="eastAsia"/>
                      <w:color w:val="auto"/>
                      <w:szCs w:val="21"/>
                    </w:rPr>
                    <w:t>水泵房</w:t>
                  </w:r>
                </w:p>
              </w:tc>
              <w:tc>
                <w:tcPr>
                  <w:tcW w:w="3703" w:type="pct"/>
                  <w:vAlign w:val="center"/>
                </w:tcPr>
                <w:p>
                  <w:pPr>
                    <w:adjustRightInd w:val="0"/>
                    <w:snapToGrid w:val="0"/>
                    <w:rPr>
                      <w:rFonts w:hint="default" w:ascii="Times New Roman" w:hAnsi="Times New Roman" w:eastAsia="宋体" w:cs="Times New Roman"/>
                      <w:bCs/>
                      <w:color w:val="auto"/>
                      <w:kern w:val="2"/>
                      <w:sz w:val="21"/>
                      <w:szCs w:val="21"/>
                      <w:lang w:val="en-US" w:eastAsia="zh-CN" w:bidi="ar-SA"/>
                    </w:rPr>
                  </w:pPr>
                  <w:r>
                    <w:rPr>
                      <w:rFonts w:hint="eastAsia"/>
                      <w:bCs/>
                      <w:color w:val="auto"/>
                      <w:szCs w:val="21"/>
                    </w:rPr>
                    <w:t>一层，位于变电站内</w:t>
                  </w:r>
                  <w:r>
                    <w:rPr>
                      <w:rFonts w:hint="eastAsia"/>
                      <w:bCs/>
                      <w:color w:val="auto"/>
                      <w:szCs w:val="21"/>
                      <w:lang w:eastAsia="zh-CN"/>
                    </w:rPr>
                    <w:t>东南</w:t>
                  </w:r>
                  <w:r>
                    <w:rPr>
                      <w:rFonts w:hint="eastAsia"/>
                      <w:bCs/>
                      <w:color w:val="auto"/>
                      <w:szCs w:val="21"/>
                    </w:rPr>
                    <w:t>侧，用于消防水泵的放置，建筑面积约</w:t>
                  </w:r>
                  <w:r>
                    <w:rPr>
                      <w:rFonts w:hint="eastAsia"/>
                      <w:bCs/>
                      <w:color w:val="auto"/>
                      <w:szCs w:val="21"/>
                      <w:lang w:val="en-US" w:eastAsia="zh-CN"/>
                    </w:rPr>
                    <w:t>54</w:t>
                  </w:r>
                  <w:r>
                    <w:rPr>
                      <w:color w:val="auto"/>
                    </w:rPr>
                    <w:t>m</w:t>
                  </w:r>
                  <w:r>
                    <w:rPr>
                      <w:color w:val="auto"/>
                      <w:vertAlign w:val="superscript"/>
                    </w:rPr>
                    <w:t>2</w:t>
                  </w:r>
                  <w:r>
                    <w:rPr>
                      <w:rFonts w:hint="eastAsia"/>
                      <w:color w:val="auto"/>
                      <w:szCs w:val="21"/>
                    </w:rPr>
                    <w:t>，单层框架结构</w:t>
                  </w:r>
                  <w:r>
                    <w:rPr>
                      <w:rFonts w:hint="eastAsia"/>
                      <w:color w:val="auto"/>
                    </w:rPr>
                    <w:t>，层高</w:t>
                  </w:r>
                  <w:r>
                    <w:rPr>
                      <w:rFonts w:hint="eastAsia"/>
                      <w:color w:val="auto"/>
                      <w:lang w:val="en-US" w:eastAsia="zh-CN"/>
                    </w:rPr>
                    <w:t>4.0</w:t>
                  </w:r>
                  <w:r>
                    <w:rPr>
                      <w:color w:val="auto"/>
                    </w:rPr>
                    <w:t>m</w:t>
                  </w: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271" w:type="pct"/>
                  <w:vMerge w:val="continue"/>
                  <w:vAlign w:val="center"/>
                </w:tcPr>
                <w:p>
                  <w:pPr>
                    <w:adjustRightInd w:val="0"/>
                    <w:snapToGrid w:val="0"/>
                    <w:jc w:val="center"/>
                    <w:rPr>
                      <w:color w:val="auto"/>
                      <w:szCs w:val="21"/>
                    </w:rPr>
                  </w:pPr>
                </w:p>
              </w:tc>
              <w:tc>
                <w:tcPr>
                  <w:tcW w:w="254" w:type="pct"/>
                  <w:vMerge w:val="continue"/>
                  <w:tcBorders>
                    <w:right w:val="single" w:color="auto" w:sz="4" w:space="0"/>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p>
              </w:tc>
              <w:tc>
                <w:tcPr>
                  <w:tcW w:w="770" w:type="pct"/>
                  <w:tcBorders>
                    <w:left w:val="single" w:color="auto" w:sz="4" w:space="0"/>
                  </w:tcBorders>
                  <w:vAlign w:val="center"/>
                </w:tcPr>
                <w:p>
                  <w:pPr>
                    <w:widowControl w:val="0"/>
                    <w:adjustRightInd w:val="0"/>
                    <w:snapToGrid w:val="0"/>
                    <w:jc w:val="center"/>
                    <w:rPr>
                      <w:rFonts w:hint="eastAsia"/>
                      <w:color w:val="auto"/>
                      <w:szCs w:val="21"/>
                    </w:rPr>
                  </w:pPr>
                  <w:r>
                    <w:rPr>
                      <w:rFonts w:hint="default" w:ascii="Times New Roman" w:hAnsi="Times New Roman" w:cs="Times New Roman"/>
                      <w:bCs/>
                      <w:color w:val="auto"/>
                      <w:sz w:val="21"/>
                      <w:szCs w:val="21"/>
                      <w:lang w:eastAsia="zh-CN"/>
                    </w:rPr>
                    <w:t>道路</w:t>
                  </w:r>
                </w:p>
              </w:tc>
              <w:tc>
                <w:tcPr>
                  <w:tcW w:w="3703" w:type="pct"/>
                  <w:vAlign w:val="center"/>
                </w:tcPr>
                <w:p>
                  <w:pPr>
                    <w:widowControl w:val="0"/>
                    <w:adjustRightInd w:val="0"/>
                    <w:snapToGrid w:val="0"/>
                    <w:jc w:val="both"/>
                    <w:rPr>
                      <w:rFonts w:hint="default"/>
                      <w:bCs/>
                      <w:color w:val="auto"/>
                      <w:szCs w:val="21"/>
                      <w:lang w:val="en-US"/>
                    </w:rPr>
                  </w:pPr>
                  <w:r>
                    <w:rPr>
                      <w:rFonts w:hint="default" w:ascii="Times New Roman" w:hAnsi="Times New Roman" w:cs="Times New Roman"/>
                      <w:bCs/>
                      <w:color w:val="auto"/>
                      <w:sz w:val="21"/>
                      <w:szCs w:val="21"/>
                      <w:lang w:eastAsia="zh-CN"/>
                    </w:rPr>
                    <w:t>围绕变电站设有4.0m宽环形公路</w:t>
                  </w:r>
                  <w:r>
                    <w:rPr>
                      <w:rFonts w:hint="eastAsia" w:ascii="Times New Roman" w:hAnsi="Times New Roman" w:cs="Times New Roman"/>
                      <w:bCs/>
                      <w:color w:val="auto"/>
                      <w:sz w:val="21"/>
                      <w:szCs w:val="21"/>
                      <w:lang w:eastAsia="zh-CN"/>
                    </w:rPr>
                    <w:t>，进站道路</w:t>
                  </w:r>
                  <w:r>
                    <w:rPr>
                      <w:rFonts w:hint="default" w:ascii="Times New Roman" w:hAnsi="Times New Roman" w:cs="Times New Roman"/>
                      <w:bCs/>
                      <w:color w:val="auto"/>
                      <w:sz w:val="21"/>
                      <w:szCs w:val="21"/>
                      <w:lang w:eastAsia="zh-CN"/>
                    </w:rPr>
                    <w:t>设置在变电站</w:t>
                  </w:r>
                  <w:r>
                    <w:rPr>
                      <w:rFonts w:hint="eastAsia" w:ascii="Times New Roman" w:hAnsi="Times New Roman" w:cs="Times New Roman"/>
                      <w:bCs/>
                      <w:color w:val="auto"/>
                      <w:sz w:val="21"/>
                      <w:szCs w:val="21"/>
                      <w:lang w:eastAsia="zh-CN"/>
                    </w:rPr>
                    <w:t>南</w:t>
                  </w:r>
                  <w:r>
                    <w:rPr>
                      <w:rFonts w:hint="default" w:ascii="Times New Roman" w:hAnsi="Times New Roman" w:cs="Times New Roman"/>
                      <w:bCs/>
                      <w:color w:val="auto"/>
                      <w:sz w:val="21"/>
                      <w:szCs w:val="21"/>
                      <w:lang w:eastAsia="zh-CN"/>
                    </w:rPr>
                    <w:t>侧。</w:t>
                  </w:r>
                  <w:r>
                    <w:rPr>
                      <w:rFonts w:hint="eastAsia" w:ascii="Times New Roman" w:hAnsi="Times New Roman" w:cs="Times New Roman"/>
                      <w:bCs/>
                      <w:color w:val="auto"/>
                      <w:sz w:val="21"/>
                      <w:szCs w:val="21"/>
                      <w:lang w:eastAsia="zh-CN"/>
                    </w:rPr>
                    <w:t>本次需占用原乡村道路，在原道路西侧进行还</w:t>
                  </w:r>
                  <w:r>
                    <w:rPr>
                      <w:rFonts w:hint="eastAsia" w:cs="Times New Roman"/>
                      <w:bCs/>
                      <w:color w:val="auto"/>
                      <w:sz w:val="21"/>
                      <w:szCs w:val="21"/>
                      <w:lang w:eastAsia="zh-CN"/>
                    </w:rPr>
                    <w:t>建</w:t>
                  </w:r>
                  <w:r>
                    <w:rPr>
                      <w:rFonts w:hint="eastAsia" w:ascii="Times New Roman" w:hAnsi="Times New Roman" w:cs="Times New Roman"/>
                      <w:bCs/>
                      <w:color w:val="auto"/>
                      <w:sz w:val="21"/>
                      <w:szCs w:val="21"/>
                      <w:lang w:eastAsia="zh-CN"/>
                    </w:rPr>
                    <w:t>，长度约</w:t>
                  </w:r>
                  <w:r>
                    <w:rPr>
                      <w:rFonts w:hint="eastAsia" w:ascii="Times New Roman" w:hAnsi="Times New Roman" w:cs="Times New Roman"/>
                      <w:bCs/>
                      <w:color w:val="auto"/>
                      <w:sz w:val="21"/>
                      <w:szCs w:val="21"/>
                      <w:lang w:val="en-US" w:eastAsia="zh-CN"/>
                    </w:rPr>
                    <w:t>100m，宽约5m。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51" w:hRule="atLeast"/>
                <w:jc w:val="center"/>
              </w:trPr>
              <w:tc>
                <w:tcPr>
                  <w:tcW w:w="271" w:type="pct"/>
                  <w:vMerge w:val="continue"/>
                  <w:vAlign w:val="center"/>
                </w:tcPr>
                <w:p>
                  <w:pPr>
                    <w:adjustRightInd w:val="0"/>
                    <w:snapToGrid w:val="0"/>
                    <w:jc w:val="center"/>
                    <w:rPr>
                      <w:color w:val="auto"/>
                      <w:szCs w:val="21"/>
                    </w:rPr>
                  </w:pPr>
                </w:p>
              </w:tc>
              <w:tc>
                <w:tcPr>
                  <w:tcW w:w="254" w:type="pct"/>
                  <w:tcBorders>
                    <w:right w:val="single" w:color="auto" w:sz="4" w:space="0"/>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线路</w:t>
                  </w:r>
                </w:p>
              </w:tc>
              <w:tc>
                <w:tcPr>
                  <w:tcW w:w="770" w:type="pct"/>
                  <w:tcBorders>
                    <w:left w:val="single" w:color="auto" w:sz="4" w:space="0"/>
                  </w:tcBorders>
                  <w:vAlign w:val="center"/>
                </w:tcPr>
                <w:p>
                  <w:pPr>
                    <w:adjustRightInd w:val="0"/>
                    <w:snapToGrid w:val="0"/>
                    <w:jc w:val="center"/>
                    <w:rPr>
                      <w:rFonts w:hint="eastAsia" w:eastAsia="宋体"/>
                      <w:color w:val="auto"/>
                      <w:szCs w:val="21"/>
                      <w:lang w:eastAsia="zh-CN"/>
                    </w:rPr>
                  </w:pPr>
                  <w:r>
                    <w:rPr>
                      <w:rFonts w:hint="eastAsia"/>
                      <w:color w:val="auto"/>
                      <w:szCs w:val="21"/>
                      <w:lang w:eastAsia="zh-CN"/>
                    </w:rPr>
                    <w:t>地线</w:t>
                  </w:r>
                </w:p>
              </w:tc>
              <w:tc>
                <w:tcPr>
                  <w:tcW w:w="3703" w:type="pct"/>
                  <w:vAlign w:val="center"/>
                </w:tcPr>
                <w:p>
                  <w:pPr>
                    <w:adjustRightInd w:val="0"/>
                    <w:snapToGrid w:val="0"/>
                    <w:rPr>
                      <w:rFonts w:hint="eastAsia"/>
                      <w:bCs/>
                      <w:color w:val="auto"/>
                      <w:szCs w:val="21"/>
                    </w:rPr>
                  </w:pPr>
                  <w:r>
                    <w:rPr>
                      <w:rFonts w:hint="eastAsia" w:ascii="Times New Roman" w:hAnsi="Times New Roman" w:eastAsia="宋体" w:cs="Times New Roman"/>
                      <w:color w:val="auto"/>
                      <w:szCs w:val="21"/>
                      <w:highlight w:val="none"/>
                    </w:rPr>
                    <w:t>双回段地线采用2根48芯OPGW-90光缆，单回段采用1根48芯OPGW-90光缆，1根JLB20A-80型铝包钢绞线。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3" w:hRule="atLeast"/>
                <w:jc w:val="center"/>
              </w:trPr>
              <w:tc>
                <w:tcPr>
                  <w:tcW w:w="271" w:type="pct"/>
                  <w:vMerge w:val="restart"/>
                  <w:vAlign w:val="center"/>
                </w:tcPr>
                <w:p>
                  <w:pPr>
                    <w:adjustRightInd w:val="0"/>
                    <w:snapToGrid w:val="0"/>
                    <w:jc w:val="center"/>
                    <w:rPr>
                      <w:color w:val="auto"/>
                      <w:szCs w:val="21"/>
                      <w:lang w:eastAsia="en-US"/>
                    </w:rPr>
                  </w:pPr>
                  <w:r>
                    <w:rPr>
                      <w:rFonts w:hint="eastAsia"/>
                      <w:color w:val="auto"/>
                      <w:szCs w:val="21"/>
                    </w:rPr>
                    <w:t>公用工程</w:t>
                  </w:r>
                </w:p>
              </w:tc>
              <w:tc>
                <w:tcPr>
                  <w:tcW w:w="254" w:type="pct"/>
                  <w:vMerge w:val="restart"/>
                  <w:tcBorders>
                    <w:right w:val="single" w:color="auto" w:sz="4" w:space="0"/>
                  </w:tcBorders>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淮阳变电站</w:t>
                  </w:r>
                </w:p>
              </w:tc>
              <w:tc>
                <w:tcPr>
                  <w:tcW w:w="770" w:type="pct"/>
                  <w:tcBorders>
                    <w:left w:val="single" w:color="auto" w:sz="4" w:space="0"/>
                    <w:bottom w:val="single" w:color="auto" w:sz="4" w:space="0"/>
                  </w:tcBorders>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供水系统</w:t>
                  </w:r>
                </w:p>
              </w:tc>
              <w:tc>
                <w:tcPr>
                  <w:tcW w:w="3703" w:type="pct"/>
                  <w:vAlign w:val="center"/>
                </w:tcPr>
                <w:p>
                  <w:pPr>
                    <w:adjustRightInd w:val="0"/>
                    <w:snapToGrid w:val="0"/>
                    <w:rPr>
                      <w:rFonts w:ascii="Times New Roman" w:hAnsi="Times New Roman" w:eastAsia="宋体" w:cs="Times New Roman"/>
                      <w:color w:val="auto"/>
                      <w:kern w:val="2"/>
                      <w:sz w:val="21"/>
                      <w:szCs w:val="21"/>
                      <w:lang w:val="en-US" w:eastAsia="zh-CN" w:bidi="ar-SA"/>
                    </w:rPr>
                  </w:pPr>
                  <w:r>
                    <w:rPr>
                      <w:rFonts w:hint="eastAsia"/>
                      <w:color w:val="auto"/>
                      <w:szCs w:val="21"/>
                    </w:rPr>
                    <w:t>由市政供水管网引接，用于生活、消防用水要求。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19" w:hRule="atLeast"/>
                <w:jc w:val="center"/>
              </w:trPr>
              <w:tc>
                <w:tcPr>
                  <w:tcW w:w="271" w:type="pct"/>
                  <w:vMerge w:val="continue"/>
                  <w:vAlign w:val="center"/>
                </w:tcPr>
                <w:p>
                  <w:pPr>
                    <w:rPr>
                      <w:color w:val="auto"/>
                      <w:szCs w:val="21"/>
                      <w:lang w:bidi="en-US"/>
                    </w:rPr>
                  </w:pPr>
                </w:p>
              </w:tc>
              <w:tc>
                <w:tcPr>
                  <w:tcW w:w="254" w:type="pct"/>
                  <w:vMerge w:val="continue"/>
                  <w:tcBorders>
                    <w:right w:val="single" w:color="auto" w:sz="4" w:space="0"/>
                  </w:tcBorders>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p>
              </w:tc>
              <w:tc>
                <w:tcPr>
                  <w:tcW w:w="770" w:type="pct"/>
                  <w:tcBorders>
                    <w:top w:val="single" w:color="auto" w:sz="4" w:space="0"/>
                    <w:left w:val="single" w:color="auto" w:sz="4" w:space="0"/>
                    <w:bottom w:val="single" w:color="auto" w:sz="4" w:space="0"/>
                  </w:tcBorders>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排水</w:t>
                  </w:r>
                </w:p>
              </w:tc>
              <w:tc>
                <w:tcPr>
                  <w:tcW w:w="3703" w:type="pct"/>
                  <w:vAlign w:val="center"/>
                </w:tcPr>
                <w:p>
                  <w:pPr>
                    <w:adjustRightInd w:val="0"/>
                    <w:snapToGrid w:val="0"/>
                    <w:rPr>
                      <w:rFonts w:ascii="Times New Roman" w:hAnsi="Times New Roman" w:eastAsia="宋体" w:cs="Times New Roman"/>
                      <w:bCs/>
                      <w:color w:val="auto"/>
                      <w:kern w:val="2"/>
                      <w:sz w:val="21"/>
                      <w:szCs w:val="21"/>
                      <w:lang w:val="en-US" w:eastAsia="zh-CN" w:bidi="ar-SA"/>
                    </w:rPr>
                  </w:pPr>
                  <w:r>
                    <w:rPr>
                      <w:rFonts w:hint="eastAsia"/>
                      <w:bCs/>
                      <w:color w:val="auto"/>
                      <w:szCs w:val="21"/>
                      <w:lang w:eastAsia="zh-CN"/>
                    </w:rPr>
                    <w:t>110kV淮阳变电站</w:t>
                  </w:r>
                  <w:r>
                    <w:rPr>
                      <w:rFonts w:hint="eastAsia"/>
                      <w:bCs/>
                      <w:color w:val="auto"/>
                      <w:szCs w:val="21"/>
                    </w:rPr>
                    <w:t>采用雨、污分流制排水。</w:t>
                  </w:r>
                  <w:r>
                    <w:rPr>
                      <w:rFonts w:hint="eastAsia"/>
                      <w:bCs/>
                      <w:color w:val="auto"/>
                      <w:szCs w:val="21"/>
                      <w:lang w:eastAsia="zh-CN"/>
                    </w:rPr>
                    <w:t>生活</w:t>
                  </w:r>
                  <w:r>
                    <w:rPr>
                      <w:rFonts w:hint="eastAsia"/>
                      <w:bCs/>
                      <w:color w:val="auto"/>
                      <w:szCs w:val="21"/>
                    </w:rPr>
                    <w:t>污水</w:t>
                  </w:r>
                  <w:r>
                    <w:rPr>
                      <w:rFonts w:hint="eastAsia"/>
                      <w:bCs/>
                      <w:color w:val="auto"/>
                      <w:szCs w:val="21"/>
                      <w:lang w:eastAsia="zh-CN"/>
                    </w:rPr>
                    <w:t>经</w:t>
                  </w:r>
                  <w:r>
                    <w:rPr>
                      <w:rFonts w:hint="eastAsia"/>
                      <w:bCs/>
                      <w:color w:val="auto"/>
                      <w:szCs w:val="21"/>
                    </w:rPr>
                    <w:t>一体化污水处理设施处理后，近期用于</w:t>
                  </w:r>
                  <w:r>
                    <w:rPr>
                      <w:rFonts w:hint="eastAsia"/>
                      <w:bCs/>
                      <w:color w:val="auto"/>
                      <w:szCs w:val="21"/>
                      <w:lang w:eastAsia="zh-CN"/>
                    </w:rPr>
                    <w:t>红线内</w:t>
                  </w:r>
                  <w:r>
                    <w:rPr>
                      <w:rFonts w:hint="eastAsia"/>
                      <w:bCs/>
                      <w:color w:val="auto"/>
                      <w:szCs w:val="21"/>
                    </w:rPr>
                    <w:t>绿化</w:t>
                  </w:r>
                  <w:r>
                    <w:rPr>
                      <w:rFonts w:hint="eastAsia"/>
                      <w:bCs/>
                      <w:color w:val="auto"/>
                      <w:szCs w:val="21"/>
                      <w:lang w:eastAsia="zh-CN"/>
                    </w:rPr>
                    <w:t>施肥</w:t>
                  </w:r>
                  <w:r>
                    <w:rPr>
                      <w:rFonts w:hint="eastAsia"/>
                      <w:bCs/>
                      <w:color w:val="auto"/>
                      <w:szCs w:val="21"/>
                    </w:rPr>
                    <w:t>，远期待园区污水管网建成后经市政污水管网进入东城污水处理厂处理后进入淮远河；场地雨水通过道路旁雨水口排入站外截水沟。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19" w:hRule="atLeast"/>
                <w:jc w:val="center"/>
              </w:trPr>
              <w:tc>
                <w:tcPr>
                  <w:tcW w:w="271" w:type="pct"/>
                  <w:vMerge w:val="continue"/>
                  <w:vAlign w:val="center"/>
                </w:tcPr>
                <w:p>
                  <w:pPr>
                    <w:rPr>
                      <w:color w:val="auto"/>
                      <w:szCs w:val="21"/>
                      <w:lang w:bidi="en-US"/>
                    </w:rPr>
                  </w:pPr>
                </w:p>
              </w:tc>
              <w:tc>
                <w:tcPr>
                  <w:tcW w:w="254" w:type="pct"/>
                  <w:vMerge w:val="continue"/>
                  <w:tcBorders>
                    <w:right w:val="single" w:color="auto" w:sz="4" w:space="0"/>
                  </w:tcBorders>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p>
              </w:tc>
              <w:tc>
                <w:tcPr>
                  <w:tcW w:w="770" w:type="pct"/>
                  <w:tcBorders>
                    <w:top w:val="single" w:color="auto" w:sz="4" w:space="0"/>
                    <w:left w:val="single" w:color="auto" w:sz="4" w:space="0"/>
                    <w:bottom w:val="single" w:color="auto" w:sz="4" w:space="0"/>
                  </w:tcBorders>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供电</w:t>
                  </w:r>
                </w:p>
              </w:tc>
              <w:tc>
                <w:tcPr>
                  <w:tcW w:w="3703" w:type="pct"/>
                  <w:vAlign w:val="center"/>
                </w:tcPr>
                <w:p>
                  <w:pPr>
                    <w:spacing w:line="240" w:lineRule="auto"/>
                    <w:jc w:val="both"/>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由于10kV母线上需设置接地变，考虑接地变兼作站用变，且分别接于</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#主变低压侧（即10kVⅡ母及Ⅲ母）。选用柜式接地变及消弧线圈成套装置，布置于</w:t>
                  </w:r>
                  <w:r>
                    <w:rPr>
                      <w:rFonts w:hint="eastAsia" w:ascii="Times New Roman" w:hAnsi="Times New Roman" w:eastAsia="宋体" w:cs="Times New Roman"/>
                      <w:color w:val="auto"/>
                      <w:sz w:val="21"/>
                      <w:szCs w:val="21"/>
                      <w:lang w:eastAsia="zh-CN"/>
                    </w:rPr>
                    <w:t>主变东南侧</w:t>
                  </w: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19" w:hRule="atLeast"/>
                <w:jc w:val="center"/>
              </w:trPr>
              <w:tc>
                <w:tcPr>
                  <w:tcW w:w="271" w:type="pct"/>
                  <w:vMerge w:val="continue"/>
                  <w:vAlign w:val="center"/>
                </w:tcPr>
                <w:p>
                  <w:pPr>
                    <w:rPr>
                      <w:color w:val="auto"/>
                      <w:szCs w:val="21"/>
                      <w:lang w:bidi="en-US"/>
                    </w:rPr>
                  </w:pPr>
                </w:p>
              </w:tc>
              <w:tc>
                <w:tcPr>
                  <w:tcW w:w="254" w:type="pct"/>
                  <w:vMerge w:val="continue"/>
                  <w:tcBorders>
                    <w:right w:val="single" w:color="auto" w:sz="4" w:space="0"/>
                  </w:tcBorders>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p>
              </w:tc>
              <w:tc>
                <w:tcPr>
                  <w:tcW w:w="770" w:type="pct"/>
                  <w:tcBorders>
                    <w:top w:val="single" w:color="auto" w:sz="4" w:space="0"/>
                    <w:left w:val="single" w:color="auto" w:sz="4" w:space="0"/>
                  </w:tcBorders>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消防</w:t>
                  </w:r>
                </w:p>
              </w:tc>
              <w:tc>
                <w:tcPr>
                  <w:tcW w:w="3703" w:type="pct"/>
                  <w:vAlign w:val="center"/>
                </w:tcPr>
                <w:p>
                  <w:pPr>
                    <w:adjustRightInd w:val="0"/>
                    <w:snapToGrid w:val="0"/>
                    <w:rPr>
                      <w:rFonts w:ascii="Times New Roman" w:hAnsi="Times New Roman" w:eastAsia="宋体" w:cs="Times New Roman"/>
                      <w:bCs/>
                      <w:color w:val="auto"/>
                      <w:kern w:val="2"/>
                      <w:sz w:val="21"/>
                      <w:szCs w:val="21"/>
                      <w:lang w:val="en-US" w:eastAsia="zh-CN" w:bidi="ar-SA"/>
                    </w:rPr>
                  </w:pPr>
                  <w:r>
                    <w:rPr>
                      <w:rFonts w:hint="eastAsia"/>
                      <w:bCs/>
                      <w:color w:val="auto"/>
                      <w:szCs w:val="21"/>
                    </w:rPr>
                    <w:t>消防水泵房旁新建一个消防水池，有效容积为</w:t>
                  </w:r>
                  <w:r>
                    <w:rPr>
                      <w:rFonts w:hint="eastAsia"/>
                      <w:bCs/>
                      <w:color w:val="auto"/>
                      <w:szCs w:val="21"/>
                      <w:lang w:val="en-US" w:eastAsia="zh-CN"/>
                    </w:rPr>
                    <w:t>180</w:t>
                  </w:r>
                  <w:r>
                    <w:rPr>
                      <w:bCs/>
                      <w:color w:val="auto"/>
                      <w:szCs w:val="21"/>
                    </w:rPr>
                    <w:t>m</w:t>
                  </w:r>
                  <w:r>
                    <w:rPr>
                      <w:rFonts w:hint="eastAsia"/>
                      <w:bCs/>
                      <w:color w:val="auto"/>
                      <w:szCs w:val="21"/>
                    </w:rPr>
                    <w:t>³。消防水池由市政给水管网引入的补水管（</w:t>
                  </w:r>
                  <w:r>
                    <w:rPr>
                      <w:bCs/>
                      <w:color w:val="auto"/>
                      <w:szCs w:val="21"/>
                    </w:rPr>
                    <w:t>DN100</w:t>
                  </w:r>
                  <w:r>
                    <w:rPr>
                      <w:rFonts w:hint="eastAsia"/>
                      <w:bCs/>
                      <w:color w:val="auto"/>
                      <w:szCs w:val="21"/>
                    </w:rPr>
                    <w:t>）补水，且</w:t>
                  </w:r>
                  <w:r>
                    <w:rPr>
                      <w:bCs/>
                      <w:color w:val="auto"/>
                      <w:szCs w:val="21"/>
                    </w:rPr>
                    <w:t>48h</w:t>
                  </w:r>
                  <w:r>
                    <w:rPr>
                      <w:rFonts w:hint="eastAsia"/>
                      <w:bCs/>
                      <w:color w:val="auto"/>
                      <w:szCs w:val="21"/>
                    </w:rPr>
                    <w:t>补满。</w:t>
                  </w:r>
                  <w:r>
                    <w:rPr>
                      <w:rFonts w:hint="default" w:ascii="Times New Roman" w:hAnsi="Times New Roman" w:eastAsia="宋体" w:cs="Times New Roman"/>
                      <w:color w:val="auto"/>
                      <w:sz w:val="21"/>
                      <w:szCs w:val="21"/>
                      <w:highlight w:val="none"/>
                      <w:lang w:val="en-US" w:eastAsia="zh-CN"/>
                    </w:rPr>
                    <w:t>拟在配电综合楼内设置多个移动式灭火器，在主变压器</w:t>
                  </w:r>
                  <w:r>
                    <w:rPr>
                      <w:rFonts w:hint="eastAsia" w:ascii="Times New Roman" w:hAnsi="Times New Roman" w:eastAsia="宋体" w:cs="Times New Roman"/>
                      <w:color w:val="auto"/>
                      <w:sz w:val="21"/>
                      <w:szCs w:val="21"/>
                      <w:highlight w:val="none"/>
                      <w:lang w:val="en-US" w:eastAsia="zh-CN"/>
                    </w:rPr>
                    <w:t>旁</w:t>
                  </w:r>
                  <w:r>
                    <w:rPr>
                      <w:rFonts w:hint="default" w:ascii="Times New Roman" w:hAnsi="Times New Roman" w:eastAsia="宋体" w:cs="Times New Roman"/>
                      <w:color w:val="auto"/>
                      <w:sz w:val="21"/>
                      <w:szCs w:val="21"/>
                      <w:highlight w:val="none"/>
                      <w:lang w:val="en-US" w:eastAsia="zh-CN"/>
                    </w:rPr>
                    <w:t>设50kg推车式干粉灭火器、4kg手提式干粉灭火器</w:t>
                  </w:r>
                  <w:r>
                    <w:rPr>
                      <w:rFonts w:hint="eastAsia" w:ascii="Times New Roman" w:hAnsi="Times New Roman" w:eastAsia="宋体" w:cs="Times New Roman"/>
                      <w:color w:val="auto"/>
                      <w:sz w:val="21"/>
                      <w:szCs w:val="21"/>
                      <w:highlight w:val="none"/>
                      <w:lang w:val="en-US" w:eastAsia="zh-CN"/>
                    </w:rPr>
                    <w:t>若干</w:t>
                  </w: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2" w:hRule="atLeast"/>
                <w:jc w:val="center"/>
              </w:trPr>
              <w:tc>
                <w:tcPr>
                  <w:tcW w:w="271" w:type="pct"/>
                  <w:vMerge w:val="continue"/>
                  <w:vAlign w:val="center"/>
                </w:tcPr>
                <w:p>
                  <w:pPr>
                    <w:rPr>
                      <w:color w:val="auto"/>
                      <w:szCs w:val="21"/>
                      <w:lang w:bidi="en-US"/>
                    </w:rPr>
                  </w:pPr>
                </w:p>
              </w:tc>
              <w:tc>
                <w:tcPr>
                  <w:tcW w:w="254" w:type="pct"/>
                  <w:vMerge w:val="continue"/>
                  <w:tcBorders>
                    <w:right w:val="single" w:color="auto" w:sz="4" w:space="0"/>
                  </w:tcBorders>
                  <w:vAlign w:val="center"/>
                </w:tcPr>
                <w:p>
                  <w:pPr>
                    <w:adjustRightInd w:val="0"/>
                    <w:snapToGrid w:val="0"/>
                    <w:jc w:val="center"/>
                    <w:rPr>
                      <w:rFonts w:ascii="Times New Roman" w:hAnsi="Times New Roman" w:eastAsia="宋体" w:cs="Times New Roman"/>
                      <w:bCs/>
                      <w:color w:val="auto"/>
                      <w:kern w:val="2"/>
                      <w:sz w:val="21"/>
                      <w:szCs w:val="21"/>
                      <w:lang w:val="en-US" w:eastAsia="en-US" w:bidi="ar-SA"/>
                    </w:rPr>
                  </w:pPr>
                </w:p>
              </w:tc>
              <w:tc>
                <w:tcPr>
                  <w:tcW w:w="770" w:type="pct"/>
                  <w:tcBorders>
                    <w:left w:val="single" w:color="auto" w:sz="4" w:space="0"/>
                  </w:tcBorders>
                  <w:vAlign w:val="center"/>
                </w:tcPr>
                <w:p>
                  <w:pPr>
                    <w:adjustRightInd w:val="0"/>
                    <w:snapToGrid w:val="0"/>
                    <w:jc w:val="center"/>
                    <w:rPr>
                      <w:rFonts w:hint="eastAsia" w:ascii="Times New Roman" w:hAnsi="Times New Roman" w:eastAsia="宋体" w:cs="Times New Roman"/>
                      <w:bCs/>
                      <w:color w:val="auto"/>
                      <w:kern w:val="2"/>
                      <w:sz w:val="21"/>
                      <w:szCs w:val="21"/>
                      <w:lang w:val="en-US" w:eastAsia="en-US" w:bidi="ar-SA"/>
                    </w:rPr>
                  </w:pPr>
                  <w:r>
                    <w:rPr>
                      <w:rFonts w:hint="eastAsia"/>
                      <w:bCs/>
                      <w:color w:val="auto"/>
                      <w:szCs w:val="21"/>
                    </w:rPr>
                    <w:t>通风</w:t>
                  </w:r>
                </w:p>
              </w:tc>
              <w:tc>
                <w:tcPr>
                  <w:tcW w:w="3703" w:type="pct"/>
                  <w:vAlign w:val="center"/>
                </w:tcPr>
                <w:p>
                  <w:pPr>
                    <w:adjustRightInd w:val="0"/>
                    <w:snapToGrid w:val="0"/>
                    <w:rPr>
                      <w:rFonts w:ascii="Times New Roman" w:hAnsi="Times New Roman" w:eastAsia="宋体" w:cs="Times New Roman"/>
                      <w:bCs/>
                      <w:color w:val="auto"/>
                      <w:kern w:val="2"/>
                      <w:sz w:val="21"/>
                      <w:szCs w:val="21"/>
                      <w:lang w:val="en-US" w:eastAsia="zh-CN" w:bidi="ar-SA"/>
                    </w:rPr>
                  </w:pPr>
                  <w:r>
                    <w:rPr>
                      <w:bCs/>
                      <w:color w:val="auto"/>
                      <w:szCs w:val="21"/>
                    </w:rPr>
                    <w:t>10kV</w:t>
                  </w:r>
                  <w:r>
                    <w:rPr>
                      <w:rFonts w:hint="eastAsia"/>
                      <w:bCs/>
                      <w:color w:val="auto"/>
                      <w:szCs w:val="21"/>
                    </w:rPr>
                    <w:t>配电室采用自然进风、机械排风的通风方式，由设在房间下部的防雨百叶窗进风，顶部设低噪声轴流风机排风。蓄电池室采用自然进风、机械排风的通风方式，排风采用防爆轴流风机。卫生间设机械排风扇，其余房间采用自然通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271" w:type="pct"/>
                  <w:vMerge w:val="restart"/>
                  <w:vAlign w:val="center"/>
                </w:tcPr>
                <w:p>
                  <w:pPr>
                    <w:adjustRightInd w:val="0"/>
                    <w:snapToGrid w:val="0"/>
                    <w:jc w:val="center"/>
                    <w:rPr>
                      <w:color w:val="auto"/>
                      <w:szCs w:val="21"/>
                      <w:lang w:eastAsia="en-US"/>
                    </w:rPr>
                  </w:pPr>
                  <w:r>
                    <w:rPr>
                      <w:rFonts w:hint="eastAsia"/>
                      <w:color w:val="auto"/>
                      <w:szCs w:val="21"/>
                    </w:rPr>
                    <w:t>环保工程</w:t>
                  </w:r>
                </w:p>
              </w:tc>
              <w:tc>
                <w:tcPr>
                  <w:tcW w:w="254" w:type="pct"/>
                  <w:vMerge w:val="restart"/>
                  <w:tcBorders>
                    <w:right w:val="single" w:color="auto" w:sz="4" w:space="0"/>
                  </w:tcBorders>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淮阳变电站</w:t>
                  </w:r>
                </w:p>
              </w:tc>
              <w:tc>
                <w:tcPr>
                  <w:tcW w:w="770" w:type="pct"/>
                  <w:tcBorders>
                    <w:left w:val="single" w:color="auto" w:sz="4" w:space="0"/>
                  </w:tcBorders>
                  <w:vAlign w:val="center"/>
                </w:tcPr>
                <w:p>
                  <w:pPr>
                    <w:adjustRightInd w:val="0"/>
                    <w:snapToGrid w:val="0"/>
                    <w:jc w:val="center"/>
                    <w:rPr>
                      <w:rFonts w:hint="eastAsia"/>
                      <w:bCs/>
                      <w:color w:val="auto"/>
                      <w:szCs w:val="21"/>
                    </w:rPr>
                  </w:pPr>
                  <w:r>
                    <w:rPr>
                      <w:rFonts w:hint="eastAsia"/>
                      <w:bCs/>
                      <w:color w:val="auto"/>
                      <w:szCs w:val="21"/>
                    </w:rPr>
                    <w:t>污水处理设施</w:t>
                  </w:r>
                </w:p>
              </w:tc>
              <w:tc>
                <w:tcPr>
                  <w:tcW w:w="3703" w:type="pct"/>
                  <w:vAlign w:val="center"/>
                </w:tcPr>
                <w:p>
                  <w:pPr>
                    <w:adjustRightInd w:val="0"/>
                    <w:snapToGrid w:val="0"/>
                    <w:rPr>
                      <w:rFonts w:ascii="Times New Roman" w:hAnsi="Times New Roman" w:eastAsia="宋体" w:cs="Times New Roman"/>
                      <w:bCs/>
                      <w:color w:val="auto"/>
                      <w:spacing w:val="-6"/>
                      <w:kern w:val="2"/>
                      <w:sz w:val="21"/>
                      <w:szCs w:val="21"/>
                      <w:highlight w:val="none"/>
                      <w:lang w:val="en-US" w:eastAsia="zh-CN" w:bidi="ar-SA"/>
                    </w:rPr>
                  </w:pPr>
                  <w:r>
                    <w:rPr>
                      <w:rFonts w:hint="eastAsia"/>
                      <w:bCs/>
                      <w:color w:val="auto"/>
                      <w:szCs w:val="21"/>
                      <w:highlight w:val="none"/>
                    </w:rPr>
                    <w:t>地埋式生化池，处理能力</w:t>
                  </w:r>
                  <w:r>
                    <w:rPr>
                      <w:bCs/>
                      <w:color w:val="auto"/>
                      <w:szCs w:val="21"/>
                      <w:highlight w:val="none"/>
                    </w:rPr>
                    <w:t>0.5m</w:t>
                  </w:r>
                  <w:r>
                    <w:rPr>
                      <w:bCs/>
                      <w:color w:val="auto"/>
                      <w:szCs w:val="21"/>
                      <w:highlight w:val="none"/>
                      <w:vertAlign w:val="superscript"/>
                    </w:rPr>
                    <w:t>3</w:t>
                  </w:r>
                  <w:r>
                    <w:rPr>
                      <w:bCs/>
                      <w:color w:val="auto"/>
                      <w:szCs w:val="21"/>
                      <w:highlight w:val="none"/>
                    </w:rPr>
                    <w:t>/d</w:t>
                  </w:r>
                  <w:r>
                    <w:rPr>
                      <w:rFonts w:hint="eastAsia"/>
                      <w:bCs/>
                      <w:color w:val="auto"/>
                      <w:szCs w:val="21"/>
                      <w:highlight w:val="none"/>
                    </w:rPr>
                    <w:t>，位于</w:t>
                  </w:r>
                  <w:r>
                    <w:rPr>
                      <w:rFonts w:hint="eastAsia"/>
                      <w:bCs/>
                      <w:color w:val="auto"/>
                      <w:szCs w:val="21"/>
                      <w:highlight w:val="none"/>
                      <w:lang w:eastAsia="zh-CN"/>
                    </w:rPr>
                    <w:t>站区外东南侧（红线范围内）</w:t>
                  </w:r>
                  <w:r>
                    <w:rPr>
                      <w:rFonts w:hint="eastAsia"/>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271" w:type="pct"/>
                  <w:vMerge w:val="continue"/>
                  <w:vAlign w:val="center"/>
                </w:tcPr>
                <w:p>
                  <w:pPr>
                    <w:adjustRightInd w:val="0"/>
                    <w:snapToGrid w:val="0"/>
                    <w:jc w:val="center"/>
                    <w:rPr>
                      <w:color w:val="auto"/>
                      <w:szCs w:val="21"/>
                    </w:rPr>
                  </w:pPr>
                </w:p>
              </w:tc>
              <w:tc>
                <w:tcPr>
                  <w:tcW w:w="254" w:type="pct"/>
                  <w:vMerge w:val="continue"/>
                  <w:tcBorders>
                    <w:right w:val="single" w:color="auto" w:sz="4" w:space="0"/>
                  </w:tcBorders>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p>
              </w:tc>
              <w:tc>
                <w:tcPr>
                  <w:tcW w:w="770" w:type="pct"/>
                  <w:tcBorders>
                    <w:left w:val="single" w:color="auto" w:sz="4" w:space="0"/>
                  </w:tcBorders>
                  <w:vAlign w:val="center"/>
                </w:tcPr>
                <w:p>
                  <w:pPr>
                    <w:adjustRightInd w:val="0"/>
                    <w:snapToGrid w:val="0"/>
                    <w:jc w:val="center"/>
                    <w:rPr>
                      <w:rFonts w:hint="eastAsia"/>
                      <w:color w:val="auto"/>
                      <w:szCs w:val="21"/>
                    </w:rPr>
                  </w:pPr>
                  <w:r>
                    <w:rPr>
                      <w:rFonts w:hint="eastAsia"/>
                      <w:color w:val="auto"/>
                      <w:szCs w:val="21"/>
                    </w:rPr>
                    <w:t>固废</w:t>
                  </w:r>
                </w:p>
              </w:tc>
              <w:tc>
                <w:tcPr>
                  <w:tcW w:w="3703" w:type="pct"/>
                  <w:vAlign w:val="center"/>
                </w:tcPr>
                <w:p>
                  <w:pPr>
                    <w:adjustRightInd w:val="0"/>
                    <w:snapToGrid w:val="0"/>
                    <w:rPr>
                      <w:rFonts w:ascii="Times New Roman" w:hAnsi="Times New Roman" w:eastAsia="宋体" w:cs="Times New Roman"/>
                      <w:bCs/>
                      <w:color w:val="auto"/>
                      <w:kern w:val="2"/>
                      <w:sz w:val="21"/>
                      <w:szCs w:val="21"/>
                      <w:lang w:val="en-US" w:eastAsia="zh-CN" w:bidi="ar-SA"/>
                    </w:rPr>
                  </w:pPr>
                  <w:r>
                    <w:rPr>
                      <w:rFonts w:hint="eastAsia"/>
                      <w:color w:val="auto"/>
                      <w:szCs w:val="21"/>
                    </w:rPr>
                    <w:t>产生的生活垃圾由站内垃圾桶收集后交市政环卫部门收集处理；变电站产生的废变压油、变压器油滤渣、废铅蓄电池、废含油手套、抹布等危废直接由相应资质的单位收集处理，不在变电站内暂存。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71" w:type="pct"/>
                  <w:vMerge w:val="continue"/>
                  <w:vAlign w:val="center"/>
                </w:tcPr>
                <w:p>
                  <w:pPr>
                    <w:rPr>
                      <w:color w:val="auto"/>
                      <w:szCs w:val="21"/>
                      <w:lang w:bidi="en-US"/>
                    </w:rPr>
                  </w:pPr>
                </w:p>
              </w:tc>
              <w:tc>
                <w:tcPr>
                  <w:tcW w:w="254" w:type="pct"/>
                  <w:vMerge w:val="continue"/>
                  <w:tcBorders>
                    <w:right w:val="single" w:color="auto" w:sz="4" w:space="0"/>
                  </w:tcBorders>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p>
              </w:tc>
              <w:tc>
                <w:tcPr>
                  <w:tcW w:w="770" w:type="pct"/>
                  <w:tcBorders>
                    <w:left w:val="single" w:color="auto" w:sz="4" w:space="0"/>
                  </w:tcBorders>
                  <w:vAlign w:val="center"/>
                </w:tcPr>
                <w:p>
                  <w:pPr>
                    <w:adjustRightInd w:val="0"/>
                    <w:snapToGrid w:val="0"/>
                    <w:jc w:val="center"/>
                    <w:rPr>
                      <w:rFonts w:hint="eastAsia"/>
                      <w:bCs/>
                      <w:color w:val="auto"/>
                      <w:szCs w:val="21"/>
                    </w:rPr>
                  </w:pPr>
                  <w:r>
                    <w:rPr>
                      <w:rFonts w:hint="eastAsia"/>
                      <w:bCs/>
                      <w:color w:val="auto"/>
                      <w:szCs w:val="21"/>
                    </w:rPr>
                    <w:t>事故油池</w:t>
                  </w:r>
                </w:p>
              </w:tc>
              <w:tc>
                <w:tcPr>
                  <w:tcW w:w="3703" w:type="pct"/>
                  <w:vAlign w:val="center"/>
                </w:tcPr>
                <w:p>
                  <w:pPr>
                    <w:adjustRightInd w:val="0"/>
                    <w:snapToGrid w:val="0"/>
                    <w:rPr>
                      <w:rFonts w:ascii="Times New Roman" w:hAnsi="Times New Roman" w:eastAsia="宋体" w:cs="Times New Roman"/>
                      <w:bCs/>
                      <w:color w:val="auto"/>
                      <w:kern w:val="2"/>
                      <w:sz w:val="21"/>
                      <w:szCs w:val="21"/>
                      <w:lang w:val="en-US" w:eastAsia="zh-CN" w:bidi="ar-SA"/>
                    </w:rPr>
                  </w:pPr>
                  <w:r>
                    <w:rPr>
                      <w:rFonts w:hint="eastAsia"/>
                      <w:bCs/>
                      <w:color w:val="auto"/>
                      <w:szCs w:val="21"/>
                    </w:rPr>
                    <w:t>一座，地埋式，有效容积</w:t>
                  </w:r>
                  <w:r>
                    <w:rPr>
                      <w:rFonts w:hint="eastAsia"/>
                      <w:bCs/>
                      <w:color w:val="auto"/>
                      <w:szCs w:val="21"/>
                      <w:lang w:val="en-US" w:eastAsia="zh-CN"/>
                    </w:rPr>
                    <w:t>30</w:t>
                  </w:r>
                  <w:r>
                    <w:rPr>
                      <w:bCs/>
                      <w:color w:val="auto"/>
                      <w:szCs w:val="21"/>
                    </w:rPr>
                    <w:t>m</w:t>
                  </w:r>
                  <w:r>
                    <w:rPr>
                      <w:bCs/>
                      <w:color w:val="auto"/>
                      <w:szCs w:val="21"/>
                      <w:vertAlign w:val="superscript"/>
                    </w:rPr>
                    <w:t>3</w:t>
                  </w:r>
                  <w:r>
                    <w:rPr>
                      <w:rFonts w:hint="eastAsia"/>
                      <w:bCs/>
                      <w:color w:val="auto"/>
                      <w:szCs w:val="21"/>
                    </w:rPr>
                    <w:t>，位于</w:t>
                  </w:r>
                  <w:r>
                    <w:rPr>
                      <w:rFonts w:hint="eastAsia"/>
                      <w:bCs/>
                      <w:color w:val="auto"/>
                      <w:szCs w:val="21"/>
                      <w:lang w:eastAsia="zh-CN"/>
                    </w:rPr>
                    <w:t>东北侧</w:t>
                  </w:r>
                  <w:r>
                    <w:rPr>
                      <w:rFonts w:hint="eastAsia"/>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71" w:type="pct"/>
                  <w:vMerge w:val="restart"/>
                  <w:vAlign w:val="center"/>
                </w:tcPr>
                <w:p>
                  <w:pPr>
                    <w:rPr>
                      <w:color w:val="auto"/>
                      <w:szCs w:val="21"/>
                      <w:lang w:bidi="en-US"/>
                    </w:rPr>
                  </w:pPr>
                  <w:r>
                    <w:rPr>
                      <w:rFonts w:hint="eastAsia"/>
                      <w:color w:val="auto"/>
                      <w:szCs w:val="21"/>
                      <w:lang w:bidi="en-US"/>
                    </w:rPr>
                    <w:t>临时工程</w:t>
                  </w:r>
                </w:p>
              </w:tc>
              <w:tc>
                <w:tcPr>
                  <w:tcW w:w="1024" w:type="pct"/>
                  <w:gridSpan w:val="2"/>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r>
                    <w:rPr>
                      <w:rFonts w:hint="eastAsia"/>
                      <w:color w:val="auto"/>
                      <w:szCs w:val="21"/>
                    </w:rPr>
                    <w:t>施工营地</w:t>
                  </w:r>
                </w:p>
              </w:tc>
              <w:tc>
                <w:tcPr>
                  <w:tcW w:w="3703" w:type="pct"/>
                  <w:vAlign w:val="center"/>
                </w:tcPr>
                <w:p>
                  <w:pPr>
                    <w:adjustRightInd w:val="0"/>
                    <w:snapToGrid w:val="0"/>
                    <w:rPr>
                      <w:rFonts w:ascii="Times New Roman" w:hAnsi="Times New Roman" w:eastAsia="宋体" w:cs="Times New Roman"/>
                      <w:color w:val="auto"/>
                      <w:kern w:val="2"/>
                      <w:sz w:val="21"/>
                      <w:szCs w:val="21"/>
                      <w:lang w:val="en-US" w:eastAsia="zh-CN" w:bidi="ar-SA"/>
                    </w:rPr>
                  </w:pPr>
                  <w:r>
                    <w:rPr>
                      <w:rFonts w:hint="eastAsia"/>
                      <w:color w:val="auto"/>
                      <w:szCs w:val="21"/>
                    </w:rPr>
                    <w:t>项目租用现有房屋作为施工营地，拟在拟建变电站附近设置</w:t>
                  </w:r>
                  <w:r>
                    <w:rPr>
                      <w:color w:val="auto"/>
                      <w:szCs w:val="21"/>
                    </w:rPr>
                    <w:t>1</w:t>
                  </w:r>
                  <w:r>
                    <w:rPr>
                      <w:rFonts w:hint="eastAsia"/>
                      <w:color w:val="auto"/>
                      <w:szCs w:val="21"/>
                    </w:rPr>
                    <w:t>个项目部，租赁现有民房用于施工管理人员办公。</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71" w:type="pct"/>
                  <w:vMerge w:val="continue"/>
                  <w:vAlign w:val="center"/>
                </w:tcPr>
                <w:p>
                  <w:pPr>
                    <w:rPr>
                      <w:rFonts w:hint="eastAsia"/>
                      <w:color w:val="auto"/>
                      <w:szCs w:val="21"/>
                      <w:lang w:bidi="en-US"/>
                    </w:rPr>
                  </w:pPr>
                </w:p>
              </w:tc>
              <w:tc>
                <w:tcPr>
                  <w:tcW w:w="1735" w:type="dxa"/>
                  <w:gridSpan w:val="2"/>
                  <w:vAlign w:val="center"/>
                </w:tcPr>
                <w:p>
                  <w:pPr>
                    <w:jc w:val="center"/>
                    <w:rPr>
                      <w:rFonts w:hint="eastAsia"/>
                      <w:color w:val="auto"/>
                      <w:szCs w:val="21"/>
                    </w:rPr>
                  </w:pPr>
                  <w:r>
                    <w:rPr>
                      <w:rFonts w:hint="default" w:ascii="Times New Roman" w:hAnsi="Times New Roman" w:cs="Times New Roman"/>
                      <w:color w:val="auto"/>
                      <w:szCs w:val="21"/>
                    </w:rPr>
                    <w:t>施工便道</w:t>
                  </w:r>
                </w:p>
              </w:tc>
              <w:tc>
                <w:tcPr>
                  <w:tcW w:w="6270" w:type="dxa"/>
                  <w:vAlign w:val="center"/>
                </w:tcPr>
                <w:p>
                  <w:pPr>
                    <w:pStyle w:val="9"/>
                    <w:spacing w:before="0" w:after="0" w:line="240" w:lineRule="auto"/>
                    <w:ind w:right="113" w:rightChars="0"/>
                    <w:rPr>
                      <w:rFonts w:hint="eastAsia"/>
                      <w:color w:val="auto"/>
                      <w:szCs w:val="21"/>
                    </w:rPr>
                  </w:pPr>
                  <w:r>
                    <w:rPr>
                      <w:rFonts w:hint="default" w:ascii="Times New Roman" w:hAnsi="Times New Roman" w:cs="Times New Roman"/>
                      <w:snapToGrid w:val="0"/>
                      <w:color w:val="auto"/>
                      <w:sz w:val="21"/>
                      <w:szCs w:val="21"/>
                    </w:rPr>
                    <w:t>区域周边有多条道路，施工主要利用现有道路</w:t>
                  </w:r>
                  <w:r>
                    <w:rPr>
                      <w:rFonts w:hint="default" w:ascii="Times New Roman" w:hAnsi="Times New Roman" w:cs="Times New Roman"/>
                      <w:snapToGrid w:val="0"/>
                      <w:color w:val="auto"/>
                      <w:sz w:val="21"/>
                      <w:szCs w:val="21"/>
                      <w:lang w:eastAsia="zh-CN"/>
                    </w:rPr>
                    <w:t>，</w:t>
                  </w:r>
                  <w:r>
                    <w:rPr>
                      <w:rFonts w:hint="default" w:ascii="Times New Roman" w:hAnsi="Times New Roman" w:cs="Times New Roman"/>
                      <w:snapToGrid w:val="0"/>
                      <w:color w:val="auto"/>
                      <w:sz w:val="21"/>
                      <w:szCs w:val="21"/>
                      <w:lang w:val="en-US" w:eastAsia="zh-CN"/>
                    </w:rPr>
                    <w:t>不需要设置施工便道。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71" w:type="pct"/>
                  <w:vMerge w:val="continue"/>
                  <w:vAlign w:val="center"/>
                </w:tcPr>
                <w:p>
                  <w:pPr>
                    <w:rPr>
                      <w:color w:val="auto"/>
                      <w:szCs w:val="21"/>
                      <w:lang w:bidi="en-US"/>
                    </w:rPr>
                  </w:pPr>
                </w:p>
              </w:tc>
              <w:tc>
                <w:tcPr>
                  <w:tcW w:w="1024" w:type="pct"/>
                  <w:gridSpan w:val="2"/>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Cs w:val="21"/>
                    </w:rPr>
                    <w:t>材料堆场</w:t>
                  </w:r>
                </w:p>
              </w:tc>
              <w:tc>
                <w:tcPr>
                  <w:tcW w:w="3703" w:type="pct"/>
                  <w:vAlign w:val="center"/>
                </w:tcPr>
                <w:p>
                  <w:pPr>
                    <w:adjustRightInd w:val="0"/>
                    <w:snapToGrid w:val="0"/>
                    <w:rPr>
                      <w:rFonts w:ascii="Times New Roman" w:hAnsi="Times New Roman" w:eastAsia="宋体" w:cs="Times New Roman"/>
                      <w:color w:val="auto"/>
                      <w:kern w:val="2"/>
                      <w:sz w:val="21"/>
                      <w:szCs w:val="21"/>
                      <w:lang w:val="en-US" w:eastAsia="zh-CN" w:bidi="ar-SA"/>
                    </w:rPr>
                  </w:pPr>
                  <w:r>
                    <w:rPr>
                      <w:rFonts w:hint="eastAsia"/>
                      <w:color w:val="auto"/>
                      <w:szCs w:val="21"/>
                    </w:rPr>
                    <w:t>拟在</w:t>
                  </w:r>
                  <w:r>
                    <w:rPr>
                      <w:rFonts w:hint="eastAsia"/>
                      <w:color w:val="auto"/>
                      <w:szCs w:val="21"/>
                      <w:lang w:eastAsia="zh-CN"/>
                    </w:rPr>
                    <w:t>施工营地旁设</w:t>
                  </w:r>
                  <w:r>
                    <w:rPr>
                      <w:rFonts w:hint="eastAsia"/>
                      <w:color w:val="auto"/>
                      <w:szCs w:val="21"/>
                    </w:rPr>
                    <w:t>现场材料仓库，租赁居民院坝为主，主要是堆放铁塔材料、导线、钢筋等。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71" w:type="pct"/>
                  <w:vMerge w:val="continue"/>
                  <w:vAlign w:val="center"/>
                </w:tcPr>
                <w:p>
                  <w:pPr>
                    <w:rPr>
                      <w:color w:val="auto"/>
                      <w:szCs w:val="21"/>
                      <w:lang w:bidi="en-US"/>
                    </w:rPr>
                  </w:pPr>
                </w:p>
              </w:tc>
              <w:tc>
                <w:tcPr>
                  <w:tcW w:w="1024" w:type="pct"/>
                  <w:gridSpan w:val="2"/>
                  <w:vAlign w:val="center"/>
                </w:tcPr>
                <w:p>
                  <w:pPr>
                    <w:adjustRightInd w:val="0"/>
                    <w:snapToGrid w:val="0"/>
                    <w:jc w:val="center"/>
                    <w:rPr>
                      <w:rFonts w:ascii="Times New Roman" w:hAnsi="Times New Roman" w:eastAsia="宋体" w:cs="Times New Roman"/>
                      <w:color w:val="auto"/>
                      <w:kern w:val="2"/>
                      <w:sz w:val="21"/>
                      <w:szCs w:val="21"/>
                      <w:shd w:val="clear" w:color="auto" w:fill="auto"/>
                      <w:lang w:val="en-US" w:eastAsia="zh-CN" w:bidi="ar-SA"/>
                    </w:rPr>
                  </w:pPr>
                  <w:r>
                    <w:rPr>
                      <w:rFonts w:hint="eastAsia"/>
                      <w:color w:val="auto"/>
                      <w:szCs w:val="21"/>
                      <w:shd w:val="clear" w:color="auto" w:fill="auto"/>
                    </w:rPr>
                    <w:t>牵张场设置</w:t>
                  </w:r>
                </w:p>
              </w:tc>
              <w:tc>
                <w:tcPr>
                  <w:tcW w:w="3703" w:type="pct"/>
                  <w:vAlign w:val="center"/>
                </w:tcPr>
                <w:p>
                  <w:pPr>
                    <w:adjustRightInd w:val="0"/>
                    <w:snapToGrid w:val="0"/>
                    <w:rPr>
                      <w:rFonts w:ascii="Times New Roman" w:hAnsi="Times New Roman" w:eastAsia="宋体" w:cs="Times New Roman"/>
                      <w:color w:val="auto"/>
                      <w:kern w:val="2"/>
                      <w:sz w:val="21"/>
                      <w:szCs w:val="21"/>
                      <w:shd w:val="clear" w:color="auto" w:fill="auto"/>
                      <w:lang w:val="en-US" w:eastAsia="zh-CN" w:bidi="ar-SA"/>
                    </w:rPr>
                  </w:pPr>
                  <w:r>
                    <w:rPr>
                      <w:rFonts w:hint="eastAsia"/>
                      <w:color w:val="auto"/>
                      <w:sz w:val="21"/>
                      <w:szCs w:val="21"/>
                      <w:shd w:val="clear" w:color="auto" w:fill="auto"/>
                    </w:rPr>
                    <w:t>项目预计设置牵张场</w:t>
                  </w:r>
                  <w:r>
                    <w:rPr>
                      <w:rFonts w:hint="eastAsia"/>
                      <w:color w:val="auto"/>
                      <w:sz w:val="21"/>
                      <w:szCs w:val="21"/>
                      <w:shd w:val="clear" w:color="auto" w:fill="auto"/>
                      <w:lang w:val="en-US" w:eastAsia="zh-CN"/>
                    </w:rPr>
                    <w:t>4</w:t>
                  </w:r>
                  <w:r>
                    <w:rPr>
                      <w:rFonts w:hint="eastAsia"/>
                      <w:color w:val="auto"/>
                      <w:sz w:val="21"/>
                      <w:szCs w:val="21"/>
                      <w:shd w:val="clear" w:color="auto" w:fill="auto"/>
                    </w:rPr>
                    <w:t>处，选址于道路可达处，每处牵张场占地面积约</w:t>
                  </w:r>
                  <w:r>
                    <w:rPr>
                      <w:rFonts w:hint="eastAsia"/>
                      <w:color w:val="auto"/>
                      <w:sz w:val="21"/>
                      <w:szCs w:val="21"/>
                      <w:shd w:val="clear" w:color="auto" w:fill="auto"/>
                      <w:lang w:val="en-US" w:eastAsia="zh-CN"/>
                    </w:rPr>
                    <w:t>300</w:t>
                  </w:r>
                  <w:r>
                    <w:rPr>
                      <w:color w:val="auto"/>
                      <w:sz w:val="21"/>
                      <w:szCs w:val="21"/>
                      <w:shd w:val="clear" w:color="auto" w:fill="auto"/>
                    </w:rPr>
                    <w:t>m</w:t>
                  </w:r>
                  <w:r>
                    <w:rPr>
                      <w:color w:val="auto"/>
                      <w:sz w:val="21"/>
                      <w:szCs w:val="21"/>
                      <w:shd w:val="clear" w:color="auto" w:fill="auto"/>
                      <w:vertAlign w:val="superscript"/>
                    </w:rPr>
                    <w:t>2</w:t>
                  </w:r>
                  <w:r>
                    <w:rPr>
                      <w:rFonts w:hint="eastAsia"/>
                      <w:color w:val="auto"/>
                      <w:sz w:val="21"/>
                      <w:szCs w:val="21"/>
                      <w:shd w:val="clear" w:color="auto" w:fill="auto"/>
                    </w:rPr>
                    <w:t>，共计</w:t>
                  </w:r>
                  <w:r>
                    <w:rPr>
                      <w:rFonts w:hint="eastAsia"/>
                      <w:color w:val="auto"/>
                      <w:sz w:val="21"/>
                      <w:szCs w:val="21"/>
                      <w:shd w:val="clear" w:color="auto" w:fill="auto"/>
                      <w:lang w:val="en-US" w:eastAsia="zh-CN"/>
                    </w:rPr>
                    <w:t>12</w:t>
                  </w:r>
                  <w:r>
                    <w:rPr>
                      <w:color w:val="auto"/>
                      <w:sz w:val="21"/>
                      <w:szCs w:val="21"/>
                      <w:shd w:val="clear" w:color="auto" w:fill="auto"/>
                    </w:rPr>
                    <w:t>00m</w:t>
                  </w:r>
                  <w:r>
                    <w:rPr>
                      <w:color w:val="auto"/>
                      <w:sz w:val="21"/>
                      <w:szCs w:val="21"/>
                      <w:shd w:val="clear" w:color="auto" w:fill="auto"/>
                      <w:vertAlign w:val="superscript"/>
                    </w:rPr>
                    <w:t>2</w:t>
                  </w:r>
                  <w:r>
                    <w:rPr>
                      <w:rFonts w:hint="eastAsia"/>
                      <w:color w:val="auto"/>
                      <w:sz w:val="21"/>
                      <w:szCs w:val="21"/>
                      <w:shd w:val="clear" w:color="auto" w:fill="auto"/>
                    </w:rPr>
                    <w:t>。本项目不在生态保护红线和自然保护区内设置牵张场。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71" w:type="pct"/>
                  <w:vMerge w:val="continue"/>
                  <w:vAlign w:val="center"/>
                </w:tcPr>
                <w:p>
                  <w:pPr>
                    <w:rPr>
                      <w:color w:val="auto"/>
                      <w:szCs w:val="21"/>
                      <w:lang w:bidi="en-US"/>
                    </w:rPr>
                  </w:pPr>
                </w:p>
              </w:tc>
              <w:tc>
                <w:tcPr>
                  <w:tcW w:w="1024" w:type="pct"/>
                  <w:gridSpan w:val="2"/>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Cs w:val="21"/>
                    </w:rPr>
                    <w:t>临时施工场地</w:t>
                  </w:r>
                </w:p>
              </w:tc>
              <w:tc>
                <w:tcPr>
                  <w:tcW w:w="3703" w:type="pct"/>
                  <w:vAlign w:val="center"/>
                </w:tcPr>
                <w:p>
                  <w:pPr>
                    <w:adjustRightInd w:val="0"/>
                    <w:snapToGrid w:val="0"/>
                    <w:rPr>
                      <w:rFonts w:ascii="Times New Roman" w:hAnsi="Times New Roman" w:eastAsia="宋体" w:cs="Times New Roman"/>
                      <w:color w:val="auto"/>
                      <w:kern w:val="2"/>
                      <w:sz w:val="21"/>
                      <w:szCs w:val="21"/>
                      <w:lang w:val="en-US" w:eastAsia="zh-CN" w:bidi="ar-SA"/>
                    </w:rPr>
                  </w:pPr>
                  <w:r>
                    <w:rPr>
                      <w:rFonts w:hint="eastAsia"/>
                      <w:color w:val="auto"/>
                      <w:sz w:val="21"/>
                      <w:szCs w:val="21"/>
                      <w:highlight w:val="none"/>
                    </w:rPr>
                    <w:t>临时占地约</w:t>
                  </w:r>
                  <w:r>
                    <w:rPr>
                      <w:rFonts w:hint="eastAsia"/>
                      <w:color w:val="auto"/>
                      <w:sz w:val="21"/>
                      <w:szCs w:val="21"/>
                      <w:highlight w:val="none"/>
                      <w:lang w:val="en-US" w:eastAsia="zh-CN"/>
                    </w:rPr>
                    <w:t>2025</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rPr>
                    <w:t>，包括牵张场占地约</w:t>
                  </w:r>
                  <w:r>
                    <w:rPr>
                      <w:rFonts w:hint="eastAsia"/>
                      <w:color w:val="auto"/>
                      <w:sz w:val="21"/>
                      <w:szCs w:val="21"/>
                      <w:highlight w:val="none"/>
                      <w:lang w:val="en-US" w:eastAsia="zh-CN"/>
                    </w:rPr>
                    <w:t>1200</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rPr>
                    <w:t>，塔基施工临时占地约</w:t>
                  </w:r>
                  <w:r>
                    <w:rPr>
                      <w:rFonts w:hint="eastAsia"/>
                      <w:color w:val="auto"/>
                      <w:sz w:val="21"/>
                      <w:szCs w:val="21"/>
                      <w:highlight w:val="none"/>
                      <w:lang w:val="en-US" w:eastAsia="zh-CN"/>
                    </w:rPr>
                    <w:t>850</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rPr>
                    <w:t>。</w:t>
                  </w:r>
                </w:p>
              </w:tc>
            </w:tr>
          </w:tbl>
          <w:p>
            <w:pPr>
              <w:adjustRightInd w:val="0"/>
              <w:snapToGrid w:val="0"/>
              <w:spacing w:before="120" w:beforeLines="50" w:line="360" w:lineRule="auto"/>
              <w:rPr>
                <w:b/>
                <w:bCs/>
                <w:color w:val="auto"/>
                <w:sz w:val="24"/>
                <w:highlight w:val="none"/>
              </w:rPr>
            </w:pPr>
            <w:r>
              <w:rPr>
                <w:b/>
                <w:bCs/>
                <w:color w:val="auto"/>
                <w:sz w:val="24"/>
                <w:highlight w:val="none"/>
              </w:rPr>
              <w:t>2.4</w:t>
            </w:r>
            <w:r>
              <w:rPr>
                <w:rFonts w:hint="eastAsia"/>
                <w:b/>
                <w:bCs/>
                <w:color w:val="auto"/>
                <w:sz w:val="24"/>
                <w:highlight w:val="none"/>
              </w:rPr>
              <w:t>工程技术经济指标</w:t>
            </w:r>
          </w:p>
          <w:p>
            <w:pPr>
              <w:pStyle w:val="35"/>
              <w:ind w:firstLine="422"/>
              <w:rPr>
                <w:rFonts w:hint="eastAsia" w:ascii="Times New Roman" w:hAnsi="Times New Roman" w:eastAsia="宋体" w:cs="Times New Roman"/>
                <w:b/>
                <w:bCs/>
                <w:color w:val="auto"/>
                <w:lang w:eastAsia="zh-CN"/>
              </w:rPr>
            </w:pPr>
            <w:r>
              <w:rPr>
                <w:rFonts w:ascii="Times New Roman" w:hAnsi="Times New Roman" w:cs="Times New Roman"/>
                <w:b/>
                <w:bCs/>
                <w:color w:val="auto"/>
              </w:rPr>
              <w:t>（1）</w:t>
            </w:r>
            <w:r>
              <w:rPr>
                <w:rFonts w:hint="eastAsia" w:ascii="Times New Roman" w:hAnsi="Times New Roman" w:cs="Times New Roman"/>
                <w:b/>
                <w:bCs/>
                <w:color w:val="auto"/>
                <w:lang w:eastAsia="zh-CN"/>
              </w:rPr>
              <w:t>110kV淮阳变电站</w:t>
            </w:r>
          </w:p>
          <w:p>
            <w:pPr>
              <w:autoSpaceDE w:val="0"/>
              <w:autoSpaceDN w:val="0"/>
              <w:adjustRightInd w:val="0"/>
              <w:snapToGrid w:val="0"/>
              <w:spacing w:line="360" w:lineRule="auto"/>
              <w:ind w:firstLine="480" w:firstLineChars="200"/>
              <w:rPr>
                <w:rFonts w:hint="eastAsia"/>
                <w:color w:val="auto"/>
                <w:sz w:val="24"/>
              </w:rPr>
            </w:pPr>
            <w:r>
              <w:rPr>
                <w:rFonts w:hint="eastAsia"/>
                <w:color w:val="auto"/>
                <w:sz w:val="24"/>
              </w:rPr>
              <w:t>本项目</w:t>
            </w:r>
            <w:r>
              <w:rPr>
                <w:rFonts w:hint="eastAsia"/>
                <w:color w:val="auto"/>
                <w:sz w:val="24"/>
                <w:lang w:eastAsia="zh-CN"/>
              </w:rPr>
              <w:t>110kV淮阳变电站</w:t>
            </w:r>
            <w:r>
              <w:rPr>
                <w:rFonts w:hint="eastAsia"/>
                <w:color w:val="auto"/>
                <w:sz w:val="24"/>
              </w:rPr>
              <w:t>土建按最终规模一次完成。变电站总平面布置图见附图</w:t>
            </w:r>
            <w:r>
              <w:rPr>
                <w:color w:val="auto"/>
                <w:sz w:val="24"/>
              </w:rPr>
              <w:t>4</w:t>
            </w:r>
            <w:r>
              <w:rPr>
                <w:rFonts w:hint="eastAsia"/>
                <w:color w:val="auto"/>
                <w:sz w:val="24"/>
              </w:rPr>
              <w:t>。主要技术经济指标见表</w:t>
            </w:r>
            <w:r>
              <w:rPr>
                <w:color w:val="auto"/>
                <w:sz w:val="24"/>
              </w:rPr>
              <w:t>2-2</w:t>
            </w:r>
            <w:r>
              <w:rPr>
                <w:rFonts w:hint="eastAsia"/>
                <w:color w:val="auto"/>
                <w:sz w:val="24"/>
              </w:rPr>
              <w:t>。</w:t>
            </w:r>
          </w:p>
          <w:p>
            <w:pPr>
              <w:jc w:val="center"/>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表2-2主要技术经济指标</w:t>
            </w:r>
          </w:p>
          <w:tbl>
            <w:tblPr>
              <w:tblStyle w:val="28"/>
              <w:tblpPr w:leftFromText="180" w:rightFromText="180" w:vertAnchor="text" w:horzAnchor="page" w:tblpX="1525" w:tblpY="313"/>
              <w:tblOverlap w:val="never"/>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69"/>
              <w:gridCol w:w="2622"/>
              <w:gridCol w:w="1079"/>
              <w:gridCol w:w="914"/>
              <w:gridCol w:w="1278"/>
              <w:gridCol w:w="17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4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highlight w:val="none"/>
                    </w:rPr>
                  </w:pPr>
                  <w:r>
                    <w:rPr>
                      <w:b/>
                      <w:color w:val="auto"/>
                      <w:highlight w:val="none"/>
                    </w:rPr>
                    <w:t>序号</w:t>
                  </w:r>
                </w:p>
              </w:tc>
              <w:tc>
                <w:tcPr>
                  <w:tcW w:w="219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highlight w:val="none"/>
                    </w:rPr>
                  </w:pPr>
                  <w:r>
                    <w:rPr>
                      <w:b/>
                      <w:color w:val="auto"/>
                      <w:highlight w:val="none"/>
                    </w:rPr>
                    <w:t>指标名称</w:t>
                  </w:r>
                </w:p>
              </w:tc>
              <w:tc>
                <w:tcPr>
                  <w:tcW w:w="5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highlight w:val="none"/>
                    </w:rPr>
                  </w:pPr>
                  <w:r>
                    <w:rPr>
                      <w:b/>
                      <w:color w:val="auto"/>
                      <w:highlight w:val="none"/>
                    </w:rPr>
                    <w:t>单位</w:t>
                  </w:r>
                </w:p>
              </w:tc>
              <w:tc>
                <w:tcPr>
                  <w:tcW w:w="7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highlight w:val="none"/>
                    </w:rPr>
                  </w:pPr>
                  <w:r>
                    <w:rPr>
                      <w:b/>
                      <w:color w:val="auto"/>
                      <w:highlight w:val="none"/>
                    </w:rPr>
                    <w:t>数量</w:t>
                  </w:r>
                </w:p>
              </w:tc>
              <w:tc>
                <w:tcPr>
                  <w:tcW w:w="10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highlight w:val="none"/>
                    </w:rPr>
                  </w:pPr>
                  <w:r>
                    <w:rPr>
                      <w:b/>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6" w:type="pct"/>
                  <w:tcBorders>
                    <w:tl2br w:val="nil"/>
                    <w:tr2bl w:val="nil"/>
                  </w:tcBorders>
                  <w:noWrap w:val="0"/>
                  <w:vAlign w:val="center"/>
                </w:tcPr>
                <w:p>
                  <w:pPr>
                    <w:spacing w:line="240" w:lineRule="auto"/>
                    <w:jc w:val="center"/>
                    <w:rPr>
                      <w:color w:val="auto"/>
                      <w:highlight w:val="none"/>
                    </w:rPr>
                  </w:pPr>
                  <w:r>
                    <w:rPr>
                      <w:color w:val="auto"/>
                      <w:highlight w:val="none"/>
                    </w:rPr>
                    <w:t>1</w:t>
                  </w:r>
                </w:p>
              </w:tc>
              <w:tc>
                <w:tcPr>
                  <w:tcW w:w="2195" w:type="pct"/>
                  <w:gridSpan w:val="2"/>
                  <w:tcBorders>
                    <w:tl2br w:val="nil"/>
                    <w:tr2bl w:val="nil"/>
                  </w:tcBorders>
                  <w:noWrap w:val="0"/>
                  <w:vAlign w:val="center"/>
                </w:tcPr>
                <w:p>
                  <w:pPr>
                    <w:spacing w:line="240" w:lineRule="auto"/>
                    <w:rPr>
                      <w:color w:val="auto"/>
                      <w:highlight w:val="none"/>
                    </w:rPr>
                  </w:pPr>
                  <w:r>
                    <w:rPr>
                      <w:color w:val="auto"/>
                      <w:highlight w:val="none"/>
                    </w:rPr>
                    <w:t>变电站总用地面积</w:t>
                  </w:r>
                </w:p>
              </w:tc>
              <w:tc>
                <w:tcPr>
                  <w:tcW w:w="542" w:type="pct"/>
                  <w:tcBorders>
                    <w:tl2br w:val="nil"/>
                    <w:tr2bl w:val="nil"/>
                  </w:tcBorders>
                  <w:noWrap w:val="0"/>
                  <w:vAlign w:val="center"/>
                </w:tcPr>
                <w:p>
                  <w:pPr>
                    <w:spacing w:line="240" w:lineRule="auto"/>
                    <w:jc w:val="center"/>
                    <w:rPr>
                      <w:color w:val="auto"/>
                      <w:highlight w:val="none"/>
                    </w:rPr>
                  </w:pPr>
                  <w:r>
                    <w:rPr>
                      <w:color w:val="auto"/>
                      <w:highlight w:val="none"/>
                    </w:rPr>
                    <w:t>hm</w:t>
                  </w:r>
                  <w:r>
                    <w:rPr>
                      <w:color w:val="auto"/>
                      <w:highlight w:val="none"/>
                      <w:vertAlign w:val="superscript"/>
                    </w:rPr>
                    <w:t>2</w:t>
                  </w:r>
                </w:p>
              </w:tc>
              <w:tc>
                <w:tcPr>
                  <w:tcW w:w="758" w:type="pct"/>
                  <w:tcBorders>
                    <w:tl2br w:val="nil"/>
                    <w:tr2bl w:val="nil"/>
                  </w:tcBorders>
                  <w:noWrap w:val="0"/>
                  <w:vAlign w:val="center"/>
                </w:tcPr>
                <w:p>
                  <w:pPr>
                    <w:spacing w:line="240" w:lineRule="auto"/>
                    <w:jc w:val="center"/>
                    <w:rPr>
                      <w:rFonts w:hint="default" w:eastAsia="宋体"/>
                      <w:color w:val="auto"/>
                      <w:highlight w:val="none"/>
                      <w:lang w:val="en-US" w:eastAsia="zh-CN"/>
                    </w:rPr>
                  </w:pPr>
                  <w:r>
                    <w:rPr>
                      <w:rFonts w:hint="eastAsia" w:eastAsia="宋体"/>
                      <w:color w:val="auto"/>
                      <w:highlight w:val="none"/>
                      <w:lang w:val="en-US" w:eastAsia="zh-CN"/>
                    </w:rPr>
                    <w:t>0.7025</w:t>
                  </w:r>
                </w:p>
              </w:tc>
              <w:tc>
                <w:tcPr>
                  <w:tcW w:w="1047" w:type="pct"/>
                  <w:tcBorders>
                    <w:tl2br w:val="nil"/>
                    <w:tr2bl w:val="nil"/>
                  </w:tcBorders>
                  <w:noWrap w:val="0"/>
                  <w:vAlign w:val="center"/>
                </w:tcPr>
                <w:p>
                  <w:pPr>
                    <w:spacing w:line="240" w:lineRule="auto"/>
                    <w:jc w:val="center"/>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6" w:type="pct"/>
                  <w:tcBorders>
                    <w:tl2br w:val="nil"/>
                    <w:tr2bl w:val="nil"/>
                  </w:tcBorders>
                  <w:noWrap w:val="0"/>
                  <w:vAlign w:val="center"/>
                </w:tcPr>
                <w:p>
                  <w:pPr>
                    <w:spacing w:line="240" w:lineRule="auto"/>
                    <w:jc w:val="center"/>
                    <w:rPr>
                      <w:rFonts w:hint="eastAsia" w:eastAsia="宋体"/>
                      <w:color w:val="auto"/>
                      <w:highlight w:val="none"/>
                      <w:lang w:eastAsia="zh-CN"/>
                    </w:rPr>
                  </w:pPr>
                  <w:r>
                    <w:rPr>
                      <w:rFonts w:hint="eastAsia"/>
                      <w:color w:val="auto"/>
                      <w:highlight w:val="none"/>
                      <w:lang w:val="en-US" w:eastAsia="zh-CN"/>
                    </w:rPr>
                    <w:t>2</w:t>
                  </w:r>
                </w:p>
              </w:tc>
              <w:tc>
                <w:tcPr>
                  <w:tcW w:w="2195" w:type="pct"/>
                  <w:gridSpan w:val="2"/>
                  <w:tcBorders>
                    <w:tl2br w:val="nil"/>
                    <w:tr2bl w:val="nil"/>
                  </w:tcBorders>
                  <w:noWrap w:val="0"/>
                  <w:vAlign w:val="center"/>
                </w:tcPr>
                <w:p>
                  <w:pPr>
                    <w:spacing w:line="240" w:lineRule="auto"/>
                    <w:rPr>
                      <w:color w:val="auto"/>
                      <w:highlight w:val="none"/>
                    </w:rPr>
                  </w:pPr>
                  <w:r>
                    <w:rPr>
                      <w:color w:val="auto"/>
                      <w:highlight w:val="none"/>
                    </w:rPr>
                    <w:t>站区内占地面积</w:t>
                  </w:r>
                </w:p>
              </w:tc>
              <w:tc>
                <w:tcPr>
                  <w:tcW w:w="542" w:type="pct"/>
                  <w:tcBorders>
                    <w:tl2br w:val="nil"/>
                    <w:tr2bl w:val="nil"/>
                  </w:tcBorders>
                  <w:noWrap w:val="0"/>
                  <w:vAlign w:val="center"/>
                </w:tcPr>
                <w:p>
                  <w:pPr>
                    <w:spacing w:line="240" w:lineRule="auto"/>
                    <w:jc w:val="center"/>
                    <w:rPr>
                      <w:color w:val="auto"/>
                      <w:highlight w:val="none"/>
                    </w:rPr>
                  </w:pPr>
                  <w:r>
                    <w:rPr>
                      <w:color w:val="auto"/>
                      <w:highlight w:val="none"/>
                    </w:rPr>
                    <w:t>hm</w:t>
                  </w:r>
                  <w:r>
                    <w:rPr>
                      <w:color w:val="auto"/>
                      <w:highlight w:val="none"/>
                      <w:vertAlign w:val="superscript"/>
                    </w:rPr>
                    <w:t>2</w:t>
                  </w:r>
                </w:p>
              </w:tc>
              <w:tc>
                <w:tcPr>
                  <w:tcW w:w="758" w:type="pct"/>
                  <w:tcBorders>
                    <w:tl2br w:val="nil"/>
                    <w:tr2bl w:val="nil"/>
                  </w:tcBorders>
                  <w:noWrap w:val="0"/>
                  <w:vAlign w:val="center"/>
                </w:tcPr>
                <w:p>
                  <w:pPr>
                    <w:spacing w:line="240" w:lineRule="auto"/>
                    <w:jc w:val="center"/>
                    <w:rPr>
                      <w:rFonts w:hint="default" w:eastAsia="宋体"/>
                      <w:color w:val="auto"/>
                      <w:highlight w:val="none"/>
                      <w:lang w:val="en-US" w:eastAsia="zh-CN"/>
                    </w:rPr>
                  </w:pPr>
                  <w:r>
                    <w:rPr>
                      <w:rFonts w:hint="eastAsia"/>
                      <w:color w:val="auto"/>
                      <w:highlight w:val="none"/>
                      <w:lang w:val="en-US" w:eastAsia="zh-CN"/>
                    </w:rPr>
                    <w:t>0.4638</w:t>
                  </w:r>
                </w:p>
              </w:tc>
              <w:tc>
                <w:tcPr>
                  <w:tcW w:w="1047" w:type="pct"/>
                  <w:tcBorders>
                    <w:tl2br w:val="nil"/>
                    <w:tr2bl w:val="nil"/>
                  </w:tcBorders>
                  <w:noWrap w:val="0"/>
                  <w:vAlign w:val="center"/>
                </w:tcPr>
                <w:p>
                  <w:pPr>
                    <w:spacing w:line="240" w:lineRule="auto"/>
                    <w:jc w:val="center"/>
                    <w:rPr>
                      <w:color w:val="auto"/>
                      <w:highlight w:val="none"/>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6" w:type="pct"/>
                  <w:tcBorders>
                    <w:tl2br w:val="nil"/>
                    <w:tr2bl w:val="nil"/>
                  </w:tcBorders>
                  <w:noWrap w:val="0"/>
                  <w:vAlign w:val="center"/>
                </w:tcPr>
                <w:p>
                  <w:pPr>
                    <w:spacing w:line="240" w:lineRule="auto"/>
                    <w:jc w:val="center"/>
                    <w:rPr>
                      <w:rFonts w:hint="eastAsia" w:eastAsia="宋体"/>
                      <w:color w:val="auto"/>
                      <w:highlight w:val="none"/>
                      <w:lang w:eastAsia="zh-CN"/>
                    </w:rPr>
                  </w:pPr>
                  <w:r>
                    <w:rPr>
                      <w:rFonts w:hint="eastAsia"/>
                      <w:color w:val="auto"/>
                      <w:highlight w:val="none"/>
                      <w:lang w:val="en-US" w:eastAsia="zh-CN"/>
                    </w:rPr>
                    <w:t>3</w:t>
                  </w:r>
                </w:p>
              </w:tc>
              <w:tc>
                <w:tcPr>
                  <w:tcW w:w="2195" w:type="pct"/>
                  <w:gridSpan w:val="2"/>
                  <w:tcBorders>
                    <w:tl2br w:val="nil"/>
                    <w:tr2bl w:val="nil"/>
                  </w:tcBorders>
                  <w:noWrap w:val="0"/>
                  <w:vAlign w:val="center"/>
                </w:tcPr>
                <w:p>
                  <w:pPr>
                    <w:spacing w:line="240" w:lineRule="auto"/>
                    <w:rPr>
                      <w:color w:val="auto"/>
                      <w:highlight w:val="none"/>
                    </w:rPr>
                  </w:pPr>
                  <w:r>
                    <w:rPr>
                      <w:color w:val="auto"/>
                      <w:highlight w:val="none"/>
                    </w:rPr>
                    <w:t>进站道路长度</w:t>
                  </w:r>
                </w:p>
              </w:tc>
              <w:tc>
                <w:tcPr>
                  <w:tcW w:w="542" w:type="pct"/>
                  <w:tcBorders>
                    <w:tl2br w:val="nil"/>
                    <w:tr2bl w:val="nil"/>
                  </w:tcBorders>
                  <w:noWrap w:val="0"/>
                  <w:vAlign w:val="center"/>
                </w:tcPr>
                <w:p>
                  <w:pPr>
                    <w:spacing w:line="240" w:lineRule="auto"/>
                    <w:jc w:val="center"/>
                    <w:rPr>
                      <w:color w:val="auto"/>
                      <w:highlight w:val="none"/>
                    </w:rPr>
                  </w:pPr>
                  <w:r>
                    <w:rPr>
                      <w:color w:val="auto"/>
                      <w:highlight w:val="none"/>
                    </w:rPr>
                    <w:t>m</w:t>
                  </w:r>
                </w:p>
              </w:tc>
              <w:tc>
                <w:tcPr>
                  <w:tcW w:w="758" w:type="pct"/>
                  <w:tcBorders>
                    <w:tl2br w:val="nil"/>
                    <w:tr2bl w:val="nil"/>
                  </w:tcBorders>
                  <w:noWrap w:val="0"/>
                  <w:vAlign w:val="center"/>
                </w:tcPr>
                <w:p>
                  <w:pPr>
                    <w:spacing w:line="240" w:lineRule="auto"/>
                    <w:jc w:val="center"/>
                    <w:rPr>
                      <w:rFonts w:hint="default" w:eastAsia="宋体"/>
                      <w:color w:val="auto"/>
                      <w:highlight w:val="none"/>
                      <w:lang w:val="en-US" w:eastAsia="zh-CN"/>
                    </w:rPr>
                  </w:pPr>
                  <w:r>
                    <w:rPr>
                      <w:rFonts w:hint="eastAsia"/>
                      <w:color w:val="auto"/>
                      <w:highlight w:val="none"/>
                      <w:lang w:val="en-US" w:eastAsia="zh-CN"/>
                    </w:rPr>
                    <w:t>12</w:t>
                  </w:r>
                </w:p>
              </w:tc>
              <w:tc>
                <w:tcPr>
                  <w:tcW w:w="1047" w:type="pct"/>
                  <w:tcBorders>
                    <w:tl2br w:val="nil"/>
                    <w:tr2bl w:val="nil"/>
                  </w:tcBorders>
                  <w:noWrap w:val="0"/>
                  <w:vAlign w:val="center"/>
                </w:tcPr>
                <w:p>
                  <w:pPr>
                    <w:spacing w:line="240" w:lineRule="auto"/>
                    <w:jc w:val="center"/>
                    <w:rPr>
                      <w:color w:val="auto"/>
                      <w:highlight w:val="none"/>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6" w:type="pct"/>
                  <w:vMerge w:val="restart"/>
                  <w:tcBorders>
                    <w:tl2br w:val="nil"/>
                    <w:tr2bl w:val="nil"/>
                  </w:tcBorders>
                  <w:noWrap w:val="0"/>
                  <w:vAlign w:val="center"/>
                </w:tcPr>
                <w:p>
                  <w:pPr>
                    <w:spacing w:line="240" w:lineRule="auto"/>
                    <w:jc w:val="center"/>
                    <w:rPr>
                      <w:rFonts w:hint="eastAsia" w:eastAsia="宋体"/>
                      <w:color w:val="auto"/>
                      <w:highlight w:val="none"/>
                      <w:lang w:eastAsia="zh-CN"/>
                    </w:rPr>
                  </w:pPr>
                  <w:r>
                    <w:rPr>
                      <w:rFonts w:hint="eastAsia"/>
                      <w:color w:val="auto"/>
                      <w:highlight w:val="none"/>
                      <w:lang w:val="en-US" w:eastAsia="zh-CN"/>
                    </w:rPr>
                    <w:t>4</w:t>
                  </w:r>
                </w:p>
              </w:tc>
              <w:tc>
                <w:tcPr>
                  <w:tcW w:w="1555" w:type="pct"/>
                  <w:vMerge w:val="restart"/>
                  <w:tcBorders>
                    <w:tl2br w:val="nil"/>
                    <w:tr2bl w:val="nil"/>
                  </w:tcBorders>
                  <w:noWrap w:val="0"/>
                  <w:vAlign w:val="center"/>
                </w:tcPr>
                <w:p>
                  <w:pPr>
                    <w:spacing w:line="240" w:lineRule="auto"/>
                    <w:rPr>
                      <w:color w:val="auto"/>
                      <w:highlight w:val="none"/>
                    </w:rPr>
                  </w:pPr>
                  <w:r>
                    <w:rPr>
                      <w:color w:val="auto"/>
                      <w:highlight w:val="none"/>
                    </w:rPr>
                    <w:t>变电站总土石方工程量</w:t>
                  </w:r>
                </w:p>
              </w:tc>
              <w:tc>
                <w:tcPr>
                  <w:tcW w:w="640" w:type="pct"/>
                  <w:tcBorders>
                    <w:tl2br w:val="nil"/>
                    <w:tr2bl w:val="nil"/>
                  </w:tcBorders>
                  <w:noWrap w:val="0"/>
                  <w:vAlign w:val="center"/>
                </w:tcPr>
                <w:p>
                  <w:pPr>
                    <w:spacing w:line="240" w:lineRule="auto"/>
                    <w:rPr>
                      <w:color w:val="auto"/>
                      <w:highlight w:val="none"/>
                    </w:rPr>
                  </w:pPr>
                  <w:r>
                    <w:rPr>
                      <w:color w:val="auto"/>
                      <w:highlight w:val="none"/>
                    </w:rPr>
                    <w:t>挖方</w:t>
                  </w:r>
                </w:p>
              </w:tc>
              <w:tc>
                <w:tcPr>
                  <w:tcW w:w="542" w:type="pct"/>
                  <w:vMerge w:val="restart"/>
                  <w:tcBorders>
                    <w:tl2br w:val="nil"/>
                    <w:tr2bl w:val="nil"/>
                  </w:tcBorders>
                  <w:noWrap w:val="0"/>
                  <w:vAlign w:val="center"/>
                </w:tcPr>
                <w:p>
                  <w:pPr>
                    <w:spacing w:line="240" w:lineRule="auto"/>
                    <w:jc w:val="center"/>
                    <w:rPr>
                      <w:color w:val="auto"/>
                      <w:highlight w:val="none"/>
                    </w:rPr>
                  </w:pPr>
                  <w:r>
                    <w:rPr>
                      <w:color w:val="auto"/>
                      <w:highlight w:val="none"/>
                    </w:rPr>
                    <w:t>m</w:t>
                  </w:r>
                  <w:r>
                    <w:rPr>
                      <w:color w:val="auto"/>
                      <w:highlight w:val="none"/>
                      <w:vertAlign w:val="superscript"/>
                    </w:rPr>
                    <w:t>3</w:t>
                  </w:r>
                </w:p>
              </w:tc>
              <w:tc>
                <w:tcPr>
                  <w:tcW w:w="75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5015</w:t>
                  </w:r>
                </w:p>
              </w:tc>
              <w:tc>
                <w:tcPr>
                  <w:tcW w:w="1047" w:type="pct"/>
                  <w:tcBorders>
                    <w:tl2br w:val="nil"/>
                    <w:tr2bl w:val="nil"/>
                  </w:tcBorders>
                  <w:noWrap w:val="0"/>
                  <w:vAlign w:val="center"/>
                </w:tcPr>
                <w:p>
                  <w:pPr>
                    <w:spacing w:line="240" w:lineRule="auto"/>
                    <w:jc w:val="center"/>
                    <w:rPr>
                      <w:rFonts w:hint="eastAsia" w:eastAsia="宋体"/>
                      <w:color w:val="auto"/>
                      <w:highlight w:val="none"/>
                      <w:lang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6" w:type="pct"/>
                  <w:vMerge w:val="continue"/>
                  <w:tcBorders>
                    <w:tl2br w:val="nil"/>
                    <w:tr2bl w:val="nil"/>
                  </w:tcBorders>
                  <w:noWrap w:val="0"/>
                  <w:vAlign w:val="center"/>
                </w:tcPr>
                <w:p>
                  <w:pPr>
                    <w:spacing w:line="240" w:lineRule="auto"/>
                    <w:jc w:val="center"/>
                    <w:rPr>
                      <w:color w:val="auto"/>
                      <w:highlight w:val="none"/>
                    </w:rPr>
                  </w:pPr>
                </w:p>
              </w:tc>
              <w:tc>
                <w:tcPr>
                  <w:tcW w:w="1555" w:type="pct"/>
                  <w:vMerge w:val="continue"/>
                  <w:tcBorders>
                    <w:tl2br w:val="nil"/>
                    <w:tr2bl w:val="nil"/>
                  </w:tcBorders>
                  <w:noWrap w:val="0"/>
                  <w:vAlign w:val="center"/>
                </w:tcPr>
                <w:p>
                  <w:pPr>
                    <w:spacing w:line="240" w:lineRule="auto"/>
                    <w:rPr>
                      <w:color w:val="auto"/>
                      <w:highlight w:val="none"/>
                    </w:rPr>
                  </w:pPr>
                </w:p>
              </w:tc>
              <w:tc>
                <w:tcPr>
                  <w:tcW w:w="640" w:type="pct"/>
                  <w:tcBorders>
                    <w:tl2br w:val="nil"/>
                    <w:tr2bl w:val="nil"/>
                  </w:tcBorders>
                  <w:noWrap w:val="0"/>
                  <w:vAlign w:val="center"/>
                </w:tcPr>
                <w:p>
                  <w:pPr>
                    <w:spacing w:line="240" w:lineRule="auto"/>
                    <w:rPr>
                      <w:color w:val="auto"/>
                      <w:highlight w:val="none"/>
                    </w:rPr>
                  </w:pPr>
                  <w:r>
                    <w:rPr>
                      <w:color w:val="auto"/>
                      <w:highlight w:val="none"/>
                    </w:rPr>
                    <w:t>填方</w:t>
                  </w:r>
                </w:p>
              </w:tc>
              <w:tc>
                <w:tcPr>
                  <w:tcW w:w="542" w:type="pct"/>
                  <w:vMerge w:val="continue"/>
                  <w:tcBorders>
                    <w:tl2br w:val="nil"/>
                    <w:tr2bl w:val="nil"/>
                  </w:tcBorders>
                  <w:noWrap w:val="0"/>
                  <w:vAlign w:val="center"/>
                </w:tcPr>
                <w:p>
                  <w:pPr>
                    <w:spacing w:line="240" w:lineRule="auto"/>
                    <w:jc w:val="center"/>
                    <w:rPr>
                      <w:color w:val="auto"/>
                      <w:highlight w:val="none"/>
                    </w:rPr>
                  </w:pPr>
                </w:p>
              </w:tc>
              <w:tc>
                <w:tcPr>
                  <w:tcW w:w="75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3215</w:t>
                  </w:r>
                </w:p>
              </w:tc>
              <w:tc>
                <w:tcPr>
                  <w:tcW w:w="1047" w:type="pct"/>
                  <w:tcBorders>
                    <w:tl2br w:val="nil"/>
                    <w:tr2bl w:val="nil"/>
                  </w:tcBorders>
                  <w:noWrap w:val="0"/>
                  <w:vAlign w:val="center"/>
                </w:tcPr>
                <w:p>
                  <w:pPr>
                    <w:spacing w:line="240" w:lineRule="auto"/>
                    <w:jc w:val="center"/>
                    <w:rPr>
                      <w:color w:val="auto"/>
                      <w:highlight w:val="none"/>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6" w:type="pct"/>
                  <w:tcBorders>
                    <w:tl2br w:val="nil"/>
                    <w:tr2bl w:val="nil"/>
                  </w:tcBorders>
                  <w:noWrap w:val="0"/>
                  <w:vAlign w:val="center"/>
                </w:tcPr>
                <w:p>
                  <w:pPr>
                    <w:spacing w:line="240" w:lineRule="auto"/>
                    <w:jc w:val="center"/>
                    <w:rPr>
                      <w:rFonts w:hint="eastAsia" w:eastAsia="宋体"/>
                      <w:color w:val="auto"/>
                      <w:highlight w:val="none"/>
                      <w:lang w:eastAsia="zh-CN"/>
                    </w:rPr>
                  </w:pPr>
                  <w:r>
                    <w:rPr>
                      <w:rFonts w:hint="eastAsia"/>
                      <w:color w:val="auto"/>
                      <w:highlight w:val="none"/>
                      <w:lang w:val="en-US" w:eastAsia="zh-CN"/>
                    </w:rPr>
                    <w:t>5</w:t>
                  </w:r>
                </w:p>
              </w:tc>
              <w:tc>
                <w:tcPr>
                  <w:tcW w:w="2195" w:type="pct"/>
                  <w:gridSpan w:val="2"/>
                  <w:tcBorders>
                    <w:tl2br w:val="nil"/>
                    <w:tr2bl w:val="nil"/>
                  </w:tcBorders>
                  <w:noWrap w:val="0"/>
                  <w:vAlign w:val="center"/>
                </w:tcPr>
                <w:p>
                  <w:pPr>
                    <w:spacing w:line="240" w:lineRule="auto"/>
                    <w:rPr>
                      <w:color w:val="auto"/>
                      <w:highlight w:val="none"/>
                    </w:rPr>
                  </w:pPr>
                  <w:r>
                    <w:rPr>
                      <w:color w:val="auto"/>
                      <w:highlight w:val="none"/>
                    </w:rPr>
                    <w:t>挡土墙体积</w:t>
                  </w:r>
                </w:p>
              </w:tc>
              <w:tc>
                <w:tcPr>
                  <w:tcW w:w="542" w:type="pct"/>
                  <w:tcBorders>
                    <w:tl2br w:val="nil"/>
                    <w:tr2bl w:val="nil"/>
                  </w:tcBorders>
                  <w:noWrap w:val="0"/>
                  <w:vAlign w:val="center"/>
                </w:tcPr>
                <w:p>
                  <w:pPr>
                    <w:spacing w:line="240" w:lineRule="auto"/>
                    <w:jc w:val="center"/>
                    <w:rPr>
                      <w:color w:val="auto"/>
                      <w:highlight w:val="none"/>
                    </w:rPr>
                  </w:pPr>
                  <w:r>
                    <w:rPr>
                      <w:color w:val="auto"/>
                      <w:highlight w:val="none"/>
                    </w:rPr>
                    <w:t>m</w:t>
                  </w:r>
                  <w:r>
                    <w:rPr>
                      <w:color w:val="auto"/>
                      <w:highlight w:val="none"/>
                      <w:vertAlign w:val="superscript"/>
                    </w:rPr>
                    <w:t>3</w:t>
                  </w:r>
                </w:p>
              </w:tc>
              <w:tc>
                <w:tcPr>
                  <w:tcW w:w="758" w:type="pct"/>
                  <w:tcBorders>
                    <w:tl2br w:val="nil"/>
                    <w:tr2bl w:val="nil"/>
                  </w:tcBorders>
                  <w:noWrap w:val="0"/>
                  <w:vAlign w:val="center"/>
                </w:tcPr>
                <w:p>
                  <w:pPr>
                    <w:spacing w:line="240" w:lineRule="auto"/>
                    <w:jc w:val="center"/>
                    <w:rPr>
                      <w:rFonts w:hint="default" w:eastAsia="宋体"/>
                      <w:color w:val="auto"/>
                      <w:highlight w:val="none"/>
                      <w:lang w:val="en-US" w:eastAsia="zh-CN"/>
                    </w:rPr>
                  </w:pPr>
                  <w:r>
                    <w:rPr>
                      <w:rFonts w:hint="eastAsia"/>
                      <w:color w:val="auto"/>
                      <w:highlight w:val="none"/>
                      <w:lang w:val="en-US" w:eastAsia="zh-CN"/>
                    </w:rPr>
                    <w:t>1100</w:t>
                  </w:r>
                </w:p>
              </w:tc>
              <w:tc>
                <w:tcPr>
                  <w:tcW w:w="1047" w:type="pct"/>
                  <w:tcBorders>
                    <w:tl2br w:val="nil"/>
                    <w:tr2bl w:val="nil"/>
                  </w:tcBorders>
                  <w:noWrap w:val="0"/>
                  <w:vAlign w:val="center"/>
                </w:tcPr>
                <w:p>
                  <w:pPr>
                    <w:spacing w:line="240" w:lineRule="auto"/>
                    <w:jc w:val="center"/>
                    <w:rPr>
                      <w:color w:val="auto"/>
                      <w:highlight w:val="none"/>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6" w:type="pct"/>
                  <w:tcBorders>
                    <w:tl2br w:val="nil"/>
                    <w:tr2bl w:val="nil"/>
                  </w:tcBorders>
                  <w:noWrap w:val="0"/>
                  <w:vAlign w:val="center"/>
                </w:tcPr>
                <w:p>
                  <w:pPr>
                    <w:spacing w:line="240" w:lineRule="auto"/>
                    <w:jc w:val="center"/>
                    <w:rPr>
                      <w:rFonts w:hint="default" w:eastAsia="宋体"/>
                      <w:color w:val="auto"/>
                      <w:highlight w:val="none"/>
                      <w:lang w:val="en-US" w:eastAsia="zh-CN"/>
                    </w:rPr>
                  </w:pPr>
                  <w:r>
                    <w:rPr>
                      <w:rFonts w:hint="eastAsia"/>
                      <w:color w:val="auto"/>
                      <w:highlight w:val="none"/>
                      <w:lang w:val="en-US" w:eastAsia="zh-CN"/>
                    </w:rPr>
                    <w:t>6</w:t>
                  </w:r>
                </w:p>
              </w:tc>
              <w:tc>
                <w:tcPr>
                  <w:tcW w:w="2195" w:type="pct"/>
                  <w:gridSpan w:val="2"/>
                  <w:tcBorders>
                    <w:tl2br w:val="nil"/>
                    <w:tr2bl w:val="nil"/>
                  </w:tcBorders>
                  <w:noWrap w:val="0"/>
                  <w:vAlign w:val="center"/>
                </w:tcPr>
                <w:p>
                  <w:pPr>
                    <w:spacing w:line="240" w:lineRule="auto"/>
                    <w:rPr>
                      <w:color w:val="auto"/>
                      <w:highlight w:val="none"/>
                    </w:rPr>
                  </w:pPr>
                  <w:r>
                    <w:rPr>
                      <w:color w:val="auto"/>
                      <w:highlight w:val="none"/>
                    </w:rPr>
                    <w:t>站区总建筑面积</w:t>
                  </w:r>
                </w:p>
              </w:tc>
              <w:tc>
                <w:tcPr>
                  <w:tcW w:w="542" w:type="pct"/>
                  <w:tcBorders>
                    <w:tl2br w:val="nil"/>
                    <w:tr2bl w:val="nil"/>
                  </w:tcBorders>
                  <w:noWrap w:val="0"/>
                  <w:vAlign w:val="center"/>
                </w:tcPr>
                <w:p>
                  <w:pPr>
                    <w:spacing w:line="240" w:lineRule="auto"/>
                    <w:jc w:val="center"/>
                    <w:rPr>
                      <w:color w:val="auto"/>
                      <w:highlight w:val="none"/>
                    </w:rPr>
                  </w:pPr>
                  <w:r>
                    <w:rPr>
                      <w:color w:val="auto"/>
                      <w:highlight w:val="none"/>
                    </w:rPr>
                    <w:t>m</w:t>
                  </w:r>
                  <w:r>
                    <w:rPr>
                      <w:color w:val="auto"/>
                      <w:highlight w:val="none"/>
                      <w:vertAlign w:val="superscript"/>
                    </w:rPr>
                    <w:t>2</w:t>
                  </w:r>
                </w:p>
              </w:tc>
              <w:tc>
                <w:tcPr>
                  <w:tcW w:w="758" w:type="pct"/>
                  <w:tcBorders>
                    <w:tl2br w:val="nil"/>
                    <w:tr2bl w:val="nil"/>
                  </w:tcBorders>
                  <w:noWrap w:val="0"/>
                  <w:vAlign w:val="center"/>
                </w:tcPr>
                <w:p>
                  <w:pPr>
                    <w:spacing w:line="240" w:lineRule="auto"/>
                    <w:jc w:val="center"/>
                    <w:rPr>
                      <w:rFonts w:hint="default" w:eastAsia="宋体"/>
                      <w:color w:val="auto"/>
                      <w:highlight w:val="none"/>
                      <w:lang w:val="en-US" w:eastAsia="zh-CN"/>
                    </w:rPr>
                  </w:pPr>
                  <w:r>
                    <w:rPr>
                      <w:rFonts w:hint="eastAsia"/>
                      <w:color w:val="auto"/>
                      <w:highlight w:val="none"/>
                      <w:lang w:val="en-US" w:eastAsia="zh-CN"/>
                    </w:rPr>
                    <w:t>595.3</w:t>
                  </w:r>
                </w:p>
              </w:tc>
              <w:tc>
                <w:tcPr>
                  <w:tcW w:w="1047" w:type="pct"/>
                  <w:tcBorders>
                    <w:tl2br w:val="nil"/>
                    <w:tr2bl w:val="nil"/>
                  </w:tcBorders>
                  <w:noWrap w:val="0"/>
                  <w:vAlign w:val="center"/>
                </w:tcPr>
                <w:p>
                  <w:pPr>
                    <w:spacing w:line="240" w:lineRule="auto"/>
                    <w:jc w:val="center"/>
                    <w:rPr>
                      <w:color w:val="auto"/>
                      <w:highlight w:val="none"/>
                    </w:rPr>
                  </w:pPr>
                  <w:r>
                    <w:rPr>
                      <w:rFonts w:hint="eastAsia"/>
                      <w:color w:val="auto"/>
                      <w:highlight w:val="none"/>
                      <w:lang w:val="en-US" w:eastAsia="zh-CN"/>
                    </w:rPr>
                    <w:t>/</w:t>
                  </w:r>
                </w:p>
              </w:tc>
            </w:tr>
          </w:tbl>
          <w:p>
            <w:pPr>
              <w:pStyle w:val="35"/>
              <w:spacing w:before="120" w:beforeLines="50"/>
              <w:ind w:firstLine="422"/>
              <w:rPr>
                <w:rFonts w:ascii="Times New Roman" w:hAnsi="Times New Roman" w:cs="Times New Roman"/>
                <w:b/>
                <w:bCs/>
                <w:color w:val="auto"/>
                <w:sz w:val="21"/>
                <w:szCs w:val="24"/>
              </w:rPr>
            </w:pPr>
            <w:r>
              <w:rPr>
                <w:rFonts w:ascii="Times New Roman" w:hAnsi="Times New Roman" w:cs="Times New Roman"/>
                <w:b/>
                <w:bCs/>
                <w:color w:val="auto"/>
              </w:rPr>
              <w:t>（</w:t>
            </w:r>
            <w:r>
              <w:rPr>
                <w:rFonts w:hint="eastAsia" w:ascii="Times New Roman" w:hAnsi="Times New Roman" w:cs="Times New Roman"/>
                <w:b/>
                <w:bCs/>
                <w:color w:val="auto"/>
                <w:lang w:val="en-US" w:eastAsia="zh-CN"/>
              </w:rPr>
              <w:t>2</w:t>
            </w:r>
            <w:r>
              <w:rPr>
                <w:rFonts w:ascii="Times New Roman" w:hAnsi="Times New Roman" w:cs="Times New Roman"/>
                <w:b/>
                <w:bCs/>
                <w:color w:val="auto"/>
              </w:rPr>
              <w:t>）架空输电线路</w:t>
            </w:r>
          </w:p>
          <w:p>
            <w:pPr>
              <w:adjustRightInd w:val="0"/>
              <w:snapToGrid w:val="0"/>
              <w:spacing w:line="360" w:lineRule="auto"/>
              <w:ind w:firstLine="480" w:firstLineChars="200"/>
              <w:jc w:val="left"/>
              <w:rPr>
                <w:color w:val="auto"/>
                <w:sz w:val="24"/>
              </w:rPr>
            </w:pPr>
            <w:r>
              <w:rPr>
                <w:rFonts w:hint="eastAsia"/>
                <w:color w:val="auto"/>
                <w:sz w:val="24"/>
              </w:rPr>
              <w:t>本工程架空线路经济技术指标见表</w:t>
            </w:r>
            <w:r>
              <w:rPr>
                <w:color w:val="auto"/>
                <w:sz w:val="24"/>
              </w:rPr>
              <w:t>2-3</w:t>
            </w:r>
            <w:r>
              <w:rPr>
                <w:rFonts w:hint="eastAsia"/>
                <w:color w:val="auto"/>
                <w:sz w:val="24"/>
              </w:rPr>
              <w:t>。</w:t>
            </w:r>
          </w:p>
          <w:p>
            <w:pPr>
              <w:jc w:val="center"/>
              <w:rPr>
                <w:rFonts w:hint="eastAsia"/>
                <w:b/>
                <w:bCs/>
                <w:color w:val="auto"/>
                <w:sz w:val="24"/>
              </w:rPr>
            </w:pPr>
          </w:p>
          <w:p>
            <w:pPr>
              <w:jc w:val="center"/>
              <w:rPr>
                <w:rFonts w:hint="eastAsia"/>
                <w:b/>
                <w:bCs/>
                <w:color w:val="auto"/>
                <w:sz w:val="24"/>
              </w:rPr>
            </w:pPr>
          </w:p>
          <w:p>
            <w:pPr>
              <w:pStyle w:val="35"/>
              <w:rPr>
                <w:rFonts w:hint="eastAsia"/>
                <w:color w:val="auto"/>
              </w:rPr>
            </w:pPr>
          </w:p>
          <w:p>
            <w:pPr>
              <w:jc w:val="center"/>
              <w:rPr>
                <w:rFonts w:hint="eastAsia"/>
                <w:b/>
                <w:bCs/>
                <w:color w:val="auto"/>
                <w:sz w:val="24"/>
              </w:rPr>
            </w:pPr>
          </w:p>
          <w:p>
            <w:pPr>
              <w:jc w:val="center"/>
              <w:rPr>
                <w:rFonts w:hint="eastAsia"/>
                <w:b/>
                <w:bCs/>
                <w:color w:val="auto"/>
                <w:sz w:val="24"/>
              </w:rPr>
            </w:pPr>
          </w:p>
          <w:p>
            <w:pPr>
              <w:jc w:val="center"/>
              <w:rPr>
                <w:b/>
                <w:bCs/>
                <w:color w:val="auto"/>
                <w:sz w:val="24"/>
              </w:rPr>
            </w:pPr>
            <w:r>
              <w:rPr>
                <w:rFonts w:hint="eastAsia"/>
                <w:b/>
                <w:bCs/>
                <w:color w:val="auto"/>
                <w:sz w:val="24"/>
              </w:rPr>
              <w:t>表</w:t>
            </w:r>
            <w:r>
              <w:rPr>
                <w:b/>
                <w:bCs/>
                <w:color w:val="auto"/>
                <w:sz w:val="24"/>
              </w:rPr>
              <w:t xml:space="preserve">2-3  </w:t>
            </w:r>
            <w:r>
              <w:rPr>
                <w:rFonts w:hint="eastAsia"/>
                <w:b/>
                <w:bCs/>
                <w:color w:val="auto"/>
                <w:sz w:val="24"/>
              </w:rPr>
              <w:t>新建</w:t>
            </w:r>
            <w:r>
              <w:rPr>
                <w:rFonts w:hint="eastAsia"/>
                <w:b/>
                <w:bCs/>
                <w:color w:val="auto"/>
                <w:sz w:val="24"/>
                <w:lang w:val="en-US" w:eastAsia="zh-CN"/>
              </w:rPr>
              <w:t>110kV德淮南北线</w:t>
            </w:r>
            <w:r>
              <w:rPr>
                <w:rFonts w:hint="eastAsia"/>
                <w:b/>
                <w:bCs/>
                <w:color w:val="auto"/>
                <w:sz w:val="24"/>
              </w:rPr>
              <w:t>主要经济技术特征</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269"/>
              <w:gridCol w:w="3576"/>
              <w:gridCol w:w="358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20" w:hRule="atLeast"/>
                <w:jc w:val="center"/>
              </w:trPr>
              <w:tc>
                <w:tcPr>
                  <w:tcW w:w="753" w:type="pct"/>
                  <w:vMerge w:val="restart"/>
                  <w:vAlign w:val="center"/>
                </w:tcPr>
                <w:p>
                  <w:pPr>
                    <w:tabs>
                      <w:tab w:val="left" w:pos="1362"/>
                    </w:tabs>
                    <w:adjustRightInd w:val="0"/>
                    <w:snapToGrid w:val="0"/>
                    <w:ind w:left="-105" w:leftChars="-50" w:right="-105" w:rightChars="-50"/>
                    <w:jc w:val="center"/>
                    <w:rPr>
                      <w:color w:val="auto"/>
                      <w:sz w:val="21"/>
                      <w:szCs w:val="21"/>
                    </w:rPr>
                  </w:pPr>
                  <w:r>
                    <w:rPr>
                      <w:rFonts w:hint="eastAsia"/>
                      <w:color w:val="auto"/>
                      <w:sz w:val="21"/>
                      <w:szCs w:val="21"/>
                    </w:rPr>
                    <w:t>技术名称</w:t>
                  </w:r>
                </w:p>
              </w:tc>
              <w:tc>
                <w:tcPr>
                  <w:tcW w:w="4246" w:type="pct"/>
                  <w:gridSpan w:val="2"/>
                  <w:tcBorders>
                    <w:bottom w:val="single" w:color="auto" w:sz="4" w:space="0"/>
                  </w:tcBorders>
                  <w:vAlign w:val="center"/>
                </w:tcPr>
                <w:p>
                  <w:pPr>
                    <w:adjustRightInd w:val="0"/>
                    <w:snapToGrid w:val="0"/>
                    <w:ind w:left="-105" w:leftChars="-50" w:right="-105" w:rightChars="-50"/>
                    <w:jc w:val="center"/>
                    <w:rPr>
                      <w:rFonts w:hint="eastAsia"/>
                      <w:color w:val="auto"/>
                      <w:sz w:val="21"/>
                      <w:szCs w:val="21"/>
                      <w:lang w:eastAsia="zh-CN"/>
                    </w:rPr>
                  </w:pPr>
                  <w:r>
                    <w:rPr>
                      <w:rFonts w:hint="eastAsia"/>
                      <w:color w:val="auto"/>
                      <w:sz w:val="21"/>
                      <w:szCs w:val="21"/>
                      <w:lang w:eastAsia="zh-CN"/>
                    </w:rPr>
                    <w:t>110kV德淮南北线</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20" w:hRule="atLeast"/>
                <w:jc w:val="center"/>
              </w:trPr>
              <w:tc>
                <w:tcPr>
                  <w:tcW w:w="753" w:type="pct"/>
                  <w:vMerge w:val="continue"/>
                  <w:tcBorders>
                    <w:bottom w:val="single" w:color="auto" w:sz="4" w:space="0"/>
                  </w:tcBorders>
                  <w:vAlign w:val="center"/>
                </w:tcPr>
                <w:p>
                  <w:pPr>
                    <w:tabs>
                      <w:tab w:val="left" w:pos="1362"/>
                    </w:tabs>
                    <w:adjustRightInd w:val="0"/>
                    <w:snapToGrid w:val="0"/>
                    <w:ind w:left="-105" w:leftChars="-50" w:right="-105" w:rightChars="-50"/>
                    <w:jc w:val="center"/>
                    <w:rPr>
                      <w:rFonts w:hint="eastAsia"/>
                      <w:color w:val="auto"/>
                      <w:sz w:val="21"/>
                      <w:szCs w:val="21"/>
                    </w:rPr>
                  </w:pPr>
                </w:p>
              </w:tc>
              <w:tc>
                <w:tcPr>
                  <w:tcW w:w="2121" w:type="pct"/>
                  <w:tcBorders>
                    <w:bottom w:val="single" w:color="auto" w:sz="4" w:space="0"/>
                  </w:tcBorders>
                  <w:vAlign w:val="center"/>
                </w:tcPr>
                <w:p>
                  <w:pPr>
                    <w:adjustRightInd w:val="0"/>
                    <w:snapToGrid w:val="0"/>
                    <w:ind w:left="-105" w:leftChars="-50" w:right="-105" w:rightChars="-50"/>
                    <w:jc w:val="center"/>
                    <w:rPr>
                      <w:rFonts w:hint="eastAsia"/>
                      <w:color w:val="auto"/>
                      <w:sz w:val="21"/>
                      <w:szCs w:val="21"/>
                      <w:lang w:eastAsia="zh-CN"/>
                    </w:rPr>
                  </w:pPr>
                  <w:r>
                    <w:rPr>
                      <w:rFonts w:hint="eastAsia"/>
                      <w:color w:val="auto"/>
                      <w:sz w:val="21"/>
                      <w:szCs w:val="21"/>
                      <w:lang w:eastAsia="zh-CN"/>
                    </w:rPr>
                    <w:t>双回段</w:t>
                  </w:r>
                </w:p>
              </w:tc>
              <w:tc>
                <w:tcPr>
                  <w:tcW w:w="2124" w:type="pct"/>
                  <w:tcBorders>
                    <w:bottom w:val="single" w:color="auto" w:sz="4" w:space="0"/>
                  </w:tcBorders>
                  <w:vAlign w:val="center"/>
                </w:tcPr>
                <w:p>
                  <w:pPr>
                    <w:adjustRightInd w:val="0"/>
                    <w:snapToGrid w:val="0"/>
                    <w:ind w:left="-105" w:leftChars="-50" w:right="-105" w:rightChars="-50"/>
                    <w:jc w:val="center"/>
                    <w:rPr>
                      <w:rFonts w:hint="eastAsia"/>
                      <w:color w:val="auto"/>
                      <w:sz w:val="21"/>
                      <w:szCs w:val="21"/>
                      <w:lang w:eastAsia="zh-CN"/>
                    </w:rPr>
                  </w:pPr>
                  <w:r>
                    <w:rPr>
                      <w:rFonts w:hint="eastAsia"/>
                      <w:color w:val="auto"/>
                      <w:sz w:val="21"/>
                      <w:szCs w:val="21"/>
                      <w:lang w:eastAsia="zh-CN"/>
                    </w:rPr>
                    <w:t>单回段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32" w:hRule="atLeast"/>
                <w:jc w:val="center"/>
              </w:trPr>
              <w:tc>
                <w:tcPr>
                  <w:tcW w:w="753" w:type="pct"/>
                  <w:vAlign w:val="center"/>
                </w:tcPr>
                <w:p>
                  <w:pPr>
                    <w:adjustRightInd w:val="0"/>
                    <w:snapToGrid w:val="0"/>
                    <w:ind w:left="-105" w:leftChars="-50" w:right="-105" w:rightChars="-50"/>
                    <w:jc w:val="center"/>
                    <w:rPr>
                      <w:color w:val="auto"/>
                      <w:sz w:val="21"/>
                      <w:szCs w:val="21"/>
                    </w:rPr>
                  </w:pPr>
                  <w:r>
                    <w:rPr>
                      <w:rFonts w:hint="eastAsia"/>
                      <w:color w:val="auto"/>
                      <w:sz w:val="21"/>
                      <w:szCs w:val="21"/>
                    </w:rPr>
                    <w:t>电压等级</w:t>
                  </w:r>
                </w:p>
              </w:tc>
              <w:tc>
                <w:tcPr>
                  <w:tcW w:w="2121" w:type="pct"/>
                  <w:vAlign w:val="center"/>
                </w:tcPr>
                <w:p>
                  <w:pPr>
                    <w:tabs>
                      <w:tab w:val="left" w:pos="1419"/>
                    </w:tabs>
                    <w:adjustRightInd w:val="0"/>
                    <w:snapToGrid w:val="0"/>
                    <w:ind w:left="-105" w:leftChars="-50" w:right="-105" w:rightChars="-50"/>
                    <w:jc w:val="center"/>
                    <w:rPr>
                      <w:color w:val="auto"/>
                      <w:sz w:val="21"/>
                      <w:szCs w:val="21"/>
                    </w:rPr>
                  </w:pPr>
                  <w:r>
                    <w:rPr>
                      <w:rFonts w:hint="eastAsia"/>
                      <w:color w:val="auto"/>
                      <w:sz w:val="21"/>
                      <w:szCs w:val="21"/>
                      <w:lang w:val="en-US" w:eastAsia="zh-CN"/>
                    </w:rPr>
                    <w:t>11</w:t>
                  </w:r>
                  <w:r>
                    <w:rPr>
                      <w:color w:val="auto"/>
                      <w:sz w:val="21"/>
                      <w:szCs w:val="21"/>
                    </w:rPr>
                    <w:t>0kV</w:t>
                  </w:r>
                </w:p>
              </w:tc>
              <w:tc>
                <w:tcPr>
                  <w:tcW w:w="2124" w:type="pct"/>
                  <w:vAlign w:val="center"/>
                </w:tcPr>
                <w:p>
                  <w:pPr>
                    <w:tabs>
                      <w:tab w:val="left" w:pos="1419"/>
                    </w:tabs>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11</w:t>
                  </w:r>
                  <w:r>
                    <w:rPr>
                      <w:color w:val="auto"/>
                      <w:sz w:val="21"/>
                      <w:szCs w:val="21"/>
                    </w:rPr>
                    <w:t>0kV</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32" w:hRule="atLeast"/>
                <w:jc w:val="center"/>
              </w:trPr>
              <w:tc>
                <w:tcPr>
                  <w:tcW w:w="753" w:type="pct"/>
                  <w:vAlign w:val="center"/>
                </w:tcPr>
                <w:p>
                  <w:pPr>
                    <w:adjustRightInd w:val="0"/>
                    <w:snapToGrid w:val="0"/>
                    <w:ind w:left="-105" w:leftChars="-50" w:right="-105" w:rightChars="-50"/>
                    <w:jc w:val="center"/>
                    <w:rPr>
                      <w:color w:val="auto"/>
                      <w:sz w:val="21"/>
                      <w:szCs w:val="21"/>
                    </w:rPr>
                  </w:pPr>
                  <w:r>
                    <w:rPr>
                      <w:rFonts w:hint="eastAsia"/>
                      <w:color w:val="auto"/>
                      <w:sz w:val="21"/>
                      <w:szCs w:val="21"/>
                    </w:rPr>
                    <w:t>新建线路起止点</w:t>
                  </w:r>
                </w:p>
              </w:tc>
              <w:tc>
                <w:tcPr>
                  <w:tcW w:w="2121" w:type="pct"/>
                  <w:vAlign w:val="center"/>
                </w:tcPr>
                <w:p>
                  <w:pPr>
                    <w:adjustRightInd w:val="0"/>
                    <w:snapToGrid w:val="0"/>
                    <w:ind w:left="-105" w:leftChars="-50" w:right="-105" w:rightChars="-50"/>
                    <w:jc w:val="center"/>
                    <w:rPr>
                      <w:color w:val="auto"/>
                      <w:sz w:val="21"/>
                      <w:szCs w:val="21"/>
                    </w:rPr>
                  </w:pPr>
                  <w:r>
                    <w:rPr>
                      <w:rFonts w:hint="eastAsia"/>
                      <w:color w:val="auto"/>
                      <w:sz w:val="21"/>
                      <w:szCs w:val="21"/>
                    </w:rPr>
                    <w:t>起于220kV全德变电站，止于G</w:t>
                  </w:r>
                  <w:r>
                    <w:rPr>
                      <w:rFonts w:hint="eastAsia"/>
                      <w:color w:val="auto"/>
                      <w:sz w:val="21"/>
                      <w:szCs w:val="21"/>
                      <w:lang w:val="en-US" w:eastAsia="zh-CN"/>
                    </w:rPr>
                    <w:t>17#塔</w:t>
                  </w:r>
                </w:p>
              </w:tc>
              <w:tc>
                <w:tcPr>
                  <w:tcW w:w="2124" w:type="pct"/>
                  <w:vAlign w:val="center"/>
                </w:tcPr>
                <w:p>
                  <w:pPr>
                    <w:adjustRightInd w:val="0"/>
                    <w:snapToGrid w:val="0"/>
                    <w:ind w:left="-105" w:leftChars="-50" w:right="-105" w:rightChars="-50"/>
                    <w:jc w:val="center"/>
                    <w:rPr>
                      <w:rFonts w:hint="eastAsia"/>
                      <w:color w:val="auto"/>
                      <w:sz w:val="21"/>
                      <w:szCs w:val="21"/>
                    </w:rPr>
                  </w:pPr>
                  <w:r>
                    <w:rPr>
                      <w:rFonts w:hint="eastAsia"/>
                      <w:color w:val="auto"/>
                      <w:sz w:val="21"/>
                      <w:szCs w:val="21"/>
                    </w:rPr>
                    <w:t>起于G</w:t>
                  </w:r>
                  <w:r>
                    <w:rPr>
                      <w:rFonts w:hint="eastAsia"/>
                      <w:color w:val="auto"/>
                      <w:sz w:val="21"/>
                      <w:szCs w:val="21"/>
                      <w:lang w:val="en-US" w:eastAsia="zh-CN"/>
                    </w:rPr>
                    <w:t>17#塔</w:t>
                  </w:r>
                  <w:r>
                    <w:rPr>
                      <w:rFonts w:hint="eastAsia"/>
                      <w:color w:val="auto"/>
                      <w:sz w:val="21"/>
                      <w:szCs w:val="21"/>
                    </w:rPr>
                    <w:t>，止于110kV淮阳变电站</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9" w:hRule="atLeast"/>
                <w:jc w:val="center"/>
              </w:trPr>
              <w:tc>
                <w:tcPr>
                  <w:tcW w:w="753" w:type="pct"/>
                  <w:vAlign w:val="center"/>
                </w:tcPr>
                <w:p>
                  <w:pPr>
                    <w:adjustRightInd w:val="0"/>
                    <w:snapToGrid w:val="0"/>
                    <w:ind w:left="-105" w:leftChars="-50" w:right="-105" w:rightChars="-50"/>
                    <w:jc w:val="center"/>
                    <w:rPr>
                      <w:color w:val="auto"/>
                      <w:sz w:val="21"/>
                      <w:szCs w:val="21"/>
                    </w:rPr>
                  </w:pPr>
                  <w:r>
                    <w:rPr>
                      <w:rFonts w:hint="eastAsia"/>
                      <w:color w:val="auto"/>
                      <w:sz w:val="21"/>
                      <w:szCs w:val="21"/>
                    </w:rPr>
                    <w:t>线路长度</w:t>
                  </w:r>
                </w:p>
              </w:tc>
              <w:tc>
                <w:tcPr>
                  <w:tcW w:w="2121" w:type="pct"/>
                  <w:vAlign w:val="center"/>
                </w:tcPr>
                <w:p>
                  <w:pPr>
                    <w:tabs>
                      <w:tab w:val="left" w:pos="3240"/>
                    </w:tabs>
                    <w:autoSpaceDE w:val="0"/>
                    <w:autoSpaceDN w:val="0"/>
                    <w:adjustRightInd w:val="0"/>
                    <w:snapToGrid w:val="0"/>
                    <w:ind w:left="-105" w:leftChars="-50" w:right="-105" w:rightChars="-50"/>
                    <w:jc w:val="center"/>
                    <w:rPr>
                      <w:bCs/>
                      <w:color w:val="auto"/>
                      <w:sz w:val="21"/>
                      <w:szCs w:val="21"/>
                    </w:rPr>
                  </w:pPr>
                  <w:r>
                    <w:rPr>
                      <w:rFonts w:hint="eastAsia"/>
                      <w:bCs/>
                      <w:color w:val="auto"/>
                      <w:szCs w:val="21"/>
                      <w:lang w:eastAsia="zh-CN"/>
                    </w:rPr>
                    <w:t>2×4.1km</w:t>
                  </w:r>
                </w:p>
              </w:tc>
              <w:tc>
                <w:tcPr>
                  <w:tcW w:w="2124" w:type="pct"/>
                  <w:vAlign w:val="center"/>
                </w:tcPr>
                <w:p>
                  <w:pPr>
                    <w:tabs>
                      <w:tab w:val="left" w:pos="3240"/>
                    </w:tabs>
                    <w:autoSpaceDE w:val="0"/>
                    <w:autoSpaceDN w:val="0"/>
                    <w:adjustRightInd w:val="0"/>
                    <w:snapToGrid w:val="0"/>
                    <w:ind w:left="-105" w:leftChars="-50" w:right="-105" w:rightChars="-50"/>
                    <w:jc w:val="center"/>
                    <w:rPr>
                      <w:rFonts w:hint="eastAsia"/>
                      <w:bCs/>
                      <w:color w:val="auto"/>
                      <w:szCs w:val="21"/>
                      <w:lang w:eastAsia="zh-CN"/>
                    </w:rPr>
                  </w:pPr>
                  <w:r>
                    <w:rPr>
                      <w:rFonts w:hint="eastAsia"/>
                      <w:bCs/>
                      <w:color w:val="auto"/>
                      <w:szCs w:val="21"/>
                      <w:lang w:eastAsia="zh-CN"/>
                    </w:rPr>
                    <w:t>0.3km（其中</w:t>
                  </w:r>
                  <w:r>
                    <w:rPr>
                      <w:rFonts w:hint="eastAsia"/>
                      <w:color w:val="auto"/>
                      <w:sz w:val="21"/>
                      <w:szCs w:val="21"/>
                      <w:lang w:eastAsia="zh-CN"/>
                    </w:rPr>
                    <w:t>德淮南线、北线各长</w:t>
                  </w:r>
                  <w:r>
                    <w:rPr>
                      <w:rFonts w:hint="eastAsia"/>
                      <w:color w:val="auto"/>
                      <w:sz w:val="21"/>
                      <w:szCs w:val="21"/>
                      <w:lang w:val="en-US" w:eastAsia="zh-CN"/>
                    </w:rPr>
                    <w:t>0.15km</w:t>
                  </w:r>
                  <w:r>
                    <w:rPr>
                      <w:rFonts w:hint="eastAsia"/>
                      <w:bCs/>
                      <w:color w:val="auto"/>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753" w:type="pct"/>
                  <w:vAlign w:val="center"/>
                </w:tcPr>
                <w:p>
                  <w:pPr>
                    <w:adjustRightInd w:val="0"/>
                    <w:snapToGrid w:val="0"/>
                    <w:ind w:left="-105" w:leftChars="-50" w:right="-105" w:rightChars="-50"/>
                    <w:jc w:val="center"/>
                    <w:rPr>
                      <w:color w:val="auto"/>
                      <w:sz w:val="21"/>
                      <w:szCs w:val="21"/>
                    </w:rPr>
                  </w:pPr>
                  <w:r>
                    <w:rPr>
                      <w:rFonts w:hint="eastAsia"/>
                      <w:color w:val="auto"/>
                      <w:sz w:val="21"/>
                      <w:szCs w:val="21"/>
                    </w:rPr>
                    <w:t>线路架设方式</w:t>
                  </w:r>
                </w:p>
              </w:tc>
              <w:tc>
                <w:tcPr>
                  <w:tcW w:w="2121" w:type="pct"/>
                  <w:vAlign w:val="center"/>
                </w:tcPr>
                <w:p>
                  <w:pPr>
                    <w:adjustRightInd w:val="0"/>
                    <w:snapToGrid w:val="0"/>
                    <w:ind w:left="-105" w:leftChars="-50" w:right="-105" w:rightChars="-50"/>
                    <w:jc w:val="center"/>
                    <w:rPr>
                      <w:rFonts w:hint="eastAsia" w:eastAsia="宋体"/>
                      <w:color w:val="auto"/>
                      <w:sz w:val="21"/>
                      <w:szCs w:val="21"/>
                      <w:lang w:eastAsia="zh-CN"/>
                    </w:rPr>
                  </w:pPr>
                  <w:r>
                    <w:rPr>
                      <w:rFonts w:hint="eastAsia"/>
                      <w:color w:val="auto"/>
                      <w:sz w:val="21"/>
                      <w:szCs w:val="21"/>
                      <w:lang w:eastAsia="zh-CN"/>
                    </w:rPr>
                    <w:t>双回</w:t>
                  </w:r>
                </w:p>
              </w:tc>
              <w:tc>
                <w:tcPr>
                  <w:tcW w:w="2124" w:type="pct"/>
                  <w:vAlign w:val="center"/>
                </w:tcPr>
                <w:p>
                  <w:pPr>
                    <w:adjustRightInd w:val="0"/>
                    <w:snapToGrid w:val="0"/>
                    <w:ind w:left="-105" w:leftChars="-50" w:right="-105" w:rightChars="-50"/>
                    <w:jc w:val="center"/>
                    <w:rPr>
                      <w:rFonts w:hint="eastAsia"/>
                      <w:color w:val="auto"/>
                      <w:sz w:val="21"/>
                      <w:szCs w:val="21"/>
                      <w:lang w:eastAsia="zh-CN"/>
                    </w:rPr>
                  </w:pPr>
                  <w:r>
                    <w:rPr>
                      <w:rFonts w:hint="eastAsia"/>
                      <w:color w:val="auto"/>
                      <w:sz w:val="21"/>
                      <w:szCs w:val="21"/>
                      <w:lang w:eastAsia="zh-CN"/>
                    </w:rPr>
                    <w:t>单回</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3" w:hRule="atLeast"/>
                <w:jc w:val="center"/>
              </w:trPr>
              <w:tc>
                <w:tcPr>
                  <w:tcW w:w="753" w:type="pct"/>
                  <w:vAlign w:val="center"/>
                </w:tcPr>
                <w:p>
                  <w:pPr>
                    <w:adjustRightInd w:val="0"/>
                    <w:snapToGrid w:val="0"/>
                    <w:ind w:left="-105" w:leftChars="-50" w:right="-105" w:rightChars="-50"/>
                    <w:jc w:val="center"/>
                    <w:rPr>
                      <w:color w:val="auto"/>
                      <w:sz w:val="21"/>
                      <w:szCs w:val="21"/>
                    </w:rPr>
                  </w:pPr>
                  <w:r>
                    <w:rPr>
                      <w:rFonts w:hint="eastAsia"/>
                      <w:color w:val="auto"/>
                      <w:sz w:val="21"/>
                      <w:szCs w:val="21"/>
                    </w:rPr>
                    <w:t>相序</w:t>
                  </w:r>
                </w:p>
              </w:tc>
              <w:tc>
                <w:tcPr>
                  <w:tcW w:w="2121" w:type="pct"/>
                  <w:vAlign w:val="center"/>
                </w:tcPr>
                <w:p>
                  <w:pPr>
                    <w:adjustRightInd w:val="0"/>
                    <w:snapToGrid w:val="0"/>
                    <w:ind w:left="-105" w:leftChars="-50" w:right="-105" w:rightChars="-50"/>
                    <w:jc w:val="center"/>
                    <w:rPr>
                      <w:color w:val="auto"/>
                      <w:sz w:val="21"/>
                      <w:szCs w:val="21"/>
                    </w:rPr>
                  </w:pPr>
                  <w:r>
                    <w:rPr>
                      <w:rFonts w:hint="eastAsia"/>
                      <w:color w:val="auto"/>
                      <w:sz w:val="21"/>
                      <w:szCs w:val="21"/>
                      <w:lang w:eastAsia="zh-CN"/>
                    </w:rPr>
                    <w:t>正</w:t>
                  </w:r>
                  <w:r>
                    <w:rPr>
                      <w:rFonts w:hint="eastAsia"/>
                      <w:color w:val="auto"/>
                      <w:sz w:val="21"/>
                      <w:szCs w:val="21"/>
                    </w:rPr>
                    <w:t>相序</w:t>
                  </w:r>
                </w:p>
              </w:tc>
              <w:tc>
                <w:tcPr>
                  <w:tcW w:w="2124" w:type="pct"/>
                  <w:vAlign w:val="center"/>
                </w:tcPr>
                <w:p>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31" w:hRule="atLeast"/>
                <w:jc w:val="center"/>
              </w:trPr>
              <w:tc>
                <w:tcPr>
                  <w:tcW w:w="753" w:type="pct"/>
                  <w:vAlign w:val="center"/>
                </w:tcPr>
                <w:p>
                  <w:pPr>
                    <w:adjustRightInd w:val="0"/>
                    <w:snapToGrid w:val="0"/>
                    <w:ind w:left="-105" w:leftChars="-50" w:right="-105" w:rightChars="-50"/>
                    <w:jc w:val="center"/>
                    <w:rPr>
                      <w:color w:val="auto"/>
                      <w:sz w:val="21"/>
                      <w:szCs w:val="21"/>
                    </w:rPr>
                  </w:pPr>
                  <w:r>
                    <w:rPr>
                      <w:rFonts w:hint="eastAsia"/>
                      <w:color w:val="auto"/>
                      <w:sz w:val="21"/>
                      <w:szCs w:val="21"/>
                    </w:rPr>
                    <w:t>导线分裂数</w:t>
                  </w:r>
                </w:p>
              </w:tc>
              <w:tc>
                <w:tcPr>
                  <w:tcW w:w="2121" w:type="pct"/>
                  <w:vAlign w:val="center"/>
                </w:tcPr>
                <w:p>
                  <w:pPr>
                    <w:adjustRightInd w:val="0"/>
                    <w:snapToGrid w:val="0"/>
                    <w:ind w:left="-105" w:leftChars="-50" w:right="-105" w:rightChars="-50"/>
                    <w:jc w:val="center"/>
                    <w:rPr>
                      <w:color w:val="auto"/>
                      <w:sz w:val="21"/>
                      <w:szCs w:val="21"/>
                    </w:rPr>
                  </w:pPr>
                  <w:r>
                    <w:rPr>
                      <w:rFonts w:hint="eastAsia"/>
                      <w:color w:val="auto"/>
                      <w:sz w:val="21"/>
                      <w:szCs w:val="21"/>
                      <w:lang w:eastAsia="zh-CN"/>
                    </w:rPr>
                    <w:t>单</w:t>
                  </w:r>
                  <w:r>
                    <w:rPr>
                      <w:rFonts w:hint="eastAsia"/>
                      <w:color w:val="auto"/>
                      <w:sz w:val="21"/>
                      <w:szCs w:val="21"/>
                    </w:rPr>
                    <w:t>分裂导线</w:t>
                  </w:r>
                </w:p>
              </w:tc>
              <w:tc>
                <w:tcPr>
                  <w:tcW w:w="2124" w:type="pct"/>
                  <w:vAlign w:val="center"/>
                </w:tcPr>
                <w:p>
                  <w:pPr>
                    <w:adjustRightInd w:val="0"/>
                    <w:snapToGrid w:val="0"/>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单</w:t>
                  </w:r>
                  <w:r>
                    <w:rPr>
                      <w:rFonts w:hint="eastAsia"/>
                      <w:color w:val="auto"/>
                      <w:sz w:val="21"/>
                      <w:szCs w:val="21"/>
                    </w:rPr>
                    <w:t>分裂导线</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55" w:hRule="atLeast"/>
                <w:jc w:val="center"/>
              </w:trPr>
              <w:tc>
                <w:tcPr>
                  <w:tcW w:w="753" w:type="pct"/>
                  <w:vAlign w:val="center"/>
                </w:tcPr>
                <w:p>
                  <w:pPr>
                    <w:adjustRightInd w:val="0"/>
                    <w:snapToGrid w:val="0"/>
                    <w:ind w:left="-105" w:leftChars="-50" w:right="-105" w:rightChars="-50"/>
                    <w:jc w:val="center"/>
                    <w:rPr>
                      <w:color w:val="auto"/>
                      <w:sz w:val="21"/>
                      <w:szCs w:val="21"/>
                    </w:rPr>
                  </w:pPr>
                  <w:r>
                    <w:rPr>
                      <w:rFonts w:hint="eastAsia"/>
                      <w:color w:val="auto"/>
                      <w:sz w:val="21"/>
                      <w:szCs w:val="21"/>
                    </w:rPr>
                    <w:t>导线型号</w:t>
                  </w:r>
                </w:p>
              </w:tc>
              <w:tc>
                <w:tcPr>
                  <w:tcW w:w="2121" w:type="pct"/>
                  <w:vAlign w:val="center"/>
                </w:tcPr>
                <w:p>
                  <w:pPr>
                    <w:adjustRightInd w:val="0"/>
                    <w:snapToGrid w:val="0"/>
                    <w:ind w:left="-105" w:leftChars="-50" w:right="-105" w:rightChars="-50"/>
                    <w:jc w:val="center"/>
                    <w:rPr>
                      <w:rFonts w:hint="eastAsia" w:eastAsia="宋体"/>
                      <w:color w:val="auto"/>
                      <w:sz w:val="21"/>
                      <w:szCs w:val="21"/>
                      <w:lang w:eastAsia="zh-CN"/>
                    </w:rPr>
                  </w:pPr>
                  <w:r>
                    <w:rPr>
                      <w:rFonts w:hint="eastAsia"/>
                      <w:color w:val="auto"/>
                      <w:sz w:val="21"/>
                      <w:szCs w:val="21"/>
                      <w:lang w:eastAsia="zh-CN"/>
                    </w:rPr>
                    <w:t>JL3/G1A-300/40型钢芯高导电率铝绞线</w:t>
                  </w:r>
                </w:p>
              </w:tc>
              <w:tc>
                <w:tcPr>
                  <w:tcW w:w="2124" w:type="pct"/>
                  <w:vAlign w:val="center"/>
                </w:tcPr>
                <w:p>
                  <w:pPr>
                    <w:adjustRightInd w:val="0"/>
                    <w:snapToGrid w:val="0"/>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JL3/G1A-300/40型钢芯高导电率铝绞线</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55" w:hRule="atLeast"/>
                <w:jc w:val="center"/>
              </w:trPr>
              <w:tc>
                <w:tcPr>
                  <w:tcW w:w="753" w:type="pct"/>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单导线外径</w:t>
                  </w:r>
                </w:p>
              </w:tc>
              <w:tc>
                <w:tcPr>
                  <w:tcW w:w="2121" w:type="pct"/>
                  <w:vAlign w:val="center"/>
                </w:tcPr>
                <w:p>
                  <w:pPr>
                    <w:adjustRightInd w:val="0"/>
                    <w:snapToGrid w:val="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23.9</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cs="Times New Roman"/>
                      <w:color w:val="auto"/>
                      <w:szCs w:val="21"/>
                      <w:highlight w:val="none"/>
                    </w:rPr>
                    <w:t>mm</w:t>
                  </w:r>
                </w:p>
              </w:tc>
              <w:tc>
                <w:tcPr>
                  <w:tcW w:w="2124" w:type="pct"/>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23.9</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cs="Times New Roman"/>
                      <w:color w:val="auto"/>
                      <w:szCs w:val="21"/>
                      <w:highlight w:val="none"/>
                    </w:rPr>
                    <w:t>mm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55" w:hRule="atLeast"/>
                <w:jc w:val="center"/>
              </w:trPr>
              <w:tc>
                <w:tcPr>
                  <w:tcW w:w="753" w:type="pct"/>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导线载流量</w:t>
                  </w:r>
                </w:p>
              </w:tc>
              <w:tc>
                <w:tcPr>
                  <w:tcW w:w="2121" w:type="pct"/>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750</w:t>
                  </w:r>
                  <w:r>
                    <w:rPr>
                      <w:rFonts w:hint="default" w:ascii="Times New Roman" w:hAnsi="Times New Roman" w:eastAsia="宋体" w:cs="Times New Roman"/>
                      <w:color w:val="auto"/>
                      <w:szCs w:val="21"/>
                      <w:highlight w:val="none"/>
                    </w:rPr>
                    <w:t>A</w:t>
                  </w:r>
                </w:p>
              </w:tc>
              <w:tc>
                <w:tcPr>
                  <w:tcW w:w="2124" w:type="pct"/>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750</w:t>
                  </w:r>
                  <w:r>
                    <w:rPr>
                      <w:rFonts w:hint="default" w:ascii="Times New Roman" w:hAnsi="Times New Roman" w:eastAsia="宋体" w:cs="Times New Roman"/>
                      <w:color w:val="auto"/>
                      <w:szCs w:val="21"/>
                      <w:highlight w:val="none"/>
                    </w:rPr>
                    <w:t>A</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6" w:hRule="atLeast"/>
                <w:jc w:val="center"/>
              </w:trPr>
              <w:tc>
                <w:tcPr>
                  <w:tcW w:w="753" w:type="pct"/>
                  <w:vAlign w:val="center"/>
                </w:tcPr>
                <w:p>
                  <w:pPr>
                    <w:adjustRightInd w:val="0"/>
                    <w:snapToGrid w:val="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地线型号</w:t>
                  </w:r>
                </w:p>
              </w:tc>
              <w:tc>
                <w:tcPr>
                  <w:tcW w:w="2121" w:type="pct"/>
                  <w:vAlign w:val="center"/>
                </w:tcPr>
                <w:p>
                  <w:pPr>
                    <w:adjustRightInd w:val="0"/>
                    <w:snapToGrid w:val="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采用2根48芯OPGW-90光缆</w:t>
                  </w:r>
                </w:p>
              </w:tc>
              <w:tc>
                <w:tcPr>
                  <w:tcW w:w="2124" w:type="pct"/>
                  <w:vAlign w:val="center"/>
                </w:tcPr>
                <w:p>
                  <w:pPr>
                    <w:adjustRightInd w:val="0"/>
                    <w:snapToGrid w:val="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1根48芯OPGW-90光缆，1根JLB20A-80型铝包钢绞线</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6" w:hRule="atLeast"/>
                <w:jc w:val="center"/>
              </w:trPr>
              <w:tc>
                <w:tcPr>
                  <w:tcW w:w="753" w:type="pct"/>
                  <w:vAlign w:val="center"/>
                </w:tcPr>
                <w:p>
                  <w:pPr>
                    <w:adjustRightInd w:val="0"/>
                    <w:snapToGrid w:val="0"/>
                    <w:ind w:left="-105" w:leftChars="-50" w:right="-105" w:rightChars="-50"/>
                    <w:jc w:val="center"/>
                    <w:rPr>
                      <w:color w:val="auto"/>
                      <w:sz w:val="21"/>
                      <w:szCs w:val="21"/>
                    </w:rPr>
                  </w:pPr>
                  <w:r>
                    <w:rPr>
                      <w:rFonts w:hint="eastAsia"/>
                      <w:color w:val="auto"/>
                      <w:sz w:val="21"/>
                      <w:szCs w:val="21"/>
                    </w:rPr>
                    <w:t>中性点接地方式</w:t>
                  </w:r>
                </w:p>
              </w:tc>
              <w:tc>
                <w:tcPr>
                  <w:tcW w:w="2121" w:type="pct"/>
                  <w:vAlign w:val="center"/>
                </w:tcPr>
                <w:p>
                  <w:pPr>
                    <w:adjustRightInd w:val="0"/>
                    <w:snapToGrid w:val="0"/>
                    <w:ind w:left="-105" w:leftChars="-50" w:right="-105" w:rightChars="-50"/>
                    <w:jc w:val="center"/>
                    <w:rPr>
                      <w:color w:val="auto"/>
                      <w:sz w:val="21"/>
                      <w:szCs w:val="21"/>
                    </w:rPr>
                  </w:pPr>
                  <w:r>
                    <w:rPr>
                      <w:rFonts w:hint="eastAsia"/>
                      <w:color w:val="auto"/>
                      <w:sz w:val="21"/>
                      <w:szCs w:val="21"/>
                    </w:rPr>
                    <w:t>直接接地方式</w:t>
                  </w:r>
                </w:p>
              </w:tc>
              <w:tc>
                <w:tcPr>
                  <w:tcW w:w="2124" w:type="pct"/>
                  <w:vAlign w:val="center"/>
                </w:tcPr>
                <w:p>
                  <w:pPr>
                    <w:adjustRightInd w:val="0"/>
                    <w:snapToGrid w:val="0"/>
                    <w:ind w:left="-105" w:leftChars="-50" w:right="-105" w:rightChars="-50"/>
                    <w:jc w:val="center"/>
                    <w:rPr>
                      <w:rFonts w:hint="eastAsia"/>
                      <w:color w:val="auto"/>
                      <w:sz w:val="21"/>
                      <w:szCs w:val="21"/>
                    </w:rPr>
                  </w:pPr>
                  <w:r>
                    <w:rPr>
                      <w:rFonts w:hint="eastAsia"/>
                      <w:color w:val="auto"/>
                      <w:sz w:val="21"/>
                      <w:szCs w:val="21"/>
                    </w:rPr>
                    <w:t>直接接地方式</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08" w:hRule="atLeast"/>
                <w:jc w:val="center"/>
              </w:trPr>
              <w:tc>
                <w:tcPr>
                  <w:tcW w:w="753" w:type="pct"/>
                  <w:vAlign w:val="center"/>
                </w:tcPr>
                <w:p>
                  <w:pPr>
                    <w:adjustRightInd w:val="0"/>
                    <w:snapToGrid w:val="0"/>
                    <w:ind w:left="-105" w:leftChars="-50" w:right="-105" w:rightChars="-50"/>
                    <w:jc w:val="center"/>
                    <w:rPr>
                      <w:color w:val="auto"/>
                      <w:sz w:val="21"/>
                      <w:szCs w:val="21"/>
                    </w:rPr>
                  </w:pPr>
                  <w:r>
                    <w:rPr>
                      <w:rFonts w:hint="eastAsia"/>
                      <w:color w:val="auto"/>
                      <w:sz w:val="21"/>
                      <w:szCs w:val="21"/>
                    </w:rPr>
                    <w:t>杆塔使用</w:t>
                  </w:r>
                </w:p>
              </w:tc>
              <w:tc>
                <w:tcPr>
                  <w:tcW w:w="2121" w:type="pct"/>
                  <w:vAlign w:val="center"/>
                </w:tcPr>
                <w:p>
                  <w:pPr>
                    <w:ind w:firstLine="420" w:firstLineChars="200"/>
                    <w:jc w:val="center"/>
                    <w:rPr>
                      <w:color w:val="auto"/>
                      <w:sz w:val="21"/>
                      <w:szCs w:val="21"/>
                    </w:rPr>
                  </w:pPr>
                  <w:r>
                    <w:rPr>
                      <w:rFonts w:hint="eastAsia"/>
                      <w:color w:val="auto"/>
                      <w:sz w:val="21"/>
                      <w:szCs w:val="21"/>
                      <w:highlight w:val="none"/>
                      <w:lang w:eastAsia="zh-CN"/>
                    </w:rPr>
                    <w:t>1</w:t>
                  </w:r>
                  <w:r>
                    <w:rPr>
                      <w:rFonts w:hint="eastAsia"/>
                      <w:color w:val="auto"/>
                      <w:sz w:val="21"/>
                      <w:szCs w:val="21"/>
                      <w:highlight w:val="none"/>
                      <w:lang w:val="en-US" w:eastAsia="zh-CN"/>
                    </w:rPr>
                    <w:t>7</w:t>
                  </w:r>
                  <w:r>
                    <w:rPr>
                      <w:rFonts w:hint="eastAsia"/>
                      <w:color w:val="auto"/>
                      <w:sz w:val="21"/>
                      <w:szCs w:val="21"/>
                      <w:highlight w:val="none"/>
                      <w:lang w:eastAsia="zh-CN"/>
                    </w:rPr>
                    <w:t>基</w:t>
                  </w:r>
                </w:p>
              </w:tc>
              <w:tc>
                <w:tcPr>
                  <w:tcW w:w="2124" w:type="pct"/>
                  <w:vAlign w:val="center"/>
                </w:tcPr>
                <w:p>
                  <w:pPr>
                    <w:ind w:firstLine="420" w:firstLineChars="200"/>
                    <w:jc w:val="center"/>
                    <w:rPr>
                      <w:rFonts w:hint="eastAsia"/>
                      <w:color w:val="auto"/>
                      <w:sz w:val="21"/>
                      <w:szCs w:val="21"/>
                      <w:highlight w:val="none"/>
                      <w:lang w:eastAsia="zh-CN"/>
                    </w:rPr>
                  </w:pPr>
                  <w:r>
                    <w:rPr>
                      <w:rFonts w:hint="eastAsia"/>
                      <w:color w:val="auto"/>
                      <w:sz w:val="21"/>
                      <w:szCs w:val="21"/>
                      <w:lang w:eastAsia="zh-CN"/>
                    </w:rPr>
                    <w:t>德淮南线、北线各</w:t>
                  </w:r>
                  <w:r>
                    <w:rPr>
                      <w:rFonts w:hint="eastAsia"/>
                      <w:color w:val="auto"/>
                      <w:sz w:val="21"/>
                      <w:szCs w:val="21"/>
                      <w:highlight w:val="none"/>
                      <w:lang w:val="en-US" w:eastAsia="zh-CN"/>
                    </w:rPr>
                    <w:t>1</w:t>
                  </w:r>
                  <w:r>
                    <w:rPr>
                      <w:rFonts w:hint="eastAsia"/>
                      <w:color w:val="auto"/>
                      <w:sz w:val="21"/>
                      <w:szCs w:val="21"/>
                      <w:highlight w:val="none"/>
                    </w:rPr>
                    <w:t>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46" w:hRule="atLeast"/>
                <w:jc w:val="center"/>
              </w:trPr>
              <w:tc>
                <w:tcPr>
                  <w:tcW w:w="753" w:type="pct"/>
                  <w:vAlign w:val="center"/>
                </w:tcPr>
                <w:p>
                  <w:pPr>
                    <w:tabs>
                      <w:tab w:val="left" w:pos="997"/>
                    </w:tabs>
                    <w:adjustRightInd w:val="0"/>
                    <w:snapToGrid w:val="0"/>
                    <w:ind w:left="-105" w:leftChars="-50" w:right="-105" w:rightChars="-50"/>
                    <w:jc w:val="center"/>
                    <w:rPr>
                      <w:color w:val="auto"/>
                      <w:sz w:val="21"/>
                      <w:szCs w:val="21"/>
                    </w:rPr>
                  </w:pPr>
                  <w:r>
                    <w:rPr>
                      <w:rFonts w:hint="eastAsia"/>
                      <w:color w:val="auto"/>
                      <w:sz w:val="21"/>
                      <w:szCs w:val="21"/>
                    </w:rPr>
                    <w:t>主要交叉跨越</w:t>
                  </w:r>
                </w:p>
              </w:tc>
              <w:tc>
                <w:tcPr>
                  <w:tcW w:w="2121" w:type="pct"/>
                  <w:vAlign w:val="center"/>
                </w:tcPr>
                <w:p>
                  <w:pPr>
                    <w:ind w:firstLine="420" w:firstLineChars="200"/>
                    <w:jc w:val="center"/>
                    <w:rPr>
                      <w:color w:val="auto"/>
                      <w:sz w:val="21"/>
                      <w:szCs w:val="21"/>
                    </w:rPr>
                  </w:pPr>
                  <w:r>
                    <w:rPr>
                      <w:rFonts w:hint="eastAsia" w:cs="Times New Roman"/>
                      <w:color w:val="auto"/>
                      <w:sz w:val="21"/>
                      <w:szCs w:val="21"/>
                      <w:highlight w:val="none"/>
                      <w:lang w:val="en-US" w:eastAsia="zh-CN"/>
                    </w:rPr>
                    <w:t>跨在建渝遂高速1次，钻220kV铜龙南北线1次、220kV全龙南北线1次，跨35kV铜永线1次、35kV铁永线1次、35kV川蒲线1次、10kV线路6次、低压线15次，跨省道1次、乡道9次，跨淮远河1次、鱼塘6次。</w:t>
                  </w:r>
                </w:p>
              </w:tc>
              <w:tc>
                <w:tcPr>
                  <w:tcW w:w="2124" w:type="pct"/>
                  <w:vAlign w:val="center"/>
                </w:tcPr>
                <w:p>
                  <w:pPr>
                    <w:ind w:firstLine="420" w:firstLineChars="200"/>
                    <w:jc w:val="center"/>
                    <w:rPr>
                      <w:rFonts w:hint="eastAsia" w:cs="Times New Roman"/>
                      <w:color w:val="auto"/>
                      <w:sz w:val="21"/>
                      <w:szCs w:val="21"/>
                      <w:highlight w:val="none"/>
                      <w:lang w:val="en-US" w:eastAsia="zh-CN"/>
                    </w:rPr>
                  </w:pPr>
                  <w:r>
                    <w:rPr>
                      <w:rFonts w:hint="eastAsia"/>
                      <w:color w:val="auto"/>
                      <w:sz w:val="21"/>
                      <w:szCs w:val="21"/>
                      <w:lang w:eastAsia="zh-CN"/>
                    </w:rPr>
                    <w:t>德淮南线、北线各</w:t>
                  </w:r>
                  <w:r>
                    <w:rPr>
                      <w:rFonts w:hint="eastAsia" w:cs="Times New Roman"/>
                      <w:color w:val="auto"/>
                      <w:sz w:val="21"/>
                      <w:szCs w:val="21"/>
                      <w:highlight w:val="none"/>
                      <w:lang w:val="en-US" w:eastAsia="zh-CN"/>
                    </w:rPr>
                    <w:t>跨低压线1次</w:t>
                  </w:r>
                  <w:r>
                    <w:rPr>
                      <w:color w:val="auto"/>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72" w:hRule="atLeast"/>
                <w:jc w:val="center"/>
              </w:trPr>
              <w:tc>
                <w:tcPr>
                  <w:tcW w:w="753" w:type="pct"/>
                  <w:vAlign w:val="center"/>
                </w:tcPr>
                <w:p>
                  <w:pPr>
                    <w:tabs>
                      <w:tab w:val="left" w:pos="997"/>
                      <w:tab w:val="left" w:pos="2594"/>
                    </w:tabs>
                    <w:adjustRightInd w:val="0"/>
                    <w:snapToGrid w:val="0"/>
                    <w:ind w:left="-105" w:leftChars="-50" w:right="-105" w:rightChars="-50"/>
                    <w:jc w:val="center"/>
                    <w:rPr>
                      <w:color w:val="auto"/>
                      <w:sz w:val="21"/>
                      <w:szCs w:val="21"/>
                    </w:rPr>
                  </w:pPr>
                  <w:r>
                    <w:rPr>
                      <w:rFonts w:hint="eastAsia"/>
                      <w:color w:val="auto"/>
                      <w:sz w:val="21"/>
                      <w:szCs w:val="21"/>
                    </w:rPr>
                    <w:t>预计运输距离</w:t>
                  </w:r>
                </w:p>
              </w:tc>
              <w:tc>
                <w:tcPr>
                  <w:tcW w:w="2121" w:type="pct"/>
                  <w:vAlign w:val="center"/>
                </w:tcPr>
                <w:p>
                  <w:pPr>
                    <w:adjustRightInd w:val="0"/>
                    <w:snapToGrid w:val="0"/>
                    <w:ind w:left="-105" w:leftChars="-50" w:right="-105" w:rightChars="-50"/>
                    <w:jc w:val="center"/>
                    <w:rPr>
                      <w:color w:val="auto"/>
                      <w:sz w:val="21"/>
                      <w:szCs w:val="21"/>
                    </w:rPr>
                  </w:pPr>
                  <w:r>
                    <w:rPr>
                      <w:rFonts w:hint="default" w:ascii="Times New Roman" w:hAnsi="Times New Roman" w:cs="Times New Roman"/>
                      <w:color w:val="auto"/>
                      <w:sz w:val="21"/>
                      <w:szCs w:val="21"/>
                      <w:highlight w:val="none"/>
                      <w:lang w:val="zh-CN"/>
                    </w:rPr>
                    <w:t>非机械化施工人力抬运距约</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zh-CN"/>
                    </w:rPr>
                    <w:t>m，汽车运距约</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zh-CN"/>
                    </w:rPr>
                    <w:t>km</w:t>
                  </w:r>
                  <w:r>
                    <w:rPr>
                      <w:color w:val="auto"/>
                      <w:sz w:val="21"/>
                      <w:szCs w:val="21"/>
                      <w:highlight w:val="none"/>
                    </w:rPr>
                    <w:t>。</w:t>
                  </w:r>
                </w:p>
              </w:tc>
              <w:tc>
                <w:tcPr>
                  <w:tcW w:w="2124" w:type="pct"/>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cs="Times New Roman"/>
                      <w:color w:val="auto"/>
                      <w:sz w:val="21"/>
                      <w:szCs w:val="21"/>
                      <w:highlight w:val="none"/>
                      <w:lang w:val="zh-CN"/>
                    </w:rPr>
                    <w:t>非机械化施工人力抬运距约</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zh-CN"/>
                    </w:rPr>
                    <w:t>m，汽车运距约</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zh-CN"/>
                    </w:rPr>
                    <w:t>km</w:t>
                  </w:r>
                  <w:r>
                    <w:rPr>
                      <w:color w:val="auto"/>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72" w:hRule="atLeast"/>
                <w:jc w:val="center"/>
              </w:trPr>
              <w:tc>
                <w:tcPr>
                  <w:tcW w:w="753" w:type="pct"/>
                  <w:vAlign w:val="center"/>
                </w:tcPr>
                <w:p>
                  <w:pPr>
                    <w:tabs>
                      <w:tab w:val="left" w:pos="997"/>
                      <w:tab w:val="left" w:pos="2594"/>
                    </w:tabs>
                    <w:adjustRightInd w:val="0"/>
                    <w:snapToGrid w:val="0"/>
                    <w:ind w:left="-105" w:leftChars="-50" w:right="-105" w:rightChars="-50"/>
                    <w:jc w:val="center"/>
                    <w:rPr>
                      <w:rFonts w:hint="eastAsia" w:eastAsia="宋体"/>
                      <w:color w:val="auto"/>
                      <w:sz w:val="21"/>
                      <w:szCs w:val="21"/>
                      <w:lang w:eastAsia="zh-CN"/>
                    </w:rPr>
                  </w:pPr>
                  <w:r>
                    <w:rPr>
                      <w:rFonts w:hint="eastAsia"/>
                      <w:color w:val="auto"/>
                      <w:sz w:val="21"/>
                      <w:szCs w:val="21"/>
                      <w:lang w:eastAsia="zh-CN"/>
                    </w:rPr>
                    <w:t>林木砍伐</w:t>
                  </w:r>
                </w:p>
              </w:tc>
              <w:tc>
                <w:tcPr>
                  <w:tcW w:w="2121" w:type="pct"/>
                  <w:vAlign w:val="center"/>
                </w:tcPr>
                <w:p>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zh-CN"/>
                    </w:rPr>
                    <w:t>共需砍伐林木</w:t>
                  </w:r>
                  <w:r>
                    <w:rPr>
                      <w:rFonts w:hint="eastAsia" w:cs="Times New Roman"/>
                      <w:color w:val="auto"/>
                      <w:sz w:val="21"/>
                      <w:szCs w:val="21"/>
                      <w:highlight w:val="none"/>
                      <w:lang w:val="en-US" w:eastAsia="zh-CN"/>
                    </w:rPr>
                    <w:t>1400棵</w:t>
                  </w:r>
                </w:p>
              </w:tc>
              <w:tc>
                <w:tcPr>
                  <w:tcW w:w="2124" w:type="pct"/>
                  <w:vAlign w:val="center"/>
                </w:tcPr>
                <w:p>
                  <w:pPr>
                    <w:adjustRightInd w:val="0"/>
                    <w:snapToGrid w:val="0"/>
                    <w:ind w:left="-105" w:leftChars="-50" w:right="-105" w:rightChars="-50"/>
                    <w:jc w:val="center"/>
                    <w:rPr>
                      <w:rFonts w:hint="eastAsia" w:ascii="Times New Roman" w:hAnsi="Times New Roman" w:eastAsia="宋体" w:cs="Times New Roman"/>
                      <w:color w:val="auto"/>
                      <w:kern w:val="2"/>
                      <w:sz w:val="21"/>
                      <w:szCs w:val="21"/>
                      <w:highlight w:val="none"/>
                      <w:lang w:val="zh-CN" w:eastAsia="zh-CN" w:bidi="ar-SA"/>
                    </w:rPr>
                  </w:pPr>
                  <w:r>
                    <w:rPr>
                      <w:rFonts w:hint="eastAsia" w:cs="Times New Roman"/>
                      <w:color w:val="auto"/>
                      <w:sz w:val="21"/>
                      <w:szCs w:val="21"/>
                      <w:highlight w:val="none"/>
                      <w:lang w:val="zh-CN"/>
                    </w:rPr>
                    <w:t>共需砍伐林木</w:t>
                  </w:r>
                  <w:r>
                    <w:rPr>
                      <w:rFonts w:hint="eastAsia" w:cs="Times New Roman"/>
                      <w:color w:val="auto"/>
                      <w:sz w:val="21"/>
                      <w:szCs w:val="21"/>
                      <w:highlight w:val="none"/>
                      <w:lang w:val="en-US" w:eastAsia="zh-CN"/>
                    </w:rPr>
                    <w:t>100棵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08" w:hRule="atLeast"/>
                <w:jc w:val="center"/>
              </w:trPr>
              <w:tc>
                <w:tcPr>
                  <w:tcW w:w="753" w:type="pct"/>
                  <w:vAlign w:val="center"/>
                </w:tcPr>
                <w:p>
                  <w:pPr>
                    <w:tabs>
                      <w:tab w:val="left" w:pos="997"/>
                    </w:tabs>
                    <w:adjustRightInd w:val="0"/>
                    <w:snapToGrid w:val="0"/>
                    <w:ind w:left="-105" w:leftChars="-50" w:right="-105" w:rightChars="-50"/>
                    <w:jc w:val="center"/>
                    <w:rPr>
                      <w:color w:val="auto"/>
                      <w:sz w:val="21"/>
                      <w:szCs w:val="21"/>
                    </w:rPr>
                  </w:pPr>
                  <w:r>
                    <w:rPr>
                      <w:rFonts w:hint="eastAsia"/>
                      <w:color w:val="auto"/>
                      <w:sz w:val="21"/>
                      <w:szCs w:val="21"/>
                    </w:rPr>
                    <w:t>主要气象条件</w:t>
                  </w:r>
                </w:p>
              </w:tc>
              <w:tc>
                <w:tcPr>
                  <w:tcW w:w="2121" w:type="pct"/>
                  <w:vAlign w:val="center"/>
                </w:tcPr>
                <w:p>
                  <w:pPr>
                    <w:adjustRightInd w:val="0"/>
                    <w:snapToGrid w:val="0"/>
                    <w:ind w:left="-105" w:leftChars="-50" w:right="-105" w:rightChars="-50"/>
                    <w:jc w:val="center"/>
                    <w:rPr>
                      <w:color w:val="auto"/>
                      <w:sz w:val="21"/>
                      <w:szCs w:val="21"/>
                    </w:rPr>
                  </w:pPr>
                  <w:r>
                    <w:rPr>
                      <w:rFonts w:hint="eastAsia"/>
                      <w:color w:val="auto"/>
                      <w:sz w:val="21"/>
                      <w:szCs w:val="21"/>
                      <w:highlight w:val="none"/>
                    </w:rPr>
                    <w:t>最高气温40℃，最低气温-5℃，年平均气温15℃，基本风速23.5m/s，覆冰5mm。</w:t>
                  </w:r>
                </w:p>
              </w:tc>
              <w:tc>
                <w:tcPr>
                  <w:tcW w:w="2124" w:type="pct"/>
                  <w:vAlign w:val="center"/>
                </w:tcPr>
                <w:p>
                  <w:pPr>
                    <w:adjustRightInd w:val="0"/>
                    <w:snapToGrid w:val="0"/>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highlight w:val="none"/>
                    </w:rPr>
                    <w:t>最高气温40℃，最低气温-5℃，年平均气温15℃，基本风速23.5m/s，覆冰5mm。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08" w:hRule="atLeast"/>
                <w:jc w:val="center"/>
              </w:trPr>
              <w:tc>
                <w:tcPr>
                  <w:tcW w:w="753" w:type="pct"/>
                  <w:vAlign w:val="center"/>
                </w:tcPr>
                <w:p>
                  <w:pPr>
                    <w:tabs>
                      <w:tab w:val="left" w:pos="997"/>
                    </w:tabs>
                    <w:adjustRightInd w:val="0"/>
                    <w:snapToGrid w:val="0"/>
                    <w:ind w:left="-105" w:leftChars="-50" w:right="-105" w:rightChars="-50"/>
                    <w:jc w:val="center"/>
                    <w:rPr>
                      <w:color w:val="auto"/>
                      <w:sz w:val="21"/>
                      <w:szCs w:val="21"/>
                    </w:rPr>
                  </w:pPr>
                  <w:r>
                    <w:rPr>
                      <w:rFonts w:hint="eastAsia"/>
                      <w:color w:val="auto"/>
                      <w:sz w:val="21"/>
                      <w:szCs w:val="21"/>
                    </w:rPr>
                    <w:t>沿线地形地貌</w:t>
                  </w:r>
                </w:p>
              </w:tc>
              <w:tc>
                <w:tcPr>
                  <w:tcW w:w="2121" w:type="pct"/>
                  <w:vAlign w:val="center"/>
                </w:tcPr>
                <w:p>
                  <w:pPr>
                    <w:adjustRightInd w:val="0"/>
                    <w:snapToGrid w:val="0"/>
                    <w:ind w:left="-105" w:leftChars="-50" w:right="-105" w:rightChars="-50"/>
                    <w:jc w:val="center"/>
                    <w:rPr>
                      <w:color w:val="auto"/>
                      <w:sz w:val="21"/>
                      <w:szCs w:val="21"/>
                    </w:rPr>
                  </w:pPr>
                  <w:r>
                    <w:rPr>
                      <w:rFonts w:hint="eastAsia"/>
                      <w:color w:val="auto"/>
                      <w:sz w:val="21"/>
                      <w:szCs w:val="21"/>
                      <w:highlight w:val="none"/>
                    </w:rPr>
                    <w:t>丘陵占100%。</w:t>
                  </w:r>
                </w:p>
              </w:tc>
              <w:tc>
                <w:tcPr>
                  <w:tcW w:w="2124" w:type="pct"/>
                  <w:vAlign w:val="center"/>
                </w:tcPr>
                <w:p>
                  <w:pPr>
                    <w:adjustRightInd w:val="0"/>
                    <w:snapToGrid w:val="0"/>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highlight w:val="none"/>
                    </w:rPr>
                    <w:t>丘陵占100%。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6" w:hRule="atLeast"/>
                <w:jc w:val="center"/>
              </w:trPr>
              <w:tc>
                <w:tcPr>
                  <w:tcW w:w="753" w:type="pct"/>
                  <w:vAlign w:val="center"/>
                </w:tcPr>
                <w:p>
                  <w:pPr>
                    <w:tabs>
                      <w:tab w:val="left" w:pos="997"/>
                    </w:tabs>
                    <w:adjustRightInd w:val="0"/>
                    <w:snapToGrid w:val="0"/>
                    <w:ind w:left="-105" w:leftChars="-50" w:right="-105" w:rightChars="-50"/>
                    <w:jc w:val="center"/>
                    <w:rPr>
                      <w:color w:val="auto"/>
                      <w:sz w:val="21"/>
                      <w:szCs w:val="21"/>
                    </w:rPr>
                  </w:pPr>
                  <w:r>
                    <w:rPr>
                      <w:rFonts w:hint="eastAsia"/>
                      <w:color w:val="auto"/>
                      <w:sz w:val="21"/>
                      <w:szCs w:val="21"/>
                    </w:rPr>
                    <w:t>沿线海拔</w:t>
                  </w:r>
                </w:p>
              </w:tc>
              <w:tc>
                <w:tcPr>
                  <w:tcW w:w="2121" w:type="pct"/>
                  <w:vAlign w:val="center"/>
                </w:tcPr>
                <w:p>
                  <w:pPr>
                    <w:adjustRightInd w:val="0"/>
                    <w:snapToGrid w:val="0"/>
                    <w:ind w:left="-105" w:leftChars="-50" w:right="-105" w:rightChars="-50"/>
                    <w:jc w:val="center"/>
                    <w:rPr>
                      <w:color w:val="auto"/>
                      <w:sz w:val="21"/>
                      <w:szCs w:val="21"/>
                    </w:rPr>
                  </w:pPr>
                  <w:r>
                    <w:rPr>
                      <w:rFonts w:hint="eastAsia"/>
                      <w:color w:val="auto"/>
                      <w:sz w:val="21"/>
                      <w:szCs w:val="21"/>
                      <w:highlight w:val="none"/>
                    </w:rPr>
                    <w:t>250m～310m。</w:t>
                  </w:r>
                </w:p>
              </w:tc>
              <w:tc>
                <w:tcPr>
                  <w:tcW w:w="2124" w:type="pct"/>
                  <w:vAlign w:val="center"/>
                </w:tcPr>
                <w:p>
                  <w:pPr>
                    <w:adjustRightInd w:val="0"/>
                    <w:snapToGrid w:val="0"/>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highlight w:val="none"/>
                    </w:rPr>
                    <w:t>250m～310m。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753" w:type="pct"/>
                  <w:vAlign w:val="center"/>
                </w:tcPr>
                <w:p>
                  <w:pPr>
                    <w:tabs>
                      <w:tab w:val="left" w:pos="997"/>
                    </w:tabs>
                    <w:adjustRightInd w:val="0"/>
                    <w:snapToGrid w:val="0"/>
                    <w:ind w:left="-105" w:leftChars="-50" w:right="-105" w:rightChars="-50"/>
                    <w:jc w:val="center"/>
                    <w:rPr>
                      <w:color w:val="auto"/>
                      <w:sz w:val="21"/>
                      <w:szCs w:val="21"/>
                    </w:rPr>
                  </w:pPr>
                  <w:r>
                    <w:rPr>
                      <w:rFonts w:hint="eastAsia"/>
                      <w:color w:val="auto"/>
                      <w:sz w:val="21"/>
                      <w:szCs w:val="21"/>
                    </w:rPr>
                    <w:t>基础形式</w:t>
                  </w:r>
                </w:p>
              </w:tc>
              <w:tc>
                <w:tcPr>
                  <w:tcW w:w="2121" w:type="pct"/>
                  <w:vAlign w:val="center"/>
                </w:tcPr>
                <w:p>
                  <w:pPr>
                    <w:adjustRightInd w:val="0"/>
                    <w:snapToGrid w:val="0"/>
                    <w:ind w:left="-105" w:leftChars="-50" w:right="-105" w:rightChars="-50"/>
                    <w:jc w:val="center"/>
                    <w:rPr>
                      <w:color w:val="auto"/>
                      <w:sz w:val="21"/>
                      <w:szCs w:val="21"/>
                    </w:rPr>
                  </w:pPr>
                  <w:r>
                    <w:rPr>
                      <w:rFonts w:hint="eastAsia"/>
                      <w:color w:val="auto"/>
                      <w:sz w:val="21"/>
                      <w:szCs w:val="21"/>
                    </w:rPr>
                    <w:t>掏挖式基础、人工挖孔桩基础</w:t>
                  </w:r>
                </w:p>
              </w:tc>
              <w:tc>
                <w:tcPr>
                  <w:tcW w:w="2124" w:type="pct"/>
                  <w:vAlign w:val="center"/>
                </w:tcPr>
                <w:p>
                  <w:pPr>
                    <w:adjustRightInd w:val="0"/>
                    <w:snapToGrid w:val="0"/>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人工挖孔桩基础</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753" w:type="pct"/>
                  <w:vAlign w:val="center"/>
                </w:tcPr>
                <w:p>
                  <w:pPr>
                    <w:adjustRightInd w:val="0"/>
                    <w:snapToGrid w:val="0"/>
                    <w:jc w:val="center"/>
                    <w:rPr>
                      <w:rFonts w:hint="eastAsia"/>
                      <w:color w:val="auto"/>
                      <w:sz w:val="21"/>
                      <w:szCs w:val="21"/>
                      <w:highlight w:val="none"/>
                    </w:rPr>
                  </w:pPr>
                  <w:r>
                    <w:rPr>
                      <w:snapToGrid w:val="0"/>
                      <w:color w:val="auto"/>
                      <w:sz w:val="21"/>
                      <w:szCs w:val="21"/>
                      <w:highlight w:val="none"/>
                    </w:rPr>
                    <w:t>挖填方量</w:t>
                  </w:r>
                </w:p>
              </w:tc>
              <w:tc>
                <w:tcPr>
                  <w:tcW w:w="2121" w:type="pct"/>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highlight w:val="none"/>
                    </w:rPr>
                    <w:t>挖方</w:t>
                  </w:r>
                  <w:r>
                    <w:rPr>
                      <w:rFonts w:hint="eastAsia"/>
                      <w:color w:val="auto"/>
                      <w:sz w:val="21"/>
                      <w:szCs w:val="21"/>
                      <w:highlight w:val="none"/>
                      <w:lang w:val="en-US" w:eastAsia="zh-CN"/>
                    </w:rPr>
                    <w:t>510</w:t>
                  </w:r>
                  <w:r>
                    <w:rPr>
                      <w:rFonts w:hint="eastAsia"/>
                      <w:color w:val="auto"/>
                      <w:sz w:val="21"/>
                      <w:szCs w:val="21"/>
                      <w:highlight w:val="none"/>
                    </w:rPr>
                    <w:t>m</w:t>
                  </w:r>
                  <w:r>
                    <w:rPr>
                      <w:color w:val="auto"/>
                      <w:sz w:val="21"/>
                      <w:szCs w:val="21"/>
                      <w:highlight w:val="none"/>
                      <w:vertAlign w:val="superscript"/>
                    </w:rPr>
                    <w:t>3</w:t>
                  </w:r>
                  <w:r>
                    <w:rPr>
                      <w:rFonts w:hint="eastAsia"/>
                      <w:color w:val="auto"/>
                      <w:sz w:val="21"/>
                      <w:szCs w:val="21"/>
                      <w:highlight w:val="none"/>
                    </w:rPr>
                    <w:t>，填方</w:t>
                  </w:r>
                  <w:r>
                    <w:rPr>
                      <w:rFonts w:hint="eastAsia"/>
                      <w:color w:val="auto"/>
                      <w:sz w:val="21"/>
                      <w:szCs w:val="21"/>
                      <w:highlight w:val="none"/>
                      <w:lang w:val="en-US" w:eastAsia="zh-CN"/>
                    </w:rPr>
                    <w:t>510</w:t>
                  </w:r>
                  <w:r>
                    <w:rPr>
                      <w:rFonts w:hint="eastAsia"/>
                      <w:color w:val="auto"/>
                      <w:sz w:val="21"/>
                      <w:szCs w:val="21"/>
                      <w:highlight w:val="none"/>
                    </w:rPr>
                    <w:t>m</w:t>
                  </w:r>
                  <w:r>
                    <w:rPr>
                      <w:color w:val="auto"/>
                      <w:sz w:val="21"/>
                      <w:szCs w:val="21"/>
                      <w:highlight w:val="none"/>
                      <w:vertAlign w:val="superscript"/>
                    </w:rPr>
                    <w:t>3</w:t>
                  </w:r>
                </w:p>
              </w:tc>
              <w:tc>
                <w:tcPr>
                  <w:tcW w:w="2124" w:type="pct"/>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挖方</w:t>
                  </w:r>
                  <w:r>
                    <w:rPr>
                      <w:rFonts w:hint="eastAsia"/>
                      <w:color w:val="auto"/>
                      <w:sz w:val="21"/>
                      <w:szCs w:val="21"/>
                      <w:highlight w:val="none"/>
                      <w:lang w:val="en-US" w:eastAsia="zh-CN"/>
                    </w:rPr>
                    <w:t>60</w:t>
                  </w:r>
                  <w:r>
                    <w:rPr>
                      <w:rFonts w:hint="eastAsia"/>
                      <w:color w:val="auto"/>
                      <w:sz w:val="21"/>
                      <w:szCs w:val="21"/>
                      <w:highlight w:val="none"/>
                    </w:rPr>
                    <w:t>m</w:t>
                  </w:r>
                  <w:r>
                    <w:rPr>
                      <w:color w:val="auto"/>
                      <w:sz w:val="21"/>
                      <w:szCs w:val="21"/>
                      <w:highlight w:val="none"/>
                      <w:vertAlign w:val="superscript"/>
                    </w:rPr>
                    <w:t>3</w:t>
                  </w:r>
                  <w:r>
                    <w:rPr>
                      <w:rFonts w:hint="eastAsia"/>
                      <w:color w:val="auto"/>
                      <w:sz w:val="21"/>
                      <w:szCs w:val="21"/>
                      <w:highlight w:val="none"/>
                    </w:rPr>
                    <w:t>，填方</w:t>
                  </w:r>
                  <w:r>
                    <w:rPr>
                      <w:rFonts w:hint="eastAsia"/>
                      <w:color w:val="auto"/>
                      <w:sz w:val="21"/>
                      <w:szCs w:val="21"/>
                      <w:highlight w:val="none"/>
                      <w:lang w:val="en-US" w:eastAsia="zh-CN"/>
                    </w:rPr>
                    <w:t>60</w:t>
                  </w:r>
                  <w:r>
                    <w:rPr>
                      <w:rFonts w:hint="eastAsia"/>
                      <w:color w:val="auto"/>
                      <w:sz w:val="21"/>
                      <w:szCs w:val="21"/>
                      <w:highlight w:val="none"/>
                    </w:rPr>
                    <w:t>m</w:t>
                  </w:r>
                  <w:r>
                    <w:rPr>
                      <w:color w:val="auto"/>
                      <w:sz w:val="21"/>
                      <w:szCs w:val="21"/>
                      <w:highlight w:val="none"/>
                      <w:vertAlign w:val="superscript"/>
                    </w:rPr>
                    <w:t>3</w:t>
                  </w:r>
                </w:p>
              </w:tc>
            </w:tr>
          </w:tbl>
          <w:p>
            <w:pPr>
              <w:pStyle w:val="35"/>
              <w:keepNext w:val="0"/>
              <w:keepLines w:val="0"/>
              <w:pageBreakBefore w:val="0"/>
              <w:widowControl w:val="0"/>
              <w:kinsoku/>
              <w:wordWrap/>
              <w:overflowPunct/>
              <w:topLinePunct w:val="0"/>
              <w:autoSpaceDE/>
              <w:autoSpaceDN/>
              <w:bidi w:val="0"/>
              <w:adjustRightInd/>
              <w:snapToGrid/>
              <w:spacing w:before="157" w:beforeLines="50"/>
              <w:ind w:firstLine="0"/>
              <w:textAlignment w:val="auto"/>
              <w:rPr>
                <w:rFonts w:ascii="Times New Roman" w:hAnsi="Times New Roman" w:cs="Times New Roman"/>
                <w:b/>
                <w:bCs/>
                <w:color w:val="auto"/>
                <w:highlight w:val="none"/>
              </w:rPr>
            </w:pPr>
            <w:r>
              <w:rPr>
                <w:rFonts w:hint="eastAsia" w:ascii="Times New Roman" w:hAnsi="Times New Roman" w:cs="Times New Roman"/>
                <w:b/>
                <w:bCs/>
                <w:color w:val="auto"/>
                <w:highlight w:val="none"/>
              </w:rPr>
              <w:t>2</w:t>
            </w:r>
            <w:r>
              <w:rPr>
                <w:rFonts w:ascii="Times New Roman" w:hAnsi="Times New Roman" w:cs="Times New Roman"/>
                <w:b/>
                <w:bCs/>
                <w:color w:val="auto"/>
                <w:highlight w:val="none"/>
              </w:rPr>
              <w:t xml:space="preserve">.5 </w:t>
            </w:r>
            <w:r>
              <w:rPr>
                <w:rFonts w:hint="eastAsia" w:ascii="Times New Roman" w:hAnsi="Times New Roman" w:cs="Times New Roman"/>
                <w:b/>
                <w:bCs/>
                <w:color w:val="auto"/>
                <w:highlight w:val="none"/>
              </w:rPr>
              <w:t>变电站劳动定员</w:t>
            </w:r>
          </w:p>
          <w:p>
            <w:pPr>
              <w:autoSpaceDE w:val="0"/>
              <w:autoSpaceDN w:val="0"/>
              <w:adjustRightInd w:val="0"/>
              <w:snapToGrid w:val="0"/>
              <w:spacing w:line="360" w:lineRule="auto"/>
              <w:ind w:firstLine="480" w:firstLineChars="200"/>
              <w:rPr>
                <w:bCs/>
                <w:color w:val="auto"/>
                <w:sz w:val="24"/>
              </w:rPr>
            </w:pPr>
            <w:r>
              <w:rPr>
                <w:bCs/>
                <w:color w:val="auto"/>
                <w:sz w:val="24"/>
              </w:rPr>
              <w:t>本工程为无人值班有人值守变电站，仅考虑守护人员2人，每年工作365天。</w:t>
            </w:r>
          </w:p>
          <w:p>
            <w:pPr>
              <w:pStyle w:val="35"/>
              <w:ind w:firstLine="0"/>
              <w:rPr>
                <w:rFonts w:ascii="Times New Roman" w:hAnsi="Times New Roman" w:cs="Times New Roman"/>
                <w:b/>
                <w:bCs/>
                <w:color w:val="auto"/>
              </w:rPr>
            </w:pPr>
            <w:r>
              <w:rPr>
                <w:rFonts w:ascii="Times New Roman" w:hAnsi="Times New Roman" w:cs="Times New Roman"/>
                <w:b/>
                <w:bCs/>
                <w:color w:val="auto"/>
              </w:rPr>
              <w:t>2.</w:t>
            </w:r>
            <w:r>
              <w:rPr>
                <w:rFonts w:hint="eastAsia" w:ascii="Times New Roman" w:hAnsi="Times New Roman" w:cs="Times New Roman"/>
                <w:b/>
                <w:bCs/>
                <w:color w:val="auto"/>
                <w:lang w:val="en-US" w:eastAsia="zh-CN"/>
              </w:rPr>
              <w:t>6</w:t>
            </w:r>
            <w:r>
              <w:rPr>
                <w:rFonts w:ascii="Times New Roman" w:hAnsi="Times New Roman" w:cs="Times New Roman"/>
                <w:b/>
                <w:bCs/>
                <w:color w:val="auto"/>
              </w:rPr>
              <w:t>线路概况</w:t>
            </w:r>
          </w:p>
          <w:p>
            <w:pPr>
              <w:autoSpaceDE w:val="0"/>
              <w:autoSpaceDN w:val="0"/>
              <w:adjustRightInd w:val="0"/>
              <w:snapToGrid w:val="0"/>
              <w:spacing w:line="360" w:lineRule="auto"/>
              <w:rPr>
                <w:b/>
                <w:bCs/>
                <w:color w:val="auto"/>
                <w:sz w:val="24"/>
                <w:highlight w:val="none"/>
              </w:rPr>
            </w:pPr>
            <w:r>
              <w:rPr>
                <w:rFonts w:cs="宋体"/>
                <w:b/>
                <w:color w:val="auto"/>
                <w:sz w:val="24"/>
              </w:rPr>
              <w:t>2.6</w:t>
            </w:r>
            <w:r>
              <w:rPr>
                <w:rFonts w:hint="eastAsia" w:cs="宋体"/>
                <w:b/>
                <w:color w:val="auto"/>
                <w:sz w:val="24"/>
                <w:lang w:val="en-US" w:eastAsia="zh-CN"/>
              </w:rPr>
              <w:t>.1</w:t>
            </w:r>
            <w:r>
              <w:rPr>
                <w:rFonts w:cs="宋体"/>
                <w:b/>
                <w:color w:val="auto"/>
                <w:sz w:val="24"/>
              </w:rPr>
              <w:t xml:space="preserve"> </w:t>
            </w:r>
            <w:r>
              <w:rPr>
                <w:rFonts w:hint="eastAsia"/>
                <w:b/>
                <w:bCs/>
                <w:color w:val="auto"/>
                <w:sz w:val="24"/>
              </w:rPr>
              <w:t>杆塔选型</w:t>
            </w:r>
          </w:p>
          <w:p>
            <w:pPr>
              <w:autoSpaceDE w:val="0"/>
              <w:autoSpaceDN w:val="0"/>
              <w:adjustRightInd w:val="0"/>
              <w:snapToGrid w:val="0"/>
              <w:spacing w:line="360" w:lineRule="auto"/>
              <w:ind w:firstLine="480" w:firstLineChars="200"/>
              <w:rPr>
                <w:rFonts w:hint="eastAsia" w:cs="宋体"/>
                <w:bCs/>
                <w:color w:val="auto"/>
                <w:sz w:val="24"/>
                <w:highlight w:val="none"/>
              </w:rPr>
            </w:pPr>
            <w:r>
              <w:rPr>
                <w:rFonts w:hint="eastAsia"/>
                <w:color w:val="auto"/>
                <w:sz w:val="24"/>
                <w:highlight w:val="none"/>
                <w:lang w:val="en-US" w:eastAsia="zh-CN"/>
              </w:rPr>
              <w:t>本工程110kV线路</w:t>
            </w:r>
            <w:r>
              <w:rPr>
                <w:rFonts w:hint="eastAsia"/>
                <w:color w:val="auto"/>
                <w:sz w:val="24"/>
                <w:highlight w:val="none"/>
                <w:lang w:val="zh-CN"/>
              </w:rPr>
              <w:t>新建杆塔</w:t>
            </w:r>
            <w:r>
              <w:rPr>
                <w:rFonts w:hint="eastAsia"/>
                <w:color w:val="auto"/>
                <w:sz w:val="24"/>
                <w:highlight w:val="none"/>
                <w:lang w:val="en-US" w:eastAsia="zh-CN"/>
              </w:rPr>
              <w:t>19</w:t>
            </w:r>
            <w:r>
              <w:rPr>
                <w:rFonts w:hint="eastAsia"/>
                <w:color w:val="auto"/>
                <w:sz w:val="24"/>
                <w:highlight w:val="none"/>
                <w:lang w:val="zh-CN"/>
              </w:rPr>
              <w:t>基，其中</w:t>
            </w:r>
            <w:r>
              <w:rPr>
                <w:rFonts w:hint="eastAsia"/>
                <w:color w:val="auto"/>
                <w:sz w:val="24"/>
                <w:highlight w:val="none"/>
                <w:lang w:val="en-US" w:eastAsia="zh-CN"/>
              </w:rPr>
              <w:t>双</w:t>
            </w:r>
            <w:r>
              <w:rPr>
                <w:rFonts w:hint="eastAsia"/>
                <w:color w:val="auto"/>
                <w:sz w:val="24"/>
                <w:highlight w:val="none"/>
                <w:lang w:val="zh-CN"/>
              </w:rPr>
              <w:t>回</w:t>
            </w:r>
            <w:r>
              <w:rPr>
                <w:rFonts w:hint="eastAsia"/>
                <w:color w:val="auto"/>
                <w:sz w:val="24"/>
                <w:highlight w:val="none"/>
                <w:lang w:val="en-US" w:eastAsia="zh-CN"/>
              </w:rPr>
              <w:t>塔17基，单回塔2基</w:t>
            </w:r>
            <w:r>
              <w:rPr>
                <w:rFonts w:hint="eastAsia"/>
                <w:color w:val="auto"/>
                <w:sz w:val="24"/>
                <w:highlight w:val="none"/>
                <w:lang w:val="zh-CN"/>
              </w:rPr>
              <w:t>。</w:t>
            </w:r>
            <w:r>
              <w:rPr>
                <w:rFonts w:hint="eastAsia" w:cs="宋体"/>
                <w:bCs/>
                <w:color w:val="auto"/>
                <w:sz w:val="24"/>
                <w:highlight w:val="none"/>
              </w:rPr>
              <w:t>项目新建杆塔选型见表</w:t>
            </w:r>
            <w:r>
              <w:rPr>
                <w:rFonts w:cs="宋体"/>
                <w:bCs/>
                <w:color w:val="auto"/>
                <w:sz w:val="24"/>
                <w:highlight w:val="none"/>
              </w:rPr>
              <w:t>2-</w:t>
            </w:r>
            <w:r>
              <w:rPr>
                <w:rFonts w:hint="eastAsia" w:cs="宋体"/>
                <w:bCs/>
                <w:color w:val="auto"/>
                <w:sz w:val="24"/>
                <w:highlight w:val="none"/>
                <w:lang w:val="en-US" w:eastAsia="zh-CN"/>
              </w:rPr>
              <w:t>4</w:t>
            </w:r>
            <w:r>
              <w:rPr>
                <w:rFonts w:hint="eastAsia" w:cs="宋体"/>
                <w:bCs/>
                <w:color w:val="auto"/>
                <w:sz w:val="24"/>
                <w:highlight w:val="none"/>
              </w:rPr>
              <w:t>，杆塔图见附图</w:t>
            </w:r>
            <w:r>
              <w:rPr>
                <w:rFonts w:hint="eastAsia" w:cs="宋体"/>
                <w:bCs/>
                <w:color w:val="auto"/>
                <w:sz w:val="24"/>
                <w:highlight w:val="none"/>
                <w:lang w:val="en-US" w:eastAsia="zh-CN"/>
              </w:rPr>
              <w:t>8</w:t>
            </w:r>
            <w:r>
              <w:rPr>
                <w:rFonts w:hint="eastAsia" w:cs="宋体"/>
                <w:bCs/>
                <w:color w:val="auto"/>
                <w:sz w:val="24"/>
                <w:highlight w:val="none"/>
              </w:rPr>
              <w:t>。</w:t>
            </w:r>
          </w:p>
          <w:p>
            <w:pPr>
              <w:jc w:val="center"/>
              <w:rPr>
                <w:rFonts w:hint="eastAsia"/>
                <w:b/>
                <w:bCs/>
                <w:color w:val="auto"/>
                <w:sz w:val="24"/>
                <w:highlight w:val="none"/>
              </w:rPr>
            </w:pPr>
            <w:r>
              <w:rPr>
                <w:rFonts w:hint="eastAsia"/>
                <w:b/>
                <w:bCs/>
                <w:color w:val="auto"/>
                <w:sz w:val="24"/>
                <w:highlight w:val="none"/>
              </w:rPr>
              <w:t>表</w:t>
            </w:r>
            <w:r>
              <w:rPr>
                <w:b/>
                <w:bCs/>
                <w:color w:val="auto"/>
                <w:sz w:val="24"/>
                <w:highlight w:val="none"/>
              </w:rPr>
              <w:t>2-</w:t>
            </w:r>
            <w:r>
              <w:rPr>
                <w:rFonts w:hint="eastAsia"/>
                <w:b/>
                <w:bCs/>
                <w:color w:val="auto"/>
                <w:sz w:val="24"/>
                <w:highlight w:val="none"/>
                <w:lang w:val="en-US" w:eastAsia="zh-CN"/>
              </w:rPr>
              <w:t>4</w:t>
            </w:r>
            <w:r>
              <w:rPr>
                <w:b/>
                <w:bCs/>
                <w:color w:val="auto"/>
                <w:sz w:val="24"/>
                <w:highlight w:val="none"/>
              </w:rPr>
              <w:t xml:space="preserve">  </w:t>
            </w:r>
            <w:r>
              <w:rPr>
                <w:rFonts w:hint="eastAsia"/>
                <w:b/>
                <w:bCs/>
                <w:color w:val="auto"/>
                <w:sz w:val="24"/>
                <w:highlight w:val="none"/>
              </w:rPr>
              <w:t>项目新建杆塔选型情况一览表</w:t>
            </w:r>
          </w:p>
          <w:tbl>
            <w:tblPr>
              <w:tblStyle w:val="28"/>
              <w:tblW w:w="0" w:type="auto"/>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696"/>
              <w:gridCol w:w="1200"/>
              <w:gridCol w:w="900"/>
              <w:gridCol w:w="824"/>
              <w:gridCol w:w="1075"/>
              <w:gridCol w:w="1075"/>
              <w:gridCol w:w="10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6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序号</w:t>
                  </w:r>
                </w:p>
              </w:tc>
              <w:tc>
                <w:tcPr>
                  <w:tcW w:w="1696"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杆塔型式</w:t>
                  </w:r>
                </w:p>
              </w:tc>
              <w:tc>
                <w:tcPr>
                  <w:tcW w:w="1200"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水平档距（m）</w:t>
                  </w:r>
                </w:p>
              </w:tc>
              <w:tc>
                <w:tcPr>
                  <w:tcW w:w="900"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垂直档距（m）</w:t>
                  </w:r>
                </w:p>
              </w:tc>
              <w:tc>
                <w:tcPr>
                  <w:tcW w:w="824" w:type="dxa"/>
                  <w:tcBorders>
                    <w:tl2br w:val="nil"/>
                    <w:tr2bl w:val="nil"/>
                  </w:tcBorders>
                  <w:noWrap w:val="0"/>
                  <w:vAlign w:val="center"/>
                </w:tcPr>
                <w:p>
                  <w:pPr>
                    <w:wordWrap w:val="0"/>
                    <w:jc w:val="center"/>
                    <w:rPr>
                      <w:rFonts w:hint="eastAsia" w:cs="Times New Roman"/>
                      <w:color w:val="auto"/>
                      <w:highlight w:val="none"/>
                      <w:lang w:val="en-US" w:eastAsia="zh-CN"/>
                    </w:rPr>
                  </w:pPr>
                  <w:r>
                    <w:rPr>
                      <w:rFonts w:hint="eastAsia" w:cs="Times New Roman"/>
                      <w:color w:val="auto"/>
                      <w:highlight w:val="none"/>
                      <w:lang w:val="en-US" w:eastAsia="zh-CN"/>
                    </w:rPr>
                    <w:t>呼高</w:t>
                  </w:r>
                </w:p>
                <w:p>
                  <w:pPr>
                    <w:wordWrap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转角度数</w:t>
                  </w:r>
                </w:p>
              </w:tc>
              <w:tc>
                <w:tcPr>
                  <w:tcW w:w="1075" w:type="dxa"/>
                  <w:tcBorders>
                    <w:tl2br w:val="nil"/>
                    <w:tr2bl w:val="nil"/>
                  </w:tcBorders>
                  <w:noWrap w:val="0"/>
                  <w:vAlign w:val="center"/>
                </w:tcPr>
                <w:p>
                  <w:pPr>
                    <w:wordWrap w:val="0"/>
                    <w:jc w:val="center"/>
                    <w:rPr>
                      <w:rFonts w:hint="eastAsia" w:cs="Times New Roman"/>
                      <w:color w:val="auto"/>
                      <w:highlight w:val="none"/>
                      <w:lang w:val="en-US" w:eastAsia="zh-CN"/>
                    </w:rPr>
                  </w:pPr>
                  <w:r>
                    <w:rPr>
                      <w:rFonts w:hint="eastAsia" w:cs="Times New Roman"/>
                      <w:color w:val="auto"/>
                      <w:highlight w:val="none"/>
                      <w:lang w:val="en-US" w:eastAsia="zh-CN"/>
                    </w:rPr>
                    <w:t>数量</w:t>
                  </w:r>
                </w:p>
                <w:p>
                  <w:pPr>
                    <w:wordWrap w:val="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（基）</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6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1696"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zh-CN" w:eastAsia="zh-CN"/>
                    </w:rPr>
                    <w:t>110-DA21S-Z</w:t>
                  </w:r>
                  <w:r>
                    <w:rPr>
                      <w:rFonts w:hint="default" w:ascii="Times New Roman" w:hAnsi="Times New Roman" w:eastAsia="宋体" w:cs="Times New Roman"/>
                      <w:color w:val="auto"/>
                      <w:highlight w:val="none"/>
                      <w:lang w:val="en-US" w:eastAsia="zh-CN"/>
                    </w:rPr>
                    <w:t>1</w:t>
                  </w:r>
                </w:p>
              </w:tc>
              <w:tc>
                <w:tcPr>
                  <w:tcW w:w="12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350（320）</w:t>
                  </w:r>
                </w:p>
              </w:tc>
              <w:tc>
                <w:tcPr>
                  <w:tcW w:w="9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450</w:t>
                  </w:r>
                </w:p>
              </w:tc>
              <w:tc>
                <w:tcPr>
                  <w:tcW w:w="82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21-30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1075" w:type="dxa"/>
                  <w:vMerge w:val="restart"/>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双回塔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6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1696"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zh-CN" w:eastAsia="zh-CN"/>
                    </w:rPr>
                    <w:t>110-DA21S-Z2</w:t>
                  </w:r>
                </w:p>
              </w:tc>
              <w:tc>
                <w:tcPr>
                  <w:tcW w:w="12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350（320）</w:t>
                  </w:r>
                </w:p>
              </w:tc>
              <w:tc>
                <w:tcPr>
                  <w:tcW w:w="9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450</w:t>
                  </w:r>
                </w:p>
              </w:tc>
              <w:tc>
                <w:tcPr>
                  <w:tcW w:w="82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21-30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w:t>
                  </w:r>
                </w:p>
              </w:tc>
              <w:tc>
                <w:tcPr>
                  <w:tcW w:w="1075" w:type="dxa"/>
                  <w:vMerge w:val="continue"/>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6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p>
              </w:tc>
              <w:tc>
                <w:tcPr>
                  <w:tcW w:w="1696"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zh-CN" w:eastAsia="zh-CN"/>
                    </w:rPr>
                    <w:t>110-DA21S-Z</w:t>
                  </w:r>
                  <w:r>
                    <w:rPr>
                      <w:rFonts w:hint="default" w:ascii="Times New Roman" w:hAnsi="Times New Roman" w:eastAsia="宋体" w:cs="Times New Roman"/>
                      <w:color w:val="auto"/>
                      <w:highlight w:val="none"/>
                      <w:lang w:val="en-US" w:eastAsia="zh-CN"/>
                    </w:rPr>
                    <w:t>3</w:t>
                  </w:r>
                </w:p>
              </w:tc>
              <w:tc>
                <w:tcPr>
                  <w:tcW w:w="12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500（470）</w:t>
                  </w:r>
                </w:p>
              </w:tc>
              <w:tc>
                <w:tcPr>
                  <w:tcW w:w="9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700</w:t>
                  </w:r>
                </w:p>
              </w:tc>
              <w:tc>
                <w:tcPr>
                  <w:tcW w:w="82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21-30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w:t>
                  </w:r>
                </w:p>
              </w:tc>
              <w:tc>
                <w:tcPr>
                  <w:tcW w:w="1075" w:type="dxa"/>
                  <w:vMerge w:val="continue"/>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6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p>
              </w:tc>
              <w:tc>
                <w:tcPr>
                  <w:tcW w:w="1696"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zh-CN" w:eastAsia="zh-CN"/>
                    </w:rPr>
                    <w:t>110-DA21S-Z</w:t>
                  </w:r>
                  <w:r>
                    <w:rPr>
                      <w:rFonts w:hint="default" w:ascii="Times New Roman" w:hAnsi="Times New Roman" w:eastAsia="宋体" w:cs="Times New Roman"/>
                      <w:color w:val="auto"/>
                      <w:highlight w:val="none"/>
                      <w:lang w:val="en-US" w:eastAsia="zh-CN"/>
                    </w:rPr>
                    <w:t>K</w:t>
                  </w:r>
                </w:p>
              </w:tc>
              <w:tc>
                <w:tcPr>
                  <w:tcW w:w="12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400</w:t>
                  </w:r>
                </w:p>
              </w:tc>
              <w:tc>
                <w:tcPr>
                  <w:tcW w:w="9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600</w:t>
                  </w:r>
                </w:p>
              </w:tc>
              <w:tc>
                <w:tcPr>
                  <w:tcW w:w="82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21-30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c>
                <w:tcPr>
                  <w:tcW w:w="1075" w:type="dxa"/>
                  <w:vMerge w:val="continue"/>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6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w:t>
                  </w:r>
                </w:p>
              </w:tc>
              <w:tc>
                <w:tcPr>
                  <w:tcW w:w="1696"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zh-CN" w:eastAsia="zh-CN"/>
                    </w:rPr>
                    <w:t>110-DB21S-J1</w:t>
                  </w:r>
                </w:p>
              </w:tc>
              <w:tc>
                <w:tcPr>
                  <w:tcW w:w="12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450</w:t>
                  </w:r>
                </w:p>
              </w:tc>
              <w:tc>
                <w:tcPr>
                  <w:tcW w:w="9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700</w:t>
                  </w:r>
                </w:p>
              </w:tc>
              <w:tc>
                <w:tcPr>
                  <w:tcW w:w="82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21-30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0-20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c>
                <w:tcPr>
                  <w:tcW w:w="1075" w:type="dxa"/>
                  <w:vMerge w:val="continue"/>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6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w:t>
                  </w:r>
                </w:p>
              </w:tc>
              <w:tc>
                <w:tcPr>
                  <w:tcW w:w="1696"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zh-CN" w:eastAsia="zh-CN"/>
                    </w:rPr>
                    <w:t>110-DB21S-J</w:t>
                  </w:r>
                  <w:r>
                    <w:rPr>
                      <w:rFonts w:hint="default" w:ascii="Times New Roman" w:hAnsi="Times New Roman" w:eastAsia="宋体" w:cs="Times New Roman"/>
                      <w:color w:val="auto"/>
                      <w:highlight w:val="none"/>
                      <w:lang w:val="en-US" w:eastAsia="zh-CN"/>
                    </w:rPr>
                    <w:t>2</w:t>
                  </w:r>
                </w:p>
              </w:tc>
              <w:tc>
                <w:tcPr>
                  <w:tcW w:w="12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450</w:t>
                  </w:r>
                </w:p>
              </w:tc>
              <w:tc>
                <w:tcPr>
                  <w:tcW w:w="9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700</w:t>
                  </w:r>
                </w:p>
              </w:tc>
              <w:tc>
                <w:tcPr>
                  <w:tcW w:w="82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21-30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20-40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1075" w:type="dxa"/>
                  <w:vMerge w:val="continue"/>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6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w:t>
                  </w:r>
                </w:p>
              </w:tc>
              <w:tc>
                <w:tcPr>
                  <w:tcW w:w="1696"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zh-CN" w:eastAsia="zh-CN"/>
                    </w:rPr>
                    <w:t>110-DB21S-</w:t>
                  </w:r>
                  <w:r>
                    <w:rPr>
                      <w:rFonts w:hint="default" w:ascii="Times New Roman" w:hAnsi="Times New Roman" w:eastAsia="宋体" w:cs="Times New Roman"/>
                      <w:color w:val="auto"/>
                      <w:highlight w:val="none"/>
                      <w:lang w:val="en-US" w:eastAsia="zh-CN"/>
                    </w:rPr>
                    <w:t>J4</w:t>
                  </w:r>
                </w:p>
              </w:tc>
              <w:tc>
                <w:tcPr>
                  <w:tcW w:w="12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450</w:t>
                  </w:r>
                </w:p>
              </w:tc>
              <w:tc>
                <w:tcPr>
                  <w:tcW w:w="9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700</w:t>
                  </w:r>
                </w:p>
              </w:tc>
              <w:tc>
                <w:tcPr>
                  <w:tcW w:w="82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21-30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60-90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c>
                <w:tcPr>
                  <w:tcW w:w="1075" w:type="dxa"/>
                  <w:vMerge w:val="continue"/>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p>
              </w:tc>
              <w:tc>
                <w:tcPr>
                  <w:tcW w:w="1696"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zh-CN" w:eastAsia="zh-CN"/>
                    </w:rPr>
                    <w:t>110-DB21S-</w:t>
                  </w:r>
                  <w:r>
                    <w:rPr>
                      <w:rFonts w:hint="default" w:ascii="Times New Roman" w:hAnsi="Times New Roman" w:eastAsia="宋体" w:cs="Times New Roman"/>
                      <w:color w:val="auto"/>
                      <w:highlight w:val="none"/>
                      <w:lang w:val="en-US" w:eastAsia="zh-CN"/>
                    </w:rPr>
                    <w:t>DJ</w:t>
                  </w:r>
                </w:p>
              </w:tc>
              <w:tc>
                <w:tcPr>
                  <w:tcW w:w="12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300</w:t>
                  </w:r>
                </w:p>
              </w:tc>
              <w:tc>
                <w:tcPr>
                  <w:tcW w:w="9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500</w:t>
                  </w:r>
                </w:p>
              </w:tc>
              <w:tc>
                <w:tcPr>
                  <w:tcW w:w="82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21-30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0-90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1075" w:type="dxa"/>
                  <w:vMerge w:val="continue"/>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259" w:type="dxa"/>
                  <w:gridSpan w:val="6"/>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小计</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17</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6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w:t>
                  </w:r>
                </w:p>
              </w:tc>
              <w:tc>
                <w:tcPr>
                  <w:tcW w:w="1696"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zh-CN" w:eastAsia="zh-CN"/>
                    </w:rPr>
                    <w:t>110-D</w:t>
                  </w:r>
                  <w:r>
                    <w:rPr>
                      <w:rFonts w:hint="eastAsia" w:ascii="Times New Roman" w:hAnsi="Times New Roman" w:eastAsia="宋体" w:cs="Times New Roman"/>
                      <w:color w:val="auto"/>
                      <w:highlight w:val="none"/>
                      <w:lang w:val="en-US" w:eastAsia="zh-CN"/>
                    </w:rPr>
                    <w:t>C21GD-JG4</w:t>
                  </w:r>
                </w:p>
              </w:tc>
              <w:tc>
                <w:tcPr>
                  <w:tcW w:w="12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150</w:t>
                  </w:r>
                </w:p>
              </w:tc>
              <w:tc>
                <w:tcPr>
                  <w:tcW w:w="900"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200</w:t>
                  </w:r>
                </w:p>
              </w:tc>
              <w:tc>
                <w:tcPr>
                  <w:tcW w:w="824"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21-30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60-90</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单回塔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259" w:type="dxa"/>
                  <w:gridSpan w:val="6"/>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小计</w:t>
                  </w:r>
                </w:p>
              </w:tc>
              <w:tc>
                <w:tcPr>
                  <w:tcW w:w="1075" w:type="dxa"/>
                  <w:tcBorders>
                    <w:tl2br w:val="nil"/>
                    <w:tr2bl w:val="nil"/>
                  </w:tcBorders>
                  <w:noWrap w:val="0"/>
                  <w:vAlign w:val="center"/>
                </w:tcPr>
                <w:p>
                  <w:pPr>
                    <w:wordWrap w:val="0"/>
                    <w:jc w:val="center"/>
                    <w:rPr>
                      <w:rFonts w:hint="default" w:cs="Times New Roman"/>
                      <w:color w:val="auto"/>
                      <w:highlight w:val="none"/>
                      <w:lang w:val="en-US" w:eastAsia="zh-CN"/>
                    </w:rPr>
                  </w:pPr>
                  <w:r>
                    <w:rPr>
                      <w:rFonts w:hint="eastAsia" w:cs="Times New Roman"/>
                      <w:color w:val="auto"/>
                      <w:highlight w:val="none"/>
                      <w:lang w:val="en-US" w:eastAsia="zh-CN"/>
                    </w:rPr>
                    <w:t>2</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259" w:type="dxa"/>
                  <w:gridSpan w:val="6"/>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合计</w:t>
                  </w:r>
                </w:p>
              </w:tc>
              <w:tc>
                <w:tcPr>
                  <w:tcW w:w="1075" w:type="dxa"/>
                  <w:tcBorders>
                    <w:tl2br w:val="nil"/>
                    <w:tr2bl w:val="nil"/>
                  </w:tcBorders>
                  <w:noWrap w:val="0"/>
                  <w:vAlign w:val="center"/>
                </w:tcPr>
                <w:p>
                  <w:pPr>
                    <w:wordWrap w:val="0"/>
                    <w:jc w:val="center"/>
                    <w:rPr>
                      <w:rFonts w:hint="default" w:cs="Times New Roman"/>
                      <w:color w:val="auto"/>
                      <w:highlight w:val="none"/>
                      <w:lang w:val="en-US" w:eastAsia="zh-CN"/>
                    </w:rPr>
                  </w:pPr>
                  <w:r>
                    <w:rPr>
                      <w:rFonts w:hint="eastAsia" w:cs="Times New Roman"/>
                      <w:color w:val="auto"/>
                      <w:highlight w:val="none"/>
                      <w:lang w:val="en-US" w:eastAsia="zh-CN"/>
                    </w:rPr>
                    <w:t>19</w:t>
                  </w:r>
                </w:p>
              </w:tc>
              <w:tc>
                <w:tcPr>
                  <w:tcW w:w="1075" w:type="dxa"/>
                  <w:tcBorders>
                    <w:tl2br w:val="nil"/>
                    <w:tr2bl w:val="nil"/>
                  </w:tcBorders>
                  <w:noWrap w:val="0"/>
                  <w:vAlign w:val="center"/>
                </w:tcPr>
                <w:p>
                  <w:pPr>
                    <w:wordWrap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bCs/>
                <w:color w:val="auto"/>
                <w:sz w:val="24"/>
              </w:rPr>
            </w:pPr>
            <w:r>
              <w:rPr>
                <w:b/>
                <w:bCs/>
                <w:color w:val="auto"/>
                <w:kern w:val="0"/>
                <w:sz w:val="24"/>
              </w:rPr>
              <w:t>2.</w:t>
            </w:r>
            <w:r>
              <w:rPr>
                <w:rFonts w:hint="eastAsia"/>
                <w:b/>
                <w:bCs/>
                <w:color w:val="auto"/>
                <w:kern w:val="0"/>
                <w:sz w:val="24"/>
                <w:lang w:val="en-US" w:eastAsia="zh-CN"/>
              </w:rPr>
              <w:t>6</w:t>
            </w:r>
            <w:r>
              <w:rPr>
                <w:b/>
                <w:bCs/>
                <w:color w:val="auto"/>
                <w:kern w:val="0"/>
                <w:sz w:val="24"/>
              </w:rPr>
              <w:t>.2</w:t>
            </w:r>
            <w:r>
              <w:rPr>
                <w:b/>
                <w:bCs/>
                <w:color w:val="auto"/>
                <w:sz w:val="24"/>
              </w:rPr>
              <w:t>线路进出线间隔情况</w:t>
            </w:r>
          </w:p>
          <w:p>
            <w:pPr>
              <w:pStyle w:val="35"/>
              <w:keepNext w:val="0"/>
              <w:keepLines w:val="0"/>
              <w:pageBreakBefore w:val="0"/>
              <w:widowControl w:val="0"/>
              <w:kinsoku/>
              <w:wordWrap/>
              <w:overflowPunct/>
              <w:topLinePunct w:val="0"/>
              <w:autoSpaceDE/>
              <w:autoSpaceDN/>
              <w:bidi w:val="0"/>
              <w:adjustRightInd/>
              <w:snapToGrid/>
              <w:ind w:firstLine="420"/>
              <w:textAlignment w:val="auto"/>
              <w:rPr>
                <w:rFonts w:ascii="Times New Roman" w:hAnsi="Times New Roman" w:eastAsia="宋体" w:cs="Times New Roman"/>
                <w:b/>
                <w:bCs/>
                <w:color w:val="auto"/>
              </w:rPr>
            </w:pPr>
            <w:r>
              <w:rPr>
                <w:rFonts w:hint="eastAsia" w:ascii="Times New Roman" w:hAnsi="Times New Roman" w:eastAsia="宋体" w:cs="Times New Roman"/>
                <w:b/>
                <w:bCs/>
                <w:color w:val="auto"/>
              </w:rPr>
              <w:t>（</w:t>
            </w:r>
            <w:r>
              <w:rPr>
                <w:rFonts w:hint="eastAsia" w:ascii="Times New Roman" w:hAnsi="Times New Roman" w:cs="Times New Roman"/>
                <w:b/>
                <w:bCs/>
                <w:color w:val="auto"/>
                <w:lang w:val="en-US" w:eastAsia="zh-CN"/>
              </w:rPr>
              <w:t>1</w:t>
            </w:r>
            <w:r>
              <w:rPr>
                <w:rFonts w:hint="eastAsia" w:ascii="Times New Roman" w:hAnsi="Times New Roman" w:eastAsia="宋体" w:cs="Times New Roman"/>
                <w:b/>
                <w:bCs/>
                <w:color w:val="auto"/>
              </w:rPr>
              <w:t>）</w:t>
            </w:r>
            <w:r>
              <w:rPr>
                <w:rFonts w:hint="eastAsia" w:ascii="Times New Roman" w:hAnsi="Times New Roman" w:eastAsia="宋体" w:cs="Times New Roman"/>
                <w:b/>
                <w:bCs/>
                <w:color w:val="auto"/>
                <w:lang w:val="en-US" w:eastAsia="zh-CN"/>
              </w:rPr>
              <w:t>全德220</w:t>
            </w:r>
            <w:r>
              <w:rPr>
                <w:rFonts w:ascii="Times New Roman" w:hAnsi="Times New Roman" w:eastAsia="宋体" w:cs="Times New Roman"/>
                <w:b/>
                <w:bCs/>
                <w:color w:val="auto"/>
              </w:rPr>
              <w:t>kV变电站</w:t>
            </w:r>
          </w:p>
          <w:p>
            <w:pPr>
              <w:pStyle w:val="35"/>
              <w:spacing w:before="120" w:beforeLines="50"/>
              <w:ind w:firstLine="422"/>
              <w:rPr>
                <w:rFonts w:hint="eastAsia" w:ascii="Times New Roman" w:hAnsi="Times New Roman" w:cs="Times New Roman"/>
                <w:b w:val="0"/>
                <w:bCs w:val="0"/>
                <w:color w:val="auto"/>
              </w:rPr>
            </w:pPr>
            <w:r>
              <w:rPr>
                <w:rFonts w:hint="eastAsia" w:ascii="Times New Roman" w:hAnsi="Times New Roman" w:eastAsia="宋体" w:cs="Times New Roman"/>
                <w:b w:val="0"/>
                <w:bCs w:val="0"/>
                <w:color w:val="auto"/>
                <w:sz w:val="24"/>
                <w:highlight w:val="none"/>
                <w:lang w:val="en-US" w:eastAsia="zh-CN"/>
              </w:rPr>
              <w:t>220kV全德变电站位于铜梁区</w:t>
            </w:r>
            <w:r>
              <w:rPr>
                <w:rFonts w:hint="eastAsia" w:ascii="Times New Roman" w:hAnsi="Times New Roman" w:cs="Times New Roman"/>
                <w:b w:val="0"/>
                <w:bCs w:val="0"/>
                <w:color w:val="auto"/>
                <w:sz w:val="24"/>
                <w:highlight w:val="none"/>
                <w:lang w:val="en-US" w:eastAsia="zh-CN"/>
              </w:rPr>
              <w:t>二坪镇</w:t>
            </w:r>
            <w:r>
              <w:rPr>
                <w:rFonts w:hint="eastAsia" w:ascii="Times New Roman" w:hAnsi="Times New Roman" w:eastAsia="宋体" w:cs="Times New Roman"/>
                <w:b w:val="0"/>
                <w:bCs w:val="0"/>
                <w:color w:val="auto"/>
                <w:sz w:val="24"/>
                <w:highlight w:val="none"/>
                <w:lang w:val="en-US" w:eastAsia="zh-CN"/>
              </w:rPr>
              <w:t>红庙村，已建成投运。</w:t>
            </w:r>
            <w:r>
              <w:rPr>
                <w:rFonts w:hint="eastAsia" w:ascii="Times New Roman" w:hAnsi="Times New Roman" w:cs="Times New Roman"/>
                <w:b w:val="0"/>
                <w:bCs w:val="0"/>
                <w:color w:val="auto"/>
                <w:sz w:val="24"/>
                <w:highlight w:val="none"/>
                <w:lang w:val="en-US" w:eastAsia="zh-CN"/>
              </w:rPr>
              <w:t>其</w:t>
            </w:r>
            <w:r>
              <w:rPr>
                <w:rFonts w:hint="eastAsia" w:ascii="Times New Roman" w:hAnsi="Times New Roman" w:eastAsia="宋体" w:cs="Times New Roman"/>
                <w:b w:val="0"/>
                <w:bCs w:val="0"/>
                <w:color w:val="auto"/>
                <w:sz w:val="24"/>
                <w:highlight w:val="none"/>
                <w:lang w:val="en-US" w:eastAsia="zh-CN"/>
              </w:rPr>
              <w:t>110kV为架空进出线，出线</w:t>
            </w:r>
            <w:r>
              <w:rPr>
                <w:rFonts w:hint="eastAsia" w:ascii="Times New Roman" w:hAnsi="Times New Roman" w:eastAsia="宋体" w:cs="Times New Roman"/>
                <w:b w:val="0"/>
                <w:bCs w:val="0"/>
                <w:color w:val="auto"/>
                <w:lang w:val="en-US" w:eastAsia="zh-CN"/>
              </w:rPr>
              <w:t>间隔</w:t>
            </w:r>
            <w:r>
              <w:rPr>
                <w:rFonts w:hint="eastAsia" w:ascii="Times New Roman" w:hAnsi="Times New Roman" w:eastAsia="宋体" w:cs="Times New Roman"/>
                <w:b w:val="0"/>
                <w:bCs w:val="0"/>
                <w:color w:val="auto"/>
                <w:sz w:val="24"/>
                <w:highlight w:val="none"/>
                <w:lang w:val="en-US" w:eastAsia="zh-CN"/>
              </w:rPr>
              <w:t>12回</w:t>
            </w:r>
            <w:r>
              <w:rPr>
                <w:rFonts w:hint="eastAsia" w:ascii="Times New Roman" w:hAnsi="Times New Roman" w:cs="Times New Roman"/>
                <w:b w:val="0"/>
                <w:bCs w:val="0"/>
                <w:color w:val="auto"/>
                <w:sz w:val="24"/>
                <w:highlight w:val="none"/>
                <w:lang w:val="en-US" w:eastAsia="zh-CN"/>
              </w:rPr>
              <w:t>，目前已占用7个间隔，本期采用架空出线2回，占用扩建</w:t>
            </w:r>
            <w:r>
              <w:rPr>
                <w:rFonts w:hint="eastAsia" w:ascii="Times New Roman" w:hAnsi="Times New Roman" w:eastAsia="宋体" w:cs="Times New Roman"/>
                <w:b w:val="0"/>
                <w:bCs w:val="0"/>
                <w:color w:val="auto"/>
                <w:sz w:val="24"/>
                <w:highlight w:val="none"/>
                <w:lang w:val="en-US" w:eastAsia="zh-CN"/>
              </w:rPr>
              <w:t>自东北向西南</w:t>
            </w:r>
            <w:r>
              <w:rPr>
                <w:rFonts w:hint="eastAsia" w:ascii="Times New Roman" w:hAnsi="Times New Roman" w:cs="Times New Roman"/>
                <w:b w:val="0"/>
                <w:bCs w:val="0"/>
                <w:color w:val="auto"/>
                <w:sz w:val="24"/>
                <w:highlight w:val="none"/>
                <w:lang w:val="en-US" w:eastAsia="zh-CN"/>
              </w:rPr>
              <w:t>预留</w:t>
            </w:r>
            <w:r>
              <w:rPr>
                <w:rFonts w:hint="eastAsia" w:ascii="Times New Roman" w:hAnsi="Times New Roman" w:eastAsia="宋体" w:cs="Times New Roman"/>
                <w:b w:val="0"/>
                <w:bCs w:val="0"/>
                <w:color w:val="auto"/>
                <w:sz w:val="24"/>
                <w:highlight w:val="none"/>
                <w:lang w:val="en-US" w:eastAsia="zh-CN"/>
              </w:rPr>
              <w:t>第3、4共2个间隔</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220kV全德变电站</w:t>
            </w:r>
            <w:r>
              <w:rPr>
                <w:rFonts w:hint="eastAsia" w:ascii="Times New Roman" w:hAnsi="Times New Roman" w:cs="Times New Roman"/>
                <w:b w:val="0"/>
                <w:bCs w:val="0"/>
                <w:color w:val="auto"/>
              </w:rPr>
              <w:t>间隔情况见图2</w:t>
            </w:r>
            <w:r>
              <w:rPr>
                <w:rFonts w:ascii="Times New Roman" w:hAnsi="Times New Roman" w:cs="Times New Roman"/>
                <w:b w:val="0"/>
                <w:bCs w:val="0"/>
                <w:color w:val="auto"/>
              </w:rPr>
              <w:t>-1</w:t>
            </w:r>
            <w:r>
              <w:rPr>
                <w:rFonts w:hint="eastAsia" w:ascii="Times New Roman" w:hAnsi="Times New Roman" w:cs="Times New Roman"/>
                <w:b w:val="0"/>
                <w:bCs w:val="0"/>
                <w:color w:val="auto"/>
              </w:rPr>
              <w:t>。</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1"/>
              <w:gridCol w:w="585"/>
              <w:gridCol w:w="585"/>
              <w:gridCol w:w="585"/>
              <w:gridCol w:w="585"/>
              <w:gridCol w:w="585"/>
              <w:gridCol w:w="585"/>
              <w:gridCol w:w="501"/>
              <w:gridCol w:w="501"/>
              <w:gridCol w:w="501"/>
              <w:gridCol w:w="563"/>
              <w:gridCol w:w="563"/>
              <w:gridCol w:w="585"/>
              <w:gridCol w:w="586"/>
              <w:gridCol w:w="5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序号</w:t>
                  </w:r>
                </w:p>
              </w:tc>
              <w:tc>
                <w:tcPr>
                  <w:tcW w:w="348"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西南侧</w:t>
                  </w:r>
                </w:p>
              </w:tc>
              <w:tc>
                <w:tcPr>
                  <w:tcW w:w="34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34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w:t>
                  </w:r>
                </w:p>
              </w:tc>
              <w:tc>
                <w:tcPr>
                  <w:tcW w:w="34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34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2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2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2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335" w:type="pct"/>
                  <w:tcBorders>
                    <w:tl2br w:val="nil"/>
                    <w:tr2bl w:val="nil"/>
                  </w:tcBorders>
                  <w:shd w:val="clear" w:color="auto" w:fill="A4A4A4"/>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335" w:type="pct"/>
                  <w:tcBorders>
                    <w:tl2br w:val="nil"/>
                    <w:tr2bl w:val="nil"/>
                  </w:tcBorders>
                  <w:shd w:val="clear" w:color="auto" w:fill="A4A4A4"/>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34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348"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3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东北侧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间隔</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名称</w:t>
                  </w:r>
                </w:p>
              </w:tc>
              <w:tc>
                <w:tcPr>
                  <w:tcW w:w="348"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eastAsia" w:ascii="Times New Roman" w:hAnsi="Times New Roman" w:eastAsia="宋体" w:cs="Times New Roman"/>
                      <w:color w:val="auto"/>
                      <w:sz w:val="21"/>
                      <w:szCs w:val="21"/>
                      <w:highlight w:val="none"/>
                      <w:lang w:val="en-US" w:eastAsia="zh-CN"/>
                    </w:rPr>
                  </w:pPr>
                </w:p>
              </w:tc>
              <w:tc>
                <w:tcPr>
                  <w:tcW w:w="34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龙兴西</w:t>
                  </w:r>
                </w:p>
              </w:tc>
              <w:tc>
                <w:tcPr>
                  <w:tcW w:w="34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龙兴东</w:t>
                  </w:r>
                </w:p>
              </w:tc>
              <w:tc>
                <w:tcPr>
                  <w:tcW w:w="34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铁佛西</w:t>
                  </w:r>
                </w:p>
              </w:tc>
              <w:tc>
                <w:tcPr>
                  <w:tcW w:w="34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铁佛东</w:t>
                  </w:r>
                </w:p>
              </w:tc>
              <w:tc>
                <w:tcPr>
                  <w:tcW w:w="34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铜梁牵</w:t>
                  </w:r>
                </w:p>
              </w:tc>
              <w:tc>
                <w:tcPr>
                  <w:tcW w:w="2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预留</w:t>
                  </w:r>
                </w:p>
              </w:tc>
              <w:tc>
                <w:tcPr>
                  <w:tcW w:w="2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预留</w:t>
                  </w:r>
                </w:p>
              </w:tc>
              <w:tc>
                <w:tcPr>
                  <w:tcW w:w="2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预留</w:t>
                  </w:r>
                </w:p>
              </w:tc>
              <w:tc>
                <w:tcPr>
                  <w:tcW w:w="335" w:type="pct"/>
                  <w:tcBorders>
                    <w:tl2br w:val="nil"/>
                    <w:tr2bl w:val="nil"/>
                  </w:tcBorders>
                  <w:shd w:val="clear" w:color="auto" w:fill="A4A4A4"/>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olor w:val="auto"/>
                      <w:lang w:eastAsia="zh-CN"/>
                    </w:rPr>
                    <w:t>德淮南</w:t>
                  </w:r>
                </w:p>
              </w:tc>
              <w:tc>
                <w:tcPr>
                  <w:tcW w:w="335" w:type="pct"/>
                  <w:tcBorders>
                    <w:tl2br w:val="nil"/>
                    <w:tr2bl w:val="nil"/>
                  </w:tcBorders>
                  <w:shd w:val="clear" w:color="auto" w:fill="A4A4A4"/>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olor w:val="auto"/>
                      <w:lang w:eastAsia="zh-CN"/>
                    </w:rPr>
                    <w:t>德淮北</w:t>
                  </w:r>
                </w:p>
              </w:tc>
              <w:tc>
                <w:tcPr>
                  <w:tcW w:w="34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永兴南</w:t>
                  </w:r>
                </w:p>
              </w:tc>
              <w:tc>
                <w:tcPr>
                  <w:tcW w:w="348"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永兴北</w:t>
                  </w:r>
                </w:p>
              </w:tc>
              <w:tc>
                <w:tcPr>
                  <w:tcW w:w="3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eastAsia" w:ascii="Times New Roman" w:hAnsi="Times New Roman" w:eastAsia="宋体" w:cs="Times New Roman"/>
                      <w:color w:val="auto"/>
                      <w:sz w:val="21"/>
                      <w:szCs w:val="21"/>
                      <w:highlight w:val="none"/>
                      <w:lang w:val="en-US" w:eastAsia="zh-CN"/>
                    </w:rPr>
                  </w:pPr>
                </w:p>
              </w:tc>
            </w:tr>
          </w:tbl>
          <w:p>
            <w:pPr>
              <w:pStyle w:val="35"/>
              <w:jc w:val="center"/>
              <w:rPr>
                <w:rFonts w:ascii="Times New Roman" w:hAnsi="Times New Roman" w:cs="Times New Roman"/>
                <w:b/>
                <w:bCs/>
                <w:color w:val="auto"/>
              </w:rPr>
            </w:pPr>
            <w:r>
              <w:rPr>
                <w:rFonts w:ascii="Times New Roman" w:hAnsi="Times New Roman" w:cs="Times New Roman"/>
                <w:b/>
                <w:bCs/>
                <w:color w:val="auto"/>
              </w:rPr>
              <w:t>图2-</w:t>
            </w:r>
            <w:r>
              <w:rPr>
                <w:rFonts w:hint="eastAsia" w:ascii="Times New Roman" w:hAnsi="Times New Roman" w:cs="Times New Roman"/>
                <w:b/>
                <w:bCs/>
                <w:color w:val="auto"/>
                <w:lang w:val="en-US" w:eastAsia="zh-CN"/>
              </w:rPr>
              <w:t>1</w:t>
            </w:r>
            <w:r>
              <w:rPr>
                <w:rFonts w:ascii="Times New Roman" w:hAnsi="Times New Roman" w:cs="Times New Roman"/>
                <w:b/>
                <w:bCs/>
                <w:color w:val="auto"/>
              </w:rPr>
              <w:t xml:space="preserve"> </w:t>
            </w:r>
            <w:r>
              <w:rPr>
                <w:rFonts w:hint="eastAsia" w:ascii="Times New Roman" w:hAnsi="Times New Roman" w:cs="Times New Roman"/>
                <w:b/>
                <w:bCs/>
                <w:color w:val="auto"/>
              </w:rPr>
              <w:t>全德220kV变</w:t>
            </w:r>
            <w:r>
              <w:rPr>
                <w:rFonts w:ascii="Times New Roman" w:hAnsi="Times New Roman" w:cs="Times New Roman"/>
                <w:b/>
                <w:bCs/>
                <w:color w:val="auto"/>
              </w:rPr>
              <w:t>电站间隔情况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default" w:ascii="Times New Roman" w:hAnsi="Times New Roman" w:cs="Times New Roman"/>
                <w:b/>
                <w:color w:val="auto"/>
                <w:sz w:val="24"/>
                <w:szCs w:val="24"/>
                <w:highlight w:val="none"/>
              </w:rPr>
            </w:pPr>
            <w:r>
              <w:rPr>
                <w:rFonts w:hint="eastAsia" w:ascii="Times New Roman" w:hAnsi="Times New Roman" w:eastAsia="宋体" w:cs="Times New Roman"/>
                <w:b/>
                <w:bCs/>
                <w:color w:val="auto"/>
                <w:sz w:val="24"/>
                <w:szCs w:val="24"/>
              </w:rPr>
              <w:t>（</w:t>
            </w:r>
            <w:r>
              <w:rPr>
                <w:rFonts w:hint="eastAsia" w:cs="Times New Roman"/>
                <w:b/>
                <w:bCs/>
                <w:color w:val="auto"/>
                <w:sz w:val="24"/>
                <w:szCs w:val="24"/>
                <w:lang w:val="en-US" w:eastAsia="zh-CN"/>
              </w:rPr>
              <w:t>2</w:t>
            </w:r>
            <w:r>
              <w:rPr>
                <w:rFonts w:hint="eastAsia" w:ascii="Times New Roman" w:hAnsi="Times New Roman" w:eastAsia="宋体" w:cs="Times New Roman"/>
                <w:b/>
                <w:bCs/>
                <w:color w:val="auto"/>
                <w:sz w:val="24"/>
                <w:szCs w:val="24"/>
              </w:rPr>
              <w:t>）</w:t>
            </w:r>
            <w:r>
              <w:rPr>
                <w:rFonts w:hint="default" w:ascii="Times New Roman" w:hAnsi="Times New Roman" w:cs="Times New Roman"/>
                <w:b/>
                <w:color w:val="auto"/>
                <w:sz w:val="24"/>
                <w:szCs w:val="24"/>
                <w:highlight w:val="none"/>
                <w:lang w:val="en-US" w:eastAsia="zh-CN"/>
              </w:rPr>
              <w:t>淮阳11</w:t>
            </w:r>
            <w:r>
              <w:rPr>
                <w:rFonts w:hint="default" w:ascii="Times New Roman" w:hAnsi="Times New Roman" w:cs="Times New Roman"/>
                <w:b/>
                <w:color w:val="auto"/>
                <w:sz w:val="24"/>
                <w:szCs w:val="24"/>
                <w:highlight w:val="none"/>
              </w:rPr>
              <w:t>0kV</w:t>
            </w:r>
            <w:r>
              <w:rPr>
                <w:rFonts w:hint="default" w:ascii="Times New Roman" w:hAnsi="Times New Roman" w:cs="Times New Roman"/>
                <w:b/>
                <w:color w:val="auto"/>
                <w:sz w:val="24"/>
                <w:szCs w:val="24"/>
                <w:highlight w:val="none"/>
                <w:lang w:val="en-US" w:eastAsia="zh-CN"/>
              </w:rPr>
              <w:t>变电</w:t>
            </w:r>
            <w:r>
              <w:rPr>
                <w:rFonts w:hint="default" w:ascii="Times New Roman" w:hAnsi="Times New Roman" w:cs="Times New Roman"/>
                <w:b/>
                <w:color w:val="auto"/>
                <w:sz w:val="24"/>
                <w:szCs w:val="24"/>
                <w:highlight w:val="none"/>
              </w:rPr>
              <w:t>站</w:t>
            </w:r>
          </w:p>
          <w:p>
            <w:pPr>
              <w:pStyle w:val="3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淮阳110kV变电站</w:t>
            </w:r>
            <w:r>
              <w:rPr>
                <w:rFonts w:hint="eastAsia" w:ascii="Times New Roman" w:hAnsi="Times New Roman" w:eastAsia="宋体" w:cs="Times New Roman"/>
                <w:b w:val="0"/>
                <w:bCs w:val="0"/>
                <w:color w:val="auto"/>
                <w:sz w:val="24"/>
                <w:szCs w:val="24"/>
                <w:highlight w:val="none"/>
                <w:lang w:val="en-US" w:eastAsia="zh-CN"/>
              </w:rPr>
              <w:t>位于</w:t>
            </w:r>
            <w:r>
              <w:rPr>
                <w:rFonts w:hint="default" w:ascii="Times New Roman" w:hAnsi="Times New Roman" w:eastAsia="宋体" w:cs="Times New Roman"/>
                <w:b w:val="0"/>
                <w:bCs w:val="0"/>
                <w:color w:val="auto"/>
                <w:sz w:val="24"/>
                <w:szCs w:val="24"/>
                <w:highlight w:val="none"/>
                <w:lang w:val="en-US" w:eastAsia="zh-CN"/>
              </w:rPr>
              <w:t>蒲吕街道沙</w:t>
            </w:r>
            <w:r>
              <w:rPr>
                <w:rFonts w:hint="eastAsia" w:ascii="Times New Roman" w:hAnsi="Times New Roman" w:eastAsia="宋体" w:cs="Times New Roman"/>
                <w:b w:val="0"/>
                <w:bCs w:val="0"/>
                <w:color w:val="auto"/>
                <w:sz w:val="24"/>
                <w:szCs w:val="24"/>
                <w:highlight w:val="none"/>
                <w:lang w:val="en-US" w:eastAsia="zh-CN"/>
              </w:rPr>
              <w:t>心</w:t>
            </w:r>
            <w:r>
              <w:rPr>
                <w:rFonts w:hint="default" w:ascii="Times New Roman" w:hAnsi="Times New Roman" w:eastAsia="宋体" w:cs="Times New Roman"/>
                <w:b w:val="0"/>
                <w:bCs w:val="0"/>
                <w:color w:val="auto"/>
                <w:sz w:val="24"/>
                <w:szCs w:val="24"/>
                <w:highlight w:val="none"/>
                <w:lang w:val="en-US" w:eastAsia="zh-CN"/>
              </w:rPr>
              <w:t>村，</w:t>
            </w:r>
            <w:r>
              <w:rPr>
                <w:rFonts w:hint="eastAsia" w:ascii="Times New Roman" w:hAnsi="Times New Roman" w:cs="Times New Roman"/>
                <w:b w:val="0"/>
                <w:bCs w:val="0"/>
                <w:color w:val="auto"/>
                <w:sz w:val="24"/>
                <w:szCs w:val="24"/>
                <w:highlight w:val="none"/>
                <w:lang w:val="en-US" w:eastAsia="zh-CN"/>
              </w:rPr>
              <w:t>本次</w:t>
            </w:r>
            <w:r>
              <w:rPr>
                <w:rFonts w:hint="default" w:ascii="Times New Roman" w:hAnsi="Times New Roman" w:eastAsia="宋体" w:cs="Times New Roman"/>
                <w:b w:val="0"/>
                <w:bCs w:val="0"/>
                <w:color w:val="auto"/>
                <w:sz w:val="24"/>
                <w:szCs w:val="24"/>
                <w:highlight w:val="none"/>
                <w:lang w:val="en-US" w:eastAsia="zh-CN"/>
              </w:rPr>
              <w:t>建设。淮阳变</w:t>
            </w:r>
            <w:r>
              <w:rPr>
                <w:rFonts w:hint="eastAsia" w:ascii="Times New Roman" w:hAnsi="Times New Roman" w:eastAsia="宋体" w:cs="Times New Roman"/>
                <w:b w:val="0"/>
                <w:bCs w:val="0"/>
                <w:color w:val="auto"/>
                <w:sz w:val="24"/>
                <w:szCs w:val="24"/>
                <w:highlight w:val="none"/>
                <w:lang w:val="en-US" w:eastAsia="zh-CN"/>
              </w:rPr>
              <w:t>电站</w:t>
            </w:r>
            <w:r>
              <w:rPr>
                <w:rFonts w:hint="default" w:ascii="Times New Roman" w:hAnsi="Times New Roman" w:eastAsia="宋体" w:cs="Times New Roman"/>
                <w:b w:val="0"/>
                <w:bCs w:val="0"/>
                <w:color w:val="auto"/>
                <w:sz w:val="24"/>
                <w:szCs w:val="24"/>
                <w:highlight w:val="none"/>
                <w:lang w:val="en-US" w:eastAsia="zh-CN"/>
              </w:rPr>
              <w:t>110kV向东北架空进线，远景间隔4回，本期间隔2回，本期线路占用本期间隔</w:t>
            </w:r>
            <w:r>
              <w:rPr>
                <w:rFonts w:hint="default" w:ascii="Times New Roman" w:hAnsi="Times New Roman" w:eastAsia="宋体" w:cs="Times New Roman"/>
                <w:b w:val="0"/>
                <w:bCs w:val="0"/>
                <w:color w:val="auto"/>
                <w:sz w:val="24"/>
                <w:szCs w:val="24"/>
                <w:highlight w:val="none"/>
                <w:lang w:val="zh-CN" w:eastAsia="zh-CN"/>
              </w:rPr>
              <w:t>。淮阳110kV变电站间隔情况</w:t>
            </w:r>
            <w:r>
              <w:rPr>
                <w:rFonts w:hint="eastAsia" w:ascii="Times New Roman" w:hAnsi="Times New Roman" w:eastAsia="宋体" w:cs="Times New Roman"/>
                <w:b w:val="0"/>
                <w:bCs w:val="0"/>
                <w:color w:val="auto"/>
                <w:sz w:val="24"/>
                <w:szCs w:val="24"/>
                <w:highlight w:val="none"/>
                <w:lang w:val="zh-CN" w:eastAsia="zh-CN"/>
              </w:rPr>
              <w:t>见图</w:t>
            </w:r>
            <w:r>
              <w:rPr>
                <w:rFonts w:hint="eastAsia" w:ascii="Times New Roman" w:hAnsi="Times New Roman" w:eastAsia="宋体" w:cs="Times New Roman"/>
                <w:b w:val="0"/>
                <w:bCs w:val="0"/>
                <w:color w:val="auto"/>
                <w:sz w:val="24"/>
                <w:szCs w:val="24"/>
                <w:highlight w:val="none"/>
                <w:lang w:val="en-US" w:eastAsia="zh-CN"/>
              </w:rPr>
              <w:t>2-2。</w:t>
            </w:r>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325"/>
              <w:gridCol w:w="1325"/>
              <w:gridCol w:w="1325"/>
              <w:gridCol w:w="1325"/>
              <w:gridCol w:w="1328"/>
              <w:gridCol w:w="13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325" w:type="dxa"/>
                  <w:vMerge w:val="restart"/>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西</w:t>
                  </w:r>
                  <w:r>
                    <w:rPr>
                      <w:rFonts w:hint="default" w:ascii="Times New Roman" w:hAnsi="Times New Roman" w:cs="Times New Roman"/>
                      <w:color w:val="auto"/>
                      <w:kern w:val="0"/>
                      <w:sz w:val="22"/>
                      <w:highlight w:val="none"/>
                      <w:lang w:val="en-US" w:eastAsia="zh-CN"/>
                    </w:rPr>
                    <w:t>北</w:t>
                  </w:r>
                  <w:r>
                    <w:rPr>
                      <w:rFonts w:hint="default" w:ascii="Times New Roman" w:hAnsi="Times New Roman" w:cs="Times New Roman"/>
                      <w:color w:val="auto"/>
                      <w:kern w:val="0"/>
                      <w:sz w:val="22"/>
                      <w:highlight w:val="none"/>
                    </w:rPr>
                    <w:t>侧</w:t>
                  </w:r>
                </w:p>
              </w:tc>
              <w:tc>
                <w:tcPr>
                  <w:tcW w:w="1325"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编号</w:t>
                  </w:r>
                </w:p>
              </w:tc>
              <w:tc>
                <w:tcPr>
                  <w:tcW w:w="1325"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2"/>
                      <w:highlight w:val="none"/>
                      <w:lang w:val="en-US" w:eastAsia="zh-CN"/>
                    </w:rPr>
                  </w:pPr>
                  <w:r>
                    <w:rPr>
                      <w:rFonts w:hint="default" w:ascii="Times New Roman" w:hAnsi="Times New Roman" w:cs="Times New Roman"/>
                      <w:color w:val="auto"/>
                      <w:kern w:val="0"/>
                      <w:sz w:val="22"/>
                      <w:highlight w:val="none"/>
                      <w:lang w:val="en-US" w:eastAsia="zh-CN"/>
                    </w:rPr>
                    <w:t>1</w:t>
                  </w:r>
                </w:p>
              </w:tc>
              <w:tc>
                <w:tcPr>
                  <w:tcW w:w="1325" w:type="dxa"/>
                  <w:tcBorders>
                    <w:tl2br w:val="nil"/>
                    <w:tr2bl w:val="nil"/>
                  </w:tcBorders>
                  <w:shd w:val="clear" w:color="auto" w:fill="D7D7D7"/>
                  <w:noWrap w:val="0"/>
                  <w:vAlign w:val="center"/>
                </w:tcPr>
                <w:p>
                  <w:pPr>
                    <w:widowControl/>
                    <w:jc w:val="center"/>
                    <w:rPr>
                      <w:rFonts w:hint="default" w:ascii="Times New Roman" w:hAnsi="Times New Roman" w:eastAsia="宋体" w:cs="Times New Roman"/>
                      <w:color w:val="auto"/>
                      <w:kern w:val="0"/>
                      <w:sz w:val="22"/>
                      <w:highlight w:val="none"/>
                      <w:lang w:val="en-US" w:eastAsia="zh-CN"/>
                    </w:rPr>
                  </w:pPr>
                  <w:r>
                    <w:rPr>
                      <w:rFonts w:hint="default" w:ascii="Times New Roman" w:hAnsi="Times New Roman" w:cs="Times New Roman"/>
                      <w:color w:val="auto"/>
                      <w:kern w:val="0"/>
                      <w:sz w:val="22"/>
                      <w:highlight w:val="none"/>
                      <w:lang w:val="en-US" w:eastAsia="zh-CN"/>
                    </w:rPr>
                    <w:t>2</w:t>
                  </w:r>
                </w:p>
              </w:tc>
              <w:tc>
                <w:tcPr>
                  <w:tcW w:w="1325" w:type="dxa"/>
                  <w:tcBorders>
                    <w:tl2br w:val="nil"/>
                    <w:tr2bl w:val="nil"/>
                  </w:tcBorders>
                  <w:shd w:val="clear" w:color="auto" w:fill="D7D7D7"/>
                  <w:noWrap w:val="0"/>
                  <w:vAlign w:val="center"/>
                </w:tcPr>
                <w:p>
                  <w:pPr>
                    <w:widowControl/>
                    <w:jc w:val="center"/>
                    <w:rPr>
                      <w:rFonts w:hint="default" w:ascii="Times New Roman" w:hAnsi="Times New Roman" w:eastAsia="宋体" w:cs="Times New Roman"/>
                      <w:color w:val="auto"/>
                      <w:kern w:val="0"/>
                      <w:sz w:val="22"/>
                      <w:szCs w:val="22"/>
                      <w:highlight w:val="none"/>
                      <w:lang w:eastAsia="zh-CN"/>
                    </w:rPr>
                  </w:pPr>
                  <w:r>
                    <w:rPr>
                      <w:rFonts w:hint="default" w:ascii="Times New Roman" w:hAnsi="Times New Roman" w:cs="Times New Roman"/>
                      <w:color w:val="auto"/>
                      <w:kern w:val="0"/>
                      <w:sz w:val="22"/>
                      <w:szCs w:val="22"/>
                      <w:highlight w:val="none"/>
                      <w:lang w:val="en-US" w:eastAsia="zh-CN"/>
                    </w:rPr>
                    <w:t>3</w:t>
                  </w:r>
                </w:p>
              </w:tc>
              <w:tc>
                <w:tcPr>
                  <w:tcW w:w="1328" w:type="dxa"/>
                  <w:tcBorders>
                    <w:tl2br w:val="nil"/>
                    <w:tr2bl w:val="nil"/>
                  </w:tcBorders>
                  <w:noWrap w:val="0"/>
                  <w:vAlign w:val="center"/>
                </w:tcPr>
                <w:p>
                  <w:pPr>
                    <w:widowControl/>
                    <w:jc w:val="center"/>
                    <w:rPr>
                      <w:rFonts w:hint="default" w:ascii="Times New Roman" w:hAnsi="Times New Roman" w:cs="Times New Roman"/>
                      <w:color w:val="auto"/>
                      <w:kern w:val="0"/>
                      <w:sz w:val="22"/>
                      <w:szCs w:val="22"/>
                      <w:highlight w:val="none"/>
                      <w:lang w:val="en-US" w:eastAsia="zh-CN"/>
                    </w:rPr>
                  </w:pPr>
                  <w:r>
                    <w:rPr>
                      <w:rFonts w:hint="default" w:ascii="Times New Roman" w:hAnsi="Times New Roman" w:cs="Times New Roman"/>
                      <w:color w:val="auto"/>
                      <w:kern w:val="0"/>
                      <w:sz w:val="22"/>
                      <w:szCs w:val="22"/>
                      <w:highlight w:val="none"/>
                      <w:lang w:val="en-US" w:eastAsia="zh-CN"/>
                    </w:rPr>
                    <w:t>4</w:t>
                  </w:r>
                </w:p>
              </w:tc>
              <w:tc>
                <w:tcPr>
                  <w:tcW w:w="1328" w:type="dxa"/>
                  <w:vMerge w:val="restart"/>
                  <w:tcBorders>
                    <w:tl2br w:val="nil"/>
                    <w:tr2bl w:val="nil"/>
                  </w:tcBorders>
                  <w:noWrap w:val="0"/>
                  <w:vAlign w:val="center"/>
                </w:tcPr>
                <w:p>
                  <w:pPr>
                    <w:widowControl/>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东</w:t>
                  </w:r>
                  <w:r>
                    <w:rPr>
                      <w:rFonts w:hint="default" w:ascii="Times New Roman" w:hAnsi="Times New Roman" w:cs="Times New Roman"/>
                      <w:color w:val="auto"/>
                      <w:kern w:val="0"/>
                      <w:sz w:val="22"/>
                      <w:highlight w:val="none"/>
                      <w:lang w:val="en-US" w:eastAsia="zh-CN"/>
                    </w:rPr>
                    <w:t>南</w:t>
                  </w:r>
                  <w:r>
                    <w:rPr>
                      <w:rFonts w:hint="default" w:ascii="Times New Roman" w:hAnsi="Times New Roman" w:cs="Times New Roman"/>
                      <w:color w:val="auto"/>
                      <w:kern w:val="0"/>
                      <w:sz w:val="22"/>
                      <w:highlight w:val="none"/>
                    </w:rPr>
                    <w:t>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325" w:type="dxa"/>
                  <w:vMerge w:val="continue"/>
                  <w:tcBorders>
                    <w:tl2br w:val="nil"/>
                    <w:tr2bl w:val="nil"/>
                  </w:tcBorders>
                  <w:shd w:val="clear" w:color="auto" w:fill="auto"/>
                  <w:noWrap w:val="0"/>
                  <w:vAlign w:val="center"/>
                </w:tcPr>
                <w:p>
                  <w:pPr>
                    <w:widowControl/>
                    <w:rPr>
                      <w:rFonts w:hint="default" w:ascii="Times New Roman" w:hAnsi="Times New Roman" w:cs="Times New Roman"/>
                      <w:color w:val="auto"/>
                      <w:kern w:val="0"/>
                      <w:sz w:val="22"/>
                      <w:highlight w:val="none"/>
                    </w:rPr>
                  </w:pPr>
                </w:p>
              </w:tc>
              <w:tc>
                <w:tcPr>
                  <w:tcW w:w="1325"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间隔名称</w:t>
                  </w:r>
                </w:p>
              </w:tc>
              <w:tc>
                <w:tcPr>
                  <w:tcW w:w="1325" w:type="dxa"/>
                  <w:tcBorders>
                    <w:tl2br w:val="nil"/>
                    <w:tr2bl w:val="nil"/>
                  </w:tcBorders>
                  <w:shd w:val="clear" w:color="auto" w:fill="auto"/>
                  <w:noWrap w:val="0"/>
                  <w:vAlign w:val="center"/>
                </w:tcPr>
                <w:p>
                  <w:pPr>
                    <w:widowControl/>
                    <w:jc w:val="center"/>
                    <w:rPr>
                      <w:rFonts w:hint="default" w:ascii="Times New Roman" w:hAnsi="Times New Roman" w:cs="Times New Roman"/>
                      <w:color w:val="auto"/>
                      <w:kern w:val="0"/>
                      <w:sz w:val="22"/>
                      <w:highlight w:val="none"/>
                      <w:lang w:val="en-US" w:eastAsia="zh-CN"/>
                    </w:rPr>
                  </w:pPr>
                  <w:r>
                    <w:rPr>
                      <w:rFonts w:hint="default" w:ascii="Times New Roman" w:hAnsi="Times New Roman" w:cs="Times New Roman"/>
                      <w:color w:val="auto"/>
                      <w:kern w:val="0"/>
                      <w:sz w:val="22"/>
                      <w:highlight w:val="none"/>
                      <w:lang w:val="en-US" w:eastAsia="zh-CN"/>
                    </w:rPr>
                    <w:t>预留</w:t>
                  </w:r>
                </w:p>
              </w:tc>
              <w:tc>
                <w:tcPr>
                  <w:tcW w:w="1325" w:type="dxa"/>
                  <w:tcBorders>
                    <w:tl2br w:val="nil"/>
                    <w:tr2bl w:val="nil"/>
                  </w:tcBorders>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kern w:val="0"/>
                      <w:sz w:val="22"/>
                      <w:highlight w:val="none"/>
                      <w:lang w:val="en-US" w:eastAsia="zh-CN"/>
                    </w:rPr>
                  </w:pPr>
                  <w:r>
                    <w:rPr>
                      <w:rFonts w:hint="eastAsia"/>
                      <w:color w:val="auto"/>
                      <w:lang w:eastAsia="zh-CN"/>
                    </w:rPr>
                    <w:t>德淮南</w:t>
                  </w:r>
                </w:p>
              </w:tc>
              <w:tc>
                <w:tcPr>
                  <w:tcW w:w="1325" w:type="dxa"/>
                  <w:tcBorders>
                    <w:tl2br w:val="nil"/>
                    <w:tr2bl w:val="nil"/>
                  </w:tcBorders>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jc w:val="center"/>
                    <w:textAlignment w:val="auto"/>
                    <w:outlineLvl w:val="9"/>
                    <w:rPr>
                      <w:rFonts w:hint="default" w:ascii="Times New Roman" w:hAnsi="Times New Roman" w:eastAsia="宋体" w:cs="Times New Roman"/>
                      <w:color w:val="auto"/>
                      <w:kern w:val="0"/>
                      <w:sz w:val="22"/>
                      <w:szCs w:val="22"/>
                      <w:highlight w:val="none"/>
                      <w:lang w:val="en-US" w:eastAsia="zh-CN"/>
                    </w:rPr>
                  </w:pPr>
                  <w:r>
                    <w:rPr>
                      <w:rFonts w:hint="eastAsia"/>
                      <w:color w:val="auto"/>
                      <w:lang w:eastAsia="zh-CN"/>
                    </w:rPr>
                    <w:t>德淮北</w:t>
                  </w:r>
                </w:p>
              </w:tc>
              <w:tc>
                <w:tcPr>
                  <w:tcW w:w="1328" w:type="dxa"/>
                  <w:tcBorders>
                    <w:tl2br w:val="nil"/>
                    <w:tr2bl w:val="nil"/>
                  </w:tcBorders>
                  <w:noWrap w:val="0"/>
                  <w:vAlign w:val="center"/>
                </w:tcPr>
                <w:p>
                  <w:pPr>
                    <w:widowControl/>
                    <w:jc w:val="center"/>
                    <w:rPr>
                      <w:rFonts w:hint="default" w:ascii="Times New Roman" w:hAnsi="Times New Roman" w:cs="Times New Roman"/>
                      <w:color w:val="auto"/>
                      <w:kern w:val="0"/>
                      <w:sz w:val="22"/>
                      <w:highlight w:val="none"/>
                      <w:lang w:val="en-US" w:eastAsia="zh-CN"/>
                    </w:rPr>
                  </w:pPr>
                  <w:r>
                    <w:rPr>
                      <w:rFonts w:hint="default" w:ascii="Times New Roman" w:hAnsi="Times New Roman" w:cs="Times New Roman"/>
                      <w:color w:val="auto"/>
                      <w:kern w:val="0"/>
                      <w:sz w:val="22"/>
                      <w:highlight w:val="none"/>
                      <w:lang w:val="en-US" w:eastAsia="zh-CN"/>
                    </w:rPr>
                    <w:t>预留</w:t>
                  </w:r>
                </w:p>
              </w:tc>
              <w:tc>
                <w:tcPr>
                  <w:tcW w:w="1328" w:type="dxa"/>
                  <w:vMerge w:val="continue"/>
                  <w:tcBorders>
                    <w:tl2br w:val="nil"/>
                    <w:tr2bl w:val="nil"/>
                  </w:tcBorders>
                  <w:noWrap w:val="0"/>
                  <w:vAlign w:val="center"/>
                </w:tcPr>
                <w:p>
                  <w:pPr>
                    <w:widowControl/>
                    <w:rPr>
                      <w:rFonts w:hint="default" w:ascii="Times New Roman" w:hAnsi="Times New Roman" w:cs="Times New Roman"/>
                      <w:color w:val="auto"/>
                      <w:kern w:val="0"/>
                      <w:sz w:val="22"/>
                      <w:highlight w:val="none"/>
                    </w:rPr>
                  </w:pPr>
                </w:p>
              </w:tc>
            </w:tr>
          </w:tbl>
          <w:p>
            <w:pPr>
              <w:pStyle w:val="7"/>
              <w:ind w:left="0" w:leftChars="0" w:firstLine="0" w:firstLineChars="0"/>
              <w:jc w:val="center"/>
              <w:rPr>
                <w:rFonts w:ascii="Times New Roman" w:hAnsi="Times New Roman" w:cs="Times New Roman"/>
                <w:b/>
                <w:bCs/>
                <w:color w:val="auto"/>
              </w:rPr>
            </w:pPr>
            <w:r>
              <w:rPr>
                <w:rFonts w:ascii="Times New Roman" w:hAnsi="Times New Roman" w:cs="Times New Roman"/>
                <w:b/>
                <w:bCs/>
                <w:color w:val="auto"/>
              </w:rPr>
              <w:t>图2-</w:t>
            </w:r>
            <w:r>
              <w:rPr>
                <w:rFonts w:hint="eastAsia" w:ascii="Times New Roman" w:hAnsi="Times New Roman" w:cs="Times New Roman"/>
                <w:b/>
                <w:bCs/>
                <w:color w:val="auto"/>
                <w:lang w:val="en-US" w:eastAsia="zh-CN"/>
              </w:rPr>
              <w:t>2</w:t>
            </w:r>
            <w:r>
              <w:rPr>
                <w:rFonts w:ascii="Times New Roman" w:hAnsi="Times New Roman" w:cs="Times New Roman"/>
                <w:b/>
                <w:bCs/>
                <w:color w:val="auto"/>
              </w:rPr>
              <w:t xml:space="preserve"> </w:t>
            </w:r>
            <w:r>
              <w:rPr>
                <w:rFonts w:hint="default" w:ascii="Times New Roman" w:hAnsi="Times New Roman" w:cs="Times New Roman"/>
                <w:b/>
                <w:color w:val="auto"/>
                <w:sz w:val="24"/>
                <w:highlight w:val="none"/>
                <w:lang w:val="en-US" w:eastAsia="zh-CN"/>
              </w:rPr>
              <w:t>淮阳11</w:t>
            </w:r>
            <w:r>
              <w:rPr>
                <w:rFonts w:hint="default" w:ascii="Times New Roman" w:hAnsi="Times New Roman" w:cs="Times New Roman"/>
                <w:b/>
                <w:color w:val="auto"/>
                <w:sz w:val="24"/>
                <w:highlight w:val="none"/>
              </w:rPr>
              <w:t>0kV</w:t>
            </w:r>
            <w:r>
              <w:rPr>
                <w:rFonts w:hint="default" w:ascii="Times New Roman" w:hAnsi="Times New Roman" w:cs="Times New Roman"/>
                <w:b/>
                <w:color w:val="auto"/>
                <w:sz w:val="24"/>
                <w:highlight w:val="none"/>
                <w:lang w:val="en-US" w:eastAsia="zh-CN"/>
              </w:rPr>
              <w:t>变电</w:t>
            </w:r>
            <w:r>
              <w:rPr>
                <w:rFonts w:hint="default" w:ascii="Times New Roman" w:hAnsi="Times New Roman" w:cs="Times New Roman"/>
                <w:b/>
                <w:color w:val="auto"/>
                <w:sz w:val="24"/>
                <w:highlight w:val="none"/>
              </w:rPr>
              <w:t>站</w:t>
            </w:r>
            <w:r>
              <w:rPr>
                <w:rFonts w:ascii="Times New Roman" w:hAnsi="Times New Roman" w:cs="Times New Roman"/>
                <w:b/>
                <w:bCs/>
                <w:color w:val="auto"/>
              </w:rPr>
              <w:t>间隔情况</w:t>
            </w:r>
          </w:p>
          <w:p>
            <w:pPr>
              <w:rPr>
                <w:rFonts w:ascii="Times New Roman" w:hAnsi="Times New Roman" w:cs="Times New Roman"/>
                <w:b/>
                <w:bCs/>
                <w:color w:val="auto"/>
              </w:rPr>
            </w:pPr>
          </w:p>
          <w:p>
            <w:pPr>
              <w:pStyle w:val="36"/>
              <w:rPr>
                <w:color w:val="auto"/>
              </w:rPr>
            </w:pPr>
          </w:p>
          <w:p>
            <w:pPr>
              <w:autoSpaceDE w:val="0"/>
              <w:autoSpaceDN w:val="0"/>
              <w:adjustRightInd w:val="0"/>
              <w:snapToGrid w:val="0"/>
              <w:spacing w:line="360" w:lineRule="auto"/>
              <w:rPr>
                <w:rFonts w:cs="宋体"/>
                <w:b/>
                <w:color w:val="auto"/>
                <w:sz w:val="24"/>
              </w:rPr>
            </w:pPr>
            <w:r>
              <w:rPr>
                <w:rFonts w:cs="宋体"/>
                <w:b/>
                <w:color w:val="auto"/>
                <w:sz w:val="24"/>
              </w:rPr>
              <w:t>2.6.</w:t>
            </w:r>
            <w:r>
              <w:rPr>
                <w:rFonts w:hint="eastAsia" w:cs="宋体"/>
                <w:b/>
                <w:color w:val="auto"/>
                <w:sz w:val="24"/>
                <w:lang w:val="en-US" w:eastAsia="zh-CN"/>
              </w:rPr>
              <w:t>3</w:t>
            </w:r>
            <w:r>
              <w:rPr>
                <w:rFonts w:cs="宋体"/>
                <w:b/>
                <w:color w:val="auto"/>
                <w:sz w:val="24"/>
              </w:rPr>
              <w:t xml:space="preserve"> </w:t>
            </w:r>
            <w:r>
              <w:rPr>
                <w:rFonts w:hint="eastAsia" w:cs="宋体"/>
                <w:b/>
                <w:color w:val="auto"/>
                <w:sz w:val="24"/>
              </w:rPr>
              <w:t xml:space="preserve">塔基基础形式 </w:t>
            </w:r>
          </w:p>
          <w:p>
            <w:pPr>
              <w:autoSpaceDE w:val="0"/>
              <w:autoSpaceDN w:val="0"/>
              <w:adjustRightInd w:val="0"/>
              <w:snapToGrid w:val="0"/>
              <w:spacing w:line="360" w:lineRule="auto"/>
              <w:ind w:firstLine="480" w:firstLineChars="200"/>
              <w:rPr>
                <w:rFonts w:cs="宋体"/>
                <w:bCs/>
                <w:color w:val="auto"/>
                <w:sz w:val="24"/>
              </w:rPr>
            </w:pPr>
            <w:r>
              <w:rPr>
                <w:rFonts w:hint="eastAsia" w:cs="宋体"/>
                <w:bCs/>
                <w:color w:val="auto"/>
                <w:sz w:val="24"/>
              </w:rPr>
              <w:t>根据地质、地形</w:t>
            </w:r>
            <w:r>
              <w:rPr>
                <w:rFonts w:hint="eastAsia" w:cs="宋体"/>
                <w:bCs/>
                <w:color w:val="auto"/>
                <w:sz w:val="24"/>
                <w:szCs w:val="24"/>
              </w:rPr>
              <w:t>情况以及基础的受力特点，本工程新建线路杆塔主要采用</w:t>
            </w:r>
            <w:r>
              <w:rPr>
                <w:rFonts w:hint="eastAsia" w:ascii="Times New Roman" w:hAnsi="Times New Roman"/>
                <w:color w:val="auto"/>
                <w:sz w:val="24"/>
                <w:szCs w:val="24"/>
              </w:rPr>
              <w:t>掏挖式基础</w:t>
            </w:r>
            <w:r>
              <w:rPr>
                <w:rFonts w:hint="eastAsia"/>
                <w:color w:val="auto"/>
                <w:sz w:val="24"/>
                <w:szCs w:val="24"/>
                <w:highlight w:val="none"/>
                <w:lang w:val="zh-CN"/>
              </w:rPr>
              <w:t>、</w:t>
            </w:r>
            <w:r>
              <w:rPr>
                <w:rFonts w:hint="eastAsia" w:ascii="Times New Roman" w:hAnsi="Times New Roman"/>
                <w:color w:val="auto"/>
                <w:sz w:val="24"/>
                <w:szCs w:val="24"/>
              </w:rPr>
              <w:t>人工挖孔桩基础</w:t>
            </w:r>
            <w:r>
              <w:rPr>
                <w:rFonts w:hint="eastAsia" w:cs="宋体"/>
                <w:bCs/>
                <w:color w:val="auto"/>
                <w:sz w:val="24"/>
                <w:szCs w:val="24"/>
              </w:rPr>
              <w:t>，塔基</w:t>
            </w:r>
            <w:r>
              <w:rPr>
                <w:rFonts w:hint="eastAsia" w:cs="宋体"/>
                <w:bCs/>
                <w:color w:val="auto"/>
                <w:sz w:val="24"/>
              </w:rPr>
              <w:t>基础图见附图7。</w:t>
            </w:r>
          </w:p>
          <w:p>
            <w:pPr>
              <w:pStyle w:val="35"/>
              <w:ind w:firstLine="0"/>
              <w:rPr>
                <w:rFonts w:ascii="Times New Roman" w:hAnsi="Times New Roman" w:cs="Times New Roman"/>
                <w:b/>
                <w:color w:val="auto"/>
                <w:kern w:val="0"/>
              </w:rPr>
            </w:pPr>
            <w:r>
              <w:rPr>
                <w:rFonts w:hint="eastAsia" w:ascii="Times New Roman" w:hAnsi="Times New Roman" w:cs="Times New Roman"/>
                <w:b/>
                <w:bCs/>
                <w:color w:val="auto"/>
              </w:rPr>
              <w:t>2</w:t>
            </w:r>
            <w:r>
              <w:rPr>
                <w:rFonts w:ascii="Times New Roman" w:hAnsi="Times New Roman" w:cs="Times New Roman"/>
                <w:b/>
                <w:bCs/>
                <w:color w:val="auto"/>
              </w:rPr>
              <w:t>.6.</w:t>
            </w:r>
            <w:r>
              <w:rPr>
                <w:rFonts w:hint="eastAsia" w:ascii="Times New Roman" w:hAnsi="Times New Roman" w:cs="Times New Roman"/>
                <w:b/>
                <w:bCs/>
                <w:color w:val="auto"/>
                <w:lang w:val="en-US" w:eastAsia="zh-CN"/>
              </w:rPr>
              <w:t>4</w:t>
            </w:r>
            <w:r>
              <w:rPr>
                <w:rFonts w:ascii="Times New Roman" w:hAnsi="Times New Roman" w:cs="Times New Roman"/>
                <w:b/>
                <w:bCs/>
                <w:color w:val="auto"/>
              </w:rPr>
              <w:t xml:space="preserve"> </w:t>
            </w:r>
            <w:r>
              <w:rPr>
                <w:rFonts w:hint="eastAsia" w:ascii="Times New Roman" w:hAnsi="Times New Roman" w:cs="Times New Roman"/>
                <w:b/>
                <w:color w:val="auto"/>
                <w:kern w:val="0"/>
              </w:rPr>
              <w:t>主要交叉跨越</w:t>
            </w:r>
          </w:p>
          <w:p>
            <w:pPr>
              <w:topLinePunct/>
              <w:autoSpaceDE w:val="0"/>
              <w:adjustRightInd w:val="0"/>
              <w:snapToGrid w:val="0"/>
              <w:spacing w:line="360" w:lineRule="auto"/>
              <w:ind w:firstLine="480" w:firstLineChars="200"/>
              <w:jc w:val="left"/>
              <w:rPr>
                <w:bCs/>
                <w:color w:val="auto"/>
                <w:sz w:val="24"/>
              </w:rPr>
            </w:pPr>
            <w:r>
              <w:rPr>
                <w:rFonts w:hint="eastAsia"/>
                <w:bCs/>
                <w:color w:val="auto"/>
                <w:sz w:val="24"/>
              </w:rPr>
              <w:t>（1）交叉跨越情况</w:t>
            </w:r>
          </w:p>
          <w:p>
            <w:pPr>
              <w:topLinePunct/>
              <w:autoSpaceDE w:val="0"/>
              <w:adjustRightInd w:val="0"/>
              <w:snapToGrid w:val="0"/>
              <w:spacing w:line="360" w:lineRule="auto"/>
              <w:ind w:firstLine="480" w:firstLineChars="200"/>
              <w:jc w:val="left"/>
              <w:rPr>
                <w:rFonts w:hint="eastAsia"/>
                <w:bCs/>
                <w:color w:val="auto"/>
                <w:sz w:val="24"/>
              </w:rPr>
            </w:pPr>
            <w:r>
              <w:rPr>
                <w:rFonts w:hint="eastAsia"/>
                <w:bCs/>
                <w:color w:val="auto"/>
                <w:sz w:val="24"/>
              </w:rPr>
              <w:t>导线对地及交叉跨越物的最小距离按《</w:t>
            </w:r>
            <w:r>
              <w:rPr>
                <w:bCs/>
                <w:color w:val="auto"/>
                <w:sz w:val="24"/>
              </w:rPr>
              <w:t>110kV</w:t>
            </w:r>
            <w:r>
              <w:rPr>
                <w:rFonts w:hint="eastAsia"/>
                <w:bCs/>
                <w:color w:val="auto"/>
                <w:sz w:val="24"/>
              </w:rPr>
              <w:t>～</w:t>
            </w:r>
            <w:r>
              <w:rPr>
                <w:bCs/>
                <w:color w:val="auto"/>
                <w:sz w:val="24"/>
              </w:rPr>
              <w:t>750kV</w:t>
            </w:r>
            <w:r>
              <w:rPr>
                <w:rFonts w:hint="eastAsia"/>
                <w:bCs/>
                <w:color w:val="auto"/>
                <w:sz w:val="24"/>
              </w:rPr>
              <w:t>架空输电线路设计规范》（</w:t>
            </w:r>
            <w:r>
              <w:rPr>
                <w:bCs/>
                <w:color w:val="auto"/>
                <w:sz w:val="24"/>
              </w:rPr>
              <w:t>GB50545-2010</w:t>
            </w:r>
            <w:r>
              <w:rPr>
                <w:rFonts w:hint="eastAsia"/>
                <w:bCs/>
                <w:color w:val="auto"/>
                <w:sz w:val="24"/>
              </w:rPr>
              <w:t>）的规定执行。</w:t>
            </w:r>
            <w:r>
              <w:rPr>
                <w:rFonts w:hint="eastAsia"/>
                <w:bCs/>
                <w:color w:val="auto"/>
                <w:sz w:val="24"/>
                <w:lang w:val="en-US" w:eastAsia="zh-CN"/>
              </w:rPr>
              <w:t>11</w:t>
            </w:r>
            <w:r>
              <w:rPr>
                <w:bCs/>
                <w:color w:val="auto"/>
                <w:sz w:val="24"/>
              </w:rPr>
              <w:t>0kV</w:t>
            </w:r>
            <w:r>
              <w:rPr>
                <w:rFonts w:hint="eastAsia"/>
                <w:bCs/>
                <w:color w:val="auto"/>
                <w:sz w:val="24"/>
              </w:rPr>
              <w:t>线路对地及交叉跨越物的最小距离要求见表</w:t>
            </w:r>
            <w:r>
              <w:rPr>
                <w:bCs/>
                <w:color w:val="auto"/>
                <w:sz w:val="24"/>
              </w:rPr>
              <w:t>2-</w:t>
            </w:r>
            <w:r>
              <w:rPr>
                <w:rFonts w:hint="eastAsia"/>
                <w:bCs/>
                <w:color w:val="auto"/>
                <w:sz w:val="24"/>
                <w:lang w:val="en-US" w:eastAsia="zh-CN"/>
              </w:rPr>
              <w:t>5</w:t>
            </w:r>
            <w:r>
              <w:rPr>
                <w:rFonts w:hint="eastAsia"/>
                <w:bCs/>
                <w:color w:val="auto"/>
                <w:sz w:val="24"/>
              </w:rPr>
              <w:t>所示。</w:t>
            </w:r>
          </w:p>
          <w:p>
            <w:pPr>
              <w:topLinePunct/>
              <w:autoSpaceDE w:val="0"/>
              <w:adjustRightInd w:val="0"/>
              <w:snapToGrid w:val="0"/>
              <w:jc w:val="center"/>
              <w:rPr>
                <w:rFonts w:hint="eastAsia"/>
                <w:b/>
                <w:bCs/>
                <w:color w:val="auto"/>
                <w:kern w:val="0"/>
                <w:sz w:val="24"/>
              </w:rPr>
            </w:pPr>
            <w:r>
              <w:rPr>
                <w:rFonts w:hint="eastAsia"/>
                <w:b/>
                <w:bCs/>
                <w:color w:val="auto"/>
                <w:kern w:val="0"/>
                <w:sz w:val="24"/>
              </w:rPr>
              <w:t>表</w:t>
            </w:r>
            <w:r>
              <w:rPr>
                <w:b/>
                <w:bCs/>
                <w:color w:val="auto"/>
                <w:kern w:val="0"/>
                <w:sz w:val="24"/>
              </w:rPr>
              <w:t>2-</w:t>
            </w:r>
            <w:r>
              <w:rPr>
                <w:rFonts w:hint="eastAsia"/>
                <w:b/>
                <w:bCs/>
                <w:color w:val="auto"/>
                <w:kern w:val="0"/>
                <w:sz w:val="24"/>
                <w:lang w:val="en-US" w:eastAsia="zh-CN"/>
              </w:rPr>
              <w:t>5</w:t>
            </w:r>
            <w:r>
              <w:rPr>
                <w:b/>
                <w:bCs/>
                <w:color w:val="auto"/>
                <w:kern w:val="0"/>
                <w:sz w:val="24"/>
              </w:rPr>
              <w:t xml:space="preserve">  </w:t>
            </w:r>
            <w:r>
              <w:rPr>
                <w:rFonts w:hint="eastAsia"/>
                <w:b/>
                <w:bCs/>
                <w:color w:val="auto"/>
                <w:kern w:val="0"/>
                <w:sz w:val="24"/>
              </w:rPr>
              <w:t>线路部分重要交叉跨（穿）越要求一览表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4198"/>
              <w:gridCol w:w="27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96" w:type="dxa"/>
                  <w:noWrap w:val="0"/>
                  <w:vAlign w:val="center"/>
                </w:tcPr>
                <w:p>
                  <w:pPr>
                    <w:snapToGrid w:val="0"/>
                    <w:jc w:val="center"/>
                    <w:rPr>
                      <w:color w:val="auto"/>
                      <w:szCs w:val="21"/>
                    </w:rPr>
                  </w:pPr>
                  <w:r>
                    <w:rPr>
                      <w:color w:val="auto"/>
                      <w:szCs w:val="21"/>
                    </w:rPr>
                    <w:t>序号</w:t>
                  </w:r>
                </w:p>
              </w:tc>
              <w:tc>
                <w:tcPr>
                  <w:tcW w:w="4198" w:type="dxa"/>
                  <w:noWrap w:val="0"/>
                  <w:vAlign w:val="center"/>
                </w:tcPr>
                <w:p>
                  <w:pPr>
                    <w:snapToGrid w:val="0"/>
                    <w:jc w:val="center"/>
                    <w:rPr>
                      <w:color w:val="auto"/>
                      <w:szCs w:val="21"/>
                    </w:rPr>
                  </w:pPr>
                  <w:r>
                    <w:rPr>
                      <w:color w:val="auto"/>
                      <w:szCs w:val="21"/>
                    </w:rPr>
                    <w:t>被交叉跨越物名称</w:t>
                  </w:r>
                </w:p>
              </w:tc>
              <w:tc>
                <w:tcPr>
                  <w:tcW w:w="2710" w:type="dxa"/>
                  <w:noWrap w:val="0"/>
                  <w:vAlign w:val="center"/>
                </w:tcPr>
                <w:p>
                  <w:pPr>
                    <w:snapToGrid w:val="0"/>
                    <w:jc w:val="center"/>
                    <w:rPr>
                      <w:color w:val="auto"/>
                      <w:szCs w:val="21"/>
                    </w:rPr>
                  </w:pPr>
                  <w:r>
                    <w:rPr>
                      <w:color w:val="auto"/>
                      <w:szCs w:val="21"/>
                    </w:rPr>
                    <w:t>最小垂直距离(m)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6" w:type="dxa"/>
                  <w:noWrap w:val="0"/>
                  <w:vAlign w:val="center"/>
                </w:tcPr>
                <w:p>
                  <w:pPr>
                    <w:snapToGrid w:val="0"/>
                    <w:jc w:val="center"/>
                    <w:rPr>
                      <w:color w:val="auto"/>
                      <w:szCs w:val="21"/>
                      <w:lang w:eastAsia="en-US" w:bidi="en-US"/>
                    </w:rPr>
                  </w:pPr>
                  <w:r>
                    <w:rPr>
                      <w:color w:val="auto"/>
                      <w:szCs w:val="21"/>
                    </w:rPr>
                    <w:t>1</w:t>
                  </w:r>
                </w:p>
              </w:tc>
              <w:tc>
                <w:tcPr>
                  <w:tcW w:w="4198"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非居民区</w:t>
                  </w:r>
                </w:p>
              </w:tc>
              <w:tc>
                <w:tcPr>
                  <w:tcW w:w="2710"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6" w:type="dxa"/>
                  <w:noWrap w:val="0"/>
                  <w:vAlign w:val="center"/>
                </w:tcPr>
                <w:p>
                  <w:pPr>
                    <w:snapToGrid w:val="0"/>
                    <w:jc w:val="center"/>
                    <w:rPr>
                      <w:color w:val="auto"/>
                      <w:szCs w:val="21"/>
                      <w:lang w:eastAsia="en-US" w:bidi="en-US"/>
                    </w:rPr>
                  </w:pPr>
                  <w:r>
                    <w:rPr>
                      <w:color w:val="auto"/>
                      <w:szCs w:val="21"/>
                    </w:rPr>
                    <w:t>2</w:t>
                  </w:r>
                </w:p>
              </w:tc>
              <w:tc>
                <w:tcPr>
                  <w:tcW w:w="4198"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居民区</w:t>
                  </w:r>
                </w:p>
              </w:tc>
              <w:tc>
                <w:tcPr>
                  <w:tcW w:w="2710"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6" w:type="dxa"/>
                  <w:noWrap w:val="0"/>
                  <w:vAlign w:val="center"/>
                </w:tcPr>
                <w:p>
                  <w:pPr>
                    <w:snapToGrid w:val="0"/>
                    <w:jc w:val="center"/>
                    <w:rPr>
                      <w:color w:val="auto"/>
                      <w:szCs w:val="21"/>
                      <w:lang w:eastAsia="en-US" w:bidi="en-US"/>
                    </w:rPr>
                  </w:pPr>
                  <w:r>
                    <w:rPr>
                      <w:color w:val="auto"/>
                      <w:szCs w:val="21"/>
                    </w:rPr>
                    <w:t>3</w:t>
                  </w:r>
                </w:p>
              </w:tc>
              <w:tc>
                <w:tcPr>
                  <w:tcW w:w="4198"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交通困难地区</w:t>
                  </w:r>
                </w:p>
              </w:tc>
              <w:tc>
                <w:tcPr>
                  <w:tcW w:w="2710"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6" w:type="dxa"/>
                  <w:noWrap w:val="0"/>
                  <w:vAlign w:val="center"/>
                </w:tcPr>
                <w:p>
                  <w:pPr>
                    <w:snapToGrid w:val="0"/>
                    <w:jc w:val="center"/>
                    <w:rPr>
                      <w:color w:val="auto"/>
                      <w:szCs w:val="21"/>
                      <w:lang w:eastAsia="en-US" w:bidi="en-US"/>
                    </w:rPr>
                  </w:pPr>
                  <w:r>
                    <w:rPr>
                      <w:color w:val="auto"/>
                      <w:szCs w:val="21"/>
                    </w:rPr>
                    <w:t>4</w:t>
                  </w:r>
                </w:p>
              </w:tc>
              <w:tc>
                <w:tcPr>
                  <w:tcW w:w="4198"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等级公路</w:t>
                  </w:r>
                </w:p>
              </w:tc>
              <w:tc>
                <w:tcPr>
                  <w:tcW w:w="2710"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6" w:type="dxa"/>
                  <w:noWrap w:val="0"/>
                  <w:vAlign w:val="center"/>
                </w:tcPr>
                <w:p>
                  <w:pPr>
                    <w:snapToGrid w:val="0"/>
                    <w:jc w:val="center"/>
                    <w:rPr>
                      <w:color w:val="auto"/>
                      <w:szCs w:val="21"/>
                      <w:lang w:eastAsia="en-US" w:bidi="en-US"/>
                    </w:rPr>
                  </w:pPr>
                  <w:r>
                    <w:rPr>
                      <w:color w:val="auto"/>
                      <w:szCs w:val="21"/>
                    </w:rPr>
                    <w:t>5</w:t>
                  </w:r>
                </w:p>
              </w:tc>
              <w:tc>
                <w:tcPr>
                  <w:tcW w:w="4198"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对树木（考虑自然生长高度）</w:t>
                  </w:r>
                </w:p>
              </w:tc>
              <w:tc>
                <w:tcPr>
                  <w:tcW w:w="2710"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6" w:type="dxa"/>
                  <w:noWrap w:val="0"/>
                  <w:vAlign w:val="center"/>
                </w:tcPr>
                <w:p>
                  <w:pPr>
                    <w:snapToGrid w:val="0"/>
                    <w:jc w:val="center"/>
                    <w:rPr>
                      <w:color w:val="auto"/>
                      <w:szCs w:val="21"/>
                      <w:lang w:eastAsia="en-US" w:bidi="en-US"/>
                    </w:rPr>
                  </w:pPr>
                  <w:r>
                    <w:rPr>
                      <w:color w:val="auto"/>
                      <w:szCs w:val="21"/>
                    </w:rPr>
                    <w:t>6</w:t>
                  </w:r>
                </w:p>
              </w:tc>
              <w:tc>
                <w:tcPr>
                  <w:tcW w:w="4198"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对果树、经济作物、城市灌木及街道行道树</w:t>
                  </w:r>
                </w:p>
              </w:tc>
              <w:tc>
                <w:tcPr>
                  <w:tcW w:w="2710"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6" w:type="dxa"/>
                  <w:noWrap w:val="0"/>
                  <w:vAlign w:val="center"/>
                </w:tcPr>
                <w:p>
                  <w:pPr>
                    <w:snapToGrid w:val="0"/>
                    <w:jc w:val="center"/>
                    <w:rPr>
                      <w:color w:val="auto"/>
                      <w:szCs w:val="21"/>
                      <w:lang w:bidi="en-US"/>
                    </w:rPr>
                  </w:pPr>
                  <w:r>
                    <w:rPr>
                      <w:color w:val="auto"/>
                      <w:szCs w:val="21"/>
                    </w:rPr>
                    <w:t>7</w:t>
                  </w:r>
                </w:p>
              </w:tc>
              <w:tc>
                <w:tcPr>
                  <w:tcW w:w="4198"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导线对建筑物的垂直距离</w:t>
                  </w:r>
                </w:p>
              </w:tc>
              <w:tc>
                <w:tcPr>
                  <w:tcW w:w="2710"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6" w:type="dxa"/>
                  <w:noWrap w:val="0"/>
                  <w:vAlign w:val="center"/>
                </w:tcPr>
                <w:p>
                  <w:pPr>
                    <w:snapToGrid w:val="0"/>
                    <w:jc w:val="center"/>
                    <w:rPr>
                      <w:color w:val="auto"/>
                      <w:szCs w:val="21"/>
                      <w:lang w:bidi="en-US"/>
                    </w:rPr>
                  </w:pPr>
                  <w:r>
                    <w:rPr>
                      <w:color w:val="auto"/>
                      <w:szCs w:val="21"/>
                    </w:rPr>
                    <w:t>8</w:t>
                  </w:r>
                </w:p>
              </w:tc>
              <w:tc>
                <w:tcPr>
                  <w:tcW w:w="4198"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边导线对建筑物的距离</w:t>
                  </w:r>
                </w:p>
              </w:tc>
              <w:tc>
                <w:tcPr>
                  <w:tcW w:w="2710"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6" w:type="dxa"/>
                  <w:noWrap w:val="0"/>
                  <w:vAlign w:val="center"/>
                </w:tcPr>
                <w:p>
                  <w:pPr>
                    <w:snapToGrid w:val="0"/>
                    <w:jc w:val="center"/>
                    <w:rPr>
                      <w:color w:val="auto"/>
                      <w:szCs w:val="21"/>
                      <w:lang w:eastAsia="en-US" w:bidi="en-US"/>
                    </w:rPr>
                  </w:pPr>
                  <w:r>
                    <w:rPr>
                      <w:color w:val="auto"/>
                      <w:szCs w:val="21"/>
                    </w:rPr>
                    <w:t>9</w:t>
                  </w:r>
                </w:p>
              </w:tc>
              <w:tc>
                <w:tcPr>
                  <w:tcW w:w="4198"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导线对山坡、岩石的距离</w:t>
                  </w:r>
                </w:p>
              </w:tc>
              <w:tc>
                <w:tcPr>
                  <w:tcW w:w="2710"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6" w:type="dxa"/>
                  <w:noWrap w:val="0"/>
                  <w:vAlign w:val="center"/>
                </w:tcPr>
                <w:p>
                  <w:pPr>
                    <w:snapToGrid w:val="0"/>
                    <w:jc w:val="center"/>
                    <w:rPr>
                      <w:color w:val="auto"/>
                      <w:szCs w:val="21"/>
                    </w:rPr>
                  </w:pPr>
                  <w:r>
                    <w:rPr>
                      <w:color w:val="auto"/>
                      <w:szCs w:val="21"/>
                    </w:rPr>
                    <w:t>10</w:t>
                  </w:r>
                </w:p>
              </w:tc>
              <w:tc>
                <w:tcPr>
                  <w:tcW w:w="4198"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110kV线路</w:t>
                  </w:r>
                </w:p>
              </w:tc>
              <w:tc>
                <w:tcPr>
                  <w:tcW w:w="2710" w:type="dxa"/>
                  <w:noWrap w:val="0"/>
                  <w:vAlign w:val="center"/>
                </w:tcPr>
                <w:p>
                  <w:pPr>
                    <w:pStyle w:val="60"/>
                    <w:spacing w:before="24" w:after="24" w:line="240" w:lineRule="auto"/>
                    <w:rPr>
                      <w:rFonts w:ascii="Times New Roman"/>
                      <w:bCs/>
                      <w:color w:val="auto"/>
                      <w:kern w:val="2"/>
                      <w:sz w:val="21"/>
                    </w:rPr>
                  </w:pPr>
                  <w:r>
                    <w:rPr>
                      <w:rFonts w:ascii="Times New Roman"/>
                      <w:color w:val="auto"/>
                      <w:sz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6" w:type="dxa"/>
                  <w:vMerge w:val="restart"/>
                  <w:noWrap w:val="0"/>
                  <w:vAlign w:val="center"/>
                </w:tcPr>
                <w:p>
                  <w:pPr>
                    <w:snapToGrid w:val="0"/>
                    <w:jc w:val="center"/>
                    <w:rPr>
                      <w:rFonts w:hint="default" w:eastAsia="宋体"/>
                      <w:color w:val="auto"/>
                      <w:szCs w:val="21"/>
                      <w:lang w:val="en-US" w:eastAsia="zh-CN"/>
                    </w:rPr>
                  </w:pPr>
                  <w:r>
                    <w:rPr>
                      <w:rFonts w:hint="eastAsia"/>
                      <w:color w:val="auto"/>
                      <w:szCs w:val="21"/>
                      <w:lang w:val="en-US" w:eastAsia="zh-CN"/>
                    </w:rPr>
                    <w:t>11</w:t>
                  </w:r>
                </w:p>
              </w:tc>
              <w:tc>
                <w:tcPr>
                  <w:tcW w:w="4198" w:type="dxa"/>
                  <w:noWrap w:val="0"/>
                  <w:vAlign w:val="center"/>
                </w:tcPr>
                <w:p>
                  <w:pPr>
                    <w:autoSpaceDE w:val="0"/>
                    <w:autoSpaceDN w:val="0"/>
                    <w:adjustRightInd w:val="0"/>
                    <w:snapToGrid w:val="0"/>
                    <w:jc w:val="center"/>
                    <w:rPr>
                      <w:rFonts w:ascii="Times New Roman"/>
                      <w:color w:val="auto"/>
                      <w:sz w:val="21"/>
                    </w:rPr>
                  </w:pPr>
                  <w:r>
                    <w:rPr>
                      <w:rFonts w:hint="eastAsia"/>
                      <w:bCs/>
                      <w:color w:val="auto"/>
                      <w:szCs w:val="21"/>
                      <w:lang w:eastAsia="zh-CN"/>
                    </w:rPr>
                    <w:t>河流：</w:t>
                  </w:r>
                  <w:r>
                    <w:rPr>
                      <w:rFonts w:hint="eastAsia"/>
                      <w:bCs/>
                      <w:color w:val="auto"/>
                      <w:szCs w:val="21"/>
                    </w:rPr>
                    <w:t>至5年一遇洪水位（通航）</w:t>
                  </w:r>
                </w:p>
              </w:tc>
              <w:tc>
                <w:tcPr>
                  <w:tcW w:w="2710" w:type="dxa"/>
                  <w:noWrap w:val="0"/>
                  <w:vAlign w:val="center"/>
                </w:tcPr>
                <w:p>
                  <w:pPr>
                    <w:pStyle w:val="60"/>
                    <w:spacing w:before="24" w:after="24" w:line="240" w:lineRule="auto"/>
                    <w:rPr>
                      <w:rFonts w:hint="default" w:ascii="Times New Roman" w:eastAsia="宋体"/>
                      <w:color w:val="auto"/>
                      <w:sz w:val="21"/>
                      <w:lang w:val="en-US" w:eastAsia="zh-CN"/>
                    </w:rPr>
                  </w:pPr>
                  <w:r>
                    <w:rPr>
                      <w:rFonts w:hint="eastAsia" w:ascii="Times New Roman"/>
                      <w:color w:val="auto"/>
                      <w:sz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6" w:type="dxa"/>
                  <w:vMerge w:val="continue"/>
                  <w:noWrap w:val="0"/>
                  <w:vAlign w:val="center"/>
                </w:tcPr>
                <w:p>
                  <w:pPr>
                    <w:snapToGrid w:val="0"/>
                    <w:jc w:val="center"/>
                    <w:rPr>
                      <w:color w:val="auto"/>
                      <w:szCs w:val="21"/>
                    </w:rPr>
                  </w:pPr>
                </w:p>
              </w:tc>
              <w:tc>
                <w:tcPr>
                  <w:tcW w:w="4198" w:type="dxa"/>
                  <w:noWrap w:val="0"/>
                  <w:vAlign w:val="center"/>
                </w:tcPr>
                <w:p>
                  <w:pPr>
                    <w:autoSpaceDE w:val="0"/>
                    <w:autoSpaceDN w:val="0"/>
                    <w:adjustRightInd w:val="0"/>
                    <w:snapToGrid w:val="0"/>
                    <w:jc w:val="center"/>
                    <w:rPr>
                      <w:rFonts w:ascii="Times New Roman"/>
                      <w:color w:val="auto"/>
                      <w:sz w:val="21"/>
                    </w:rPr>
                  </w:pPr>
                  <w:r>
                    <w:rPr>
                      <w:rFonts w:hint="eastAsia"/>
                      <w:bCs/>
                      <w:color w:val="auto"/>
                      <w:szCs w:val="21"/>
                      <w:lang w:eastAsia="zh-CN"/>
                    </w:rPr>
                    <w:t>河流：</w:t>
                  </w:r>
                  <w:r>
                    <w:rPr>
                      <w:rFonts w:hint="eastAsia"/>
                      <w:bCs/>
                      <w:color w:val="auto"/>
                      <w:szCs w:val="21"/>
                    </w:rPr>
                    <w:t>至百年一遇洪水位（不通航）</w:t>
                  </w:r>
                </w:p>
              </w:tc>
              <w:tc>
                <w:tcPr>
                  <w:tcW w:w="2710" w:type="dxa"/>
                  <w:noWrap w:val="0"/>
                  <w:vAlign w:val="center"/>
                </w:tcPr>
                <w:p>
                  <w:pPr>
                    <w:pStyle w:val="60"/>
                    <w:spacing w:before="24" w:after="24" w:line="240" w:lineRule="auto"/>
                    <w:rPr>
                      <w:rFonts w:hint="default" w:ascii="Times New Roman" w:eastAsia="宋体"/>
                      <w:color w:val="auto"/>
                      <w:sz w:val="21"/>
                      <w:lang w:val="en-US" w:eastAsia="zh-CN"/>
                    </w:rPr>
                  </w:pPr>
                  <w:r>
                    <w:rPr>
                      <w:rFonts w:hint="eastAsia" w:ascii="Times New Roman"/>
                      <w:color w:val="auto"/>
                      <w:sz w:val="21"/>
                      <w:lang w:val="en-US" w:eastAsia="zh-CN"/>
                    </w:rPr>
                    <w:t>3.0</w:t>
                  </w:r>
                </w:p>
              </w:tc>
            </w:tr>
          </w:tbl>
          <w:p>
            <w:pPr>
              <w:rPr>
                <w:color w:val="auto"/>
              </w:rPr>
            </w:pPr>
          </w:p>
          <w:p>
            <w:pPr>
              <w:topLinePunct/>
              <w:autoSpaceDE w:val="0"/>
              <w:adjustRightInd w:val="0"/>
              <w:snapToGrid w:val="0"/>
              <w:spacing w:before="120" w:beforeLines="50" w:line="360" w:lineRule="auto"/>
              <w:ind w:firstLine="480" w:firstLineChars="200"/>
              <w:rPr>
                <w:color w:val="auto"/>
                <w:sz w:val="24"/>
                <w:lang w:bidi="ar"/>
              </w:rPr>
            </w:pPr>
            <w:r>
              <w:rPr>
                <w:rFonts w:hint="eastAsia"/>
                <w:color w:val="auto"/>
                <w:sz w:val="24"/>
                <w:lang w:eastAsia="zh-CN"/>
              </w:rPr>
              <w:t>110kV德淮南北线</w:t>
            </w:r>
            <w:r>
              <w:rPr>
                <w:rFonts w:hint="eastAsia"/>
                <w:color w:val="auto"/>
                <w:sz w:val="24"/>
                <w:lang w:bidi="ar"/>
              </w:rPr>
              <w:t>沿线重要交叉跨越情况见表</w:t>
            </w:r>
            <w:r>
              <w:rPr>
                <w:color w:val="auto"/>
                <w:sz w:val="24"/>
                <w:lang w:bidi="ar"/>
              </w:rPr>
              <w:t>2-</w:t>
            </w:r>
            <w:r>
              <w:rPr>
                <w:rFonts w:hint="eastAsia"/>
                <w:color w:val="auto"/>
                <w:sz w:val="24"/>
                <w:lang w:val="en-US" w:eastAsia="zh-CN" w:bidi="ar"/>
              </w:rPr>
              <w:t>6</w:t>
            </w:r>
            <w:r>
              <w:rPr>
                <w:rFonts w:hint="eastAsia"/>
                <w:color w:val="auto"/>
                <w:sz w:val="24"/>
                <w:lang w:bidi="ar"/>
              </w:rPr>
              <w:t>。</w:t>
            </w:r>
          </w:p>
          <w:p>
            <w:pPr>
              <w:topLinePunct/>
              <w:autoSpaceDE w:val="0"/>
              <w:adjustRightInd w:val="0"/>
              <w:snapToGrid w:val="0"/>
              <w:jc w:val="center"/>
              <w:rPr>
                <w:rFonts w:hint="eastAsia"/>
                <w:b/>
                <w:bCs/>
                <w:color w:val="auto"/>
                <w:kern w:val="0"/>
                <w:sz w:val="24"/>
              </w:rPr>
            </w:pPr>
            <w:r>
              <w:rPr>
                <w:rFonts w:hint="eastAsia"/>
                <w:b/>
                <w:bCs/>
                <w:color w:val="auto"/>
                <w:kern w:val="0"/>
                <w:sz w:val="24"/>
              </w:rPr>
              <w:t>表</w:t>
            </w:r>
            <w:r>
              <w:rPr>
                <w:b/>
                <w:bCs/>
                <w:color w:val="auto"/>
                <w:kern w:val="0"/>
                <w:sz w:val="24"/>
              </w:rPr>
              <w:t>2-</w:t>
            </w:r>
            <w:r>
              <w:rPr>
                <w:rFonts w:hint="eastAsia"/>
                <w:b/>
                <w:bCs/>
                <w:color w:val="auto"/>
                <w:kern w:val="0"/>
                <w:sz w:val="24"/>
                <w:lang w:val="en-US" w:eastAsia="zh-CN"/>
              </w:rPr>
              <w:t>6</w:t>
            </w:r>
            <w:r>
              <w:rPr>
                <w:b/>
                <w:bCs/>
                <w:color w:val="auto"/>
                <w:kern w:val="0"/>
                <w:sz w:val="24"/>
              </w:rPr>
              <w:t xml:space="preserve">  </w:t>
            </w:r>
            <w:r>
              <w:rPr>
                <w:rFonts w:hint="eastAsia"/>
                <w:b/>
                <w:bCs/>
                <w:color w:val="auto"/>
                <w:kern w:val="0"/>
                <w:sz w:val="24"/>
                <w:lang w:eastAsia="zh-CN"/>
              </w:rPr>
              <w:t>110kV德淮南北线</w:t>
            </w:r>
            <w:r>
              <w:rPr>
                <w:rFonts w:hint="eastAsia"/>
                <w:b/>
                <w:bCs/>
                <w:color w:val="auto"/>
                <w:kern w:val="0"/>
                <w:sz w:val="24"/>
              </w:rPr>
              <w:t>主要交叉、跨（穿）越情况</w:t>
            </w:r>
          </w:p>
          <w:tbl>
            <w:tblPr>
              <w:tblStyle w:val="28"/>
              <w:tblW w:w="4998"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976"/>
              <w:gridCol w:w="44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2359"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zh-CN"/>
                    </w:rPr>
                  </w:pPr>
                  <w:r>
                    <w:rPr>
                      <w:rFonts w:hint="eastAsia" w:ascii="Times New Roman" w:hAnsi="Times New Roman" w:eastAsia="宋体" w:cs="Times New Roman"/>
                      <w:snapToGrid w:val="0"/>
                      <w:color w:val="auto"/>
                      <w:szCs w:val="21"/>
                      <w:highlight w:val="none"/>
                      <w:lang w:val="zh-CN"/>
                    </w:rPr>
                    <w:t>被跨越物</w:t>
                  </w:r>
                </w:p>
              </w:tc>
              <w:tc>
                <w:tcPr>
                  <w:tcW w:w="2640" w:type="pct"/>
                  <w:tcBorders>
                    <w:tl2br w:val="nil"/>
                    <w:tr2bl w:val="nil"/>
                  </w:tcBorders>
                  <w:noWrap w:val="0"/>
                  <w:vAlign w:val="center"/>
                </w:tcPr>
                <w:p>
                  <w:pPr>
                    <w:snapToGrid w:val="0"/>
                    <w:jc w:val="center"/>
                    <w:rPr>
                      <w:rFonts w:hint="eastAsia" w:ascii="Times New Roman" w:hAnsi="Times New Roman" w:eastAsia="宋体" w:cs="Times New Roman"/>
                      <w:snapToGrid w:val="0"/>
                      <w:color w:val="auto"/>
                      <w:szCs w:val="21"/>
                      <w:highlight w:val="none"/>
                      <w:lang w:val="zh-CN"/>
                    </w:rPr>
                  </w:pPr>
                  <w:r>
                    <w:rPr>
                      <w:rFonts w:hint="eastAsia" w:ascii="Times New Roman" w:hAnsi="Times New Roman" w:eastAsia="宋体" w:cs="Times New Roman"/>
                      <w:snapToGrid w:val="0"/>
                      <w:color w:val="auto"/>
                      <w:szCs w:val="21"/>
                      <w:highlight w:val="none"/>
                      <w:lang w:val="zh-CN"/>
                    </w:rPr>
                    <w:t>次数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359"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22</w:t>
                  </w:r>
                  <w:r>
                    <w:rPr>
                      <w:rFonts w:hint="eastAsia" w:ascii="Times New Roman" w:hAnsi="Times New Roman" w:eastAsia="宋体" w:cs="Times New Roman"/>
                      <w:snapToGrid w:val="0"/>
                      <w:color w:val="auto"/>
                      <w:szCs w:val="21"/>
                      <w:highlight w:val="none"/>
                      <w:lang w:val="zh-CN"/>
                    </w:rPr>
                    <w:t>0kV</w:t>
                  </w:r>
                  <w:r>
                    <w:rPr>
                      <w:rFonts w:hint="eastAsia" w:ascii="Times New Roman" w:hAnsi="Times New Roman" w:eastAsia="宋体" w:cs="Times New Roman"/>
                      <w:snapToGrid w:val="0"/>
                      <w:color w:val="auto"/>
                      <w:szCs w:val="21"/>
                      <w:highlight w:val="none"/>
                      <w:lang w:val="en-US" w:eastAsia="zh-CN"/>
                    </w:rPr>
                    <w:t>铜龙南北线</w:t>
                  </w:r>
                </w:p>
              </w:tc>
              <w:tc>
                <w:tcPr>
                  <w:tcW w:w="2640"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en-US" w:eastAsia="zh-CN"/>
                    </w:rPr>
                  </w:pPr>
                  <w:r>
                    <w:rPr>
                      <w:rFonts w:hint="eastAsia" w:cs="Times New Roman"/>
                      <w:snapToGrid w:val="0"/>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359" w:type="pct"/>
                  <w:tcBorders>
                    <w:tl2br w:val="nil"/>
                    <w:tr2bl w:val="nil"/>
                  </w:tcBorders>
                  <w:noWrap w:val="0"/>
                  <w:vAlign w:val="center"/>
                </w:tcPr>
                <w:p>
                  <w:pPr>
                    <w:snapToGrid w:val="0"/>
                    <w:jc w:val="center"/>
                    <w:rPr>
                      <w:rFonts w:hint="eastAsia" w:ascii="Times New Roman" w:hAnsi="Times New Roman" w:eastAsia="宋体" w:cs="Times New Roman"/>
                      <w:snapToGrid w:val="0"/>
                      <w:color w:val="auto"/>
                      <w:szCs w:val="21"/>
                      <w:highlight w:val="none"/>
                      <w:lang w:val="zh-CN"/>
                    </w:rPr>
                  </w:pPr>
                  <w:r>
                    <w:rPr>
                      <w:rFonts w:hint="eastAsia" w:ascii="Times New Roman" w:hAnsi="Times New Roman" w:eastAsia="宋体" w:cs="Times New Roman"/>
                      <w:snapToGrid w:val="0"/>
                      <w:color w:val="auto"/>
                      <w:szCs w:val="21"/>
                      <w:highlight w:val="none"/>
                      <w:lang w:val="en-US" w:eastAsia="zh-CN"/>
                    </w:rPr>
                    <w:t>22</w:t>
                  </w:r>
                  <w:r>
                    <w:rPr>
                      <w:rFonts w:hint="eastAsia" w:ascii="Times New Roman" w:hAnsi="Times New Roman" w:eastAsia="宋体" w:cs="Times New Roman"/>
                      <w:snapToGrid w:val="0"/>
                      <w:color w:val="auto"/>
                      <w:szCs w:val="21"/>
                      <w:highlight w:val="none"/>
                      <w:lang w:val="zh-CN"/>
                    </w:rPr>
                    <w:t>0kV</w:t>
                  </w:r>
                  <w:r>
                    <w:rPr>
                      <w:rFonts w:hint="eastAsia" w:ascii="Times New Roman" w:hAnsi="Times New Roman" w:eastAsia="宋体" w:cs="Times New Roman"/>
                      <w:snapToGrid w:val="0"/>
                      <w:color w:val="auto"/>
                      <w:szCs w:val="21"/>
                      <w:highlight w:val="none"/>
                      <w:lang w:val="en-US" w:eastAsia="zh-CN"/>
                    </w:rPr>
                    <w:t>全龙南北线</w:t>
                  </w:r>
                </w:p>
              </w:tc>
              <w:tc>
                <w:tcPr>
                  <w:tcW w:w="2640"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en-US" w:eastAsia="zh-CN"/>
                    </w:rPr>
                  </w:pPr>
                  <w:r>
                    <w:rPr>
                      <w:rFonts w:hint="eastAsia" w:cs="Times New Roman"/>
                      <w:snapToGrid w:val="0"/>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359"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渝遂高速</w:t>
                  </w:r>
                </w:p>
              </w:tc>
              <w:tc>
                <w:tcPr>
                  <w:tcW w:w="2640"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359"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zh-CN"/>
                    </w:rPr>
                  </w:pPr>
                  <w:r>
                    <w:rPr>
                      <w:rFonts w:hint="eastAsia" w:ascii="Times New Roman" w:hAnsi="Times New Roman" w:eastAsia="宋体" w:cs="Times New Roman"/>
                      <w:snapToGrid w:val="0"/>
                      <w:color w:val="auto"/>
                      <w:szCs w:val="21"/>
                      <w:highlight w:val="none"/>
                      <w:lang w:val="en-US" w:eastAsia="zh-CN"/>
                    </w:rPr>
                    <w:t>35kV铜永线</w:t>
                  </w:r>
                </w:p>
              </w:tc>
              <w:tc>
                <w:tcPr>
                  <w:tcW w:w="2640"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en-US" w:eastAsia="zh-CN"/>
                    </w:rPr>
                  </w:pPr>
                  <w:r>
                    <w:rPr>
                      <w:rFonts w:hint="eastAsia" w:cs="Times New Roman"/>
                      <w:snapToGrid w:val="0"/>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359" w:type="pct"/>
                  <w:tcBorders>
                    <w:tl2br w:val="nil"/>
                    <w:tr2bl w:val="nil"/>
                  </w:tcBorders>
                  <w:noWrap w:val="0"/>
                  <w:vAlign w:val="center"/>
                </w:tcPr>
                <w:p>
                  <w:pPr>
                    <w:snapToGrid w:val="0"/>
                    <w:jc w:val="center"/>
                    <w:rPr>
                      <w:rFonts w:hint="eastAsia" w:ascii="Times New Roman" w:hAnsi="Times New Roman" w:eastAsia="宋体" w:cs="Times New Roman"/>
                      <w:snapToGrid w:val="0"/>
                      <w:color w:val="auto"/>
                      <w:szCs w:val="21"/>
                      <w:highlight w:val="none"/>
                      <w:lang w:val="zh-CN"/>
                    </w:rPr>
                  </w:pPr>
                  <w:r>
                    <w:rPr>
                      <w:rFonts w:hint="eastAsia" w:ascii="Times New Roman" w:hAnsi="Times New Roman" w:eastAsia="宋体" w:cs="Times New Roman"/>
                      <w:snapToGrid w:val="0"/>
                      <w:color w:val="auto"/>
                      <w:szCs w:val="21"/>
                      <w:highlight w:val="none"/>
                      <w:lang w:val="zh-CN"/>
                    </w:rPr>
                    <w:t>35kV</w:t>
                  </w:r>
                  <w:r>
                    <w:rPr>
                      <w:rFonts w:hint="eastAsia" w:ascii="Times New Roman" w:hAnsi="Times New Roman" w:eastAsia="宋体" w:cs="Times New Roman"/>
                      <w:snapToGrid w:val="0"/>
                      <w:color w:val="auto"/>
                      <w:szCs w:val="21"/>
                      <w:highlight w:val="none"/>
                      <w:lang w:val="en-US" w:eastAsia="zh-CN"/>
                    </w:rPr>
                    <w:t>铁永</w:t>
                  </w:r>
                  <w:r>
                    <w:rPr>
                      <w:rFonts w:hint="eastAsia" w:ascii="Times New Roman" w:hAnsi="Times New Roman" w:eastAsia="宋体" w:cs="Times New Roman"/>
                      <w:snapToGrid w:val="0"/>
                      <w:color w:val="auto"/>
                      <w:szCs w:val="21"/>
                      <w:highlight w:val="none"/>
                      <w:lang w:val="zh-CN"/>
                    </w:rPr>
                    <w:t>线</w:t>
                  </w:r>
                </w:p>
              </w:tc>
              <w:tc>
                <w:tcPr>
                  <w:tcW w:w="2640"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en-US" w:eastAsia="zh-CN"/>
                    </w:rPr>
                  </w:pPr>
                  <w:r>
                    <w:rPr>
                      <w:rFonts w:hint="eastAsia" w:cs="Times New Roman"/>
                      <w:snapToGrid w:val="0"/>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359" w:type="pct"/>
                  <w:tcBorders>
                    <w:tl2br w:val="nil"/>
                    <w:tr2bl w:val="nil"/>
                  </w:tcBorders>
                  <w:noWrap w:val="0"/>
                  <w:vAlign w:val="center"/>
                </w:tcPr>
                <w:p>
                  <w:pPr>
                    <w:snapToGrid w:val="0"/>
                    <w:jc w:val="center"/>
                    <w:rPr>
                      <w:rFonts w:hint="eastAsia" w:ascii="Times New Roman" w:hAnsi="Times New Roman" w:eastAsia="宋体" w:cs="Times New Roman"/>
                      <w:snapToGrid w:val="0"/>
                      <w:color w:val="auto"/>
                      <w:szCs w:val="21"/>
                      <w:highlight w:val="none"/>
                      <w:lang w:val="zh-CN"/>
                    </w:rPr>
                  </w:pPr>
                  <w:r>
                    <w:rPr>
                      <w:rFonts w:hint="eastAsia" w:ascii="Times New Roman" w:hAnsi="Times New Roman" w:eastAsia="宋体" w:cs="Times New Roman"/>
                      <w:snapToGrid w:val="0"/>
                      <w:color w:val="auto"/>
                      <w:szCs w:val="21"/>
                      <w:highlight w:val="none"/>
                      <w:lang w:val="en-US" w:eastAsia="zh-CN"/>
                    </w:rPr>
                    <w:t>35kV川蒲线</w:t>
                  </w:r>
                </w:p>
              </w:tc>
              <w:tc>
                <w:tcPr>
                  <w:tcW w:w="2640"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en-US" w:eastAsia="zh-CN"/>
                    </w:rPr>
                  </w:pPr>
                  <w:r>
                    <w:rPr>
                      <w:rFonts w:hint="eastAsia" w:cs="Times New Roman"/>
                      <w:snapToGrid w:val="0"/>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359"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zh-CN"/>
                    </w:rPr>
                  </w:pPr>
                  <w:r>
                    <w:rPr>
                      <w:rFonts w:hint="eastAsia" w:ascii="Times New Roman" w:hAnsi="Times New Roman" w:eastAsia="宋体" w:cs="Times New Roman"/>
                      <w:snapToGrid w:val="0"/>
                      <w:color w:val="auto"/>
                      <w:szCs w:val="21"/>
                      <w:highlight w:val="none"/>
                      <w:lang w:val="zh-CN"/>
                    </w:rPr>
                    <w:t>10kV线路</w:t>
                  </w:r>
                </w:p>
              </w:tc>
              <w:tc>
                <w:tcPr>
                  <w:tcW w:w="2640"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en-US" w:eastAsia="zh-CN"/>
                    </w:rPr>
                  </w:pPr>
                  <w:r>
                    <w:rPr>
                      <w:rFonts w:hint="eastAsia" w:cs="Times New Roman"/>
                      <w:snapToGrid w:val="0"/>
                      <w:color w:val="auto"/>
                      <w:szCs w:val="21"/>
                      <w:highlight w:val="none"/>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359"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zh-CN"/>
                    </w:rPr>
                  </w:pPr>
                  <w:r>
                    <w:rPr>
                      <w:rFonts w:hint="eastAsia" w:cs="Times New Roman"/>
                      <w:color w:val="auto"/>
                      <w:sz w:val="21"/>
                      <w:szCs w:val="21"/>
                      <w:highlight w:val="none"/>
                      <w:lang w:val="en-US" w:eastAsia="zh-CN"/>
                    </w:rPr>
                    <w:t>低压线</w:t>
                  </w:r>
                </w:p>
              </w:tc>
              <w:tc>
                <w:tcPr>
                  <w:tcW w:w="2640"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en-US" w:eastAsia="zh-CN"/>
                    </w:rPr>
                  </w:pPr>
                  <w:r>
                    <w:rPr>
                      <w:rFonts w:hint="eastAsia" w:cs="Times New Roman"/>
                      <w:snapToGrid w:val="0"/>
                      <w:color w:val="auto"/>
                      <w:szCs w:val="21"/>
                      <w:highlight w:val="none"/>
                      <w:lang w:val="en-US" w:eastAsia="zh-CN"/>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359"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省道</w:t>
                  </w:r>
                </w:p>
              </w:tc>
              <w:tc>
                <w:tcPr>
                  <w:tcW w:w="2640"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359"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zh-CN"/>
                    </w:rPr>
                  </w:pPr>
                  <w:r>
                    <w:rPr>
                      <w:rFonts w:hint="eastAsia" w:ascii="Times New Roman" w:hAnsi="Times New Roman" w:eastAsia="宋体" w:cs="Times New Roman"/>
                      <w:snapToGrid w:val="0"/>
                      <w:color w:val="auto"/>
                      <w:szCs w:val="21"/>
                      <w:highlight w:val="none"/>
                      <w:lang w:val="en-US" w:eastAsia="zh-CN"/>
                    </w:rPr>
                    <w:t>乡</w:t>
                  </w:r>
                  <w:r>
                    <w:rPr>
                      <w:rFonts w:hint="eastAsia" w:ascii="Times New Roman" w:hAnsi="Times New Roman" w:eastAsia="宋体" w:cs="Times New Roman"/>
                      <w:snapToGrid w:val="0"/>
                      <w:color w:val="auto"/>
                      <w:szCs w:val="21"/>
                      <w:highlight w:val="none"/>
                      <w:lang w:val="zh-CN"/>
                    </w:rPr>
                    <w:t>道</w:t>
                  </w:r>
                </w:p>
              </w:tc>
              <w:tc>
                <w:tcPr>
                  <w:tcW w:w="2640"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en-US" w:eastAsia="zh-CN"/>
                    </w:rPr>
                  </w:pPr>
                  <w:r>
                    <w:rPr>
                      <w:rFonts w:hint="eastAsia" w:cs="Times New Roman"/>
                      <w:snapToGrid w:val="0"/>
                      <w:color w:val="auto"/>
                      <w:szCs w:val="21"/>
                      <w:highlight w:val="none"/>
                      <w:lang w:val="en-US" w:eastAsia="zh-CN"/>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359"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szCs w:val="21"/>
                      <w:highlight w:val="none"/>
                      <w:lang w:val="en-US" w:eastAsia="zh-CN"/>
                    </w:rPr>
                    <w:t>淮远河</w:t>
                  </w:r>
                </w:p>
              </w:tc>
              <w:tc>
                <w:tcPr>
                  <w:tcW w:w="2640"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359"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鱼塘</w:t>
                  </w:r>
                </w:p>
              </w:tc>
              <w:tc>
                <w:tcPr>
                  <w:tcW w:w="2640"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Cs w:val="21"/>
                      <w:highlight w:val="none"/>
                      <w:lang w:val="en-US" w:eastAsia="zh-CN"/>
                    </w:rPr>
                  </w:pPr>
                  <w:r>
                    <w:rPr>
                      <w:rFonts w:hint="eastAsia" w:cs="Times New Roman"/>
                      <w:snapToGrid w:val="0"/>
                      <w:color w:val="auto"/>
                      <w:szCs w:val="21"/>
                      <w:highlight w:val="none"/>
                      <w:lang w:val="en-US" w:eastAsia="zh-CN"/>
                    </w:rPr>
                    <w:t>6</w:t>
                  </w:r>
                </w:p>
              </w:tc>
            </w:tr>
          </w:tbl>
          <w:p>
            <w:pPr>
              <w:keepNext w:val="0"/>
              <w:keepLines w:val="0"/>
              <w:pageBreakBefore w:val="0"/>
              <w:widowControl w:val="0"/>
              <w:kinsoku/>
              <w:wordWrap/>
              <w:overflowPunct/>
              <w:topLinePunct/>
              <w:autoSpaceDE w:val="0"/>
              <w:autoSpaceDN/>
              <w:bidi w:val="0"/>
              <w:adjustRightInd w:val="0"/>
              <w:snapToGrid w:val="0"/>
              <w:spacing w:before="157" w:beforeLines="50" w:line="360" w:lineRule="auto"/>
              <w:ind w:firstLine="480" w:firstLineChars="200"/>
              <w:jc w:val="left"/>
              <w:textAlignment w:val="auto"/>
              <w:rPr>
                <w:bCs/>
                <w:color w:val="auto"/>
                <w:sz w:val="24"/>
                <w:highlight w:val="none"/>
              </w:rPr>
            </w:pPr>
            <w:r>
              <w:rPr>
                <w:rFonts w:hint="eastAsia"/>
                <w:bCs/>
                <w:color w:val="auto"/>
                <w:sz w:val="24"/>
                <w:highlight w:val="none"/>
              </w:rPr>
              <w:t>（2）并行线</w:t>
            </w:r>
          </w:p>
          <w:p>
            <w:pPr>
              <w:topLinePunct/>
              <w:autoSpaceDE w:val="0"/>
              <w:adjustRightInd w:val="0"/>
              <w:snapToGrid w:val="0"/>
              <w:spacing w:line="360" w:lineRule="auto"/>
              <w:ind w:firstLine="480" w:firstLineChars="200"/>
              <w:jc w:val="left"/>
              <w:rPr>
                <w:rFonts w:hint="eastAsia"/>
                <w:bCs/>
                <w:color w:val="auto"/>
                <w:sz w:val="24"/>
                <w:highlight w:val="none"/>
              </w:rPr>
            </w:pPr>
            <w:r>
              <w:rPr>
                <w:rFonts w:hint="eastAsia"/>
                <w:bCs/>
                <w:color w:val="auto"/>
                <w:sz w:val="24"/>
                <w:highlight w:val="none"/>
              </w:rPr>
              <w:t>本项目1</w:t>
            </w:r>
            <w:r>
              <w:rPr>
                <w:bCs/>
                <w:color w:val="auto"/>
                <w:sz w:val="24"/>
                <w:highlight w:val="none"/>
              </w:rPr>
              <w:t>00m</w:t>
            </w:r>
            <w:r>
              <w:rPr>
                <w:rFonts w:hint="eastAsia"/>
                <w:bCs/>
                <w:color w:val="auto"/>
                <w:sz w:val="24"/>
                <w:highlight w:val="none"/>
              </w:rPr>
              <w:t>范围内</w:t>
            </w:r>
            <w:r>
              <w:rPr>
                <w:rFonts w:hint="eastAsia"/>
                <w:bCs/>
                <w:color w:val="auto"/>
                <w:sz w:val="24"/>
                <w:highlight w:val="none"/>
                <w:lang w:eastAsia="zh-CN"/>
              </w:rPr>
              <w:t>未与</w:t>
            </w:r>
            <w:r>
              <w:rPr>
                <w:rFonts w:hint="eastAsia"/>
                <w:bCs/>
                <w:color w:val="auto"/>
                <w:sz w:val="24"/>
                <w:highlight w:val="none"/>
              </w:rPr>
              <w:t>3</w:t>
            </w:r>
            <w:r>
              <w:rPr>
                <w:bCs/>
                <w:color w:val="auto"/>
                <w:sz w:val="24"/>
                <w:highlight w:val="none"/>
              </w:rPr>
              <w:t>30kV</w:t>
            </w:r>
            <w:r>
              <w:rPr>
                <w:rFonts w:hint="eastAsia"/>
                <w:bCs/>
                <w:color w:val="auto"/>
                <w:sz w:val="24"/>
                <w:highlight w:val="none"/>
              </w:rPr>
              <w:t>及以上线路并行。</w:t>
            </w:r>
            <w:r>
              <w:rPr>
                <w:rFonts w:hint="eastAsia"/>
                <w:bCs/>
                <w:color w:val="auto"/>
                <w:sz w:val="24"/>
                <w:highlight w:val="none"/>
                <w:lang w:eastAsia="zh-CN"/>
              </w:rPr>
              <w:t>本项目在</w:t>
            </w:r>
            <w:r>
              <w:rPr>
                <w:rFonts w:hint="eastAsia"/>
                <w:bCs/>
                <w:color w:val="auto"/>
                <w:sz w:val="24"/>
                <w:highlight w:val="none"/>
                <w:lang w:val="en-US" w:eastAsia="zh-CN"/>
              </w:rPr>
              <w:t>220kV全德变电站间隔出线侧与110kV德永南北线并行约250m，最近距离约20m，包夹环境保护目标1处；此外未与110kV及以上等级线路并行。</w:t>
            </w:r>
          </w:p>
          <w:p>
            <w:pPr>
              <w:adjustRightInd w:val="0"/>
              <w:snapToGrid w:val="0"/>
              <w:spacing w:before="120" w:beforeLines="50" w:line="360" w:lineRule="auto"/>
              <w:rPr>
                <w:b/>
                <w:bCs/>
                <w:color w:val="auto"/>
                <w:sz w:val="24"/>
              </w:rPr>
            </w:pPr>
            <w:r>
              <w:rPr>
                <w:rFonts w:hint="eastAsia"/>
                <w:b/>
                <w:bCs/>
                <w:color w:val="auto"/>
                <w:sz w:val="24"/>
              </w:rPr>
              <w:t>2.</w:t>
            </w:r>
            <w:r>
              <w:rPr>
                <w:b/>
                <w:bCs/>
                <w:color w:val="auto"/>
                <w:sz w:val="24"/>
              </w:rPr>
              <w:t>6</w:t>
            </w:r>
            <w:r>
              <w:rPr>
                <w:rFonts w:hint="eastAsia"/>
                <w:b/>
                <w:bCs/>
                <w:color w:val="auto"/>
                <w:sz w:val="24"/>
              </w:rPr>
              <w:t>.</w:t>
            </w:r>
            <w:r>
              <w:rPr>
                <w:rFonts w:hint="eastAsia"/>
                <w:b/>
                <w:bCs/>
                <w:color w:val="auto"/>
                <w:sz w:val="24"/>
                <w:lang w:val="en-US" w:eastAsia="zh-CN"/>
              </w:rPr>
              <w:t>5</w:t>
            </w:r>
            <w:r>
              <w:rPr>
                <w:rFonts w:hint="eastAsia"/>
                <w:b/>
                <w:bCs/>
                <w:color w:val="auto"/>
                <w:sz w:val="24"/>
              </w:rPr>
              <w:t xml:space="preserve"> 导线选择</w:t>
            </w:r>
          </w:p>
          <w:p>
            <w:pPr>
              <w:topLinePunct/>
              <w:autoSpaceDE w:val="0"/>
              <w:adjustRightInd w:val="0"/>
              <w:snapToGrid w:val="0"/>
              <w:spacing w:line="360" w:lineRule="auto"/>
              <w:ind w:firstLine="480" w:firstLineChars="200"/>
              <w:rPr>
                <w:bCs/>
                <w:color w:val="auto"/>
                <w:sz w:val="24"/>
                <w:highlight w:val="none"/>
              </w:rPr>
            </w:pPr>
            <w:r>
              <w:rPr>
                <w:rFonts w:hint="eastAsia"/>
                <w:bCs/>
                <w:color w:val="auto"/>
                <w:sz w:val="24"/>
              </w:rPr>
              <w:t>本工程</w:t>
            </w:r>
            <w:r>
              <w:rPr>
                <w:rFonts w:hint="eastAsia"/>
                <w:bCs/>
                <w:color w:val="auto"/>
                <w:sz w:val="24"/>
                <w:highlight w:val="none"/>
              </w:rPr>
              <w:t>新建</w:t>
            </w:r>
            <w:r>
              <w:rPr>
                <w:rFonts w:hint="eastAsia"/>
                <w:bCs/>
                <w:color w:val="auto"/>
                <w:sz w:val="24"/>
                <w:highlight w:val="none"/>
                <w:lang w:eastAsia="zh-CN"/>
              </w:rPr>
              <w:t>110kV德淮南北线</w:t>
            </w:r>
            <w:r>
              <w:rPr>
                <w:rFonts w:hint="eastAsia"/>
                <w:bCs/>
                <w:color w:val="auto"/>
                <w:sz w:val="24"/>
                <w:highlight w:val="none"/>
              </w:rPr>
              <w:t>导线采用</w:t>
            </w:r>
            <w:r>
              <w:rPr>
                <w:rFonts w:hint="eastAsia"/>
                <w:bCs/>
                <w:color w:val="auto"/>
                <w:sz w:val="24"/>
                <w:highlight w:val="none"/>
                <w:lang w:eastAsia="zh-CN"/>
              </w:rPr>
              <w:t>JL3/G1A-300/40型钢芯高导电率铝绞线</w:t>
            </w:r>
            <w:r>
              <w:rPr>
                <w:rFonts w:hint="eastAsia"/>
                <w:bCs/>
                <w:color w:val="auto"/>
                <w:sz w:val="24"/>
                <w:highlight w:val="none"/>
              </w:rPr>
              <w:t>，该导线直径为</w:t>
            </w:r>
            <w:r>
              <w:rPr>
                <w:rFonts w:hint="eastAsia"/>
                <w:bCs/>
                <w:color w:val="auto"/>
                <w:sz w:val="24"/>
                <w:highlight w:val="none"/>
                <w:lang w:val="en-US" w:eastAsia="zh-CN"/>
              </w:rPr>
              <w:t>23.94</w:t>
            </w:r>
            <w:r>
              <w:rPr>
                <w:rFonts w:hint="eastAsia"/>
                <w:bCs/>
                <w:color w:val="auto"/>
                <w:sz w:val="24"/>
                <w:highlight w:val="none"/>
              </w:rPr>
              <w:t>mm，导线</w:t>
            </w:r>
            <w:r>
              <w:rPr>
                <w:rFonts w:hint="eastAsia" w:ascii="Times New Roman" w:hAnsi="Times New Roman" w:eastAsia="宋体" w:cs="Times New Roman"/>
                <w:bCs/>
                <w:color w:val="auto"/>
                <w:sz w:val="24"/>
                <w:highlight w:val="none"/>
                <w:lang w:eastAsia="zh-CN"/>
              </w:rPr>
              <w:t>面积</w:t>
            </w:r>
            <w:r>
              <w:rPr>
                <w:rFonts w:hint="eastAsia" w:ascii="Times New Roman" w:hAnsi="Times New Roman" w:eastAsia="宋体" w:cs="Times New Roman"/>
                <w:bCs/>
                <w:color w:val="auto"/>
                <w:sz w:val="24"/>
                <w:highlight w:val="none"/>
                <w:lang w:val="en-US" w:eastAsia="zh-CN"/>
              </w:rPr>
              <w:t>338.99</w:t>
            </w:r>
            <w:r>
              <w:rPr>
                <w:rFonts w:hint="eastAsia" w:ascii="Times New Roman" w:hAnsi="Times New Roman" w:eastAsia="宋体" w:cs="Times New Roman"/>
                <w:bCs/>
                <w:color w:val="auto"/>
                <w:sz w:val="24"/>
                <w:highlight w:val="none"/>
                <w:lang w:eastAsia="zh-CN"/>
              </w:rPr>
              <w:t>mm</w:t>
            </w:r>
            <w:r>
              <w:rPr>
                <w:rFonts w:hint="eastAsia" w:ascii="Times New Roman" w:hAnsi="Times New Roman" w:eastAsia="宋体" w:cs="Times New Roman"/>
                <w:bCs/>
                <w:color w:val="auto"/>
                <w:sz w:val="24"/>
                <w:highlight w:val="none"/>
                <w:vertAlign w:val="superscript"/>
                <w:lang w:eastAsia="zh-CN"/>
              </w:rPr>
              <w:t>2</w:t>
            </w:r>
            <w:r>
              <w:rPr>
                <w:rFonts w:hint="eastAsia" w:ascii="Times New Roman" w:hAnsi="Times New Roman" w:eastAsia="宋体" w:cs="Times New Roman"/>
                <w:bCs/>
                <w:color w:val="auto"/>
                <w:sz w:val="24"/>
                <w:highlight w:val="none"/>
                <w:lang w:eastAsia="zh-CN"/>
              </w:rPr>
              <w:t>，单位长度质量</w:t>
            </w:r>
            <w:r>
              <w:rPr>
                <w:rFonts w:hint="eastAsia" w:ascii="Times New Roman" w:hAnsi="Times New Roman" w:eastAsia="宋体" w:cs="Times New Roman"/>
                <w:bCs/>
                <w:color w:val="auto"/>
                <w:sz w:val="24"/>
                <w:highlight w:val="none"/>
                <w:lang w:val="en-US" w:eastAsia="zh-CN"/>
              </w:rPr>
              <w:t>1131</w:t>
            </w:r>
            <w:r>
              <w:rPr>
                <w:rFonts w:hint="eastAsia" w:ascii="Times New Roman" w:hAnsi="Times New Roman" w:eastAsia="宋体" w:cs="Times New Roman"/>
                <w:bCs/>
                <w:color w:val="auto"/>
                <w:sz w:val="24"/>
                <w:highlight w:val="none"/>
                <w:lang w:eastAsia="zh-CN"/>
              </w:rPr>
              <w:t>kg/km，</w:t>
            </w:r>
            <w:r>
              <w:rPr>
                <w:rFonts w:hint="eastAsia"/>
                <w:bCs/>
                <w:color w:val="auto"/>
                <w:sz w:val="24"/>
                <w:highlight w:val="none"/>
              </w:rPr>
              <w:t>极限载流量</w:t>
            </w:r>
            <w:r>
              <w:rPr>
                <w:rFonts w:hint="eastAsia"/>
                <w:bCs/>
                <w:color w:val="auto"/>
                <w:sz w:val="24"/>
                <w:highlight w:val="none"/>
                <w:lang w:val="en-US" w:eastAsia="zh-CN"/>
              </w:rPr>
              <w:t>750</w:t>
            </w:r>
            <w:r>
              <w:rPr>
                <w:rFonts w:hint="eastAsia"/>
                <w:bCs/>
                <w:color w:val="auto"/>
                <w:sz w:val="24"/>
                <w:highlight w:val="none"/>
              </w:rPr>
              <w:t>A。</w:t>
            </w:r>
          </w:p>
          <w:p>
            <w:pPr>
              <w:adjustRightInd w:val="0"/>
              <w:snapToGrid w:val="0"/>
              <w:spacing w:before="120" w:beforeLines="50" w:line="360" w:lineRule="auto"/>
              <w:rPr>
                <w:rFonts w:eastAsiaTheme="minorEastAsia"/>
                <w:color w:val="auto"/>
                <w:sz w:val="24"/>
                <w:highlight w:val="none"/>
              </w:rPr>
            </w:pPr>
            <w:bookmarkStart w:id="4" w:name="_Toc482113562"/>
            <w:r>
              <w:rPr>
                <w:b/>
                <w:bCs/>
                <w:color w:val="auto"/>
                <w:sz w:val="24"/>
                <w:highlight w:val="none"/>
              </w:rPr>
              <w:t>2.</w:t>
            </w:r>
            <w:r>
              <w:rPr>
                <w:rFonts w:hint="eastAsia"/>
                <w:b/>
                <w:bCs/>
                <w:color w:val="auto"/>
                <w:sz w:val="24"/>
                <w:highlight w:val="none"/>
                <w:lang w:val="en-US" w:eastAsia="zh-CN"/>
              </w:rPr>
              <w:t>7</w:t>
            </w:r>
            <w:r>
              <w:rPr>
                <w:b/>
                <w:bCs/>
                <w:color w:val="auto"/>
                <w:sz w:val="24"/>
                <w:highlight w:val="none"/>
              </w:rPr>
              <w:t xml:space="preserve"> </w:t>
            </w:r>
            <w:r>
              <w:rPr>
                <w:rFonts w:hint="eastAsia"/>
                <w:b/>
                <w:bCs/>
                <w:color w:val="auto"/>
                <w:sz w:val="24"/>
                <w:highlight w:val="none"/>
              </w:rPr>
              <w:t>林木砍伐</w:t>
            </w:r>
          </w:p>
          <w:p>
            <w:pPr>
              <w:topLinePunct/>
              <w:autoSpaceDE w:val="0"/>
              <w:adjustRightInd w:val="0"/>
              <w:snapToGrid w:val="0"/>
              <w:spacing w:line="360" w:lineRule="auto"/>
              <w:ind w:firstLine="480" w:firstLineChars="200"/>
              <w:rPr>
                <w:rFonts w:hint="eastAsia" w:eastAsia="宋体"/>
                <w:bCs/>
                <w:color w:val="auto"/>
                <w:sz w:val="24"/>
                <w:highlight w:val="none"/>
                <w:lang w:eastAsia="zh-CN"/>
              </w:rPr>
            </w:pPr>
            <w:r>
              <w:rPr>
                <w:rFonts w:hint="eastAsia"/>
                <w:bCs/>
                <w:color w:val="auto"/>
                <w:sz w:val="24"/>
                <w:highlight w:val="none"/>
              </w:rPr>
              <w:t>项目变电站征地红线范围内主要为耕地，边缘有部分</w:t>
            </w:r>
            <w:r>
              <w:rPr>
                <w:rFonts w:ascii="Times New Roman" w:hAnsi="Times New Roman"/>
                <w:color w:val="auto"/>
                <w:kern w:val="0"/>
                <w:sz w:val="24"/>
              </w:rPr>
              <w:t>桉树、柏树</w:t>
            </w:r>
            <w:r>
              <w:rPr>
                <w:rFonts w:hint="eastAsia"/>
                <w:bCs/>
                <w:color w:val="auto"/>
                <w:sz w:val="24"/>
                <w:highlight w:val="none"/>
                <w:lang w:eastAsia="zh-CN"/>
              </w:rPr>
              <w:t>。</w:t>
            </w:r>
            <w:r>
              <w:rPr>
                <w:rFonts w:ascii="Times New Roman" w:hAnsi="Times New Roman"/>
                <w:color w:val="auto"/>
                <w:sz w:val="24"/>
              </w:rPr>
              <w:t>本项目线路沿线无集中林场，但有树竹分布。</w:t>
            </w:r>
            <w:r>
              <w:rPr>
                <w:rFonts w:hint="eastAsia"/>
                <w:bCs/>
                <w:color w:val="auto"/>
                <w:sz w:val="24"/>
                <w:highlight w:val="none"/>
              </w:rPr>
              <w:t>对于输电线路沿线廊道内树木，线路跨树高度按树木自然生长高度确定，仅在线路维护和检修过程中对不满足运行安全要求的林木进行削枝处理，不砍伐树木；工程林木砍伐主要出现在输电线路塔基基础施工、施工临时占地处。根据设计本工程需砍伐林木约</w:t>
            </w:r>
            <w:r>
              <w:rPr>
                <w:rFonts w:hint="eastAsia"/>
                <w:bCs/>
                <w:color w:val="auto"/>
                <w:sz w:val="24"/>
                <w:highlight w:val="none"/>
                <w:lang w:val="en-US" w:eastAsia="zh-CN"/>
              </w:rPr>
              <w:t>1500</w:t>
            </w:r>
            <w:r>
              <w:rPr>
                <w:rFonts w:hint="eastAsia"/>
                <w:bCs/>
                <w:color w:val="auto"/>
                <w:sz w:val="24"/>
                <w:highlight w:val="none"/>
              </w:rPr>
              <w:t>棵，其砍伐树种主要为</w:t>
            </w:r>
            <w:r>
              <w:rPr>
                <w:rFonts w:ascii="Times New Roman" w:hAnsi="Times New Roman"/>
                <w:color w:val="auto"/>
                <w:sz w:val="24"/>
              </w:rPr>
              <w:t>竹、</w:t>
            </w:r>
            <w:r>
              <w:rPr>
                <w:rFonts w:ascii="Times New Roman" w:hAnsi="Times New Roman"/>
                <w:color w:val="auto"/>
                <w:kern w:val="0"/>
                <w:sz w:val="24"/>
              </w:rPr>
              <w:t>桉树、柏树等，无</w:t>
            </w:r>
            <w:r>
              <w:rPr>
                <w:rFonts w:ascii="Times New Roman" w:hAnsi="Times New Roman"/>
                <w:color w:val="auto"/>
                <w:sz w:val="24"/>
              </w:rPr>
              <w:t>古、大、珍、奇树种</w:t>
            </w:r>
            <w:r>
              <w:rPr>
                <w:rFonts w:hint="eastAsia" w:ascii="Times New Roman" w:hAnsi="Times New Roman"/>
                <w:color w:val="auto"/>
                <w:sz w:val="24"/>
                <w:lang w:eastAsia="zh-CN"/>
              </w:rPr>
              <w:t>。</w:t>
            </w:r>
          </w:p>
          <w:bookmarkEnd w:id="4"/>
          <w:p>
            <w:pPr>
              <w:adjustRightInd w:val="0"/>
              <w:snapToGrid w:val="0"/>
              <w:spacing w:before="120" w:beforeLines="50" w:line="360" w:lineRule="auto"/>
              <w:rPr>
                <w:b/>
                <w:bCs/>
                <w:color w:val="auto"/>
                <w:sz w:val="24"/>
                <w:highlight w:val="none"/>
              </w:rPr>
            </w:pPr>
            <w:r>
              <w:rPr>
                <w:rFonts w:hint="eastAsia"/>
                <w:b/>
                <w:bCs/>
                <w:color w:val="auto"/>
                <w:sz w:val="24"/>
                <w:highlight w:val="none"/>
              </w:rPr>
              <w:t>2.</w:t>
            </w:r>
            <w:r>
              <w:rPr>
                <w:rFonts w:hint="eastAsia"/>
                <w:b/>
                <w:bCs/>
                <w:color w:val="auto"/>
                <w:sz w:val="24"/>
                <w:highlight w:val="none"/>
                <w:lang w:val="en-US" w:eastAsia="zh-CN"/>
              </w:rPr>
              <w:t>8</w:t>
            </w:r>
            <w:r>
              <w:rPr>
                <w:rFonts w:hint="eastAsia"/>
                <w:b/>
                <w:bCs/>
                <w:color w:val="auto"/>
                <w:sz w:val="24"/>
                <w:highlight w:val="none"/>
              </w:rPr>
              <w:t xml:space="preserve"> 工程拆迁</w:t>
            </w:r>
          </w:p>
          <w:p>
            <w:pPr>
              <w:pStyle w:val="35"/>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yellow"/>
              </w:rPr>
            </w:pPr>
            <w:r>
              <w:rPr>
                <w:rFonts w:hint="eastAsia"/>
                <w:color w:val="auto"/>
                <w:sz w:val="24"/>
                <w:highlight w:val="none"/>
                <w:lang w:eastAsia="zh-CN"/>
              </w:rPr>
              <w:t>本项目不涉及拆迁工程。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56" w:type="dxa"/>
            <w:vAlign w:val="center"/>
          </w:tcPr>
          <w:p>
            <w:pPr>
              <w:adjustRightInd w:val="0"/>
              <w:snapToGrid w:val="0"/>
              <w:jc w:val="center"/>
              <w:rPr>
                <w:rFonts w:cs="宋体"/>
                <w:color w:val="auto"/>
                <w:kern w:val="0"/>
                <w:sz w:val="24"/>
                <w:highlight w:val="yellow"/>
              </w:rPr>
            </w:pPr>
            <w:r>
              <w:rPr>
                <w:rFonts w:hint="eastAsia" w:cs="宋体"/>
                <w:color w:val="auto"/>
                <w:kern w:val="0"/>
                <w:sz w:val="24"/>
                <w:highlight w:val="none"/>
              </w:rPr>
              <w:t>总平面及现场布置</w:t>
            </w:r>
          </w:p>
        </w:tc>
        <w:tc>
          <w:tcPr>
            <w:tcW w:w="8646" w:type="dxa"/>
            <w:vAlign w:val="center"/>
          </w:tcPr>
          <w:p>
            <w:pPr>
              <w:adjustRightInd w:val="0"/>
              <w:snapToGrid w:val="0"/>
              <w:spacing w:line="360" w:lineRule="auto"/>
              <w:jc w:val="left"/>
              <w:rPr>
                <w:rFonts w:cs="宋体"/>
                <w:b/>
                <w:bCs/>
                <w:color w:val="auto"/>
                <w:kern w:val="0"/>
                <w:sz w:val="24"/>
              </w:rPr>
            </w:pPr>
            <w:r>
              <w:rPr>
                <w:rFonts w:hint="eastAsia" w:cs="宋体"/>
                <w:b/>
                <w:bCs/>
                <w:color w:val="auto"/>
                <w:kern w:val="0"/>
                <w:sz w:val="24"/>
              </w:rPr>
              <w:t>2.</w:t>
            </w:r>
            <w:r>
              <w:rPr>
                <w:rFonts w:hint="eastAsia" w:cs="宋体"/>
                <w:b/>
                <w:bCs/>
                <w:color w:val="auto"/>
                <w:kern w:val="0"/>
                <w:sz w:val="24"/>
                <w:lang w:val="en-US" w:eastAsia="zh-CN"/>
              </w:rPr>
              <w:t>9</w:t>
            </w:r>
            <w:r>
              <w:rPr>
                <w:rFonts w:hint="eastAsia" w:cs="宋体"/>
                <w:b/>
                <w:bCs/>
                <w:color w:val="auto"/>
                <w:kern w:val="0"/>
                <w:sz w:val="24"/>
              </w:rPr>
              <w:t>变电站总平面布置</w:t>
            </w:r>
          </w:p>
          <w:p>
            <w:pPr>
              <w:spacing w:line="360" w:lineRule="auto"/>
              <w:ind w:firstLine="480" w:firstLineChars="200"/>
              <w:rPr>
                <w:rFonts w:hint="eastAsia" w:cs="Times New Roman"/>
                <w:bCs/>
                <w:color w:val="auto"/>
                <w:sz w:val="24"/>
                <w:szCs w:val="24"/>
                <w:highlight w:val="none"/>
                <w:lang w:eastAsia="zh-CN"/>
              </w:rPr>
            </w:pPr>
            <w:r>
              <w:rPr>
                <w:rFonts w:hint="eastAsia" w:cs="Times New Roman"/>
                <w:bCs/>
                <w:color w:val="auto"/>
                <w:sz w:val="24"/>
                <w:szCs w:val="24"/>
                <w:highlight w:val="none"/>
                <w:lang w:eastAsia="zh-CN"/>
              </w:rPr>
              <w:t>淮阳变电站用地呈</w:t>
            </w:r>
            <w:r>
              <w:rPr>
                <w:rFonts w:hint="eastAsia" w:ascii="Times New Roman" w:hAnsi="Times New Roman" w:eastAsia="宋体" w:cs="Times New Roman"/>
                <w:bCs/>
                <w:color w:val="auto"/>
                <w:sz w:val="24"/>
                <w:szCs w:val="24"/>
                <w:highlight w:val="none"/>
              </w:rPr>
              <w:t>长87.5m、宽53m的矩形，</w:t>
            </w:r>
            <w:r>
              <w:rPr>
                <w:rFonts w:hint="eastAsia" w:cs="Times New Roman"/>
                <w:bCs/>
                <w:color w:val="auto"/>
                <w:sz w:val="24"/>
                <w:szCs w:val="24"/>
                <w:highlight w:val="none"/>
                <w:lang w:eastAsia="zh-CN"/>
              </w:rPr>
              <w:t>进站大门位于南侧。</w:t>
            </w:r>
          </w:p>
          <w:p>
            <w:pPr>
              <w:spacing w:line="360" w:lineRule="auto"/>
              <w:ind w:firstLine="480" w:firstLineChars="200"/>
              <w:rPr>
                <w:rFonts w:hint="eastAsia" w:ascii="Times New Roman" w:hAnsi="Times New Roman" w:eastAsia="宋体" w:cs="Times New Roman"/>
                <w:bCs/>
                <w:color w:val="auto"/>
                <w:sz w:val="24"/>
                <w:szCs w:val="24"/>
                <w:highlight w:val="none"/>
              </w:rPr>
            </w:pPr>
            <w:r>
              <w:rPr>
                <w:rFonts w:hint="eastAsia" w:cs="Times New Roman"/>
                <w:bCs/>
                <w:color w:val="auto"/>
                <w:sz w:val="24"/>
                <w:szCs w:val="24"/>
                <w:highlight w:val="none"/>
                <w:lang w:val="en-US" w:eastAsia="zh-CN"/>
              </w:rPr>
              <w:t>10kV</w:t>
            </w:r>
            <w:r>
              <w:rPr>
                <w:rFonts w:hint="eastAsia" w:ascii="Times New Roman" w:hAnsi="Times New Roman" w:eastAsia="宋体" w:cs="Times New Roman"/>
                <w:bCs/>
                <w:color w:val="auto"/>
                <w:sz w:val="24"/>
                <w:szCs w:val="24"/>
                <w:highlight w:val="none"/>
                <w:lang w:val="en-US" w:eastAsia="zh-CN"/>
              </w:rPr>
              <w:t>配电装置楼布置于站区的</w:t>
            </w:r>
            <w:r>
              <w:rPr>
                <w:rFonts w:hint="eastAsia" w:cs="Times New Roman"/>
                <w:bCs/>
                <w:color w:val="auto"/>
                <w:sz w:val="24"/>
                <w:szCs w:val="24"/>
                <w:highlight w:val="none"/>
                <w:lang w:val="en-US" w:eastAsia="zh-CN"/>
              </w:rPr>
              <w:t>西</w:t>
            </w:r>
            <w:r>
              <w:rPr>
                <w:rFonts w:hint="eastAsia" w:ascii="Times New Roman" w:hAnsi="Times New Roman" w:eastAsia="宋体" w:cs="Times New Roman"/>
                <w:bCs/>
                <w:color w:val="auto"/>
                <w:sz w:val="24"/>
                <w:szCs w:val="24"/>
                <w:highlight w:val="none"/>
                <w:lang w:val="en-US" w:eastAsia="zh-CN"/>
              </w:rPr>
              <w:t>南侧；3台主变平行布置，位于站区的中部；</w:t>
            </w:r>
            <w:r>
              <w:rPr>
                <w:rFonts w:hint="eastAsia" w:ascii="Times New Roman" w:hAnsi="Times New Roman" w:eastAsia="宋体" w:cs="Times New Roman"/>
                <w:bCs/>
                <w:color w:val="auto"/>
                <w:sz w:val="24"/>
                <w:szCs w:val="24"/>
                <w:highlight w:val="none"/>
              </w:rPr>
              <w:t>110kV配电装置采用户外GIS布置在站区的</w:t>
            </w:r>
            <w:r>
              <w:rPr>
                <w:rFonts w:hint="eastAsia" w:cs="Times New Roman"/>
                <w:bCs/>
                <w:color w:val="auto"/>
                <w:sz w:val="24"/>
                <w:szCs w:val="24"/>
                <w:highlight w:val="none"/>
                <w:lang w:eastAsia="zh-CN"/>
              </w:rPr>
              <w:t>东</w:t>
            </w:r>
            <w:r>
              <w:rPr>
                <w:rFonts w:hint="eastAsia" w:ascii="Times New Roman" w:hAnsi="Times New Roman" w:eastAsia="宋体" w:cs="Times New Roman"/>
                <w:bCs/>
                <w:color w:val="auto"/>
                <w:sz w:val="24"/>
                <w:szCs w:val="24"/>
                <w:highlight w:val="none"/>
              </w:rPr>
              <w:t>北侧</w:t>
            </w:r>
            <w:r>
              <w:rPr>
                <w:rFonts w:hint="eastAsia" w:ascii="Times New Roman" w:hAnsi="Times New Roman" w:eastAsia="宋体" w:cs="Times New Roman"/>
                <w:bCs/>
                <w:color w:val="auto"/>
                <w:sz w:val="24"/>
                <w:szCs w:val="24"/>
                <w:highlight w:val="none"/>
                <w:lang w:eastAsia="zh-CN"/>
              </w:rPr>
              <w:t>；事故油池</w:t>
            </w:r>
            <w:r>
              <w:rPr>
                <w:rFonts w:hint="eastAsia"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rPr>
              <w:t>二次预制舱</w:t>
            </w:r>
            <w:r>
              <w:rPr>
                <w:rFonts w:hint="eastAsia" w:cs="Times New Roman"/>
                <w:bCs/>
                <w:color w:val="auto"/>
                <w:sz w:val="24"/>
                <w:szCs w:val="24"/>
                <w:highlight w:val="none"/>
                <w:lang w:eastAsia="zh-CN"/>
              </w:rPr>
              <w:t>位于站区东北侧；警卫传达室、水泵房、</w:t>
            </w:r>
            <w:r>
              <w:rPr>
                <w:rFonts w:hint="eastAsia" w:ascii="Times New Roman" w:hAnsi="Times New Roman" w:eastAsia="宋体" w:cs="Times New Roman"/>
                <w:bCs/>
                <w:color w:val="auto"/>
                <w:sz w:val="24"/>
                <w:szCs w:val="24"/>
                <w:highlight w:val="none"/>
                <w:lang w:eastAsia="zh-CN"/>
              </w:rPr>
              <w:t>消防水泵池位于站区的东</w:t>
            </w:r>
            <w:r>
              <w:rPr>
                <w:rFonts w:hint="eastAsia" w:cs="Times New Roman"/>
                <w:bCs/>
                <w:color w:val="auto"/>
                <w:sz w:val="24"/>
                <w:szCs w:val="24"/>
                <w:highlight w:val="none"/>
                <w:lang w:eastAsia="zh-CN"/>
              </w:rPr>
              <w:t>南</w:t>
            </w:r>
            <w:r>
              <w:rPr>
                <w:rFonts w:hint="eastAsia" w:ascii="Times New Roman" w:hAnsi="Times New Roman" w:eastAsia="宋体" w:cs="Times New Roman"/>
                <w:bCs/>
                <w:color w:val="auto"/>
                <w:sz w:val="24"/>
                <w:szCs w:val="24"/>
                <w:highlight w:val="none"/>
                <w:lang w:eastAsia="zh-CN"/>
              </w:rPr>
              <w:t>侧；电容器组位于站区的西南侧</w:t>
            </w:r>
            <w:r>
              <w:rPr>
                <w:rFonts w:hint="eastAsia"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eastAsia="zh-CN"/>
              </w:rPr>
              <w:t>污水处理设施位于</w:t>
            </w:r>
            <w:r>
              <w:rPr>
                <w:rFonts w:hint="eastAsia" w:cs="Times New Roman"/>
                <w:bCs/>
                <w:color w:val="auto"/>
                <w:sz w:val="24"/>
                <w:szCs w:val="24"/>
                <w:highlight w:val="none"/>
                <w:lang w:eastAsia="zh-CN"/>
              </w:rPr>
              <w:t>站区</w:t>
            </w:r>
            <w:r>
              <w:rPr>
                <w:rFonts w:hint="eastAsia" w:ascii="Times New Roman" w:hAnsi="Times New Roman" w:eastAsia="宋体" w:cs="Times New Roman"/>
                <w:bCs/>
                <w:color w:val="auto"/>
                <w:sz w:val="24"/>
                <w:szCs w:val="24"/>
                <w:highlight w:val="none"/>
                <w:lang w:eastAsia="zh-CN"/>
              </w:rPr>
              <w:t>东南侧厂界外，用地红线范围内。</w:t>
            </w:r>
          </w:p>
          <w:p>
            <w:pPr>
              <w:pStyle w:val="3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color w:val="auto"/>
                <w:lang w:val="en-US" w:eastAsia="zh-CN"/>
              </w:rPr>
            </w:pPr>
            <w:r>
              <w:rPr>
                <w:rFonts w:hint="eastAsia" w:ascii="Times New Roman" w:hAnsi="Times New Roman" w:cs="Times New Roman"/>
                <w:bCs/>
                <w:color w:val="auto"/>
                <w:sz w:val="24"/>
                <w:szCs w:val="24"/>
                <w:highlight w:val="none"/>
                <w:lang w:eastAsia="zh-CN"/>
              </w:rPr>
              <w:t>淮阳变电站总平面布置图见附图</w:t>
            </w:r>
            <w:r>
              <w:rPr>
                <w:rFonts w:hint="eastAsia" w:ascii="Times New Roman" w:hAnsi="Times New Roman" w:cs="Times New Roman"/>
                <w:bCs/>
                <w:color w:val="auto"/>
                <w:sz w:val="24"/>
                <w:szCs w:val="24"/>
                <w:highlight w:val="none"/>
                <w:lang w:val="en-US" w:eastAsia="zh-CN"/>
              </w:rPr>
              <w:t>3。</w:t>
            </w:r>
          </w:p>
          <w:p>
            <w:pPr>
              <w:autoSpaceDE w:val="0"/>
              <w:autoSpaceDN w:val="0"/>
              <w:adjustRightInd w:val="0"/>
              <w:snapToGrid w:val="0"/>
              <w:spacing w:line="360" w:lineRule="auto"/>
              <w:rPr>
                <w:rFonts w:cs="宋体"/>
                <w:b/>
                <w:color w:val="auto"/>
                <w:sz w:val="24"/>
              </w:rPr>
            </w:pPr>
            <w:r>
              <w:rPr>
                <w:rFonts w:cs="宋体"/>
                <w:b/>
                <w:color w:val="auto"/>
                <w:sz w:val="24"/>
              </w:rPr>
              <w:t>2.</w:t>
            </w:r>
            <w:r>
              <w:rPr>
                <w:rFonts w:hint="eastAsia" w:cs="宋体"/>
                <w:b/>
                <w:color w:val="auto"/>
                <w:sz w:val="24"/>
                <w:lang w:val="en-US" w:eastAsia="zh-CN"/>
              </w:rPr>
              <w:t>10</w:t>
            </w:r>
            <w:r>
              <w:rPr>
                <w:rFonts w:cs="宋体"/>
                <w:b/>
                <w:color w:val="auto"/>
                <w:sz w:val="24"/>
              </w:rPr>
              <w:t xml:space="preserve"> </w:t>
            </w:r>
            <w:r>
              <w:rPr>
                <w:rFonts w:hint="eastAsia" w:cs="宋体"/>
                <w:b/>
                <w:color w:val="auto"/>
                <w:sz w:val="24"/>
              </w:rPr>
              <w:t>线路路径</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本项目线路涉及铜梁区</w:t>
            </w:r>
            <w:r>
              <w:rPr>
                <w:rFonts w:hint="default" w:ascii="Times New Roman" w:hAnsi="Times New Roman" w:cs="Times New Roman"/>
                <w:color w:val="auto"/>
                <w:sz w:val="24"/>
                <w:highlight w:val="none"/>
              </w:rPr>
              <w:t>二坪镇、东城街道、</w:t>
            </w:r>
            <w:r>
              <w:rPr>
                <w:rFonts w:hint="eastAsia" w:cs="Times New Roman"/>
                <w:color w:val="auto"/>
                <w:sz w:val="24"/>
                <w:highlight w:val="none"/>
                <w:lang w:eastAsia="zh-CN"/>
              </w:rPr>
              <w:t>旧县街道、</w:t>
            </w:r>
            <w:r>
              <w:rPr>
                <w:rFonts w:hint="default" w:ascii="Times New Roman" w:hAnsi="Times New Roman" w:cs="Times New Roman"/>
                <w:color w:val="auto"/>
                <w:sz w:val="24"/>
                <w:highlight w:val="none"/>
              </w:rPr>
              <w:t>蒲吕街道</w:t>
            </w:r>
            <w:r>
              <w:rPr>
                <w:rFonts w:hint="eastAsia" w:cs="Times New Roman"/>
                <w:color w:val="auto"/>
                <w:sz w:val="24"/>
                <w:highlight w:val="none"/>
                <w:lang w:eastAsia="zh-CN"/>
              </w:rPr>
              <w:t>。</w:t>
            </w:r>
          </w:p>
          <w:p>
            <w:pPr>
              <w:autoSpaceDE w:val="0"/>
              <w:autoSpaceDN w:val="0"/>
              <w:adjustRightInd w:val="0"/>
              <w:snapToGrid w:val="0"/>
              <w:spacing w:line="360" w:lineRule="auto"/>
              <w:ind w:firstLine="480" w:firstLineChars="200"/>
              <w:rPr>
                <w:rFonts w:hint="eastAsia" w:cs="Times New Roman"/>
                <w:color w:val="auto"/>
                <w:sz w:val="24"/>
                <w:highlight w:val="none"/>
                <w:lang w:val="en-US" w:eastAsia="zh-CN"/>
              </w:rPr>
            </w:pPr>
            <w:r>
              <w:rPr>
                <w:rFonts w:hint="eastAsia"/>
                <w:color w:val="auto"/>
                <w:sz w:val="24"/>
                <w:highlight w:val="none"/>
                <w:lang w:val="en-US" w:eastAsia="zh-CN"/>
              </w:rPr>
              <w:t>拟建110kV德淮南北线</w:t>
            </w:r>
            <w:r>
              <w:rPr>
                <w:rFonts w:hint="eastAsia" w:ascii="Times New Roman" w:hAnsi="Times New Roman" w:eastAsia="宋体" w:cs="Times New Roman"/>
                <w:color w:val="auto"/>
                <w:sz w:val="24"/>
                <w:highlight w:val="none"/>
                <w:lang w:val="en-US" w:eastAsia="zh-CN"/>
              </w:rPr>
              <w:t>由</w:t>
            </w:r>
            <w:r>
              <w:rPr>
                <w:rFonts w:hint="default" w:ascii="Times New Roman" w:hAnsi="Times New Roman" w:cs="Times New Roman"/>
                <w:color w:val="auto"/>
                <w:sz w:val="24"/>
                <w:highlight w:val="none"/>
              </w:rPr>
              <w:t>二坪镇</w:t>
            </w:r>
            <w:r>
              <w:rPr>
                <w:rFonts w:hint="eastAsia" w:cs="Times New Roman"/>
                <w:color w:val="auto"/>
                <w:sz w:val="24"/>
                <w:highlight w:val="none"/>
                <w:lang w:eastAsia="zh-CN"/>
              </w:rPr>
              <w:t>红庙村的</w:t>
            </w:r>
            <w:r>
              <w:rPr>
                <w:rFonts w:hint="eastAsia" w:ascii="Times New Roman" w:hAnsi="Times New Roman" w:eastAsia="宋体" w:cs="Times New Roman"/>
                <w:color w:val="auto"/>
                <w:sz w:val="24"/>
                <w:highlight w:val="none"/>
                <w:lang w:val="en-US" w:eastAsia="zh-CN"/>
              </w:rPr>
              <w:t>全德220kV变电站110kV构架侧出线，向东南平行110kV德永南北线走线，</w:t>
            </w:r>
            <w:r>
              <w:rPr>
                <w:rFonts w:hint="eastAsia" w:cs="Times New Roman"/>
                <w:color w:val="auto"/>
                <w:sz w:val="24"/>
                <w:highlight w:val="none"/>
                <w:lang w:val="en-US" w:eastAsia="zh-CN"/>
              </w:rPr>
              <w:t>在G2#塔大号侧约30m跨淮远河进入东城街道飞凤村，继续向东南走线，在G4#塔大号侧约360m进入蒲吕街道沙心村，在G8#塔小号侧约20m进入旧县街道，</w:t>
            </w:r>
            <w:r>
              <w:rPr>
                <w:rFonts w:hint="eastAsia"/>
                <w:color w:val="auto"/>
                <w:sz w:val="24"/>
                <w:szCs w:val="24"/>
                <w:lang w:eastAsia="zh-CN"/>
              </w:rPr>
              <w:t>钻</w:t>
            </w:r>
            <w:r>
              <w:rPr>
                <w:rFonts w:hint="eastAsia"/>
                <w:color w:val="auto"/>
                <w:sz w:val="24"/>
                <w:szCs w:val="24"/>
                <w:lang w:val="en-US" w:eastAsia="zh-CN"/>
              </w:rPr>
              <w:t>220kV铜龙南北线、全龙南北线后，</w:t>
            </w:r>
            <w:r>
              <w:rPr>
                <w:rFonts w:hint="eastAsia" w:cs="Times New Roman"/>
                <w:color w:val="auto"/>
                <w:sz w:val="24"/>
                <w:highlight w:val="none"/>
                <w:lang w:val="en-US" w:eastAsia="zh-CN"/>
              </w:rPr>
              <w:t>在G8#塔大号侧约160m又进入蒲吕街道沙心村，后线路继续向东南走线，在G12#塔处转向西南侧走线，跨在建渝遂高速后，沿在建铜安高速方向走线，至17#塔处分两个单回线路分别接至2个终端塔，再接入拟建110kV淮阳变电站。</w:t>
            </w:r>
          </w:p>
          <w:p>
            <w:pPr>
              <w:adjustRightInd w:val="0"/>
              <w:snapToGrid w:val="0"/>
              <w:spacing w:line="360" w:lineRule="auto"/>
              <w:jc w:val="left"/>
              <w:rPr>
                <w:rFonts w:cs="宋体"/>
                <w:b/>
                <w:bCs/>
                <w:color w:val="auto"/>
                <w:kern w:val="0"/>
                <w:sz w:val="24"/>
                <w:highlight w:val="none"/>
              </w:rPr>
            </w:pPr>
            <w:r>
              <w:rPr>
                <w:rFonts w:hint="eastAsia" w:cs="宋体"/>
                <w:b/>
                <w:bCs/>
                <w:color w:val="auto"/>
                <w:kern w:val="0"/>
                <w:sz w:val="24"/>
              </w:rPr>
              <w:t>2.</w:t>
            </w:r>
            <w:r>
              <w:rPr>
                <w:rFonts w:hint="eastAsia" w:cs="宋体"/>
                <w:b/>
                <w:bCs/>
                <w:color w:val="auto"/>
                <w:kern w:val="0"/>
                <w:sz w:val="24"/>
                <w:lang w:val="en-US" w:eastAsia="zh-CN"/>
              </w:rPr>
              <w:t>11</w:t>
            </w:r>
            <w:r>
              <w:rPr>
                <w:rFonts w:cs="宋体"/>
                <w:b/>
                <w:bCs/>
                <w:color w:val="auto"/>
                <w:kern w:val="0"/>
                <w:sz w:val="24"/>
                <w:highlight w:val="none"/>
              </w:rPr>
              <w:t xml:space="preserve"> </w:t>
            </w:r>
            <w:r>
              <w:rPr>
                <w:rFonts w:hint="eastAsia"/>
                <w:b/>
                <w:bCs/>
                <w:color w:val="auto"/>
                <w:sz w:val="24"/>
                <w:highlight w:val="none"/>
              </w:rPr>
              <w:t>工程永久及临时占地情况</w:t>
            </w:r>
          </w:p>
          <w:p>
            <w:pPr>
              <w:spacing w:line="360" w:lineRule="auto"/>
              <w:ind w:firstLine="480" w:firstLineChars="200"/>
              <w:rPr>
                <w:color w:val="auto"/>
                <w:kern w:val="0"/>
                <w:sz w:val="24"/>
                <w:highlight w:val="none"/>
              </w:rPr>
            </w:pPr>
            <w:r>
              <w:rPr>
                <w:rFonts w:hint="eastAsia"/>
                <w:color w:val="auto"/>
                <w:sz w:val="24"/>
                <w:highlight w:val="none"/>
                <w:lang w:eastAsia="zh-CN"/>
              </w:rPr>
              <w:t>拟建项目永久</w:t>
            </w:r>
            <w:r>
              <w:rPr>
                <w:rFonts w:hint="eastAsia"/>
                <w:color w:val="auto"/>
                <w:sz w:val="24"/>
                <w:highlight w:val="none"/>
              </w:rPr>
              <w:t>占地面积约</w:t>
            </w:r>
            <w:r>
              <w:rPr>
                <w:rFonts w:hint="eastAsia"/>
                <w:color w:val="auto"/>
                <w:sz w:val="24"/>
                <w:highlight w:val="none"/>
                <w:lang w:val="en-US" w:eastAsia="zh-CN"/>
              </w:rPr>
              <w:t>7875</w:t>
            </w:r>
            <w:r>
              <w:rPr>
                <w:color w:val="auto"/>
                <w:sz w:val="24"/>
                <w:highlight w:val="none"/>
              </w:rPr>
              <w:t>m</w:t>
            </w:r>
            <w:r>
              <w:rPr>
                <w:color w:val="auto"/>
                <w:sz w:val="24"/>
                <w:highlight w:val="none"/>
                <w:vertAlign w:val="superscript"/>
              </w:rPr>
              <w:t>2</w:t>
            </w:r>
            <w:r>
              <w:rPr>
                <w:rFonts w:hint="eastAsia"/>
                <w:color w:val="auto"/>
                <w:sz w:val="24"/>
                <w:highlight w:val="none"/>
              </w:rPr>
              <w:t>，其中</w:t>
            </w:r>
            <w:r>
              <w:rPr>
                <w:rFonts w:hint="eastAsia"/>
                <w:color w:val="auto"/>
                <w:sz w:val="24"/>
                <w:highlight w:val="none"/>
                <w:lang w:val="en-US" w:eastAsia="zh-CN"/>
              </w:rPr>
              <w:t>110kV淮阳变电站永及占地约7025</w:t>
            </w:r>
            <w:r>
              <w:rPr>
                <w:color w:val="auto"/>
                <w:sz w:val="24"/>
                <w:highlight w:val="none"/>
              </w:rPr>
              <w:t>m</w:t>
            </w:r>
            <w:r>
              <w:rPr>
                <w:color w:val="auto"/>
                <w:sz w:val="24"/>
                <w:highlight w:val="none"/>
                <w:vertAlign w:val="superscript"/>
              </w:rPr>
              <w:t>2</w:t>
            </w:r>
            <w:r>
              <w:rPr>
                <w:rFonts w:hint="eastAsia"/>
                <w:color w:val="auto"/>
                <w:sz w:val="24"/>
                <w:highlight w:val="none"/>
              </w:rPr>
              <w:t>，铁塔占地约</w:t>
            </w:r>
            <w:r>
              <w:rPr>
                <w:rFonts w:hint="eastAsia"/>
                <w:color w:val="auto"/>
                <w:sz w:val="24"/>
                <w:highlight w:val="none"/>
                <w:lang w:val="en-US" w:eastAsia="zh-CN"/>
              </w:rPr>
              <w:t>850</w:t>
            </w:r>
            <w:r>
              <w:rPr>
                <w:color w:val="auto"/>
                <w:sz w:val="24"/>
                <w:highlight w:val="none"/>
              </w:rPr>
              <w:t>m</w:t>
            </w:r>
            <w:r>
              <w:rPr>
                <w:color w:val="auto"/>
                <w:sz w:val="24"/>
                <w:highlight w:val="none"/>
                <w:vertAlign w:val="superscript"/>
              </w:rPr>
              <w:t>2</w:t>
            </w:r>
            <w:r>
              <w:rPr>
                <w:rFonts w:hint="eastAsia"/>
                <w:color w:val="auto"/>
                <w:sz w:val="24"/>
                <w:highlight w:val="none"/>
              </w:rPr>
              <w:t>；临时占地约</w:t>
            </w:r>
            <w:r>
              <w:rPr>
                <w:rFonts w:hint="eastAsia"/>
                <w:color w:val="auto"/>
                <w:sz w:val="24"/>
                <w:highlight w:val="none"/>
                <w:lang w:val="en-US" w:eastAsia="zh-CN"/>
              </w:rPr>
              <w:t>2025</w:t>
            </w:r>
            <w:r>
              <w:rPr>
                <w:color w:val="auto"/>
                <w:sz w:val="24"/>
                <w:highlight w:val="none"/>
              </w:rPr>
              <w:t>m</w:t>
            </w:r>
            <w:r>
              <w:rPr>
                <w:color w:val="auto"/>
                <w:sz w:val="24"/>
                <w:highlight w:val="none"/>
                <w:vertAlign w:val="superscript"/>
              </w:rPr>
              <w:t>2</w:t>
            </w:r>
            <w:r>
              <w:rPr>
                <w:rFonts w:hint="eastAsia"/>
                <w:color w:val="auto"/>
                <w:sz w:val="24"/>
                <w:highlight w:val="none"/>
              </w:rPr>
              <w:t>，包括牵张场占地约</w:t>
            </w:r>
            <w:r>
              <w:rPr>
                <w:rFonts w:hint="eastAsia"/>
                <w:color w:val="auto"/>
                <w:sz w:val="24"/>
                <w:highlight w:val="none"/>
                <w:lang w:val="en-US" w:eastAsia="zh-CN"/>
              </w:rPr>
              <w:t>1200</w:t>
            </w:r>
            <w:r>
              <w:rPr>
                <w:color w:val="auto"/>
                <w:sz w:val="24"/>
                <w:highlight w:val="none"/>
              </w:rPr>
              <w:t>m</w:t>
            </w:r>
            <w:r>
              <w:rPr>
                <w:color w:val="auto"/>
                <w:sz w:val="24"/>
                <w:highlight w:val="none"/>
                <w:vertAlign w:val="superscript"/>
              </w:rPr>
              <w:t>2</w:t>
            </w:r>
            <w:r>
              <w:rPr>
                <w:rFonts w:hint="eastAsia"/>
                <w:color w:val="auto"/>
                <w:sz w:val="24"/>
                <w:highlight w:val="none"/>
              </w:rPr>
              <w:t>，塔基施工临时占地约</w:t>
            </w:r>
            <w:r>
              <w:rPr>
                <w:rFonts w:hint="eastAsia"/>
                <w:color w:val="auto"/>
                <w:sz w:val="24"/>
                <w:highlight w:val="none"/>
                <w:lang w:val="en-US" w:eastAsia="zh-CN"/>
              </w:rPr>
              <w:t>850</w:t>
            </w:r>
            <w:r>
              <w:rPr>
                <w:color w:val="auto"/>
                <w:sz w:val="24"/>
                <w:highlight w:val="none"/>
              </w:rPr>
              <w:t>m</w:t>
            </w:r>
            <w:r>
              <w:rPr>
                <w:color w:val="auto"/>
                <w:sz w:val="24"/>
                <w:highlight w:val="none"/>
                <w:vertAlign w:val="superscript"/>
              </w:rPr>
              <w:t>2</w:t>
            </w:r>
            <w:r>
              <w:rPr>
                <w:rFonts w:hint="eastAsia"/>
                <w:color w:val="auto"/>
                <w:sz w:val="24"/>
                <w:highlight w:val="none"/>
              </w:rPr>
              <w:t>。</w:t>
            </w:r>
            <w:r>
              <w:rPr>
                <w:rFonts w:hint="eastAsia"/>
                <w:color w:val="auto"/>
                <w:sz w:val="24"/>
                <w:highlight w:val="none"/>
                <w:lang w:eastAsia="zh-CN"/>
              </w:rPr>
              <w:t>本工程不占用永久基本农田，</w:t>
            </w:r>
            <w:r>
              <w:rPr>
                <w:rFonts w:hint="eastAsia"/>
                <w:color w:val="auto"/>
                <w:sz w:val="24"/>
                <w:highlight w:val="none"/>
                <w:lang w:bidi="en-US"/>
              </w:rPr>
              <w:t>工程占地情况见</w:t>
            </w:r>
            <w:r>
              <w:rPr>
                <w:rFonts w:hint="eastAsia"/>
                <w:bCs/>
                <w:color w:val="auto"/>
                <w:sz w:val="24"/>
                <w:highlight w:val="none"/>
              </w:rPr>
              <w:t>表</w:t>
            </w:r>
            <w:r>
              <w:rPr>
                <w:bCs/>
                <w:color w:val="auto"/>
                <w:sz w:val="24"/>
                <w:highlight w:val="none"/>
              </w:rPr>
              <w:t>2-</w:t>
            </w:r>
            <w:r>
              <w:rPr>
                <w:rFonts w:hint="eastAsia"/>
                <w:bCs/>
                <w:color w:val="auto"/>
                <w:sz w:val="24"/>
                <w:highlight w:val="none"/>
                <w:lang w:val="en-US" w:eastAsia="zh-CN"/>
              </w:rPr>
              <w:t>7</w:t>
            </w:r>
            <w:r>
              <w:rPr>
                <w:rFonts w:hint="eastAsia"/>
                <w:bCs/>
                <w:color w:val="auto"/>
                <w:sz w:val="24"/>
                <w:highlight w:val="none"/>
              </w:rPr>
              <w:t>。</w:t>
            </w:r>
          </w:p>
          <w:p>
            <w:pPr>
              <w:jc w:val="center"/>
              <w:rPr>
                <w:b/>
                <w:bCs/>
                <w:color w:val="auto"/>
                <w:spacing w:val="-2"/>
                <w:kern w:val="0"/>
                <w:sz w:val="24"/>
                <w:highlight w:val="none"/>
              </w:rPr>
            </w:pPr>
            <w:bookmarkStart w:id="5" w:name="_Hlk102418701"/>
            <w:r>
              <w:rPr>
                <w:rFonts w:hint="eastAsia"/>
                <w:b/>
                <w:bCs/>
                <w:color w:val="auto"/>
                <w:spacing w:val="-2"/>
                <w:sz w:val="24"/>
                <w:highlight w:val="none"/>
              </w:rPr>
              <w:t>表</w:t>
            </w:r>
            <w:r>
              <w:rPr>
                <w:b/>
                <w:bCs/>
                <w:color w:val="auto"/>
                <w:spacing w:val="-2"/>
                <w:sz w:val="24"/>
                <w:highlight w:val="none"/>
              </w:rPr>
              <w:t>2-</w:t>
            </w:r>
            <w:r>
              <w:rPr>
                <w:rFonts w:hint="eastAsia"/>
                <w:b/>
                <w:bCs/>
                <w:color w:val="auto"/>
                <w:spacing w:val="-2"/>
                <w:sz w:val="24"/>
                <w:highlight w:val="none"/>
                <w:lang w:val="en-US" w:eastAsia="zh-CN"/>
              </w:rPr>
              <w:t>7</w:t>
            </w:r>
            <w:r>
              <w:rPr>
                <w:b/>
                <w:bCs/>
                <w:color w:val="auto"/>
                <w:spacing w:val="-2"/>
                <w:sz w:val="24"/>
                <w:highlight w:val="none"/>
              </w:rPr>
              <w:t xml:space="preserve">  </w:t>
            </w:r>
            <w:r>
              <w:rPr>
                <w:rFonts w:hint="eastAsia"/>
                <w:b/>
                <w:bCs/>
                <w:color w:val="auto"/>
                <w:spacing w:val="-2"/>
                <w:sz w:val="24"/>
                <w:highlight w:val="none"/>
              </w:rPr>
              <w:t>本项目占地土地类型情况</w:t>
            </w:r>
            <w:r>
              <w:rPr>
                <w:b/>
                <w:bCs/>
                <w:color w:val="auto"/>
                <w:spacing w:val="-2"/>
                <w:sz w:val="24"/>
                <w:highlight w:val="none"/>
              </w:rPr>
              <w:t xml:space="preserve">   </w:t>
            </w:r>
            <w:r>
              <w:rPr>
                <w:rFonts w:hint="eastAsia"/>
                <w:b/>
                <w:bCs/>
                <w:color w:val="auto"/>
                <w:spacing w:val="-2"/>
                <w:sz w:val="24"/>
                <w:highlight w:val="none"/>
              </w:rPr>
              <w:t>面积：</w:t>
            </w:r>
            <w:r>
              <w:rPr>
                <w:b/>
                <w:bCs/>
                <w:color w:val="auto"/>
                <w:spacing w:val="-2"/>
                <w:sz w:val="24"/>
                <w:highlight w:val="none"/>
              </w:rPr>
              <w:t>m</w:t>
            </w:r>
            <w:r>
              <w:rPr>
                <w:b/>
                <w:bCs/>
                <w:color w:val="auto"/>
                <w:spacing w:val="-2"/>
                <w:sz w:val="24"/>
                <w:highlight w:val="none"/>
                <w:vertAlign w:val="superscript"/>
              </w:rPr>
              <w:t>2</w:t>
            </w:r>
          </w:p>
          <w:tbl>
            <w:tblPr>
              <w:tblStyle w:val="28"/>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946"/>
              <w:gridCol w:w="1084"/>
              <w:gridCol w:w="791"/>
              <w:gridCol w:w="860"/>
              <w:gridCol w:w="824"/>
              <w:gridCol w:w="1401"/>
              <w:gridCol w:w="14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183" w:type="pct"/>
                  <w:gridSpan w:val="2"/>
                  <w:tcBorders>
                    <w:tl2br w:val="nil"/>
                    <w:tr2bl w:val="nil"/>
                  </w:tcBorders>
                  <w:noWrap/>
                  <w:vAlign w:val="center"/>
                </w:tcPr>
                <w:p>
                  <w:pPr>
                    <w:topLinePunct/>
                    <w:adjustRightInd w:val="0"/>
                    <w:snapToGrid w:val="0"/>
                    <w:jc w:val="center"/>
                    <w:rPr>
                      <w:color w:val="auto"/>
                      <w:szCs w:val="21"/>
                      <w:highlight w:val="none"/>
                    </w:rPr>
                  </w:pPr>
                  <w:r>
                    <w:rPr>
                      <w:rFonts w:hint="eastAsia"/>
                      <w:color w:val="auto"/>
                      <w:szCs w:val="21"/>
                      <w:highlight w:val="none"/>
                    </w:rPr>
                    <w:t>占地性质</w:t>
                  </w:r>
                </w:p>
              </w:tc>
              <w:tc>
                <w:tcPr>
                  <w:tcW w:w="643" w:type="pct"/>
                  <w:tcBorders>
                    <w:tl2br w:val="nil"/>
                    <w:tr2bl w:val="nil"/>
                  </w:tcBorders>
                  <w:noWrap/>
                  <w:vAlign w:val="center"/>
                </w:tcPr>
                <w:p>
                  <w:pPr>
                    <w:topLinePunct/>
                    <w:adjustRightInd w:val="0"/>
                    <w:snapToGrid w:val="0"/>
                    <w:jc w:val="center"/>
                    <w:rPr>
                      <w:color w:val="auto"/>
                      <w:szCs w:val="21"/>
                      <w:highlight w:val="none"/>
                    </w:rPr>
                  </w:pPr>
                  <w:r>
                    <w:rPr>
                      <w:rFonts w:hint="eastAsia"/>
                      <w:color w:val="auto"/>
                      <w:szCs w:val="21"/>
                      <w:highlight w:val="none"/>
                    </w:rPr>
                    <w:t>乔木林</w:t>
                  </w:r>
                </w:p>
              </w:tc>
              <w:tc>
                <w:tcPr>
                  <w:tcW w:w="469" w:type="pct"/>
                  <w:tcBorders>
                    <w:tl2br w:val="nil"/>
                    <w:tr2bl w:val="nil"/>
                  </w:tcBorders>
                  <w:noWrap/>
                  <w:vAlign w:val="center"/>
                </w:tcPr>
                <w:p>
                  <w:pPr>
                    <w:topLinePunct/>
                    <w:adjustRightInd w:val="0"/>
                    <w:snapToGrid w:val="0"/>
                    <w:jc w:val="center"/>
                    <w:rPr>
                      <w:color w:val="auto"/>
                      <w:szCs w:val="21"/>
                      <w:highlight w:val="none"/>
                    </w:rPr>
                  </w:pPr>
                  <w:r>
                    <w:rPr>
                      <w:rFonts w:hint="eastAsia"/>
                      <w:color w:val="auto"/>
                      <w:szCs w:val="21"/>
                      <w:highlight w:val="none"/>
                    </w:rPr>
                    <w:t>灌木林</w:t>
                  </w:r>
                </w:p>
              </w:tc>
              <w:tc>
                <w:tcPr>
                  <w:tcW w:w="510" w:type="pct"/>
                  <w:tcBorders>
                    <w:tl2br w:val="nil"/>
                    <w:tr2bl w:val="nil"/>
                  </w:tcBorders>
                  <w:noWrap/>
                  <w:vAlign w:val="center"/>
                </w:tcPr>
                <w:p>
                  <w:pPr>
                    <w:topLinePunct/>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水田</w:t>
                  </w:r>
                </w:p>
              </w:tc>
              <w:tc>
                <w:tcPr>
                  <w:tcW w:w="488" w:type="pct"/>
                  <w:tcBorders>
                    <w:tl2br w:val="nil"/>
                    <w:tr2bl w:val="nil"/>
                  </w:tcBorders>
                  <w:noWrap/>
                  <w:vAlign w:val="center"/>
                </w:tcPr>
                <w:p>
                  <w:pPr>
                    <w:topLinePunct/>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旱地</w:t>
                  </w:r>
                </w:p>
              </w:tc>
              <w:tc>
                <w:tcPr>
                  <w:tcW w:w="831" w:type="pct"/>
                  <w:tcBorders>
                    <w:tl2br w:val="nil"/>
                    <w:tr2bl w:val="nil"/>
                  </w:tcBorders>
                  <w:noWrap/>
                  <w:vAlign w:val="center"/>
                </w:tcPr>
                <w:p>
                  <w:pPr>
                    <w:topLinePunct/>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城镇村道路用地</w:t>
                  </w:r>
                </w:p>
              </w:tc>
              <w:tc>
                <w:tcPr>
                  <w:tcW w:w="873" w:type="pct"/>
                  <w:tcBorders>
                    <w:tl2br w:val="nil"/>
                    <w:tr2bl w:val="nil"/>
                  </w:tcBorders>
                  <w:noWrap/>
                  <w:vAlign w:val="center"/>
                </w:tcPr>
                <w:p>
                  <w:pPr>
                    <w:topLinePunct/>
                    <w:adjustRightInd w:val="0"/>
                    <w:snapToGrid w:val="0"/>
                    <w:jc w:val="center"/>
                    <w:rPr>
                      <w:color w:val="auto"/>
                      <w:szCs w:val="21"/>
                      <w:highlight w:val="none"/>
                    </w:rPr>
                  </w:pPr>
                  <w:r>
                    <w:rPr>
                      <w:rFonts w:hint="eastAsia"/>
                      <w:color w:val="auto"/>
                      <w:szCs w:val="21"/>
                      <w:highlight w:val="none"/>
                    </w:rPr>
                    <w:t>占地面积合计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622" w:type="pct"/>
                  <w:vMerge w:val="restart"/>
                  <w:tcBorders>
                    <w:tl2br w:val="nil"/>
                    <w:tr2bl w:val="nil"/>
                  </w:tcBorders>
                  <w:noWrap/>
                  <w:vAlign w:val="center"/>
                </w:tcPr>
                <w:p>
                  <w:pPr>
                    <w:topLinePunct/>
                    <w:adjustRightInd w:val="0"/>
                    <w:snapToGrid w:val="0"/>
                    <w:jc w:val="center"/>
                    <w:rPr>
                      <w:color w:val="auto"/>
                      <w:szCs w:val="21"/>
                      <w:highlight w:val="none"/>
                    </w:rPr>
                  </w:pPr>
                  <w:r>
                    <w:rPr>
                      <w:rFonts w:hint="eastAsia"/>
                      <w:color w:val="auto"/>
                      <w:szCs w:val="21"/>
                      <w:highlight w:val="none"/>
                    </w:rPr>
                    <w:t>永久占地</w:t>
                  </w:r>
                </w:p>
              </w:tc>
              <w:tc>
                <w:tcPr>
                  <w:tcW w:w="561" w:type="pct"/>
                  <w:tcBorders>
                    <w:tl2br w:val="nil"/>
                    <w:tr2bl w:val="nil"/>
                  </w:tcBorders>
                  <w:vAlign w:val="center"/>
                </w:tcPr>
                <w:p>
                  <w:pPr>
                    <w:topLinePunct/>
                    <w:adjustRightInd w:val="0"/>
                    <w:snapToGrid w:val="0"/>
                    <w:jc w:val="center"/>
                    <w:rPr>
                      <w:color w:val="auto"/>
                      <w:szCs w:val="21"/>
                      <w:highlight w:val="none"/>
                    </w:rPr>
                  </w:pPr>
                  <w:r>
                    <w:rPr>
                      <w:rFonts w:hint="eastAsia"/>
                      <w:color w:val="auto"/>
                      <w:szCs w:val="21"/>
                      <w:highlight w:val="none"/>
                    </w:rPr>
                    <w:t>变电站</w:t>
                  </w:r>
                </w:p>
              </w:tc>
              <w:tc>
                <w:tcPr>
                  <w:tcW w:w="643" w:type="pct"/>
                  <w:tcBorders>
                    <w:tl2br w:val="nil"/>
                    <w:tr2bl w:val="nil"/>
                  </w:tcBorders>
                  <w:noWrap/>
                  <w:vAlign w:val="center"/>
                </w:tcPr>
                <w:p>
                  <w:pPr>
                    <w:jc w:val="center"/>
                    <w:rPr>
                      <w:rFonts w:eastAsia="等线"/>
                      <w:color w:val="auto"/>
                      <w:szCs w:val="21"/>
                      <w:highlight w:val="none"/>
                    </w:rPr>
                  </w:pPr>
                  <w:r>
                    <w:rPr>
                      <w:rFonts w:eastAsia="等线"/>
                      <w:color w:val="auto"/>
                      <w:szCs w:val="21"/>
                      <w:highlight w:val="none"/>
                    </w:rPr>
                    <w:t>0</w:t>
                  </w:r>
                </w:p>
              </w:tc>
              <w:tc>
                <w:tcPr>
                  <w:tcW w:w="469" w:type="pct"/>
                  <w:tcBorders>
                    <w:tl2br w:val="nil"/>
                    <w:tr2bl w:val="nil"/>
                  </w:tcBorders>
                  <w:noWrap/>
                  <w:vAlign w:val="center"/>
                </w:tcPr>
                <w:p>
                  <w:pPr>
                    <w:jc w:val="center"/>
                    <w:rPr>
                      <w:rFonts w:eastAsia="等线"/>
                      <w:color w:val="auto"/>
                      <w:szCs w:val="21"/>
                      <w:highlight w:val="none"/>
                    </w:rPr>
                  </w:pPr>
                  <w:r>
                    <w:rPr>
                      <w:rFonts w:eastAsia="等线"/>
                      <w:color w:val="auto"/>
                      <w:szCs w:val="21"/>
                      <w:highlight w:val="none"/>
                    </w:rPr>
                    <w:t>0</w:t>
                  </w:r>
                </w:p>
              </w:tc>
              <w:tc>
                <w:tcPr>
                  <w:tcW w:w="510" w:type="pct"/>
                  <w:tcBorders>
                    <w:tl2br w:val="nil"/>
                    <w:tr2bl w:val="nil"/>
                  </w:tcBorders>
                  <w:noWrap/>
                  <w:vAlign w:val="center"/>
                </w:tcPr>
                <w:p>
                  <w:pPr>
                    <w:jc w:val="center"/>
                    <w:rPr>
                      <w:rFonts w:hint="default" w:eastAsia="等线"/>
                      <w:color w:val="auto"/>
                      <w:szCs w:val="21"/>
                      <w:highlight w:val="none"/>
                      <w:lang w:val="en-US" w:eastAsia="zh-CN"/>
                    </w:rPr>
                  </w:pPr>
                  <w:r>
                    <w:rPr>
                      <w:rFonts w:hint="eastAsia" w:eastAsia="等线"/>
                      <w:color w:val="auto"/>
                      <w:szCs w:val="21"/>
                      <w:highlight w:val="none"/>
                      <w:lang w:val="en-US" w:eastAsia="zh-CN"/>
                    </w:rPr>
                    <w:t>3600</w:t>
                  </w:r>
                </w:p>
              </w:tc>
              <w:tc>
                <w:tcPr>
                  <w:tcW w:w="488" w:type="pct"/>
                  <w:tcBorders>
                    <w:tl2br w:val="nil"/>
                    <w:tr2bl w:val="nil"/>
                  </w:tcBorders>
                  <w:noWrap/>
                  <w:vAlign w:val="center"/>
                </w:tcPr>
                <w:p>
                  <w:pPr>
                    <w:jc w:val="center"/>
                    <w:rPr>
                      <w:rFonts w:hint="default" w:eastAsia="等线"/>
                      <w:color w:val="auto"/>
                      <w:szCs w:val="21"/>
                      <w:highlight w:val="none"/>
                      <w:lang w:val="en-US" w:eastAsia="zh-CN"/>
                    </w:rPr>
                  </w:pPr>
                  <w:r>
                    <w:rPr>
                      <w:rFonts w:hint="eastAsia" w:eastAsia="等线"/>
                      <w:color w:val="auto"/>
                      <w:szCs w:val="21"/>
                      <w:highlight w:val="none"/>
                      <w:lang w:val="en-US" w:eastAsia="zh-CN"/>
                    </w:rPr>
                    <w:t>3225</w:t>
                  </w:r>
                </w:p>
              </w:tc>
              <w:tc>
                <w:tcPr>
                  <w:tcW w:w="831" w:type="pct"/>
                  <w:tcBorders>
                    <w:tl2br w:val="nil"/>
                    <w:tr2bl w:val="nil"/>
                  </w:tcBorders>
                  <w:noWrap/>
                  <w:vAlign w:val="center"/>
                </w:tcPr>
                <w:p>
                  <w:pPr>
                    <w:topLinePunct/>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200</w:t>
                  </w:r>
                </w:p>
              </w:tc>
              <w:tc>
                <w:tcPr>
                  <w:tcW w:w="873" w:type="pct"/>
                  <w:tcBorders>
                    <w:tl2br w:val="nil"/>
                    <w:tr2bl w:val="nil"/>
                  </w:tcBorders>
                  <w:noWrap/>
                  <w:vAlign w:val="center"/>
                </w:tcPr>
                <w:p>
                  <w:pPr>
                    <w:topLinePunct/>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7025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622" w:type="pct"/>
                  <w:vMerge w:val="continue"/>
                  <w:tcBorders>
                    <w:tl2br w:val="nil"/>
                    <w:tr2bl w:val="nil"/>
                  </w:tcBorders>
                  <w:vAlign w:val="center"/>
                </w:tcPr>
                <w:p>
                  <w:pPr>
                    <w:rPr>
                      <w:color w:val="auto"/>
                      <w:szCs w:val="21"/>
                      <w:highlight w:val="none"/>
                    </w:rPr>
                  </w:pPr>
                </w:p>
              </w:tc>
              <w:tc>
                <w:tcPr>
                  <w:tcW w:w="561" w:type="pct"/>
                  <w:tcBorders>
                    <w:tl2br w:val="nil"/>
                    <w:tr2bl w:val="nil"/>
                  </w:tcBorders>
                  <w:vAlign w:val="center"/>
                </w:tcPr>
                <w:p>
                  <w:pPr>
                    <w:topLinePunct/>
                    <w:adjustRightInd w:val="0"/>
                    <w:snapToGrid w:val="0"/>
                    <w:jc w:val="center"/>
                    <w:rPr>
                      <w:color w:val="auto"/>
                      <w:szCs w:val="21"/>
                      <w:highlight w:val="none"/>
                    </w:rPr>
                  </w:pPr>
                  <w:r>
                    <w:rPr>
                      <w:rFonts w:hint="eastAsia"/>
                      <w:color w:val="auto"/>
                      <w:szCs w:val="21"/>
                      <w:highlight w:val="none"/>
                    </w:rPr>
                    <w:t>塔基</w:t>
                  </w:r>
                </w:p>
              </w:tc>
              <w:tc>
                <w:tcPr>
                  <w:tcW w:w="643" w:type="pct"/>
                  <w:tcBorders>
                    <w:tl2br w:val="nil"/>
                    <w:tr2bl w:val="nil"/>
                  </w:tcBorders>
                  <w:noWrap/>
                  <w:vAlign w:val="center"/>
                </w:tcPr>
                <w:p>
                  <w:pPr>
                    <w:jc w:val="center"/>
                    <w:rPr>
                      <w:rFonts w:hint="eastAsia" w:eastAsia="等线"/>
                      <w:color w:val="auto"/>
                      <w:szCs w:val="21"/>
                      <w:highlight w:val="none"/>
                      <w:lang w:val="en-US" w:eastAsia="zh-CN"/>
                    </w:rPr>
                  </w:pPr>
                  <w:r>
                    <w:rPr>
                      <w:rFonts w:hint="eastAsia" w:eastAsia="等线"/>
                      <w:color w:val="auto"/>
                      <w:szCs w:val="21"/>
                      <w:highlight w:val="none"/>
                      <w:lang w:val="en-US" w:eastAsia="zh-CN"/>
                    </w:rPr>
                    <w:t>0</w:t>
                  </w:r>
                </w:p>
              </w:tc>
              <w:tc>
                <w:tcPr>
                  <w:tcW w:w="469" w:type="pct"/>
                  <w:tcBorders>
                    <w:tl2br w:val="nil"/>
                    <w:tr2bl w:val="nil"/>
                  </w:tcBorders>
                  <w:noWrap/>
                  <w:vAlign w:val="center"/>
                </w:tcPr>
                <w:p>
                  <w:pPr>
                    <w:jc w:val="center"/>
                    <w:rPr>
                      <w:rFonts w:hint="default" w:eastAsia="等线"/>
                      <w:color w:val="auto"/>
                      <w:szCs w:val="21"/>
                      <w:highlight w:val="none"/>
                      <w:lang w:val="en-US" w:eastAsia="zh-CN"/>
                    </w:rPr>
                  </w:pPr>
                  <w:r>
                    <w:rPr>
                      <w:rFonts w:hint="eastAsia" w:eastAsia="等线"/>
                      <w:color w:val="auto"/>
                      <w:szCs w:val="21"/>
                      <w:highlight w:val="none"/>
                      <w:lang w:val="en-US" w:eastAsia="zh-CN"/>
                    </w:rPr>
                    <w:t>470</w:t>
                  </w:r>
                </w:p>
              </w:tc>
              <w:tc>
                <w:tcPr>
                  <w:tcW w:w="510" w:type="pct"/>
                  <w:tcBorders>
                    <w:tl2br w:val="nil"/>
                    <w:tr2bl w:val="nil"/>
                  </w:tcBorders>
                  <w:noWrap/>
                  <w:vAlign w:val="center"/>
                </w:tcPr>
                <w:p>
                  <w:pPr>
                    <w:jc w:val="center"/>
                    <w:rPr>
                      <w:rFonts w:hint="default" w:eastAsia="等线"/>
                      <w:color w:val="auto"/>
                      <w:szCs w:val="21"/>
                      <w:highlight w:val="none"/>
                      <w:lang w:val="en-US" w:eastAsia="zh-CN"/>
                    </w:rPr>
                  </w:pPr>
                  <w:r>
                    <w:rPr>
                      <w:rFonts w:hint="eastAsia" w:eastAsia="等线"/>
                      <w:color w:val="auto"/>
                      <w:szCs w:val="21"/>
                      <w:highlight w:val="none"/>
                      <w:lang w:val="en-US" w:eastAsia="zh-CN"/>
                    </w:rPr>
                    <w:t>80</w:t>
                  </w:r>
                </w:p>
              </w:tc>
              <w:tc>
                <w:tcPr>
                  <w:tcW w:w="488" w:type="pct"/>
                  <w:tcBorders>
                    <w:tl2br w:val="nil"/>
                    <w:tr2bl w:val="nil"/>
                  </w:tcBorders>
                  <w:noWrap/>
                  <w:vAlign w:val="center"/>
                </w:tcPr>
                <w:p>
                  <w:pPr>
                    <w:jc w:val="center"/>
                    <w:rPr>
                      <w:rFonts w:hint="default" w:eastAsia="等线"/>
                      <w:color w:val="auto"/>
                      <w:szCs w:val="21"/>
                      <w:highlight w:val="none"/>
                      <w:lang w:val="en-US" w:eastAsia="zh-CN"/>
                    </w:rPr>
                  </w:pPr>
                  <w:r>
                    <w:rPr>
                      <w:rFonts w:hint="eastAsia" w:eastAsia="等线"/>
                      <w:color w:val="auto"/>
                      <w:szCs w:val="21"/>
                      <w:highlight w:val="none"/>
                      <w:lang w:val="en-US" w:eastAsia="zh-CN"/>
                    </w:rPr>
                    <w:t>300</w:t>
                  </w:r>
                </w:p>
              </w:tc>
              <w:tc>
                <w:tcPr>
                  <w:tcW w:w="831" w:type="pct"/>
                  <w:tcBorders>
                    <w:tl2br w:val="nil"/>
                    <w:tr2bl w:val="nil"/>
                  </w:tcBorders>
                  <w:noWrap/>
                  <w:vAlign w:val="center"/>
                </w:tcPr>
                <w:p>
                  <w:pPr>
                    <w:topLinePunct/>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w:t>
                  </w:r>
                </w:p>
              </w:tc>
              <w:tc>
                <w:tcPr>
                  <w:tcW w:w="873" w:type="pct"/>
                  <w:tcBorders>
                    <w:tl2br w:val="nil"/>
                    <w:tr2bl w:val="nil"/>
                  </w:tcBorders>
                  <w:noWrap/>
                  <w:vAlign w:val="center"/>
                </w:tcPr>
                <w:p>
                  <w:pPr>
                    <w:topLinePunct/>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850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622" w:type="pct"/>
                  <w:vMerge w:val="continue"/>
                  <w:tcBorders>
                    <w:tl2br w:val="nil"/>
                    <w:tr2bl w:val="nil"/>
                  </w:tcBorders>
                  <w:vAlign w:val="center"/>
                </w:tcPr>
                <w:p>
                  <w:pPr>
                    <w:rPr>
                      <w:color w:val="auto"/>
                      <w:szCs w:val="21"/>
                      <w:highlight w:val="none"/>
                    </w:rPr>
                  </w:pPr>
                </w:p>
              </w:tc>
              <w:tc>
                <w:tcPr>
                  <w:tcW w:w="3504" w:type="pct"/>
                  <w:gridSpan w:val="6"/>
                  <w:tcBorders>
                    <w:tl2br w:val="nil"/>
                    <w:tr2bl w:val="nil"/>
                  </w:tcBorders>
                  <w:vAlign w:val="center"/>
                </w:tcPr>
                <w:p>
                  <w:pPr>
                    <w:topLinePunct/>
                    <w:adjustRightInd w:val="0"/>
                    <w:snapToGrid w:val="0"/>
                    <w:jc w:val="center"/>
                    <w:rPr>
                      <w:rFonts w:hint="eastAsia"/>
                      <w:color w:val="auto"/>
                      <w:szCs w:val="21"/>
                      <w:highlight w:val="none"/>
                      <w:lang w:val="en-US" w:eastAsia="zh-CN"/>
                    </w:rPr>
                  </w:pPr>
                  <w:r>
                    <w:rPr>
                      <w:rFonts w:hint="eastAsia"/>
                      <w:color w:val="auto"/>
                      <w:szCs w:val="21"/>
                      <w:highlight w:val="none"/>
                    </w:rPr>
                    <w:t>小计</w:t>
                  </w:r>
                </w:p>
              </w:tc>
              <w:tc>
                <w:tcPr>
                  <w:tcW w:w="873" w:type="pct"/>
                  <w:tcBorders>
                    <w:tl2br w:val="nil"/>
                    <w:tr2bl w:val="nil"/>
                  </w:tcBorders>
                  <w:noWrap/>
                  <w:vAlign w:val="center"/>
                </w:tcPr>
                <w:p>
                  <w:pPr>
                    <w:topLinePunct/>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7875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622" w:type="pct"/>
                  <w:vMerge w:val="restart"/>
                  <w:tcBorders>
                    <w:tl2br w:val="nil"/>
                    <w:tr2bl w:val="nil"/>
                  </w:tcBorders>
                  <w:noWrap/>
                  <w:vAlign w:val="center"/>
                </w:tcPr>
                <w:p>
                  <w:pPr>
                    <w:topLinePunct/>
                    <w:adjustRightInd w:val="0"/>
                    <w:snapToGrid w:val="0"/>
                    <w:jc w:val="center"/>
                    <w:rPr>
                      <w:color w:val="auto"/>
                      <w:szCs w:val="21"/>
                      <w:highlight w:val="none"/>
                    </w:rPr>
                  </w:pPr>
                  <w:r>
                    <w:rPr>
                      <w:rFonts w:hint="eastAsia"/>
                      <w:color w:val="auto"/>
                      <w:szCs w:val="21"/>
                      <w:highlight w:val="none"/>
                    </w:rPr>
                    <w:t>临时占地</w:t>
                  </w:r>
                </w:p>
              </w:tc>
              <w:tc>
                <w:tcPr>
                  <w:tcW w:w="561" w:type="pct"/>
                  <w:tcBorders>
                    <w:tl2br w:val="nil"/>
                    <w:tr2bl w:val="nil"/>
                  </w:tcBorders>
                  <w:vAlign w:val="center"/>
                </w:tcPr>
                <w:p>
                  <w:pPr>
                    <w:topLinePunct/>
                    <w:adjustRightInd w:val="0"/>
                    <w:snapToGrid w:val="0"/>
                    <w:jc w:val="center"/>
                    <w:rPr>
                      <w:color w:val="auto"/>
                      <w:szCs w:val="21"/>
                      <w:highlight w:val="none"/>
                    </w:rPr>
                  </w:pPr>
                  <w:r>
                    <w:rPr>
                      <w:rFonts w:hint="eastAsia"/>
                      <w:color w:val="auto"/>
                      <w:szCs w:val="21"/>
                      <w:highlight w:val="none"/>
                    </w:rPr>
                    <w:t>牵张场</w:t>
                  </w:r>
                </w:p>
              </w:tc>
              <w:tc>
                <w:tcPr>
                  <w:tcW w:w="643" w:type="pct"/>
                  <w:tcBorders>
                    <w:tl2br w:val="nil"/>
                    <w:tr2bl w:val="nil"/>
                  </w:tcBorders>
                  <w:noWrap/>
                  <w:vAlign w:val="center"/>
                </w:tcPr>
                <w:p>
                  <w:pPr>
                    <w:jc w:val="center"/>
                    <w:rPr>
                      <w:rFonts w:eastAsia="等线"/>
                      <w:color w:val="auto"/>
                      <w:szCs w:val="21"/>
                      <w:highlight w:val="none"/>
                    </w:rPr>
                  </w:pPr>
                  <w:r>
                    <w:rPr>
                      <w:rFonts w:eastAsia="等线"/>
                      <w:color w:val="auto"/>
                      <w:szCs w:val="21"/>
                      <w:highlight w:val="none"/>
                    </w:rPr>
                    <w:t>0</w:t>
                  </w:r>
                </w:p>
              </w:tc>
              <w:tc>
                <w:tcPr>
                  <w:tcW w:w="469" w:type="pct"/>
                  <w:tcBorders>
                    <w:tl2br w:val="nil"/>
                    <w:tr2bl w:val="nil"/>
                  </w:tcBorders>
                  <w:noWrap/>
                  <w:vAlign w:val="center"/>
                </w:tcPr>
                <w:p>
                  <w:pPr>
                    <w:jc w:val="center"/>
                    <w:rPr>
                      <w:rFonts w:hint="default" w:eastAsia="等线"/>
                      <w:color w:val="auto"/>
                      <w:szCs w:val="21"/>
                      <w:highlight w:val="none"/>
                      <w:lang w:val="en-US" w:eastAsia="zh-CN"/>
                    </w:rPr>
                  </w:pPr>
                  <w:r>
                    <w:rPr>
                      <w:rFonts w:hint="eastAsia" w:eastAsia="等线"/>
                      <w:color w:val="auto"/>
                      <w:szCs w:val="21"/>
                      <w:highlight w:val="none"/>
                      <w:lang w:val="en-US" w:eastAsia="zh-CN"/>
                    </w:rPr>
                    <w:t>800</w:t>
                  </w:r>
                </w:p>
              </w:tc>
              <w:tc>
                <w:tcPr>
                  <w:tcW w:w="510" w:type="pct"/>
                  <w:tcBorders>
                    <w:tl2br w:val="nil"/>
                    <w:tr2bl w:val="nil"/>
                  </w:tcBorders>
                  <w:noWrap/>
                  <w:vAlign w:val="center"/>
                </w:tcPr>
                <w:p>
                  <w:pPr>
                    <w:jc w:val="center"/>
                    <w:rPr>
                      <w:rFonts w:eastAsia="等线"/>
                      <w:color w:val="auto"/>
                      <w:szCs w:val="21"/>
                      <w:highlight w:val="none"/>
                    </w:rPr>
                  </w:pPr>
                  <w:r>
                    <w:rPr>
                      <w:rFonts w:eastAsia="等线"/>
                      <w:color w:val="auto"/>
                      <w:szCs w:val="21"/>
                      <w:highlight w:val="none"/>
                    </w:rPr>
                    <w:t>200</w:t>
                  </w:r>
                </w:p>
              </w:tc>
              <w:tc>
                <w:tcPr>
                  <w:tcW w:w="488" w:type="pct"/>
                  <w:tcBorders>
                    <w:tl2br w:val="nil"/>
                    <w:tr2bl w:val="nil"/>
                  </w:tcBorders>
                  <w:noWrap/>
                  <w:vAlign w:val="center"/>
                </w:tcPr>
                <w:p>
                  <w:pPr>
                    <w:jc w:val="center"/>
                    <w:rPr>
                      <w:rFonts w:eastAsia="等线"/>
                      <w:color w:val="auto"/>
                      <w:szCs w:val="21"/>
                      <w:highlight w:val="none"/>
                    </w:rPr>
                  </w:pPr>
                  <w:r>
                    <w:rPr>
                      <w:rFonts w:hint="eastAsia" w:eastAsia="等线"/>
                      <w:color w:val="auto"/>
                      <w:szCs w:val="21"/>
                      <w:highlight w:val="none"/>
                      <w:lang w:val="en-US" w:eastAsia="zh-CN"/>
                    </w:rPr>
                    <w:t>2</w:t>
                  </w:r>
                  <w:r>
                    <w:rPr>
                      <w:rFonts w:eastAsia="等线"/>
                      <w:color w:val="auto"/>
                      <w:szCs w:val="21"/>
                      <w:highlight w:val="none"/>
                    </w:rPr>
                    <w:t>00</w:t>
                  </w:r>
                </w:p>
              </w:tc>
              <w:tc>
                <w:tcPr>
                  <w:tcW w:w="831" w:type="pct"/>
                  <w:tcBorders>
                    <w:tl2br w:val="nil"/>
                    <w:tr2bl w:val="nil"/>
                  </w:tcBorders>
                  <w:noWrap/>
                  <w:vAlign w:val="center"/>
                </w:tcPr>
                <w:p>
                  <w:pPr>
                    <w:topLinePunct/>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w:t>
                  </w:r>
                </w:p>
              </w:tc>
              <w:tc>
                <w:tcPr>
                  <w:tcW w:w="873" w:type="pct"/>
                  <w:tcBorders>
                    <w:tl2br w:val="nil"/>
                    <w:tr2bl w:val="nil"/>
                  </w:tcBorders>
                  <w:noWrap/>
                  <w:vAlign w:val="center"/>
                </w:tcPr>
                <w:p>
                  <w:pPr>
                    <w:topLinePunct/>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622" w:type="pct"/>
                  <w:vMerge w:val="continue"/>
                  <w:tcBorders>
                    <w:tl2br w:val="nil"/>
                    <w:tr2bl w:val="nil"/>
                  </w:tcBorders>
                  <w:vAlign w:val="center"/>
                </w:tcPr>
                <w:p>
                  <w:pPr>
                    <w:rPr>
                      <w:color w:val="auto"/>
                      <w:szCs w:val="21"/>
                      <w:highlight w:val="none"/>
                    </w:rPr>
                  </w:pPr>
                </w:p>
              </w:tc>
              <w:tc>
                <w:tcPr>
                  <w:tcW w:w="561" w:type="pct"/>
                  <w:tcBorders>
                    <w:tl2br w:val="nil"/>
                    <w:tr2bl w:val="nil"/>
                  </w:tcBorders>
                  <w:vAlign w:val="center"/>
                </w:tcPr>
                <w:p>
                  <w:pPr>
                    <w:topLinePunct/>
                    <w:adjustRightInd w:val="0"/>
                    <w:snapToGrid w:val="0"/>
                    <w:jc w:val="center"/>
                    <w:rPr>
                      <w:color w:val="auto"/>
                      <w:szCs w:val="21"/>
                      <w:highlight w:val="none"/>
                    </w:rPr>
                  </w:pPr>
                  <w:r>
                    <w:rPr>
                      <w:rFonts w:hint="eastAsia"/>
                      <w:color w:val="auto"/>
                      <w:szCs w:val="21"/>
                      <w:highlight w:val="none"/>
                    </w:rPr>
                    <w:t>塔基施工</w:t>
                  </w:r>
                </w:p>
              </w:tc>
              <w:tc>
                <w:tcPr>
                  <w:tcW w:w="643" w:type="pct"/>
                  <w:tcBorders>
                    <w:tl2br w:val="nil"/>
                    <w:tr2bl w:val="nil"/>
                  </w:tcBorders>
                  <w:noWrap/>
                  <w:vAlign w:val="center"/>
                </w:tcPr>
                <w:p>
                  <w:pPr>
                    <w:jc w:val="center"/>
                    <w:rPr>
                      <w:rFonts w:hint="eastAsia" w:eastAsia="等线"/>
                      <w:color w:val="auto"/>
                      <w:szCs w:val="21"/>
                      <w:highlight w:val="none"/>
                      <w:lang w:val="en-US" w:eastAsia="zh-CN"/>
                    </w:rPr>
                  </w:pPr>
                  <w:r>
                    <w:rPr>
                      <w:rFonts w:hint="eastAsia" w:eastAsia="等线"/>
                      <w:color w:val="auto"/>
                      <w:szCs w:val="21"/>
                      <w:highlight w:val="none"/>
                      <w:lang w:val="en-US" w:eastAsia="zh-CN"/>
                    </w:rPr>
                    <w:t>0</w:t>
                  </w:r>
                </w:p>
              </w:tc>
              <w:tc>
                <w:tcPr>
                  <w:tcW w:w="469" w:type="pct"/>
                  <w:tcBorders>
                    <w:tl2br w:val="nil"/>
                    <w:tr2bl w:val="nil"/>
                  </w:tcBorders>
                  <w:noWrap/>
                  <w:vAlign w:val="center"/>
                </w:tcPr>
                <w:p>
                  <w:pPr>
                    <w:jc w:val="center"/>
                    <w:rPr>
                      <w:rFonts w:hint="default" w:eastAsia="等线"/>
                      <w:color w:val="auto"/>
                      <w:szCs w:val="21"/>
                      <w:highlight w:val="none"/>
                      <w:lang w:val="en-US" w:eastAsia="zh-CN"/>
                    </w:rPr>
                  </w:pPr>
                  <w:r>
                    <w:rPr>
                      <w:rFonts w:hint="eastAsia" w:eastAsia="等线"/>
                      <w:color w:val="auto"/>
                      <w:szCs w:val="21"/>
                      <w:highlight w:val="none"/>
                      <w:lang w:val="en-US" w:eastAsia="zh-CN"/>
                    </w:rPr>
                    <w:t>550</w:t>
                  </w:r>
                </w:p>
              </w:tc>
              <w:tc>
                <w:tcPr>
                  <w:tcW w:w="510" w:type="pct"/>
                  <w:tcBorders>
                    <w:tl2br w:val="nil"/>
                    <w:tr2bl w:val="nil"/>
                  </w:tcBorders>
                  <w:noWrap/>
                  <w:vAlign w:val="center"/>
                </w:tcPr>
                <w:p>
                  <w:pPr>
                    <w:jc w:val="center"/>
                    <w:rPr>
                      <w:rFonts w:hint="default" w:eastAsia="等线"/>
                      <w:color w:val="auto"/>
                      <w:szCs w:val="21"/>
                      <w:highlight w:val="none"/>
                      <w:lang w:val="en-US" w:eastAsia="zh-CN"/>
                    </w:rPr>
                  </w:pPr>
                  <w:r>
                    <w:rPr>
                      <w:rFonts w:hint="eastAsia" w:eastAsia="等线"/>
                      <w:color w:val="auto"/>
                      <w:szCs w:val="21"/>
                      <w:highlight w:val="none"/>
                      <w:lang w:val="en-US" w:eastAsia="zh-CN"/>
                    </w:rPr>
                    <w:t>150</w:t>
                  </w:r>
                </w:p>
              </w:tc>
              <w:tc>
                <w:tcPr>
                  <w:tcW w:w="488" w:type="pct"/>
                  <w:tcBorders>
                    <w:tl2br w:val="nil"/>
                    <w:tr2bl w:val="nil"/>
                  </w:tcBorders>
                  <w:noWrap/>
                  <w:vAlign w:val="center"/>
                </w:tcPr>
                <w:p>
                  <w:pPr>
                    <w:jc w:val="center"/>
                    <w:rPr>
                      <w:rFonts w:hint="default" w:eastAsia="等线"/>
                      <w:color w:val="auto"/>
                      <w:szCs w:val="21"/>
                      <w:highlight w:val="none"/>
                      <w:lang w:val="en-US" w:eastAsia="zh-CN"/>
                    </w:rPr>
                  </w:pPr>
                  <w:r>
                    <w:rPr>
                      <w:rFonts w:hint="eastAsia" w:eastAsia="等线"/>
                      <w:color w:val="auto"/>
                      <w:szCs w:val="21"/>
                      <w:highlight w:val="none"/>
                      <w:lang w:val="en-US" w:eastAsia="zh-CN"/>
                    </w:rPr>
                    <w:t>150</w:t>
                  </w:r>
                </w:p>
              </w:tc>
              <w:tc>
                <w:tcPr>
                  <w:tcW w:w="831" w:type="pct"/>
                  <w:tcBorders>
                    <w:tl2br w:val="nil"/>
                    <w:tr2bl w:val="nil"/>
                  </w:tcBorders>
                  <w:noWrap/>
                  <w:vAlign w:val="center"/>
                </w:tcPr>
                <w:p>
                  <w:pPr>
                    <w:topLinePunct/>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w:t>
                  </w:r>
                </w:p>
              </w:tc>
              <w:tc>
                <w:tcPr>
                  <w:tcW w:w="873" w:type="pct"/>
                  <w:tcBorders>
                    <w:tl2br w:val="nil"/>
                    <w:tr2bl w:val="nil"/>
                  </w:tcBorders>
                  <w:noWrap/>
                  <w:vAlign w:val="center"/>
                </w:tcPr>
                <w:p>
                  <w:pPr>
                    <w:topLinePunct/>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850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622" w:type="pct"/>
                  <w:vMerge w:val="continue"/>
                  <w:tcBorders>
                    <w:tl2br w:val="nil"/>
                    <w:tr2bl w:val="nil"/>
                  </w:tcBorders>
                  <w:vAlign w:val="center"/>
                </w:tcPr>
                <w:p>
                  <w:pPr>
                    <w:rPr>
                      <w:color w:val="auto"/>
                      <w:szCs w:val="21"/>
                      <w:highlight w:val="none"/>
                    </w:rPr>
                  </w:pPr>
                </w:p>
              </w:tc>
              <w:tc>
                <w:tcPr>
                  <w:tcW w:w="3504" w:type="pct"/>
                  <w:gridSpan w:val="6"/>
                  <w:tcBorders>
                    <w:tl2br w:val="nil"/>
                    <w:tr2bl w:val="nil"/>
                  </w:tcBorders>
                  <w:vAlign w:val="center"/>
                </w:tcPr>
                <w:p>
                  <w:pPr>
                    <w:topLinePunct/>
                    <w:adjustRightInd w:val="0"/>
                    <w:snapToGrid w:val="0"/>
                    <w:jc w:val="center"/>
                    <w:rPr>
                      <w:rFonts w:hint="eastAsia"/>
                      <w:color w:val="auto"/>
                      <w:szCs w:val="21"/>
                      <w:highlight w:val="none"/>
                      <w:lang w:val="en-US" w:eastAsia="zh-CN"/>
                    </w:rPr>
                  </w:pPr>
                  <w:r>
                    <w:rPr>
                      <w:rFonts w:hint="eastAsia"/>
                      <w:color w:val="auto"/>
                      <w:szCs w:val="21"/>
                      <w:highlight w:val="none"/>
                    </w:rPr>
                    <w:t>小计</w:t>
                  </w:r>
                </w:p>
              </w:tc>
              <w:tc>
                <w:tcPr>
                  <w:tcW w:w="873" w:type="pct"/>
                  <w:tcBorders>
                    <w:tl2br w:val="nil"/>
                    <w:tr2bl w:val="nil"/>
                  </w:tcBorders>
                  <w:noWrap/>
                  <w:vAlign w:val="center"/>
                </w:tcPr>
                <w:p>
                  <w:pPr>
                    <w:topLinePunct/>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4126" w:type="pct"/>
                  <w:gridSpan w:val="7"/>
                  <w:tcBorders>
                    <w:tl2br w:val="nil"/>
                    <w:tr2bl w:val="nil"/>
                  </w:tcBorders>
                  <w:noWrap/>
                  <w:vAlign w:val="center"/>
                </w:tcPr>
                <w:p>
                  <w:pPr>
                    <w:topLinePunct/>
                    <w:adjustRightInd w:val="0"/>
                    <w:snapToGrid w:val="0"/>
                    <w:jc w:val="center"/>
                    <w:rPr>
                      <w:rFonts w:hint="eastAsia"/>
                      <w:color w:val="auto"/>
                      <w:szCs w:val="21"/>
                      <w:highlight w:val="none"/>
                      <w:lang w:val="en-US" w:eastAsia="zh-CN"/>
                    </w:rPr>
                  </w:pPr>
                  <w:r>
                    <w:rPr>
                      <w:rFonts w:hint="eastAsia"/>
                      <w:color w:val="auto"/>
                      <w:szCs w:val="21"/>
                      <w:highlight w:val="none"/>
                    </w:rPr>
                    <w:t>合计</w:t>
                  </w:r>
                </w:p>
              </w:tc>
              <w:tc>
                <w:tcPr>
                  <w:tcW w:w="873" w:type="pct"/>
                  <w:tcBorders>
                    <w:tl2br w:val="nil"/>
                    <w:tr2bl w:val="nil"/>
                  </w:tcBorders>
                  <w:noWrap/>
                  <w:vAlign w:val="center"/>
                </w:tcPr>
                <w:p>
                  <w:pPr>
                    <w:topLinePunct/>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9925</w:t>
                  </w:r>
                </w:p>
              </w:tc>
            </w:tr>
            <w:bookmarkEnd w:id="5"/>
          </w:tbl>
          <w:p>
            <w:pPr>
              <w:adjustRightInd w:val="0"/>
              <w:snapToGrid w:val="0"/>
              <w:spacing w:line="360" w:lineRule="auto"/>
              <w:jc w:val="left"/>
              <w:rPr>
                <w:rFonts w:cs="宋体"/>
                <w:b/>
                <w:bCs/>
                <w:color w:val="auto"/>
                <w:kern w:val="0"/>
                <w:sz w:val="24"/>
                <w:highlight w:val="none"/>
              </w:rPr>
            </w:pPr>
            <w:r>
              <w:rPr>
                <w:rFonts w:hint="eastAsia" w:cs="宋体"/>
                <w:b/>
                <w:bCs/>
                <w:color w:val="auto"/>
                <w:kern w:val="0"/>
                <w:sz w:val="24"/>
                <w:highlight w:val="none"/>
              </w:rPr>
              <w:t>2.</w:t>
            </w:r>
            <w:r>
              <w:rPr>
                <w:rFonts w:hint="eastAsia" w:cs="宋体"/>
                <w:b/>
                <w:bCs/>
                <w:color w:val="auto"/>
                <w:kern w:val="0"/>
                <w:sz w:val="24"/>
                <w:highlight w:val="none"/>
                <w:lang w:val="en-US" w:eastAsia="zh-CN"/>
              </w:rPr>
              <w:t>12</w:t>
            </w:r>
            <w:r>
              <w:rPr>
                <w:rFonts w:cs="宋体"/>
                <w:b/>
                <w:bCs/>
                <w:color w:val="auto"/>
                <w:kern w:val="0"/>
                <w:sz w:val="24"/>
                <w:highlight w:val="none"/>
              </w:rPr>
              <w:t xml:space="preserve"> </w:t>
            </w:r>
            <w:r>
              <w:rPr>
                <w:rFonts w:hint="eastAsia" w:cs="宋体"/>
                <w:b/>
                <w:bCs/>
                <w:color w:val="auto"/>
                <w:kern w:val="0"/>
                <w:sz w:val="24"/>
                <w:highlight w:val="none"/>
              </w:rPr>
              <w:t>施工布置</w:t>
            </w:r>
          </w:p>
          <w:p>
            <w:pPr>
              <w:adjustRightInd w:val="0"/>
              <w:snapToGrid w:val="0"/>
              <w:spacing w:line="360" w:lineRule="auto"/>
              <w:ind w:firstLine="482" w:firstLineChars="200"/>
              <w:rPr>
                <w:b/>
                <w:bCs/>
                <w:color w:val="auto"/>
                <w:sz w:val="24"/>
                <w:highlight w:val="none"/>
              </w:rPr>
            </w:pPr>
            <w:r>
              <w:rPr>
                <w:b/>
                <w:color w:val="auto"/>
                <w:sz w:val="24"/>
                <w:highlight w:val="none"/>
              </w:rPr>
              <w:t>1</w:t>
            </w:r>
            <w:r>
              <w:rPr>
                <w:rFonts w:hint="eastAsia"/>
                <w:b/>
                <w:color w:val="auto"/>
                <w:sz w:val="24"/>
                <w:highlight w:val="none"/>
              </w:rPr>
              <w:t>）</w:t>
            </w:r>
            <w:r>
              <w:rPr>
                <w:rFonts w:hint="eastAsia"/>
                <w:b/>
                <w:bCs/>
                <w:color w:val="auto"/>
                <w:sz w:val="24"/>
                <w:highlight w:val="none"/>
              </w:rPr>
              <w:t>施工营地布置</w:t>
            </w:r>
          </w:p>
          <w:p>
            <w:pPr>
              <w:adjustRightInd w:val="0"/>
              <w:snapToGrid w:val="0"/>
              <w:spacing w:line="360" w:lineRule="auto"/>
              <w:ind w:firstLine="480" w:firstLineChars="200"/>
              <w:rPr>
                <w:snapToGrid w:val="0"/>
                <w:color w:val="auto"/>
                <w:kern w:val="0"/>
                <w:sz w:val="24"/>
                <w:highlight w:val="none"/>
              </w:rPr>
            </w:pPr>
            <w:r>
              <w:rPr>
                <w:rFonts w:hint="eastAsia"/>
                <w:color w:val="auto"/>
                <w:sz w:val="24"/>
                <w:highlight w:val="none"/>
              </w:rPr>
              <w:t>项目租用现有房屋作为施工营地，拟在拟建变电站附近设置1个项目部，租赁现有民房用于施工管理人员办公。</w:t>
            </w:r>
            <w:r>
              <w:rPr>
                <w:rFonts w:hint="eastAsia"/>
                <w:snapToGrid w:val="0"/>
                <w:color w:val="auto"/>
                <w:kern w:val="0"/>
                <w:sz w:val="24"/>
                <w:highlight w:val="none"/>
              </w:rPr>
              <w:t>本项目变电站工程量不大，且线路施工呈点状分布，单个塔基施工期短，土石方施工基本由当地民工承担，专业施工人员较少。施工人员均租用附近民房，不另设集中营地住宿。</w:t>
            </w:r>
          </w:p>
          <w:p>
            <w:pPr>
              <w:adjustRightInd w:val="0"/>
              <w:snapToGrid w:val="0"/>
              <w:spacing w:line="360" w:lineRule="auto"/>
              <w:ind w:firstLine="482" w:firstLineChars="200"/>
              <w:rPr>
                <w:b/>
                <w:color w:val="auto"/>
                <w:sz w:val="24"/>
                <w:highlight w:val="none"/>
              </w:rPr>
            </w:pPr>
            <w:r>
              <w:rPr>
                <w:b/>
                <w:color w:val="auto"/>
                <w:sz w:val="24"/>
                <w:highlight w:val="none"/>
              </w:rPr>
              <w:t>2</w:t>
            </w:r>
            <w:r>
              <w:rPr>
                <w:rFonts w:hint="eastAsia"/>
                <w:b/>
                <w:color w:val="auto"/>
                <w:sz w:val="24"/>
                <w:highlight w:val="none"/>
              </w:rPr>
              <w:t>）材料站设置</w:t>
            </w:r>
          </w:p>
          <w:p>
            <w:pPr>
              <w:adjustRightInd w:val="0"/>
              <w:snapToGrid w:val="0"/>
              <w:spacing w:line="360" w:lineRule="auto"/>
              <w:ind w:firstLine="480" w:firstLineChars="200"/>
              <w:rPr>
                <w:color w:val="auto"/>
                <w:sz w:val="24"/>
                <w:highlight w:val="none"/>
              </w:rPr>
            </w:pPr>
            <w:r>
              <w:rPr>
                <w:rFonts w:hint="eastAsia"/>
                <w:color w:val="auto"/>
                <w:sz w:val="24"/>
                <w:highlight w:val="none"/>
              </w:rPr>
              <w:t>工程所用砂、石料均可在当地购买，本工程根据公路交通情况，拟在拟建变电站附近及沿线设置</w:t>
            </w:r>
            <w:r>
              <w:rPr>
                <w:rFonts w:hint="eastAsia"/>
                <w:color w:val="auto"/>
                <w:sz w:val="24"/>
                <w:highlight w:val="none"/>
                <w:lang w:val="en-US" w:eastAsia="zh-CN"/>
              </w:rPr>
              <w:t>2</w:t>
            </w:r>
            <w:r>
              <w:rPr>
                <w:rFonts w:hint="eastAsia"/>
                <w:color w:val="auto"/>
                <w:sz w:val="24"/>
                <w:highlight w:val="none"/>
              </w:rPr>
              <w:t>个现场材料仓库，租赁居民院坝为主</w:t>
            </w:r>
            <w:r>
              <w:rPr>
                <w:rFonts w:hint="eastAsia"/>
                <w:color w:val="auto"/>
                <w:sz w:val="24"/>
                <w:highlight w:val="none"/>
                <w:lang w:eastAsia="zh-CN"/>
              </w:rPr>
              <w:t>，</w:t>
            </w:r>
            <w:r>
              <w:rPr>
                <w:rFonts w:hint="eastAsia"/>
                <w:color w:val="auto"/>
                <w:sz w:val="24"/>
                <w:highlight w:val="none"/>
              </w:rPr>
              <w:t>主要是堆放铁塔、导线、钢筋等。变电站建设所需材料堆场设置于变电站红线范围内。</w:t>
            </w:r>
          </w:p>
          <w:p>
            <w:pPr>
              <w:autoSpaceDE w:val="0"/>
              <w:autoSpaceDN w:val="0"/>
              <w:adjustRightInd w:val="0"/>
              <w:snapToGrid w:val="0"/>
              <w:spacing w:line="360" w:lineRule="auto"/>
              <w:ind w:firstLine="482" w:firstLineChars="200"/>
              <w:jc w:val="left"/>
              <w:rPr>
                <w:b/>
                <w:bCs/>
                <w:color w:val="auto"/>
                <w:kern w:val="0"/>
                <w:sz w:val="24"/>
                <w:highlight w:val="none"/>
              </w:rPr>
            </w:pPr>
            <w:r>
              <w:rPr>
                <w:b/>
                <w:bCs/>
                <w:color w:val="auto"/>
                <w:kern w:val="0"/>
                <w:sz w:val="24"/>
                <w:highlight w:val="none"/>
              </w:rPr>
              <w:t>3</w:t>
            </w:r>
            <w:r>
              <w:rPr>
                <w:rFonts w:hint="eastAsia"/>
                <w:b/>
                <w:bCs/>
                <w:color w:val="auto"/>
                <w:kern w:val="0"/>
                <w:sz w:val="24"/>
                <w:highlight w:val="none"/>
              </w:rPr>
              <w:t>）施工便道（人抬道路、机械运输道路）</w:t>
            </w:r>
          </w:p>
          <w:p>
            <w:pPr>
              <w:autoSpaceDE w:val="0"/>
              <w:autoSpaceDN w:val="0"/>
              <w:adjustRightInd w:val="0"/>
              <w:spacing w:line="360" w:lineRule="auto"/>
              <w:ind w:firstLine="480" w:firstLineChars="200"/>
              <w:jc w:val="left"/>
              <w:rPr>
                <w:color w:val="auto"/>
                <w:kern w:val="0"/>
                <w:sz w:val="24"/>
                <w:szCs w:val="24"/>
                <w:highlight w:val="none"/>
              </w:rPr>
            </w:pPr>
            <w:r>
              <w:rPr>
                <w:rFonts w:hint="eastAsia"/>
                <w:color w:val="auto"/>
                <w:sz w:val="24"/>
                <w:highlight w:val="none"/>
              </w:rPr>
              <w:t>线路的施工便道一般是对不满足施工车辆进出要求的部分路段进行局部修缮或者新开辟部分用于人抬或者马驮的施工道路。</w:t>
            </w:r>
            <w:r>
              <w:rPr>
                <w:rFonts w:hint="eastAsia"/>
                <w:color w:val="auto"/>
                <w:kern w:val="0"/>
                <w:sz w:val="24"/>
                <w:highlight w:val="none"/>
              </w:rPr>
              <w:t>本工程建设当中，建筑材料、塔基材料等需要往施工场地运输，项目外部运输条件较好，施工场地、牵张场均位于交通较为方便的平地上，附近乡村道路和机耕道路较多，可以基本满足施工需求，不再新建车辆</w:t>
            </w:r>
            <w:r>
              <w:rPr>
                <w:rFonts w:hint="eastAsia"/>
                <w:color w:val="auto"/>
                <w:kern w:val="0"/>
                <w:sz w:val="24"/>
                <w:szCs w:val="24"/>
                <w:highlight w:val="none"/>
              </w:rPr>
              <w:t>运输道路。外部运输到距离施工场地最近处后由人抬或者马驮的方式进行材料的运输。</w:t>
            </w:r>
          </w:p>
          <w:p>
            <w:pPr>
              <w:adjustRightInd w:val="0"/>
              <w:snapToGrid w:val="0"/>
              <w:spacing w:line="360" w:lineRule="auto"/>
              <w:ind w:firstLine="482" w:firstLineChars="200"/>
              <w:rPr>
                <w:b/>
                <w:bCs/>
                <w:snapToGrid w:val="0"/>
                <w:color w:val="auto"/>
                <w:kern w:val="0"/>
                <w:sz w:val="24"/>
                <w:szCs w:val="24"/>
                <w:highlight w:val="none"/>
              </w:rPr>
            </w:pPr>
            <w:r>
              <w:rPr>
                <w:b/>
                <w:bCs/>
                <w:snapToGrid w:val="0"/>
                <w:color w:val="auto"/>
                <w:kern w:val="0"/>
                <w:sz w:val="24"/>
                <w:szCs w:val="24"/>
                <w:highlight w:val="none"/>
              </w:rPr>
              <w:t>4</w:t>
            </w:r>
            <w:r>
              <w:rPr>
                <w:rFonts w:hint="eastAsia"/>
                <w:b/>
                <w:bCs/>
                <w:snapToGrid w:val="0"/>
                <w:color w:val="auto"/>
                <w:kern w:val="0"/>
                <w:sz w:val="24"/>
                <w:szCs w:val="24"/>
                <w:highlight w:val="none"/>
              </w:rPr>
              <w:t>）取弃土场及弃土处理方式</w:t>
            </w:r>
          </w:p>
          <w:p>
            <w:pPr>
              <w:adjustRightInd w:val="0"/>
              <w:snapToGrid w:val="0"/>
              <w:spacing w:line="360" w:lineRule="auto"/>
              <w:ind w:firstLine="480" w:firstLineChars="200"/>
              <w:rPr>
                <w:color w:val="auto"/>
                <w:sz w:val="24"/>
                <w:szCs w:val="24"/>
                <w:highlight w:val="none"/>
              </w:rPr>
            </w:pPr>
            <w:bookmarkStart w:id="6" w:name="_Hlk116305953"/>
            <w:bookmarkStart w:id="7" w:name="_Hlk116305134"/>
            <w:r>
              <w:rPr>
                <w:rFonts w:hint="eastAsia"/>
                <w:snapToGrid w:val="0"/>
                <w:color w:val="auto"/>
                <w:kern w:val="0"/>
                <w:sz w:val="24"/>
                <w:szCs w:val="24"/>
                <w:highlight w:val="none"/>
              </w:rPr>
              <w:t>本项目变电站挖方为</w:t>
            </w:r>
            <w:r>
              <w:rPr>
                <w:rFonts w:hint="eastAsia"/>
                <w:color w:val="auto"/>
                <w:sz w:val="24"/>
                <w:szCs w:val="24"/>
                <w:highlight w:val="none"/>
                <w:lang w:val="en-US" w:eastAsia="zh-CN"/>
              </w:rPr>
              <w:t>5015</w:t>
            </w:r>
            <w:r>
              <w:rPr>
                <w:color w:val="auto"/>
                <w:sz w:val="24"/>
                <w:szCs w:val="24"/>
                <w:highlight w:val="none"/>
              </w:rPr>
              <w:t>m</w:t>
            </w:r>
            <w:r>
              <w:rPr>
                <w:color w:val="auto"/>
                <w:sz w:val="24"/>
                <w:szCs w:val="24"/>
                <w:highlight w:val="none"/>
                <w:vertAlign w:val="superscript"/>
              </w:rPr>
              <w:t>3</w:t>
            </w:r>
            <w:r>
              <w:rPr>
                <w:rFonts w:hint="eastAsia"/>
                <w:color w:val="auto"/>
                <w:sz w:val="24"/>
                <w:szCs w:val="24"/>
                <w:highlight w:val="none"/>
              </w:rPr>
              <w:t>，填方</w:t>
            </w:r>
            <w:r>
              <w:rPr>
                <w:rFonts w:hint="eastAsia"/>
                <w:color w:val="auto"/>
                <w:sz w:val="24"/>
                <w:szCs w:val="24"/>
                <w:highlight w:val="none"/>
                <w:lang w:val="en-US" w:eastAsia="zh-CN"/>
              </w:rPr>
              <w:t>3215</w:t>
            </w:r>
            <w:r>
              <w:rPr>
                <w:color w:val="auto"/>
                <w:sz w:val="24"/>
                <w:szCs w:val="24"/>
                <w:highlight w:val="none"/>
              </w:rPr>
              <w:t>m</w:t>
            </w:r>
            <w:r>
              <w:rPr>
                <w:color w:val="auto"/>
                <w:sz w:val="24"/>
                <w:szCs w:val="24"/>
                <w:highlight w:val="none"/>
                <w:vertAlign w:val="superscript"/>
              </w:rPr>
              <w:t>3</w:t>
            </w:r>
            <w:r>
              <w:rPr>
                <w:rFonts w:hint="eastAsia"/>
                <w:color w:val="auto"/>
                <w:sz w:val="24"/>
                <w:szCs w:val="24"/>
                <w:highlight w:val="none"/>
              </w:rPr>
              <w:t>，</w:t>
            </w:r>
            <w:bookmarkEnd w:id="6"/>
            <w:r>
              <w:rPr>
                <w:rFonts w:hint="eastAsia"/>
                <w:color w:val="auto"/>
                <w:sz w:val="24"/>
                <w:szCs w:val="24"/>
                <w:highlight w:val="none"/>
                <w:lang w:eastAsia="zh-CN"/>
              </w:rPr>
              <w:t>弃方</w:t>
            </w:r>
            <w:r>
              <w:rPr>
                <w:rFonts w:hint="eastAsia"/>
                <w:color w:val="auto"/>
                <w:sz w:val="24"/>
                <w:szCs w:val="24"/>
                <w:highlight w:val="none"/>
                <w:lang w:val="en-US" w:eastAsia="zh-CN"/>
              </w:rPr>
              <w:t>1800</w:t>
            </w:r>
            <w:r>
              <w:rPr>
                <w:color w:val="auto"/>
                <w:sz w:val="24"/>
                <w:szCs w:val="24"/>
                <w:highlight w:val="none"/>
              </w:rPr>
              <w:t>m</w:t>
            </w:r>
            <w:r>
              <w:rPr>
                <w:color w:val="auto"/>
                <w:sz w:val="24"/>
                <w:szCs w:val="24"/>
                <w:highlight w:val="none"/>
                <w:vertAlign w:val="superscript"/>
              </w:rPr>
              <w:t>3</w:t>
            </w:r>
            <w:r>
              <w:rPr>
                <w:rFonts w:hint="eastAsia"/>
                <w:color w:val="auto"/>
                <w:sz w:val="24"/>
                <w:szCs w:val="24"/>
                <w:highlight w:val="none"/>
                <w:lang w:val="en-US" w:eastAsia="zh-CN"/>
              </w:rPr>
              <w:t>，</w:t>
            </w:r>
            <w:r>
              <w:rPr>
                <w:rFonts w:hint="default" w:ascii="Times New Roman" w:hAnsi="Times New Roman" w:eastAsia="宋体" w:cs="Times New Roman"/>
                <w:color w:val="auto"/>
                <w:kern w:val="0"/>
                <w:sz w:val="24"/>
                <w:szCs w:val="21"/>
                <w:lang w:eastAsia="zh-CN"/>
              </w:rPr>
              <w:t>堆放在变电站用地红线内，弃方及时清运至合法渣场处置，不需另设</w:t>
            </w:r>
            <w:r>
              <w:rPr>
                <w:rFonts w:hint="eastAsia" w:ascii="Times New Roman" w:hAnsi="Times New Roman" w:eastAsia="宋体" w:cs="Times New Roman"/>
                <w:color w:val="auto"/>
                <w:kern w:val="0"/>
                <w:sz w:val="24"/>
                <w:szCs w:val="21"/>
                <w:lang w:val="en-US" w:eastAsia="zh-CN"/>
              </w:rPr>
              <w:t>取</w:t>
            </w:r>
            <w:r>
              <w:rPr>
                <w:rFonts w:hint="default" w:ascii="Times New Roman" w:hAnsi="Times New Roman" w:eastAsia="宋体" w:cs="Times New Roman"/>
                <w:color w:val="auto"/>
                <w:kern w:val="0"/>
                <w:sz w:val="24"/>
                <w:szCs w:val="21"/>
                <w:lang w:eastAsia="zh-CN"/>
              </w:rPr>
              <w:t>弃土场</w:t>
            </w:r>
            <w:r>
              <w:rPr>
                <w:rFonts w:hint="eastAsia"/>
                <w:color w:val="auto"/>
                <w:sz w:val="24"/>
                <w:szCs w:val="24"/>
                <w:highlight w:val="none"/>
                <w:lang w:val="en-US" w:eastAsia="zh-CN"/>
              </w:rPr>
              <w:t>；</w:t>
            </w:r>
            <w:r>
              <w:rPr>
                <w:rFonts w:hint="eastAsia" w:ascii="Times New Roman" w:hAnsi="Times New Roman" w:cs="Times New Roman"/>
                <w:color w:val="auto"/>
                <w:kern w:val="24"/>
                <w:sz w:val="24"/>
                <w:szCs w:val="24"/>
                <w:highlight w:val="none"/>
                <w:lang w:val="it-IT" w:eastAsia="zh-CN"/>
              </w:rPr>
              <w:t>原乡道拆除时产生建筑垃圾约</w:t>
            </w:r>
            <w:r>
              <w:rPr>
                <w:rFonts w:hint="eastAsia" w:ascii="Times New Roman" w:hAnsi="Times New Roman" w:cs="Times New Roman"/>
                <w:color w:val="auto"/>
                <w:kern w:val="24"/>
                <w:sz w:val="24"/>
                <w:szCs w:val="24"/>
                <w:highlight w:val="none"/>
                <w:lang w:val="en-US" w:eastAsia="zh-CN"/>
              </w:rPr>
              <w:t>1600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eastAsia" w:ascii="Times New Roman" w:hAnsi="Times New Roman" w:cs="Times New Roman"/>
                <w:color w:val="auto"/>
                <w:kern w:val="24"/>
                <w:sz w:val="24"/>
                <w:szCs w:val="24"/>
                <w:highlight w:val="none"/>
                <w:lang w:val="en-US" w:eastAsia="zh-CN"/>
              </w:rPr>
              <w:t>，</w:t>
            </w:r>
            <w:r>
              <w:rPr>
                <w:rFonts w:hint="default" w:ascii="Times New Roman" w:hAnsi="Times New Roman" w:cs="Times New Roman"/>
                <w:color w:val="auto"/>
                <w:sz w:val="24"/>
                <w:szCs w:val="24"/>
                <w:highlight w:val="none"/>
              </w:rPr>
              <w:t>运至附近合法渣场处置</w:t>
            </w:r>
            <w:r>
              <w:rPr>
                <w:rFonts w:hint="eastAsia" w:ascii="Times New Roman" w:hAnsi="Times New Roman" w:cs="Times New Roman"/>
                <w:color w:val="auto"/>
                <w:kern w:val="24"/>
                <w:sz w:val="24"/>
                <w:szCs w:val="24"/>
                <w:highlight w:val="none"/>
                <w:lang w:val="it-IT" w:eastAsia="zh-CN"/>
              </w:rPr>
              <w:t>。</w:t>
            </w:r>
            <w:r>
              <w:rPr>
                <w:rFonts w:hint="eastAsia"/>
                <w:color w:val="auto"/>
                <w:sz w:val="24"/>
                <w:szCs w:val="24"/>
                <w:highlight w:val="none"/>
                <w:lang w:val="en-US" w:eastAsia="zh-CN"/>
              </w:rPr>
              <w:t>线路挖方、填方均为570</w:t>
            </w:r>
            <w:r>
              <w:rPr>
                <w:rFonts w:hint="eastAsia"/>
                <w:color w:val="auto"/>
                <w:sz w:val="24"/>
                <w:szCs w:val="24"/>
                <w:highlight w:val="none"/>
              </w:rPr>
              <w:t>m</w:t>
            </w:r>
            <w:r>
              <w:rPr>
                <w:color w:val="auto"/>
                <w:sz w:val="24"/>
                <w:szCs w:val="24"/>
                <w:highlight w:val="none"/>
                <w:vertAlign w:val="superscript"/>
              </w:rPr>
              <w:t>3</w:t>
            </w:r>
            <w:r>
              <w:rPr>
                <w:rFonts w:hint="eastAsia"/>
                <w:color w:val="auto"/>
                <w:sz w:val="24"/>
                <w:szCs w:val="24"/>
                <w:highlight w:val="none"/>
                <w:lang w:val="en-US" w:eastAsia="zh-CN"/>
              </w:rPr>
              <w:t>，挖填平衡。线路挖方</w:t>
            </w:r>
            <w:r>
              <w:rPr>
                <w:rFonts w:hint="eastAsia"/>
                <w:snapToGrid w:val="0"/>
                <w:color w:val="auto"/>
                <w:kern w:val="0"/>
                <w:sz w:val="24"/>
                <w:szCs w:val="24"/>
                <w:highlight w:val="none"/>
              </w:rPr>
              <w:t>临时堆存在铁塔的施工场地内，开挖土石方在杆塔施工结束后尽量用于回填及就地夯实，表土用于铁塔施工场地复绿或复耕，不设置取（弃）土场。</w:t>
            </w:r>
            <w:bookmarkEnd w:id="7"/>
          </w:p>
          <w:p>
            <w:pPr>
              <w:adjustRightInd w:val="0"/>
              <w:snapToGrid w:val="0"/>
              <w:spacing w:line="360" w:lineRule="auto"/>
              <w:ind w:firstLine="482" w:firstLineChars="200"/>
              <w:rPr>
                <w:b/>
                <w:color w:val="auto"/>
                <w:sz w:val="24"/>
                <w:highlight w:val="none"/>
              </w:rPr>
            </w:pPr>
            <w:r>
              <w:rPr>
                <w:b/>
                <w:color w:val="auto"/>
                <w:sz w:val="24"/>
                <w:highlight w:val="none"/>
              </w:rPr>
              <w:t>5</w:t>
            </w:r>
            <w:r>
              <w:rPr>
                <w:rFonts w:hint="eastAsia"/>
                <w:b/>
                <w:color w:val="auto"/>
                <w:sz w:val="24"/>
                <w:highlight w:val="none"/>
              </w:rPr>
              <w:t>）牵张场设置</w:t>
            </w:r>
          </w:p>
          <w:p>
            <w:pPr>
              <w:adjustRightInd w:val="0"/>
              <w:snapToGrid w:val="0"/>
              <w:spacing w:line="360" w:lineRule="auto"/>
              <w:ind w:firstLine="480" w:firstLineChars="200"/>
              <w:rPr>
                <w:color w:val="auto"/>
                <w:sz w:val="24"/>
                <w:highlight w:val="none"/>
              </w:rPr>
            </w:pPr>
            <w:r>
              <w:rPr>
                <w:rFonts w:hint="eastAsia"/>
                <w:color w:val="auto"/>
                <w:sz w:val="24"/>
                <w:highlight w:val="none"/>
              </w:rPr>
              <w:t>本项目线路沿线预计设置</w:t>
            </w:r>
            <w:r>
              <w:rPr>
                <w:rFonts w:hint="eastAsia"/>
                <w:color w:val="auto"/>
                <w:sz w:val="24"/>
                <w:highlight w:val="none"/>
                <w:lang w:val="en-US" w:eastAsia="zh-CN"/>
              </w:rPr>
              <w:t>4</w:t>
            </w:r>
            <w:r>
              <w:rPr>
                <w:rFonts w:hint="eastAsia"/>
                <w:color w:val="auto"/>
                <w:sz w:val="24"/>
                <w:highlight w:val="none"/>
              </w:rPr>
              <w:t>处牵张场</w:t>
            </w:r>
            <w:r>
              <w:rPr>
                <w:rFonts w:hint="eastAsia"/>
                <w:color w:val="auto"/>
                <w:sz w:val="24"/>
                <w:highlight w:val="none"/>
                <w:lang w:eastAsia="zh-CN"/>
              </w:rPr>
              <w:t>，</w:t>
            </w:r>
            <w:r>
              <w:rPr>
                <w:rFonts w:hint="eastAsia"/>
                <w:color w:val="auto"/>
                <w:sz w:val="24"/>
                <w:highlight w:val="none"/>
              </w:rPr>
              <w:t>每处牵张场占地面积约为</w:t>
            </w:r>
            <w:r>
              <w:rPr>
                <w:rFonts w:hint="eastAsia"/>
                <w:color w:val="auto"/>
                <w:sz w:val="24"/>
                <w:highlight w:val="none"/>
                <w:lang w:val="en-US" w:eastAsia="zh-CN"/>
              </w:rPr>
              <w:t>300</w:t>
            </w:r>
            <w:r>
              <w:rPr>
                <w:color w:val="auto"/>
                <w:sz w:val="24"/>
                <w:highlight w:val="none"/>
              </w:rPr>
              <w:t>m</w:t>
            </w:r>
            <w:r>
              <w:rPr>
                <w:color w:val="auto"/>
                <w:sz w:val="24"/>
                <w:highlight w:val="none"/>
                <w:vertAlign w:val="superscript"/>
              </w:rPr>
              <w:t>2</w:t>
            </w:r>
            <w:r>
              <w:rPr>
                <w:rFonts w:hint="eastAsia"/>
                <w:color w:val="auto"/>
                <w:sz w:val="24"/>
                <w:highlight w:val="none"/>
              </w:rPr>
              <w:t>，牵张场占地面积共计</w:t>
            </w:r>
            <w:r>
              <w:rPr>
                <w:color w:val="auto"/>
                <w:sz w:val="24"/>
                <w:highlight w:val="none"/>
              </w:rPr>
              <w:t>1200m</w:t>
            </w:r>
            <w:r>
              <w:rPr>
                <w:color w:val="auto"/>
                <w:sz w:val="24"/>
                <w:highlight w:val="none"/>
                <w:vertAlign w:val="superscript"/>
              </w:rPr>
              <w:t>2</w:t>
            </w:r>
            <w:r>
              <w:rPr>
                <w:rFonts w:hint="eastAsia"/>
                <w:color w:val="auto"/>
                <w:sz w:val="24"/>
                <w:highlight w:val="none"/>
              </w:rPr>
              <w:t>，全部为临时占地，占地类型主要为灌木</w:t>
            </w:r>
            <w:r>
              <w:rPr>
                <w:rFonts w:hint="eastAsia"/>
                <w:color w:val="auto"/>
                <w:sz w:val="24"/>
                <w:highlight w:val="none"/>
                <w:lang w:eastAsia="zh-CN"/>
              </w:rPr>
              <w:t>林</w:t>
            </w:r>
            <w:r>
              <w:rPr>
                <w:rFonts w:hint="eastAsia"/>
                <w:color w:val="auto"/>
                <w:sz w:val="24"/>
                <w:highlight w:val="none"/>
              </w:rPr>
              <w:t>地</w:t>
            </w:r>
            <w:r>
              <w:rPr>
                <w:rFonts w:hint="eastAsia"/>
                <w:color w:val="auto"/>
                <w:sz w:val="24"/>
                <w:highlight w:val="none"/>
                <w:lang w:eastAsia="zh-CN"/>
              </w:rPr>
              <w:t>、水田、旱地</w:t>
            </w:r>
            <w:r>
              <w:rPr>
                <w:rFonts w:hint="eastAsia"/>
                <w:color w:val="auto"/>
                <w:sz w:val="24"/>
                <w:highlight w:val="none"/>
              </w:rPr>
              <w:t>。</w:t>
            </w:r>
            <w:r>
              <w:rPr>
                <w:rFonts w:hint="eastAsia"/>
                <w:color w:val="auto"/>
                <w:kern w:val="0"/>
                <w:sz w:val="24"/>
                <w:highlight w:val="none"/>
              </w:rPr>
              <w:t>牵张场拟设置在平坦或坡度较缓地带，能满足布置牵张设备、布置导线及施工操作要求。</w:t>
            </w:r>
          </w:p>
          <w:p>
            <w:pPr>
              <w:adjustRightInd w:val="0"/>
              <w:snapToGrid w:val="0"/>
              <w:spacing w:line="360" w:lineRule="auto"/>
              <w:ind w:firstLine="482" w:firstLineChars="200"/>
              <w:rPr>
                <w:b/>
                <w:bCs/>
                <w:snapToGrid w:val="0"/>
                <w:color w:val="auto"/>
                <w:kern w:val="0"/>
                <w:sz w:val="24"/>
                <w:highlight w:val="none"/>
              </w:rPr>
            </w:pPr>
            <w:r>
              <w:rPr>
                <w:rFonts w:hint="eastAsia"/>
                <w:b/>
                <w:bCs/>
                <w:snapToGrid w:val="0"/>
                <w:color w:val="auto"/>
                <w:kern w:val="0"/>
                <w:sz w:val="24"/>
                <w:highlight w:val="none"/>
              </w:rPr>
              <w:t>（</w:t>
            </w:r>
            <w:r>
              <w:rPr>
                <w:b/>
                <w:bCs/>
                <w:snapToGrid w:val="0"/>
                <w:color w:val="auto"/>
                <w:kern w:val="0"/>
                <w:sz w:val="24"/>
                <w:highlight w:val="none"/>
              </w:rPr>
              <w:t>3</w:t>
            </w:r>
            <w:r>
              <w:rPr>
                <w:rFonts w:hint="eastAsia"/>
                <w:b/>
                <w:bCs/>
                <w:snapToGrid w:val="0"/>
                <w:color w:val="auto"/>
                <w:kern w:val="0"/>
                <w:sz w:val="24"/>
                <w:highlight w:val="none"/>
              </w:rPr>
              <w:t>）临时占地选址的环保要求</w:t>
            </w:r>
          </w:p>
          <w:p>
            <w:pPr>
              <w:pStyle w:val="35"/>
              <w:adjustRightInd w:val="0"/>
              <w:snapToGrid w:val="0"/>
              <w:ind w:firstLine="439" w:firstLineChars="183"/>
              <w:rPr>
                <w:rFonts w:ascii="Times New Roman" w:hAnsi="Times New Roman" w:cs="Times New Roman"/>
                <w:color w:val="auto"/>
                <w:highlight w:val="none"/>
              </w:rPr>
            </w:pPr>
            <w:r>
              <w:rPr>
                <w:rFonts w:hint="eastAsia" w:ascii="Times New Roman" w:hAnsi="Times New Roman" w:cs="Times New Roman"/>
                <w:color w:val="auto"/>
                <w:kern w:val="24"/>
                <w:highlight w:val="none"/>
                <w:lang w:val="it-IT" w:bidi="en-US"/>
              </w:rPr>
              <w:t>拟建项目尚在初步设计阶段，</w:t>
            </w:r>
            <w:r>
              <w:rPr>
                <w:rFonts w:hint="eastAsia"/>
                <w:color w:val="auto"/>
                <w:kern w:val="24"/>
                <w:highlight w:val="none"/>
                <w:lang w:val="it-IT" w:bidi="en-US"/>
              </w:rPr>
              <w:t>临时施工场地仅给出暂定位置及数量，施工期间根据现场条件可能进行调整，本环评对施工期设置材料堆场、牵张场、施工便道等临时施工占地提出如下环保要求</w:t>
            </w:r>
            <w:r>
              <w:rPr>
                <w:rFonts w:hint="eastAsia"/>
                <w:color w:val="auto"/>
                <w:highlight w:val="none"/>
              </w:rPr>
              <w:t>：</w:t>
            </w:r>
          </w:p>
          <w:p>
            <w:pPr>
              <w:topLinePunct/>
              <w:autoSpaceDE w:val="0"/>
              <w:autoSpaceDN w:val="0"/>
              <w:adjustRightInd w:val="0"/>
              <w:snapToGrid w:val="0"/>
              <w:spacing w:line="360" w:lineRule="auto"/>
              <w:ind w:firstLine="480" w:firstLineChars="200"/>
              <w:jc w:val="left"/>
              <w:rPr>
                <w:color w:val="auto"/>
                <w:sz w:val="24"/>
                <w:highlight w:val="none"/>
                <w:lang w:bidi="ar"/>
              </w:rPr>
            </w:pPr>
            <w:r>
              <w:rPr>
                <w:rFonts w:hint="eastAsia" w:ascii="宋体" w:hAnsi="宋体" w:cs="宋体"/>
                <w:color w:val="auto"/>
                <w:sz w:val="24"/>
                <w:highlight w:val="none"/>
              </w:rPr>
              <w:t>①</w:t>
            </w:r>
            <w:r>
              <w:rPr>
                <w:rFonts w:hint="eastAsia" w:ascii="宋体" w:cs="宋体"/>
                <w:color w:val="auto"/>
                <w:kern w:val="0"/>
                <w:sz w:val="24"/>
                <w:highlight w:val="none"/>
              </w:rPr>
              <w:t>临时占地尽量设置在平坦或坡度较缓地带，以满足布置设备、布置导线及施工操作要求，减少沿线生态环境的影响，应尽量选择线路沿线交通较为便利的现有空地，尽量避开茂密林地、耕地、经济林地，应合理规划进出场施工通道，减少对植被的踩踏，设置施工简易围栏限制施工范围。</w:t>
            </w:r>
            <w:r>
              <w:rPr>
                <w:rFonts w:hint="eastAsia"/>
                <w:color w:val="auto"/>
                <w:sz w:val="24"/>
                <w:highlight w:val="none"/>
                <w:lang w:bidi="ar"/>
              </w:rPr>
              <w:t>牵张场、材料堆场设置在道路耕地、空地、工矿用地或者农户院坝区域。</w:t>
            </w:r>
          </w:p>
          <w:p>
            <w:pPr>
              <w:topLinePunct/>
              <w:autoSpaceDE w:val="0"/>
              <w:autoSpaceDN w:val="0"/>
              <w:adjustRightInd w:val="0"/>
              <w:snapToGrid w:val="0"/>
              <w:spacing w:line="360" w:lineRule="auto"/>
              <w:ind w:firstLine="480" w:firstLineChars="200"/>
              <w:jc w:val="left"/>
              <w:rPr>
                <w:color w:val="auto"/>
                <w:sz w:val="24"/>
                <w:highlight w:val="none"/>
                <w:lang w:bidi="ar"/>
              </w:rPr>
            </w:pPr>
            <w:r>
              <w:rPr>
                <w:rFonts w:hint="eastAsia" w:ascii="宋体" w:hAnsi="宋体" w:cs="宋体"/>
                <w:color w:val="auto"/>
                <w:sz w:val="24"/>
                <w:highlight w:val="none"/>
              </w:rPr>
              <w:t>②优化牵张场的设置：</w:t>
            </w:r>
            <w:r>
              <w:rPr>
                <w:rFonts w:hint="eastAsia"/>
                <w:color w:val="auto"/>
                <w:kern w:val="24"/>
                <w:sz w:val="24"/>
                <w:highlight w:val="none"/>
              </w:rPr>
              <w:t>牵张场的设置尽量避开树林茂密处，减少树木的清理；</w:t>
            </w:r>
            <w:r>
              <w:rPr>
                <w:rFonts w:hint="eastAsia"/>
                <w:color w:val="auto"/>
                <w:sz w:val="24"/>
                <w:highlight w:val="none"/>
                <w:lang w:bidi="ar"/>
              </w:rPr>
              <w:t>项目牵张场等临时占地远离水体，禁止设置在河岸两侧、水库集雨范围内；禁止在自然保护区、生态保护红线内设置牵张场。</w:t>
            </w:r>
            <w:r>
              <w:rPr>
                <w:rFonts w:hint="eastAsia" w:ascii="宋体" w:cs="宋体"/>
                <w:color w:val="auto"/>
                <w:kern w:val="0"/>
                <w:sz w:val="24"/>
                <w:highlight w:val="none"/>
              </w:rPr>
              <w:t>牵张场使用完毕后，进行土地整治，恢复原有土地类型。原则禁止在水源保护区内设置牵张场等临时占地。</w:t>
            </w:r>
          </w:p>
          <w:p>
            <w:pPr>
              <w:autoSpaceDE w:val="0"/>
              <w:autoSpaceDN w:val="0"/>
              <w:adjustRightInd w:val="0"/>
              <w:snapToGrid w:val="0"/>
              <w:spacing w:line="360" w:lineRule="auto"/>
              <w:ind w:firstLine="480" w:firstLineChars="200"/>
              <w:jc w:val="left"/>
              <w:rPr>
                <w:color w:val="auto"/>
                <w:sz w:val="24"/>
                <w:highlight w:val="none"/>
                <w:lang w:bidi="ar"/>
              </w:rPr>
            </w:pPr>
            <w:r>
              <w:rPr>
                <w:rFonts w:hint="eastAsia" w:ascii="宋体" w:hAnsi="宋体" w:cs="宋体"/>
                <w:color w:val="auto"/>
                <w:sz w:val="24"/>
                <w:highlight w:val="none"/>
                <w:lang w:bidi="ar"/>
              </w:rPr>
              <w:t>③</w:t>
            </w:r>
            <w:r>
              <w:rPr>
                <w:rFonts w:hint="eastAsia" w:ascii="宋体" w:cs="宋体"/>
                <w:color w:val="auto"/>
                <w:kern w:val="0"/>
                <w:sz w:val="24"/>
                <w:highlight w:val="none"/>
              </w:rPr>
              <w:t>尽量利用原有道路：材料的运输要充分利用现有道路，尽量减少对植被的破坏，优选塔基附近的空地、裸地堆放材料，避免多次搬运踩踏植被，临时材料堆放需做好地面铺垫及防雨工作。</w:t>
            </w:r>
          </w:p>
          <w:p>
            <w:pPr>
              <w:widowControl/>
              <w:topLinePunct/>
              <w:adjustRightInd w:val="0"/>
              <w:snapToGrid w:val="0"/>
              <w:spacing w:line="360" w:lineRule="auto"/>
              <w:ind w:firstLine="480" w:firstLineChars="200"/>
              <w:rPr>
                <w:color w:val="auto"/>
                <w:sz w:val="24"/>
                <w:highlight w:val="none"/>
              </w:rPr>
            </w:pPr>
            <w:r>
              <w:rPr>
                <w:rFonts w:hint="eastAsia" w:ascii="宋体" w:hAnsi="宋体" w:cs="宋体"/>
                <w:color w:val="auto"/>
                <w:kern w:val="24"/>
                <w:sz w:val="24"/>
                <w:highlight w:val="none"/>
              </w:rPr>
              <w:t>④</w:t>
            </w:r>
            <w:r>
              <w:rPr>
                <w:rFonts w:hint="eastAsia"/>
                <w:color w:val="auto"/>
                <w:sz w:val="24"/>
                <w:highlight w:val="none"/>
              </w:rPr>
              <w:t>牵张场施工结束后根据占地类型进行撒播草籽绿化，草种选用常见易存活恢复物种。同时加强抚育管理，提高植被的成活率，防治水土流失，改善周边环境。占用林区，砍伐树木后，需认真分析工程区的地形、地貌、土壤和气候等立地类型，按照</w:t>
            </w:r>
            <w:r>
              <w:rPr>
                <w:color w:val="auto"/>
                <w:sz w:val="24"/>
                <w:highlight w:val="none"/>
              </w:rPr>
              <w:t>“</w:t>
            </w:r>
            <w:r>
              <w:rPr>
                <w:rFonts w:hint="eastAsia"/>
                <w:color w:val="auto"/>
                <w:sz w:val="24"/>
                <w:highlight w:val="none"/>
              </w:rPr>
              <w:t>适地适树</w:t>
            </w:r>
            <w:r>
              <w:rPr>
                <w:color w:val="auto"/>
                <w:sz w:val="24"/>
                <w:highlight w:val="none"/>
              </w:rPr>
              <w:t>”</w:t>
            </w:r>
            <w:r>
              <w:rPr>
                <w:rFonts w:hint="eastAsia"/>
                <w:color w:val="auto"/>
                <w:sz w:val="24"/>
                <w:highlight w:val="none"/>
              </w:rPr>
              <w:t>和</w:t>
            </w:r>
            <w:r>
              <w:rPr>
                <w:color w:val="auto"/>
                <w:sz w:val="24"/>
                <w:highlight w:val="none"/>
              </w:rPr>
              <w:t>“</w:t>
            </w:r>
            <w:r>
              <w:rPr>
                <w:rFonts w:hint="eastAsia"/>
                <w:color w:val="auto"/>
                <w:sz w:val="24"/>
                <w:highlight w:val="none"/>
              </w:rPr>
              <w:t>乔、灌、草</w:t>
            </w:r>
            <w:r>
              <w:rPr>
                <w:color w:val="auto"/>
                <w:sz w:val="24"/>
                <w:highlight w:val="none"/>
              </w:rPr>
              <w:t>”</w:t>
            </w:r>
            <w:r>
              <w:rPr>
                <w:rFonts w:hint="eastAsia"/>
                <w:color w:val="auto"/>
                <w:sz w:val="24"/>
                <w:highlight w:val="none"/>
              </w:rPr>
              <w:t>相接合的原则，在能满足线路安全运行的前提条件下主要选择能适应当地立地条件的乡土树种和草种。植物措施结合工程建设开挖形成的情况和植物生长生境特点因地制宜进行布置。</w:t>
            </w:r>
          </w:p>
          <w:p>
            <w:pPr>
              <w:widowControl/>
              <w:topLinePunct/>
              <w:adjustRightInd w:val="0"/>
              <w:snapToGrid w:val="0"/>
              <w:spacing w:line="360" w:lineRule="auto"/>
              <w:ind w:firstLine="480" w:firstLineChars="200"/>
              <w:rPr>
                <w:color w:val="auto"/>
                <w:sz w:val="24"/>
                <w:highlight w:val="none"/>
              </w:rPr>
            </w:pPr>
            <w:r>
              <w:rPr>
                <w:rFonts w:hint="eastAsia"/>
                <w:color w:val="auto"/>
                <w:sz w:val="24"/>
                <w:highlight w:val="none"/>
              </w:rPr>
              <w:t>⑤总体要求是尽量保持与区域原植被形态和自然景观相协调一致，提高植被覆盖度、减小水土流失量，改善并维护区域生态环境的良性循环发展。</w:t>
            </w:r>
          </w:p>
          <w:p>
            <w:pPr>
              <w:keepNext/>
              <w:keepLines/>
              <w:adjustRightInd w:val="0"/>
              <w:snapToGrid w:val="0"/>
              <w:spacing w:line="360" w:lineRule="auto"/>
              <w:ind w:firstLine="480" w:firstLineChars="200"/>
              <w:outlineLvl w:val="1"/>
              <w:rPr>
                <w:color w:val="auto"/>
                <w:highlight w:val="yellow"/>
              </w:rPr>
            </w:pPr>
            <w:r>
              <w:rPr>
                <w:rFonts w:hint="eastAsia" w:ascii="Times New Roman" w:hAnsi="Times New Roman"/>
                <w:color w:val="auto"/>
                <w:sz w:val="24"/>
                <w:lang w:val="en-US" w:eastAsia="zh-CN"/>
              </w:rPr>
              <w:t>⑥施工期间尽可能优化牵张场设置的面积和数量，尽可能减少占地面积。可共用牵张场时尽量共用，减少土地占地及地面扰动影响。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pPr>
              <w:adjustRightInd w:val="0"/>
              <w:snapToGrid w:val="0"/>
              <w:jc w:val="center"/>
              <w:rPr>
                <w:rFonts w:cs="宋体"/>
                <w:color w:val="auto"/>
                <w:kern w:val="0"/>
                <w:sz w:val="24"/>
                <w:highlight w:val="none"/>
              </w:rPr>
            </w:pPr>
            <w:r>
              <w:rPr>
                <w:rFonts w:hint="eastAsia" w:cs="宋体"/>
                <w:color w:val="auto"/>
                <w:kern w:val="0"/>
                <w:sz w:val="24"/>
                <w:highlight w:val="none"/>
              </w:rPr>
              <w:t>施工方案</w:t>
            </w:r>
          </w:p>
        </w:tc>
        <w:tc>
          <w:tcPr>
            <w:tcW w:w="8646" w:type="dxa"/>
          </w:tcPr>
          <w:p>
            <w:pPr>
              <w:adjustRightInd w:val="0"/>
              <w:snapToGrid w:val="0"/>
              <w:spacing w:line="360" w:lineRule="auto"/>
              <w:jc w:val="left"/>
              <w:rPr>
                <w:rFonts w:hint="eastAsia" w:eastAsia="宋体" w:cs="宋体"/>
                <w:b/>
                <w:bCs/>
                <w:color w:val="auto"/>
                <w:kern w:val="0"/>
                <w:sz w:val="24"/>
                <w:highlight w:val="none"/>
                <w:lang w:eastAsia="zh-CN"/>
              </w:rPr>
            </w:pPr>
            <w:r>
              <w:rPr>
                <w:rFonts w:hint="eastAsia" w:cs="宋体"/>
                <w:b/>
                <w:bCs/>
                <w:color w:val="auto"/>
                <w:kern w:val="0"/>
                <w:sz w:val="24"/>
                <w:highlight w:val="none"/>
              </w:rPr>
              <w:t>2</w:t>
            </w:r>
            <w:r>
              <w:rPr>
                <w:rFonts w:cs="宋体"/>
                <w:b/>
                <w:bCs/>
                <w:color w:val="auto"/>
                <w:kern w:val="0"/>
                <w:sz w:val="24"/>
                <w:highlight w:val="none"/>
              </w:rPr>
              <w:t>.1</w:t>
            </w:r>
            <w:r>
              <w:rPr>
                <w:rFonts w:hint="eastAsia" w:cs="宋体"/>
                <w:b/>
                <w:bCs/>
                <w:color w:val="auto"/>
                <w:kern w:val="0"/>
                <w:sz w:val="24"/>
                <w:highlight w:val="none"/>
                <w:lang w:val="en-US" w:eastAsia="zh-CN"/>
              </w:rPr>
              <w:t>3</w:t>
            </w:r>
            <w:r>
              <w:rPr>
                <w:rFonts w:cs="宋体"/>
                <w:b/>
                <w:bCs/>
                <w:color w:val="auto"/>
                <w:kern w:val="0"/>
                <w:sz w:val="24"/>
                <w:highlight w:val="none"/>
              </w:rPr>
              <w:t xml:space="preserve"> </w:t>
            </w:r>
            <w:r>
              <w:rPr>
                <w:rFonts w:hint="eastAsia" w:cs="宋体"/>
                <w:b/>
                <w:bCs/>
                <w:color w:val="auto"/>
                <w:kern w:val="0"/>
                <w:sz w:val="24"/>
                <w:highlight w:val="none"/>
                <w:lang w:eastAsia="zh-CN"/>
              </w:rPr>
              <w:t>淮阳变电站</w:t>
            </w:r>
          </w:p>
          <w:p>
            <w:pPr>
              <w:spacing w:line="360" w:lineRule="auto"/>
              <w:ind w:firstLine="480" w:firstLineChars="200"/>
              <w:jc w:val="left"/>
              <w:rPr>
                <w:color w:val="auto"/>
                <w:sz w:val="24"/>
                <w:highlight w:val="none"/>
              </w:rPr>
            </w:pPr>
            <w:r>
              <w:rPr>
                <w:rFonts w:hint="eastAsia"/>
                <w:color w:val="auto"/>
                <w:sz w:val="24"/>
                <w:highlight w:val="none"/>
              </w:rPr>
              <w:t>变电站施工期主要涉及各建筑物的建设、主变基础建设、消防水池和事故油池等的开挖及相关设备安装等一系列施工活动。</w:t>
            </w:r>
          </w:p>
          <w:p>
            <w:pPr>
              <w:spacing w:line="360" w:lineRule="auto"/>
              <w:ind w:firstLine="420" w:firstLineChars="200"/>
              <w:jc w:val="left"/>
              <w:rPr>
                <w:color w:val="auto"/>
                <w:sz w:val="24"/>
                <w:highlight w:val="none"/>
              </w:rPr>
            </w:pPr>
            <w:r>
              <w:rPr>
                <w:color w:val="auto"/>
                <w:highlight w:val="none"/>
              </w:rPr>
              <mc:AlternateContent>
                <mc:Choice Requires="wpg">
                  <w:drawing>
                    <wp:anchor distT="0" distB="0" distL="114300" distR="114300" simplePos="0" relativeHeight="251661312" behindDoc="0" locked="0" layoutInCell="1" allowOverlap="1">
                      <wp:simplePos x="0" y="0"/>
                      <wp:positionH relativeFrom="column">
                        <wp:posOffset>76835</wp:posOffset>
                      </wp:positionH>
                      <wp:positionV relativeFrom="paragraph">
                        <wp:posOffset>353695</wp:posOffset>
                      </wp:positionV>
                      <wp:extent cx="5015230" cy="1630680"/>
                      <wp:effectExtent l="0" t="0" r="13970" b="26670"/>
                      <wp:wrapSquare wrapText="bothSides"/>
                      <wp:docPr id="5" name="组合 5"/>
                      <wp:cNvGraphicFramePr/>
                      <a:graphic xmlns:a="http://schemas.openxmlformats.org/drawingml/2006/main">
                        <a:graphicData uri="http://schemas.microsoft.com/office/word/2010/wordprocessingGroup">
                          <wpg:wgp>
                            <wpg:cNvGrpSpPr/>
                            <wpg:grpSpPr>
                              <a:xfrm>
                                <a:off x="0" y="0"/>
                                <a:ext cx="5015230" cy="1630680"/>
                                <a:chOff x="0" y="0"/>
                                <a:chExt cx="9020" cy="3090"/>
                              </a:xfrm>
                            </wpg:grpSpPr>
                            <wpg:grpSp>
                              <wpg:cNvPr id="50" name="Group 12809"/>
                              <wpg:cNvGrpSpPr/>
                              <wpg:grpSpPr>
                                <a:xfrm>
                                  <a:off x="0" y="0"/>
                                  <a:ext cx="9020" cy="3090"/>
                                  <a:chOff x="0" y="0"/>
                                  <a:chExt cx="9020" cy="3090"/>
                                </a:xfrm>
                              </wpg:grpSpPr>
                              <wps:wsp>
                                <wps:cNvPr id="52" name="Text Box 12810"/>
                                <wps:cNvSpPr txBox="1">
                                  <a:spLocks noChangeArrowheads="1"/>
                                </wps:cNvSpPr>
                                <wps:spPr bwMode="auto">
                                  <a:xfrm>
                                    <a:off x="0" y="399"/>
                                    <a:ext cx="1448" cy="537"/>
                                  </a:xfrm>
                                  <a:prstGeom prst="rect">
                                    <a:avLst/>
                                  </a:prstGeom>
                                  <a:solidFill>
                                    <a:srgbClr val="FFFFFF"/>
                                  </a:solidFill>
                                  <a:ln w="9525">
                                    <a:solidFill>
                                      <a:schemeClr val="tx1"/>
                                    </a:solidFill>
                                    <a:miter lim="800000"/>
                                  </a:ln>
                                </wps:spPr>
                                <wps:txbx>
                                  <w:txbxContent>
                                    <w:p>
                                      <w:pPr>
                                        <w:pStyle w:val="80"/>
                                        <w:autoSpaceDE/>
                                        <w:adjustRightInd/>
                                        <w:spacing w:line="240" w:lineRule="exact"/>
                                        <w:jc w:val="both"/>
                                        <w:rPr>
                                          <w:rFonts w:ascii="Times New Roman"/>
                                          <w:sz w:val="21"/>
                                        </w:rPr>
                                      </w:pPr>
                                      <w:r>
                                        <w:rPr>
                                          <w:rFonts w:hint="eastAsia" w:ascii="Times New Roman"/>
                                          <w:sz w:val="21"/>
                                        </w:rPr>
                                        <w:t>场地平整</w:t>
                                      </w:r>
                                    </w:p>
                                    <w:p/>
                                  </w:txbxContent>
                                </wps:txbx>
                                <wps:bodyPr rot="0" vert="horz" wrap="square" lIns="91440" tIns="45720" rIns="91440" bIns="45720" anchor="t" anchorCtr="0" upright="1">
                                  <a:noAutofit/>
                                </wps:bodyPr>
                              </wps:wsp>
                              <wps:wsp>
                                <wps:cNvPr id="53" name="Text Box 12811"/>
                                <wps:cNvSpPr txBox="1">
                                  <a:spLocks noChangeArrowheads="1"/>
                                </wps:cNvSpPr>
                                <wps:spPr bwMode="auto">
                                  <a:xfrm>
                                    <a:off x="7222" y="429"/>
                                    <a:ext cx="1485" cy="614"/>
                                  </a:xfrm>
                                  <a:prstGeom prst="rect">
                                    <a:avLst/>
                                  </a:prstGeom>
                                  <a:solidFill>
                                    <a:srgbClr val="FFFFFF"/>
                                  </a:solidFill>
                                  <a:ln w="9525">
                                    <a:solidFill>
                                      <a:schemeClr val="tx1"/>
                                    </a:solidFill>
                                    <a:miter lim="800000"/>
                                  </a:ln>
                                </wps:spPr>
                                <wps:txbx>
                                  <w:txbxContent>
                                    <w:p>
                                      <w:pPr>
                                        <w:pStyle w:val="80"/>
                                        <w:autoSpaceDE/>
                                        <w:adjustRightInd/>
                                        <w:spacing w:line="280" w:lineRule="exact"/>
                                        <w:rPr>
                                          <w:rFonts w:ascii="Times New Roman"/>
                                          <w:sz w:val="21"/>
                                        </w:rPr>
                                      </w:pPr>
                                      <w:r>
                                        <w:rPr>
                                          <w:rFonts w:hint="eastAsia" w:ascii="Times New Roman"/>
                                          <w:sz w:val="21"/>
                                        </w:rPr>
                                        <w:t>投产</w:t>
                                      </w:r>
                                      <w:r>
                                        <w:rPr>
                                          <w:rFonts w:hint="eastAsia"/>
                                          <w:sz w:val="21"/>
                                        </w:rPr>
                                        <w:t>使用</w:t>
                                      </w:r>
                                    </w:p>
                                    <w:p>
                                      <w:pPr>
                                        <w:pStyle w:val="80"/>
                                        <w:autoSpaceDE/>
                                        <w:adjustRightInd/>
                                        <w:spacing w:line="240" w:lineRule="exact"/>
                                        <w:jc w:val="both"/>
                                        <w:rPr>
                                          <w:rFonts w:ascii="Times New Roman"/>
                                          <w:sz w:val="21"/>
                                        </w:rPr>
                                      </w:pPr>
                                    </w:p>
                                    <w:p>
                                      <w:pPr>
                                        <w:rPr>
                                          <w:rFonts w:asciiTheme="minorHAnsi"/>
                                        </w:rPr>
                                      </w:pPr>
                                    </w:p>
                                    <w:p/>
                                  </w:txbxContent>
                                </wps:txbx>
                                <wps:bodyPr rot="0" vert="horz" wrap="square" lIns="91440" tIns="45720" rIns="91440" bIns="45720" anchor="t" anchorCtr="0" upright="1">
                                  <a:noAutofit/>
                                </wps:bodyPr>
                              </wps:wsp>
                              <wps:wsp>
                                <wps:cNvPr id="54" name="Line 12812"/>
                                <wps:cNvCnPr>
                                  <a:cxnSpLocks noChangeShapeType="1"/>
                                </wps:cNvCnPr>
                                <wps:spPr bwMode="auto">
                                  <a:xfrm>
                                    <a:off x="818" y="936"/>
                                    <a:ext cx="0" cy="780"/>
                                  </a:xfrm>
                                  <a:prstGeom prst="line">
                                    <a:avLst/>
                                  </a:prstGeom>
                                  <a:noFill/>
                                  <a:ln w="9525">
                                    <a:solidFill>
                                      <a:schemeClr val="tx1"/>
                                    </a:solidFill>
                                    <a:prstDash val="lgDash"/>
                                    <a:round/>
                                    <a:tailEnd type="triangle" w="med" len="lg"/>
                                  </a:ln>
                                </wps:spPr>
                                <wps:bodyPr/>
                              </wps:wsp>
                              <wps:wsp>
                                <wps:cNvPr id="55" name="Line 12813"/>
                                <wps:cNvCnPr>
                                  <a:cxnSpLocks noChangeShapeType="1"/>
                                </wps:cNvCnPr>
                                <wps:spPr bwMode="auto">
                                  <a:xfrm>
                                    <a:off x="4178" y="1404"/>
                                    <a:ext cx="0" cy="624"/>
                                  </a:xfrm>
                                  <a:prstGeom prst="line">
                                    <a:avLst/>
                                  </a:prstGeom>
                                  <a:noFill/>
                                  <a:ln w="9525">
                                    <a:solidFill>
                                      <a:schemeClr val="tx1"/>
                                    </a:solidFill>
                                    <a:prstDash val="lgDash"/>
                                    <a:round/>
                                    <a:tailEnd type="triangle" w="med" len="lg"/>
                                  </a:ln>
                                </wps:spPr>
                                <wps:bodyPr/>
                              </wps:wsp>
                              <wps:wsp>
                                <wps:cNvPr id="56" name="Line 12814"/>
                                <wps:cNvCnPr>
                                  <a:cxnSpLocks noChangeShapeType="1"/>
                                  <a:stCxn id="53" idx="2"/>
                                  <a:endCxn id="60" idx="0"/>
                                </wps:cNvCnPr>
                                <wps:spPr bwMode="auto">
                                  <a:xfrm>
                                    <a:off x="7965" y="1043"/>
                                    <a:ext cx="5" cy="757"/>
                                  </a:xfrm>
                                  <a:prstGeom prst="line">
                                    <a:avLst/>
                                  </a:prstGeom>
                                  <a:noFill/>
                                  <a:ln w="9525">
                                    <a:solidFill>
                                      <a:schemeClr val="tx1"/>
                                    </a:solidFill>
                                    <a:prstDash val="lgDash"/>
                                    <a:round/>
                                    <a:tailEnd type="triangle" w="med" len="lg"/>
                                  </a:ln>
                                </wps:spPr>
                                <wps:bodyPr/>
                              </wps:wsp>
                              <wps:wsp>
                                <wps:cNvPr id="57" name="Text Box 12815"/>
                                <wps:cNvSpPr txBox="1">
                                  <a:spLocks noChangeArrowheads="1"/>
                                </wps:cNvSpPr>
                                <wps:spPr bwMode="auto">
                                  <a:xfrm>
                                    <a:off x="57" y="1716"/>
                                    <a:ext cx="1470" cy="1222"/>
                                  </a:xfrm>
                                  <a:prstGeom prst="rect">
                                    <a:avLst/>
                                  </a:prstGeom>
                                  <a:solidFill>
                                    <a:srgbClr val="FFFFFF"/>
                                  </a:solidFill>
                                  <a:ln w="9525">
                                    <a:solidFill>
                                      <a:schemeClr val="tx1"/>
                                    </a:solidFill>
                                    <a:prstDash val="lgDash"/>
                                    <a:miter lim="800000"/>
                                  </a:ln>
                                </wps:spPr>
                                <wps:txbx>
                                  <w:txbxContent>
                                    <w:p>
                                      <w:pPr>
                                        <w:pStyle w:val="80"/>
                                        <w:autoSpaceDE/>
                                        <w:adjustRightInd/>
                                        <w:spacing w:line="280" w:lineRule="exact"/>
                                        <w:rPr>
                                          <w:rFonts w:ascii="Times New Roman"/>
                                          <w:sz w:val="18"/>
                                          <w:szCs w:val="18"/>
                                        </w:rPr>
                                      </w:pPr>
                                      <w:r>
                                        <w:rPr>
                                          <w:rFonts w:hint="eastAsia" w:ascii="Times New Roman"/>
                                          <w:sz w:val="18"/>
                                          <w:szCs w:val="18"/>
                                        </w:rPr>
                                        <w:t>噪声、扬尘、水土流失、</w:t>
                                      </w:r>
                                    </w:p>
                                    <w:p>
                                      <w:pPr>
                                        <w:pStyle w:val="80"/>
                                        <w:autoSpaceDE/>
                                        <w:adjustRightInd/>
                                        <w:spacing w:line="280" w:lineRule="exact"/>
                                        <w:rPr>
                                          <w:rFonts w:ascii="Times New Roman"/>
                                          <w:sz w:val="18"/>
                                          <w:szCs w:val="18"/>
                                          <w:lang w:eastAsia="en-US"/>
                                        </w:rPr>
                                      </w:pPr>
                                      <w:r>
                                        <w:rPr>
                                          <w:rFonts w:hint="eastAsia" w:ascii="Times New Roman"/>
                                          <w:sz w:val="18"/>
                                          <w:szCs w:val="18"/>
                                        </w:rPr>
                                        <w:t>生活垃圾</w:t>
                                      </w:r>
                                    </w:p>
                                    <w:p>
                                      <w:pPr>
                                        <w:rPr>
                                          <w:rFonts w:asciiTheme="minorHAnsi"/>
                                          <w:szCs w:val="22"/>
                                        </w:rPr>
                                      </w:pPr>
                                    </w:p>
                                    <w:p/>
                                  </w:txbxContent>
                                </wps:txbx>
                                <wps:bodyPr rot="0" vert="horz" wrap="square" lIns="91440" tIns="45720" rIns="91440" bIns="45720" anchor="t" anchorCtr="0" upright="1">
                                  <a:noAutofit/>
                                </wps:bodyPr>
                              </wps:wsp>
                              <wps:wsp>
                                <wps:cNvPr id="58" name="Text Box 12816"/>
                                <wps:cNvSpPr txBox="1">
                                  <a:spLocks noChangeArrowheads="1"/>
                                </wps:cNvSpPr>
                                <wps:spPr bwMode="auto">
                                  <a:xfrm>
                                    <a:off x="2708" y="2028"/>
                                    <a:ext cx="3150" cy="1062"/>
                                  </a:xfrm>
                                  <a:prstGeom prst="rect">
                                    <a:avLst/>
                                  </a:prstGeom>
                                  <a:solidFill>
                                    <a:srgbClr val="FFFFFF"/>
                                  </a:solidFill>
                                  <a:ln w="9525">
                                    <a:solidFill>
                                      <a:schemeClr val="tx1"/>
                                    </a:solidFill>
                                    <a:prstDash val="lgDash"/>
                                    <a:miter lim="800000"/>
                                  </a:ln>
                                </wps:spPr>
                                <wps:txbx>
                                  <w:txbxContent>
                                    <w:p>
                                      <w:pPr>
                                        <w:rPr>
                                          <w:sz w:val="18"/>
                                          <w:szCs w:val="18"/>
                                        </w:rPr>
                                      </w:pPr>
                                      <w:r>
                                        <w:rPr>
                                          <w:rFonts w:hint="eastAsia"/>
                                          <w:sz w:val="18"/>
                                          <w:szCs w:val="18"/>
                                        </w:rPr>
                                        <w:t>噪声、扬尘、施工机械燃油废气、水土流失、施工废水、生活污水、生活垃圾</w:t>
                                      </w:r>
                                    </w:p>
                                    <w:p>
                                      <w:pPr>
                                        <w:rPr>
                                          <w:sz w:val="18"/>
                                          <w:szCs w:val="18"/>
                                        </w:rPr>
                                      </w:pPr>
                                    </w:p>
                                  </w:txbxContent>
                                </wps:txbx>
                                <wps:bodyPr rot="0" vert="horz" wrap="square" lIns="91440" tIns="45720" rIns="91440" bIns="45720" anchor="t" anchorCtr="0" upright="1">
                                  <a:noAutofit/>
                                </wps:bodyPr>
                              </wps:wsp>
                              <wps:wsp>
                                <wps:cNvPr id="59" name="Rectangle 12817"/>
                                <wps:cNvSpPr>
                                  <a:spLocks noChangeArrowheads="1"/>
                                </wps:cNvSpPr>
                                <wps:spPr bwMode="auto">
                                  <a:xfrm>
                                    <a:off x="1973" y="0"/>
                                    <a:ext cx="4725" cy="1404"/>
                                  </a:xfrm>
                                  <a:prstGeom prst="rect">
                                    <a:avLst/>
                                  </a:prstGeom>
                                  <a:solidFill>
                                    <a:srgbClr val="FFFFFF"/>
                                  </a:solidFill>
                                  <a:ln w="15875">
                                    <a:solidFill>
                                      <a:schemeClr val="tx1"/>
                                    </a:solidFill>
                                    <a:prstDash val="dash"/>
                                    <a:miter lim="800000"/>
                                  </a:ln>
                                </wps:spPr>
                                <wps:bodyPr rot="0" vert="horz" wrap="square" lIns="91440" tIns="45720" rIns="91440" bIns="45720" anchor="t" anchorCtr="0" upright="1">
                                  <a:noAutofit/>
                                </wps:bodyPr>
                              </wps:wsp>
                              <wps:wsp>
                                <wps:cNvPr id="60" name="Text Box 12818"/>
                                <wps:cNvSpPr txBox="1">
                                  <a:spLocks noChangeArrowheads="1"/>
                                </wps:cNvSpPr>
                                <wps:spPr bwMode="auto">
                                  <a:xfrm>
                                    <a:off x="6920" y="1800"/>
                                    <a:ext cx="2100" cy="1069"/>
                                  </a:xfrm>
                                  <a:prstGeom prst="rect">
                                    <a:avLst/>
                                  </a:prstGeom>
                                  <a:solidFill>
                                    <a:srgbClr val="FFFFFF"/>
                                  </a:solidFill>
                                  <a:ln w="9525">
                                    <a:solidFill>
                                      <a:schemeClr val="tx1"/>
                                    </a:solidFill>
                                    <a:prstDash val="lgDash"/>
                                    <a:miter lim="800000"/>
                                  </a:ln>
                                </wps:spPr>
                                <wps:txbx>
                                  <w:txbxContent>
                                    <w:p>
                                      <w:pPr>
                                        <w:pStyle w:val="80"/>
                                        <w:autoSpaceDE/>
                                        <w:adjustRightInd/>
                                        <w:rPr>
                                          <w:rFonts w:ascii="Times New Roman"/>
                                          <w:sz w:val="18"/>
                                          <w:szCs w:val="18"/>
                                        </w:rPr>
                                      </w:pPr>
                                      <w:r>
                                        <w:rPr>
                                          <w:rFonts w:hint="eastAsia" w:ascii="Times New Roman"/>
                                          <w:sz w:val="18"/>
                                          <w:szCs w:val="18"/>
                                        </w:rPr>
                                        <w:t>噪声、生活污水</w:t>
                                      </w:r>
                                    </w:p>
                                    <w:p>
                                      <w:pPr>
                                        <w:pStyle w:val="80"/>
                                        <w:autoSpaceDE/>
                                        <w:adjustRightInd/>
                                        <w:rPr>
                                          <w:rFonts w:ascii="Times New Roman"/>
                                          <w:sz w:val="18"/>
                                          <w:szCs w:val="18"/>
                                        </w:rPr>
                                      </w:pPr>
                                      <w:r>
                                        <w:rPr>
                                          <w:rFonts w:hint="eastAsia" w:ascii="Times New Roman"/>
                                          <w:sz w:val="18"/>
                                          <w:szCs w:val="18"/>
                                        </w:rPr>
                                        <w:t>电磁环境、生活垃圾</w:t>
                                      </w:r>
                                    </w:p>
                                    <w:p>
                                      <w:pPr>
                                        <w:rPr>
                                          <w:sz w:val="18"/>
                                          <w:szCs w:val="18"/>
                                        </w:rPr>
                                      </w:pPr>
                                    </w:p>
                                  </w:txbxContent>
                                </wps:txbx>
                                <wps:bodyPr rot="0" vert="horz" wrap="square" lIns="91440" tIns="45720" rIns="91440" bIns="45720" anchor="t" anchorCtr="0" upright="1">
                                  <a:noAutofit/>
                                </wps:bodyPr>
                              </wps:wsp>
                              <wps:wsp>
                                <wps:cNvPr id="61" name="Text Box 12819"/>
                                <wps:cNvSpPr txBox="1">
                                  <a:spLocks noChangeArrowheads="1"/>
                                </wps:cNvSpPr>
                                <wps:spPr bwMode="auto">
                                  <a:xfrm>
                                    <a:off x="2183" y="342"/>
                                    <a:ext cx="1575" cy="754"/>
                                  </a:xfrm>
                                  <a:prstGeom prst="rect">
                                    <a:avLst/>
                                  </a:prstGeom>
                                  <a:solidFill>
                                    <a:srgbClr val="FFFFFF"/>
                                  </a:solidFill>
                                  <a:ln w="9525">
                                    <a:solidFill>
                                      <a:schemeClr val="tx1"/>
                                    </a:solidFill>
                                    <a:miter lim="800000"/>
                                  </a:ln>
                                </wps:spPr>
                                <wps:txbx>
                                  <w:txbxContent>
                                    <w:p>
                                      <w:pPr>
                                        <w:pStyle w:val="80"/>
                                        <w:autoSpaceDE/>
                                        <w:adjustRightInd/>
                                        <w:spacing w:line="240" w:lineRule="exact"/>
                                        <w:jc w:val="both"/>
                                        <w:rPr>
                                          <w:sz w:val="21"/>
                                          <w:szCs w:val="21"/>
                                        </w:rPr>
                                      </w:pPr>
                                      <w:r>
                                        <w:rPr>
                                          <w:rFonts w:hint="eastAsia"/>
                                          <w:sz w:val="21"/>
                                          <w:szCs w:val="21"/>
                                        </w:rPr>
                                        <w:t>基础开挖建设</w:t>
                                      </w:r>
                                    </w:p>
                                    <w:p>
                                      <w:pPr>
                                        <w:rPr>
                                          <w:szCs w:val="21"/>
                                        </w:rPr>
                                      </w:pPr>
                                    </w:p>
                                  </w:txbxContent>
                                </wps:txbx>
                                <wps:bodyPr rot="0" vert="horz" wrap="square" lIns="91440" tIns="45720" rIns="91440" bIns="45720" anchor="t" anchorCtr="0" upright="1">
                                  <a:noAutofit/>
                                </wps:bodyPr>
                              </wps:wsp>
                              <wps:wsp>
                                <wps:cNvPr id="62" name="Text Box 12820"/>
                                <wps:cNvSpPr txBox="1">
                                  <a:spLocks noChangeArrowheads="1"/>
                                </wps:cNvSpPr>
                                <wps:spPr bwMode="auto">
                                  <a:xfrm>
                                    <a:off x="4250" y="468"/>
                                    <a:ext cx="2379" cy="545"/>
                                  </a:xfrm>
                                  <a:prstGeom prst="rect">
                                    <a:avLst/>
                                  </a:prstGeom>
                                  <a:solidFill>
                                    <a:srgbClr val="FFFFFF"/>
                                  </a:solidFill>
                                  <a:ln w="9525">
                                    <a:solidFill>
                                      <a:schemeClr val="tx1"/>
                                    </a:solidFill>
                                    <a:miter lim="800000"/>
                                  </a:ln>
                                </wps:spPr>
                                <wps:txbx>
                                  <w:txbxContent>
                                    <w:p>
                                      <w:pPr>
                                        <w:pStyle w:val="80"/>
                                        <w:autoSpaceDE/>
                                        <w:adjustRightInd/>
                                        <w:spacing w:line="280" w:lineRule="exact"/>
                                        <w:jc w:val="both"/>
                                        <w:rPr>
                                          <w:sz w:val="21"/>
                                          <w:szCs w:val="21"/>
                                        </w:rPr>
                                      </w:pPr>
                                      <w:r>
                                        <w:rPr>
                                          <w:rFonts w:hint="eastAsia"/>
                                          <w:sz w:val="21"/>
                                          <w:szCs w:val="21"/>
                                        </w:rPr>
                                        <w:t>房屋建设设备安装</w:t>
                                      </w:r>
                                    </w:p>
                                    <w:p>
                                      <w:pPr>
                                        <w:rPr>
                                          <w:szCs w:val="21"/>
                                        </w:rPr>
                                      </w:pPr>
                                    </w:p>
                                  </w:txbxContent>
                                </wps:txbx>
                                <wps:bodyPr rot="0" vert="horz" wrap="square" lIns="91440" tIns="45720" rIns="91440" bIns="45720" anchor="t" anchorCtr="0" upright="1">
                                  <a:noAutofit/>
                                </wps:bodyPr>
                              </wps:wsp>
                              <wps:wsp>
                                <wps:cNvPr id="63" name="Line 12821"/>
                                <wps:cNvCnPr>
                                  <a:cxnSpLocks noChangeShapeType="1"/>
                                </wps:cNvCnPr>
                                <wps:spPr bwMode="auto">
                                  <a:xfrm>
                                    <a:off x="1448" y="676"/>
                                    <a:ext cx="735" cy="0"/>
                                  </a:xfrm>
                                  <a:prstGeom prst="line">
                                    <a:avLst/>
                                  </a:prstGeom>
                                  <a:noFill/>
                                  <a:ln w="9525">
                                    <a:solidFill>
                                      <a:schemeClr val="tx1"/>
                                    </a:solidFill>
                                    <a:round/>
                                    <a:tailEnd type="triangle" w="med" len="lg"/>
                                  </a:ln>
                                </wps:spPr>
                                <wps:bodyPr/>
                              </wps:wsp>
                              <wps:wsp>
                                <wps:cNvPr id="64" name="Line 12822"/>
                                <wps:cNvCnPr>
                                  <a:cxnSpLocks noChangeShapeType="1"/>
                                  <a:stCxn id="62" idx="3"/>
                                  <a:endCxn id="53" idx="1"/>
                                </wps:cNvCnPr>
                                <wps:spPr bwMode="auto">
                                  <a:xfrm flipV="1">
                                    <a:off x="6629" y="736"/>
                                    <a:ext cx="593" cy="5"/>
                                  </a:xfrm>
                                  <a:prstGeom prst="line">
                                    <a:avLst/>
                                  </a:prstGeom>
                                  <a:noFill/>
                                  <a:ln w="9525">
                                    <a:solidFill>
                                      <a:schemeClr val="tx1"/>
                                    </a:solidFill>
                                    <a:round/>
                                    <a:tailEnd type="triangle" w="med" len="lg"/>
                                  </a:ln>
                                </wps:spPr>
                                <wps:bodyPr/>
                              </wps:wsp>
                            </wpg:grpSp>
                            <wps:wsp>
                              <wps:cNvPr id="51" name="Line 12823"/>
                              <wps:cNvCnPr>
                                <a:cxnSpLocks noChangeShapeType="1"/>
                              </wps:cNvCnPr>
                              <wps:spPr bwMode="auto">
                                <a:xfrm flipV="1">
                                  <a:off x="3741" y="702"/>
                                  <a:ext cx="509" cy="2"/>
                                </a:xfrm>
                                <a:prstGeom prst="line">
                                  <a:avLst/>
                                </a:prstGeom>
                                <a:noFill/>
                                <a:ln w="9525">
                                  <a:solidFill>
                                    <a:schemeClr val="tx1"/>
                                  </a:solidFill>
                                  <a:round/>
                                  <a:tailEnd type="triangle" w="med" len="med"/>
                                </a:ln>
                              </wps:spPr>
                              <wps:bodyPr/>
                            </wps:wsp>
                          </wpg:wgp>
                        </a:graphicData>
                      </a:graphic>
                    </wp:anchor>
                  </w:drawing>
                </mc:Choice>
                <mc:Fallback>
                  <w:pict>
                    <v:group id="_x0000_s1026" o:spid="_x0000_s1026" o:spt="203" style="position:absolute;left:0pt;margin-left:6.05pt;margin-top:27.85pt;height:128.4pt;width:394.9pt;mso-wrap-distance-bottom:0pt;mso-wrap-distance-left:9pt;mso-wrap-distance-right:9pt;mso-wrap-distance-top:0pt;z-index:251661312;mso-width-relative:page;mso-height-relative:page;" coordsize="9020,3090" o:gfxdata="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">
                      <o:lock v:ext="edit" aspectratio="f"/>
                      <v:group id="Group 12809" o:spid="_x0000_s1026" o:spt="203" style="position:absolute;left:0;top:0;height:3090;width:9020;" coordsize="9020,309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Text Box 12810" o:spid="_x0000_s1026" o:spt="202" type="#_x0000_t202" style="position:absolute;left:0;top:399;height:537;width:1448;" fillcolor="#FFFFFF" filled="t" stroked="t" coordsize="21600,21600" o:gfxdata="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F31vQAA&#10;ANsAAAAPAAAAAAAAAAEAIAAAACIAAABkcnMvZG93bnJldi54bWxQSwECFAAUAAAACACHTuJAMy8F&#10;njsAAAA5AAAAEAAAAAAAAAABACAAAAAMAQAAZHJzL3NoYXBleG1sLnhtbFBLBQYAAAAABgAGAFsB&#10;AAC2AwAAAAA=&#10;">
                          <v:fill on="t" focussize="0,0"/>
                          <v:stroke color="#000000 [3213]" miterlimit="8" joinstyle="miter"/>
                          <v:imagedata o:title=""/>
                          <o:lock v:ext="edit" aspectratio="f"/>
                          <v:textbox>
                            <w:txbxContent>
                              <w:p>
                                <w:pPr>
                                  <w:pStyle w:val="80"/>
                                  <w:autoSpaceDE/>
                                  <w:adjustRightInd/>
                                  <w:spacing w:line="240" w:lineRule="exact"/>
                                  <w:jc w:val="both"/>
                                  <w:rPr>
                                    <w:rFonts w:ascii="Times New Roman"/>
                                    <w:sz w:val="21"/>
                                  </w:rPr>
                                </w:pPr>
                                <w:r>
                                  <w:rPr>
                                    <w:rFonts w:hint="eastAsia" w:ascii="Times New Roman"/>
                                    <w:sz w:val="21"/>
                                  </w:rPr>
                                  <w:t>场地平整</w:t>
                                </w:r>
                              </w:p>
                              <w:p/>
                            </w:txbxContent>
                          </v:textbox>
                        </v:shape>
                        <v:shape id="Text Box 12811" o:spid="_x0000_s1026" o:spt="202" type="#_x0000_t202" style="position:absolute;left:7222;top:429;height:614;width:1485;" fillcolor="#FFFFFF" filled="t" stroked="t" coordsize="21600,21600" o:gfxdata="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huvQAA&#10;ANsAAAAPAAAAAAAAAAEAIAAAACIAAABkcnMvZG93bnJldi54bWxQSwECFAAUAAAACACHTuJAMy8F&#10;njsAAAA5AAAAEAAAAAAAAAABACAAAAAMAQAAZHJzL3NoYXBleG1sLnhtbFBLBQYAAAAABgAGAFsB&#10;AAC2AwAAAAA=&#10;">
                          <v:fill on="t" focussize="0,0"/>
                          <v:stroke color="#000000 [3213]" miterlimit="8" joinstyle="miter"/>
                          <v:imagedata o:title=""/>
                          <o:lock v:ext="edit" aspectratio="f"/>
                          <v:textbox>
                            <w:txbxContent>
                              <w:p>
                                <w:pPr>
                                  <w:pStyle w:val="80"/>
                                  <w:autoSpaceDE/>
                                  <w:adjustRightInd/>
                                  <w:spacing w:line="280" w:lineRule="exact"/>
                                  <w:rPr>
                                    <w:rFonts w:ascii="Times New Roman"/>
                                    <w:sz w:val="21"/>
                                  </w:rPr>
                                </w:pPr>
                                <w:r>
                                  <w:rPr>
                                    <w:rFonts w:hint="eastAsia" w:ascii="Times New Roman"/>
                                    <w:sz w:val="21"/>
                                  </w:rPr>
                                  <w:t>投产</w:t>
                                </w:r>
                                <w:r>
                                  <w:rPr>
                                    <w:rFonts w:hint="eastAsia"/>
                                    <w:sz w:val="21"/>
                                  </w:rPr>
                                  <w:t>使用</w:t>
                                </w:r>
                              </w:p>
                              <w:p>
                                <w:pPr>
                                  <w:pStyle w:val="80"/>
                                  <w:autoSpaceDE/>
                                  <w:adjustRightInd/>
                                  <w:spacing w:line="240" w:lineRule="exact"/>
                                  <w:jc w:val="both"/>
                                  <w:rPr>
                                    <w:rFonts w:ascii="Times New Roman"/>
                                    <w:sz w:val="21"/>
                                  </w:rPr>
                                </w:pPr>
                              </w:p>
                              <w:p>
                                <w:pPr>
                                  <w:rPr>
                                    <w:rFonts w:asciiTheme="minorHAnsi"/>
                                  </w:rPr>
                                </w:pPr>
                              </w:p>
                              <w:p/>
                            </w:txbxContent>
                          </v:textbox>
                        </v:shape>
                        <v:line id="Line 12812" o:spid="_x0000_s1026" o:spt="20" style="position:absolute;left:818;top:936;height:780;width:0;" filled="f" stroked="t" coordsize="21600,21600" o:gfxdata="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7Ft8vQAA&#10;ANsAAAAPAAAAAAAAAAEAIAAAACIAAABkcnMvZG93bnJldi54bWxQSwECFAAUAAAACACHTuJAMy8F&#10;njsAAAA5AAAAEAAAAAAAAAABACAAAAAMAQAAZHJzL3NoYXBleG1sLnhtbFBLBQYAAAAABgAGAFsB&#10;AAC2AwAAAAA=&#10;">
                          <v:fill on="f" focussize="0,0"/>
                          <v:stroke color="#000000 [3213]" joinstyle="round" dashstyle="longDash" endarrow="block" endarrowlength="long"/>
                          <v:imagedata o:title=""/>
                          <o:lock v:ext="edit" aspectratio="f"/>
                        </v:line>
                        <v:line id="Line 12813" o:spid="_x0000_s1026" o:spt="20" style="position:absolute;left:4178;top:1404;height:624;width:0;" filled="f" stroked="t" coordsize="21600,21600" o:gfxdata="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574A&#10;AADbAAAADwAAAAAAAAABACAAAAAiAAAAZHJzL2Rvd25yZXYueG1sUEsBAhQAFAAAAAgAh07iQDMv&#10;BZ47AAAAOQAAABAAAAAAAAAAAQAgAAAADQEAAGRycy9zaGFwZXhtbC54bWxQSwUGAAAAAAYABgBb&#10;AQAAtwMAAAAA&#10;">
                          <v:fill on="f" focussize="0,0"/>
                          <v:stroke color="#000000 [3213]" joinstyle="round" dashstyle="longDash" endarrow="block" endarrowlength="long"/>
                          <v:imagedata o:title=""/>
                          <o:lock v:ext="edit" aspectratio="f"/>
                        </v:line>
                        <v:line id="Line 12814" o:spid="_x0000_s1026" o:spt="20" style="position:absolute;left:7965;top:1043;height:757;width:5;" filled="f" stroked="t" coordsize="21600,21600" o:gfxdata="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yYJC8AAAA&#10;2wAAAA8AAAAAAAAAAQAgAAAAIgAAAGRycy9kb3ducmV2LnhtbFBLAQIUABQAAAAIAIdO4kAzLwWe&#10;OwAAADkAAAAQAAAAAAAAAAEAIAAAAAsBAABkcnMvc2hhcGV4bWwueG1sUEsFBgAAAAAGAAYAWwEA&#10;ALUDAAAAAA==&#10;">
                          <v:fill on="f" focussize="0,0"/>
                          <v:stroke color="#000000 [3213]" joinstyle="round" dashstyle="longDash" endarrow="block" endarrowlength="long"/>
                          <v:imagedata o:title=""/>
                          <o:lock v:ext="edit" aspectratio="f"/>
                        </v:line>
                        <v:shape id="Text Box 12815" o:spid="_x0000_s1026" o:spt="202" type="#_x0000_t202" style="position:absolute;left:57;top:1716;height:1222;width:1470;" fillcolor="#FFFFFF" filled="t" stroked="t" coordsize="21600,21600" o:gfxdata="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1qSO5AAAA2wAA&#10;AA8AAAAAAAAAAQAgAAAAIgAAAGRycy9kb3ducmV2LnhtbFBLAQIUABQAAAAIAIdO4kAzLwWeOwAA&#10;ADkAAAAQAAAAAAAAAAEAIAAAAAgBAABkcnMvc2hhcGV4bWwueG1sUEsFBgAAAAAGAAYAWwEAALID&#10;AAAAAA==&#10;">
                          <v:fill on="t" focussize="0,0"/>
                          <v:stroke color="#000000 [3213]" miterlimit="8" joinstyle="miter" dashstyle="longDash"/>
                          <v:imagedata o:title=""/>
                          <o:lock v:ext="edit" aspectratio="f"/>
                          <v:textbox>
                            <w:txbxContent>
                              <w:p>
                                <w:pPr>
                                  <w:pStyle w:val="80"/>
                                  <w:autoSpaceDE/>
                                  <w:adjustRightInd/>
                                  <w:spacing w:line="280" w:lineRule="exact"/>
                                  <w:rPr>
                                    <w:rFonts w:ascii="Times New Roman"/>
                                    <w:sz w:val="18"/>
                                    <w:szCs w:val="18"/>
                                  </w:rPr>
                                </w:pPr>
                                <w:r>
                                  <w:rPr>
                                    <w:rFonts w:hint="eastAsia" w:ascii="Times New Roman"/>
                                    <w:sz w:val="18"/>
                                    <w:szCs w:val="18"/>
                                  </w:rPr>
                                  <w:t>噪声、扬尘、水土流失、</w:t>
                                </w:r>
                              </w:p>
                              <w:p>
                                <w:pPr>
                                  <w:pStyle w:val="80"/>
                                  <w:autoSpaceDE/>
                                  <w:adjustRightInd/>
                                  <w:spacing w:line="280" w:lineRule="exact"/>
                                  <w:rPr>
                                    <w:rFonts w:ascii="Times New Roman"/>
                                    <w:sz w:val="18"/>
                                    <w:szCs w:val="18"/>
                                    <w:lang w:eastAsia="en-US"/>
                                  </w:rPr>
                                </w:pPr>
                                <w:r>
                                  <w:rPr>
                                    <w:rFonts w:hint="eastAsia" w:ascii="Times New Roman"/>
                                    <w:sz w:val="18"/>
                                    <w:szCs w:val="18"/>
                                  </w:rPr>
                                  <w:t>生活垃圾</w:t>
                                </w:r>
                              </w:p>
                              <w:p>
                                <w:pPr>
                                  <w:rPr>
                                    <w:rFonts w:asciiTheme="minorHAnsi"/>
                                    <w:szCs w:val="22"/>
                                  </w:rPr>
                                </w:pPr>
                              </w:p>
                              <w:p/>
                            </w:txbxContent>
                          </v:textbox>
                        </v:shape>
                        <v:shape id="Text Box 12816" o:spid="_x0000_s1026" o:spt="202" type="#_x0000_t202" style="position:absolute;left:2708;top:2028;height:1062;width:3150;" fillcolor="#FFFFFF" filled="t" stroked="t" coordsize="21600,21600" o:gfxdata="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o9UbsAAADb&#10;AAAADwAAAAAAAAABACAAAAAiAAAAZHJzL2Rvd25yZXYueG1sUEsBAhQAFAAAAAgAh07iQDMvBZ47&#10;AAAAOQAAABAAAAAAAAAAAQAgAAAACgEAAGRycy9zaGFwZXhtbC54bWxQSwUGAAAAAAYABgBbAQAA&#10;tAMAAAAA&#10;">
                          <v:fill on="t" focussize="0,0"/>
                          <v:stroke color="#000000 [3213]" miterlimit="8" joinstyle="miter" dashstyle="longDash"/>
                          <v:imagedata o:title=""/>
                          <o:lock v:ext="edit" aspectratio="f"/>
                          <v:textbox>
                            <w:txbxContent>
                              <w:p>
                                <w:pPr>
                                  <w:rPr>
                                    <w:sz w:val="18"/>
                                    <w:szCs w:val="18"/>
                                  </w:rPr>
                                </w:pPr>
                                <w:r>
                                  <w:rPr>
                                    <w:rFonts w:hint="eastAsia"/>
                                    <w:sz w:val="18"/>
                                    <w:szCs w:val="18"/>
                                  </w:rPr>
                                  <w:t>噪声、扬尘、施工机械燃油废气、水土流失、施工废水、生活污水、生活垃圾</w:t>
                                </w:r>
                              </w:p>
                              <w:p>
                                <w:pPr>
                                  <w:rPr>
                                    <w:sz w:val="18"/>
                                    <w:szCs w:val="18"/>
                                  </w:rPr>
                                </w:pPr>
                              </w:p>
                            </w:txbxContent>
                          </v:textbox>
                        </v:shape>
                        <v:rect id="Rectangle 12817" o:spid="_x0000_s1026" o:spt="1" style="position:absolute;left:1973;top:0;height:1404;width:4725;" fillcolor="#FFFFFF" filled="t" stroked="t" coordsize="21600,21600" o:gfxdata="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xpty8AAAA&#10;2wAAAA8AAAAAAAAAAQAgAAAAIgAAAGRycy9kb3ducmV2LnhtbFBLAQIUABQAAAAIAIdO4kAzLwWe&#10;OwAAADkAAAAQAAAAAAAAAAEAIAAAAAsBAABkcnMvc2hhcGV4bWwueG1sUEsFBgAAAAAGAAYAWwEA&#10;ALUDAAAAAA==&#10;">
                          <v:fill on="t" focussize="0,0"/>
                          <v:stroke weight="1.25pt" color="#000000 [3213]" miterlimit="8" joinstyle="miter" dashstyle="dash"/>
                          <v:imagedata o:title=""/>
                          <o:lock v:ext="edit" aspectratio="f"/>
                        </v:rect>
                        <v:shape id="Text Box 12818" o:spid="_x0000_s1026" o:spt="202" type="#_x0000_t202" style="position:absolute;left:6920;top:1800;height:1069;width:2100;" fillcolor="#FFFFFF" filled="t" stroked="t" coordsize="21600,21600" o:gfxdata="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D76rsAAADb&#10;AAAADwAAAAAAAAABACAAAAAiAAAAZHJzL2Rvd25yZXYueG1sUEsBAhQAFAAAAAgAh07iQDMvBZ47&#10;AAAAOQAAABAAAAAAAAAAAQAgAAAACgEAAGRycy9zaGFwZXhtbC54bWxQSwUGAAAAAAYABgBbAQAA&#10;tAMAAAAA&#10;">
                          <v:fill on="t" focussize="0,0"/>
                          <v:stroke color="#000000 [3213]" miterlimit="8" joinstyle="miter" dashstyle="longDash"/>
                          <v:imagedata o:title=""/>
                          <o:lock v:ext="edit" aspectratio="f"/>
                          <v:textbox>
                            <w:txbxContent>
                              <w:p>
                                <w:pPr>
                                  <w:pStyle w:val="80"/>
                                  <w:autoSpaceDE/>
                                  <w:adjustRightInd/>
                                  <w:rPr>
                                    <w:rFonts w:ascii="Times New Roman"/>
                                    <w:sz w:val="18"/>
                                    <w:szCs w:val="18"/>
                                  </w:rPr>
                                </w:pPr>
                                <w:r>
                                  <w:rPr>
                                    <w:rFonts w:hint="eastAsia" w:ascii="Times New Roman"/>
                                    <w:sz w:val="18"/>
                                    <w:szCs w:val="18"/>
                                  </w:rPr>
                                  <w:t>噪声、生活污水</w:t>
                                </w:r>
                              </w:p>
                              <w:p>
                                <w:pPr>
                                  <w:pStyle w:val="80"/>
                                  <w:autoSpaceDE/>
                                  <w:adjustRightInd/>
                                  <w:rPr>
                                    <w:rFonts w:ascii="Times New Roman"/>
                                    <w:sz w:val="18"/>
                                    <w:szCs w:val="18"/>
                                  </w:rPr>
                                </w:pPr>
                                <w:r>
                                  <w:rPr>
                                    <w:rFonts w:hint="eastAsia" w:ascii="Times New Roman"/>
                                    <w:sz w:val="18"/>
                                    <w:szCs w:val="18"/>
                                  </w:rPr>
                                  <w:t>电磁环境、生活垃圾</w:t>
                                </w:r>
                              </w:p>
                              <w:p>
                                <w:pPr>
                                  <w:rPr>
                                    <w:sz w:val="18"/>
                                    <w:szCs w:val="18"/>
                                  </w:rPr>
                                </w:pPr>
                              </w:p>
                            </w:txbxContent>
                          </v:textbox>
                        </v:shape>
                        <v:shape id="Text Box 12819" o:spid="_x0000_s1026" o:spt="202" type="#_x0000_t202" style="position:absolute;left:2183;top:342;height:754;width:1575;" fillcolor="#FFFFFF" filled="t" stroked="t" coordsize="21600,2160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textbox>
                            <w:txbxContent>
                              <w:p>
                                <w:pPr>
                                  <w:pStyle w:val="80"/>
                                  <w:autoSpaceDE/>
                                  <w:adjustRightInd/>
                                  <w:spacing w:line="240" w:lineRule="exact"/>
                                  <w:jc w:val="both"/>
                                  <w:rPr>
                                    <w:sz w:val="21"/>
                                    <w:szCs w:val="21"/>
                                  </w:rPr>
                                </w:pPr>
                                <w:r>
                                  <w:rPr>
                                    <w:rFonts w:hint="eastAsia"/>
                                    <w:sz w:val="21"/>
                                    <w:szCs w:val="21"/>
                                  </w:rPr>
                                  <w:t>基础开挖建设</w:t>
                                </w:r>
                              </w:p>
                              <w:p>
                                <w:pPr>
                                  <w:rPr>
                                    <w:szCs w:val="21"/>
                                  </w:rPr>
                                </w:pPr>
                              </w:p>
                            </w:txbxContent>
                          </v:textbox>
                        </v:shape>
                        <v:shape id="Text Box 12820" o:spid="_x0000_s1026" o:spt="202" type="#_x0000_t202" style="position:absolute;left:4250;top:468;height:545;width:2379;" fillcolor="#FFFFFF" filled="t" stroked="t" coordsize="21600,21600" o:gfxdata="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dIvQAA&#10;ANsAAAAPAAAAAAAAAAEAIAAAACIAAABkcnMvZG93bnJldi54bWxQSwECFAAUAAAACACHTuJAMy8F&#10;njsAAAA5AAAAEAAAAAAAAAABACAAAAAMAQAAZHJzL3NoYXBleG1sLnhtbFBLBQYAAAAABgAGAFsB&#10;AAC2AwAAAAA=&#10;">
                          <v:fill on="t" focussize="0,0"/>
                          <v:stroke color="#000000 [3213]" miterlimit="8" joinstyle="miter"/>
                          <v:imagedata o:title=""/>
                          <o:lock v:ext="edit" aspectratio="f"/>
                          <v:textbox>
                            <w:txbxContent>
                              <w:p>
                                <w:pPr>
                                  <w:pStyle w:val="80"/>
                                  <w:autoSpaceDE/>
                                  <w:adjustRightInd/>
                                  <w:spacing w:line="280" w:lineRule="exact"/>
                                  <w:jc w:val="both"/>
                                  <w:rPr>
                                    <w:sz w:val="21"/>
                                    <w:szCs w:val="21"/>
                                  </w:rPr>
                                </w:pPr>
                                <w:r>
                                  <w:rPr>
                                    <w:rFonts w:hint="eastAsia"/>
                                    <w:sz w:val="21"/>
                                    <w:szCs w:val="21"/>
                                  </w:rPr>
                                  <w:t>房屋建设设备安装</w:t>
                                </w:r>
                              </w:p>
                              <w:p>
                                <w:pPr>
                                  <w:rPr>
                                    <w:szCs w:val="21"/>
                                  </w:rPr>
                                </w:pPr>
                              </w:p>
                            </w:txbxContent>
                          </v:textbox>
                        </v:shape>
                        <v:line id="Line 12821" o:spid="_x0000_s1026" o:spt="20" style="position:absolute;left:1448;top:676;height:0;width:735;" filled="f" stroked="t" coordsize="21600,21600" o:gfxdata="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fopQvQAA&#10;ANsAAAAPAAAAAAAAAAEAIAAAACIAAABkcnMvZG93bnJldi54bWxQSwECFAAUAAAACACHTuJAMy8F&#10;njsAAAA5AAAAEAAAAAAAAAABACAAAAAMAQAAZHJzL3NoYXBleG1sLnhtbFBLBQYAAAAABgAGAFsB&#10;AAC2AwAAAAA=&#10;">
                          <v:fill on="f" focussize="0,0"/>
                          <v:stroke color="#000000 [3213]" joinstyle="round" endarrow="block" endarrowlength="long"/>
                          <v:imagedata o:title=""/>
                          <o:lock v:ext="edit" aspectratio="f"/>
                        </v:line>
                        <v:line id="Line 12822" o:spid="_x0000_s1026" o:spt="20" style="position:absolute;left:6629;top:736;flip:y;height:5;width:593;" filled="f" stroked="t" coordsize="21600,21600" o:gfxdata="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GfX+/&#10;AAAA2wAAAA8AAAAAAAAAAQAgAAAAIgAAAGRycy9kb3ducmV2LnhtbFBLAQIUABQAAAAIAIdO4kAz&#10;LwWeOwAAADkAAAAQAAAAAAAAAAEAIAAAAA4BAABkcnMvc2hhcGV4bWwueG1sUEsFBgAAAAAGAAYA&#10;WwEAALgDAAAAAA==&#10;">
                          <v:fill on="f" focussize="0,0"/>
                          <v:stroke color="#000000 [3213]" joinstyle="round" endarrow="block" endarrowlength="long"/>
                          <v:imagedata o:title=""/>
                          <o:lock v:ext="edit" aspectratio="f"/>
                        </v:line>
                      </v:group>
                      <v:line id="Line 12823" o:spid="_x0000_s1026" o:spt="20" style="position:absolute;left:3741;top:702;flip:y;height:2;width:509;" filled="f" stroked="t" coordsize="21600,21600" o:gfxdata="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TGLL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line>
                      <w10:wrap type="square"/>
                    </v:group>
                  </w:pict>
                </mc:Fallback>
              </mc:AlternateContent>
            </w:r>
            <w:r>
              <w:rPr>
                <w:rFonts w:hint="eastAsia"/>
                <w:color w:val="auto"/>
                <w:sz w:val="24"/>
                <w:highlight w:val="none"/>
              </w:rPr>
              <w:t>主要产污环节图见图</w:t>
            </w:r>
            <w:r>
              <w:rPr>
                <w:color w:val="auto"/>
                <w:sz w:val="24"/>
                <w:highlight w:val="none"/>
              </w:rPr>
              <w:t>2-3</w:t>
            </w:r>
            <w:r>
              <w:rPr>
                <w:rFonts w:hint="eastAsia"/>
                <w:color w:val="auto"/>
                <w:sz w:val="24"/>
                <w:highlight w:val="none"/>
              </w:rPr>
              <w:t>所示。</w:t>
            </w:r>
          </w:p>
          <w:p>
            <w:pPr>
              <w:spacing w:before="120" w:beforeLines="50" w:line="360" w:lineRule="auto"/>
              <w:jc w:val="center"/>
              <w:rPr>
                <w:b/>
                <w:color w:val="auto"/>
                <w:sz w:val="24"/>
                <w:highlight w:val="none"/>
              </w:rPr>
            </w:pPr>
            <w:r>
              <w:rPr>
                <w:rFonts w:hint="eastAsia"/>
                <w:b/>
                <w:color w:val="auto"/>
                <w:sz w:val="24"/>
                <w:highlight w:val="none"/>
              </w:rPr>
              <w:t>图</w:t>
            </w:r>
            <w:r>
              <w:rPr>
                <w:b/>
                <w:color w:val="auto"/>
                <w:sz w:val="24"/>
                <w:highlight w:val="none"/>
              </w:rPr>
              <w:t xml:space="preserve">2-3  </w:t>
            </w:r>
            <w:r>
              <w:rPr>
                <w:rFonts w:hint="eastAsia"/>
                <w:b/>
                <w:color w:val="auto"/>
                <w:sz w:val="24"/>
                <w:highlight w:val="none"/>
              </w:rPr>
              <w:t>变电站施工流程及产污节点示意图</w:t>
            </w:r>
          </w:p>
          <w:p>
            <w:pPr>
              <w:spacing w:line="360" w:lineRule="auto"/>
              <w:ind w:firstLine="480" w:firstLineChars="200"/>
              <w:rPr>
                <w:color w:val="auto"/>
                <w:sz w:val="24"/>
                <w:highlight w:val="none"/>
              </w:rPr>
            </w:pPr>
            <w:r>
              <w:rPr>
                <w:rFonts w:hint="eastAsia"/>
                <w:color w:val="auto"/>
                <w:sz w:val="24"/>
                <w:highlight w:val="none"/>
              </w:rPr>
              <w:t>变电站施工工艺：</w:t>
            </w:r>
          </w:p>
          <w:p>
            <w:pPr>
              <w:spacing w:line="360" w:lineRule="auto"/>
              <w:ind w:firstLine="480" w:firstLineChars="200"/>
              <w:rPr>
                <w:rFonts w:hint="eastAsia" w:eastAsia="宋体"/>
                <w:color w:val="auto"/>
                <w:sz w:val="24"/>
                <w:highlight w:val="none"/>
                <w:lang w:eastAsia="zh-CN"/>
              </w:rPr>
            </w:pPr>
            <w:r>
              <w:rPr>
                <w:rFonts w:hint="eastAsia"/>
                <w:color w:val="auto"/>
                <w:sz w:val="24"/>
                <w:highlight w:val="none"/>
              </w:rPr>
              <w:t>（</w:t>
            </w:r>
            <w:r>
              <w:rPr>
                <w:color w:val="auto"/>
                <w:sz w:val="24"/>
                <w:highlight w:val="none"/>
              </w:rPr>
              <w:t>1</w:t>
            </w:r>
            <w:r>
              <w:rPr>
                <w:rFonts w:hint="eastAsia"/>
                <w:color w:val="auto"/>
                <w:sz w:val="24"/>
                <w:highlight w:val="none"/>
              </w:rPr>
              <w:t>）场地平整：根据地勘资料，</w:t>
            </w:r>
            <w:r>
              <w:rPr>
                <w:rFonts w:hint="eastAsia"/>
                <w:color w:val="auto"/>
                <w:sz w:val="24"/>
                <w:highlight w:val="none"/>
                <w:lang w:eastAsia="zh-CN"/>
              </w:rPr>
              <w:t>现场有部分乡道拆需要拆除，拆除后</w:t>
            </w:r>
            <w:r>
              <w:rPr>
                <w:rFonts w:hint="eastAsia"/>
                <w:color w:val="auto"/>
                <w:sz w:val="24"/>
                <w:highlight w:val="none"/>
              </w:rPr>
              <w:t>本工程地承载力及变形均满足设计要求，施工前准备测量放轴线及确定桩位。施工前对场地进行平整夯实，确保施工期间正常施工，保证设备移位安全。场地平直后，在场区内建立坐标控制网，不低于</w:t>
            </w:r>
            <w:r>
              <w:rPr>
                <w:color w:val="auto"/>
                <w:sz w:val="24"/>
                <w:highlight w:val="none"/>
              </w:rPr>
              <w:t>3</w:t>
            </w:r>
            <w:r>
              <w:rPr>
                <w:rFonts w:hint="eastAsia"/>
                <w:color w:val="auto"/>
                <w:sz w:val="24"/>
                <w:highlight w:val="none"/>
              </w:rPr>
              <w:t>个基准点，其沉降观测点布置需要满足</w:t>
            </w:r>
            <w:r>
              <w:rPr>
                <w:color w:val="auto"/>
                <w:sz w:val="24"/>
                <w:highlight w:val="none"/>
              </w:rPr>
              <w:t>GIS</w:t>
            </w:r>
            <w:r>
              <w:rPr>
                <w:rFonts w:hint="eastAsia"/>
                <w:color w:val="auto"/>
                <w:sz w:val="24"/>
                <w:highlight w:val="none"/>
              </w:rPr>
              <w:t>基础四角，沿基础每</w:t>
            </w:r>
            <w:r>
              <w:rPr>
                <w:color w:val="auto"/>
                <w:sz w:val="24"/>
                <w:highlight w:val="none"/>
              </w:rPr>
              <w:t>10m-15m</w:t>
            </w:r>
            <w:r>
              <w:rPr>
                <w:rFonts w:hint="eastAsia"/>
                <w:color w:val="auto"/>
                <w:sz w:val="24"/>
                <w:highlight w:val="none"/>
              </w:rPr>
              <w:t>，框架式主控楼每隔</w:t>
            </w:r>
            <w:r>
              <w:rPr>
                <w:color w:val="auto"/>
                <w:sz w:val="24"/>
                <w:highlight w:val="none"/>
              </w:rPr>
              <w:t>2-3</w:t>
            </w:r>
            <w:r>
              <w:rPr>
                <w:rFonts w:hint="eastAsia"/>
                <w:color w:val="auto"/>
                <w:sz w:val="24"/>
                <w:highlight w:val="none"/>
              </w:rPr>
              <w:t>根柱。</w:t>
            </w:r>
          </w:p>
          <w:p>
            <w:pPr>
              <w:spacing w:line="360" w:lineRule="auto"/>
              <w:ind w:firstLine="480" w:firstLineChars="200"/>
              <w:rPr>
                <w:rFonts w:ascii="Arial" w:hAnsi="Arial" w:cs="Arial"/>
                <w:color w:val="auto"/>
                <w:sz w:val="24"/>
                <w:highlight w:val="none"/>
              </w:rPr>
            </w:pPr>
            <w:r>
              <w:rPr>
                <w:rFonts w:hint="eastAsia"/>
                <w:color w:val="auto"/>
                <w:sz w:val="24"/>
                <w:highlight w:val="none"/>
              </w:rPr>
              <w:t>（</w:t>
            </w:r>
            <w:r>
              <w:rPr>
                <w:color w:val="auto"/>
                <w:sz w:val="24"/>
                <w:highlight w:val="none"/>
              </w:rPr>
              <w:t>2</w:t>
            </w:r>
            <w:r>
              <w:rPr>
                <w:rFonts w:hint="eastAsia"/>
                <w:color w:val="auto"/>
                <w:sz w:val="24"/>
                <w:highlight w:val="none"/>
              </w:rPr>
              <w:t>）基础开挖：切线分层开挖</w:t>
            </w:r>
            <w:r>
              <w:rPr>
                <w:rFonts w:ascii="Arial" w:hAnsi="Arial" w:cs="Arial"/>
                <w:color w:val="auto"/>
                <w:sz w:val="24"/>
                <w:highlight w:val="none"/>
              </w:rPr>
              <w:t>→</w:t>
            </w:r>
            <w:r>
              <w:rPr>
                <w:rFonts w:hint="eastAsia" w:ascii="Arial" w:hAnsi="Arial" w:cs="Arial"/>
                <w:color w:val="auto"/>
                <w:sz w:val="24"/>
                <w:highlight w:val="none"/>
              </w:rPr>
              <w:t>修坡</w:t>
            </w:r>
            <w:r>
              <w:rPr>
                <w:rFonts w:ascii="Arial" w:hAnsi="Arial" w:cs="Arial"/>
                <w:color w:val="auto"/>
                <w:sz w:val="24"/>
                <w:highlight w:val="none"/>
              </w:rPr>
              <w:t>→</w:t>
            </w:r>
            <w:r>
              <w:rPr>
                <w:rFonts w:hint="eastAsia" w:ascii="Arial" w:hAnsi="Arial" w:cs="Arial"/>
                <w:color w:val="auto"/>
                <w:sz w:val="24"/>
                <w:highlight w:val="none"/>
              </w:rPr>
              <w:t>平整槽底</w:t>
            </w:r>
            <w:r>
              <w:rPr>
                <w:rFonts w:ascii="Arial" w:hAnsi="Arial" w:cs="Arial"/>
                <w:color w:val="auto"/>
                <w:sz w:val="24"/>
                <w:highlight w:val="none"/>
              </w:rPr>
              <w:t>→</w:t>
            </w:r>
            <w:r>
              <w:rPr>
                <w:rFonts w:hint="eastAsia" w:ascii="Arial" w:hAnsi="Arial" w:cs="Arial"/>
                <w:color w:val="auto"/>
                <w:sz w:val="24"/>
                <w:highlight w:val="none"/>
              </w:rPr>
              <w:t>留足换留土层等。采用反铲挖掘机进行大开挖，自卸式汽车外运土。根据土质及现场情况，直立开挖处下部采用加固措施，采用胶木做挡土墙，钢管脚手架做支撑。基坑开挖按放线开挖定出开挖深度、分层挖土，以保证施工操作安全。</w:t>
            </w:r>
          </w:p>
          <w:p>
            <w:pPr>
              <w:spacing w:line="360" w:lineRule="auto"/>
              <w:ind w:firstLine="480" w:firstLineChars="200"/>
              <w:rPr>
                <w:color w:val="auto"/>
                <w:sz w:val="24"/>
                <w:highlight w:val="none"/>
              </w:rPr>
            </w:pPr>
            <w:r>
              <w:rPr>
                <w:rFonts w:hint="eastAsia"/>
                <w:color w:val="auto"/>
                <w:sz w:val="24"/>
                <w:highlight w:val="none"/>
              </w:rPr>
              <w:t>（</w:t>
            </w:r>
            <w:r>
              <w:rPr>
                <w:color w:val="auto"/>
                <w:sz w:val="24"/>
                <w:highlight w:val="none"/>
              </w:rPr>
              <w:t>3</w:t>
            </w:r>
            <w:r>
              <w:rPr>
                <w:rFonts w:hint="eastAsia"/>
                <w:color w:val="auto"/>
                <w:sz w:val="24"/>
                <w:highlight w:val="none"/>
              </w:rPr>
              <w:t>）施工现场排水：基坑积水对基坑开挖和混凝土的浇筑影响较大，可在场地四周设置排水沟。基坑下部如遇地下水后，采用潜水泵进行抽排水，以使水位降至坑底以下。</w:t>
            </w:r>
          </w:p>
          <w:p>
            <w:pPr>
              <w:spacing w:line="360" w:lineRule="auto"/>
              <w:ind w:firstLine="480" w:firstLineChars="200"/>
              <w:rPr>
                <w:color w:val="auto"/>
                <w:sz w:val="24"/>
                <w:highlight w:val="none"/>
              </w:rPr>
            </w:pPr>
            <w:r>
              <w:rPr>
                <w:rFonts w:hint="eastAsia"/>
                <w:color w:val="auto"/>
                <w:sz w:val="24"/>
                <w:highlight w:val="none"/>
              </w:rPr>
              <w:t>（</w:t>
            </w:r>
            <w:r>
              <w:rPr>
                <w:color w:val="auto"/>
                <w:sz w:val="24"/>
                <w:highlight w:val="none"/>
              </w:rPr>
              <w:t>4</w:t>
            </w:r>
            <w:r>
              <w:rPr>
                <w:rFonts w:hint="eastAsia"/>
                <w:color w:val="auto"/>
                <w:sz w:val="24"/>
                <w:highlight w:val="none"/>
              </w:rPr>
              <w:t>）钢筋绑扎：钢筋进入现场时必须经检验合格并有出厂合格证。为保证钢筋位置正确以及混凝土钢筋保护层的准确用掺有豆石的水泥砂浆垫块，并将梁板柱的钢筋垫起并用铅丝绑扎固定，以保证混凝土保护层满足设计要求。</w:t>
            </w:r>
          </w:p>
          <w:p>
            <w:pPr>
              <w:spacing w:line="360" w:lineRule="auto"/>
              <w:ind w:firstLine="480" w:firstLineChars="200"/>
              <w:rPr>
                <w:rFonts w:hint="eastAsia"/>
                <w:color w:val="auto"/>
                <w:sz w:val="24"/>
                <w:highlight w:val="none"/>
              </w:rPr>
            </w:pPr>
            <w:r>
              <w:rPr>
                <w:rFonts w:hint="eastAsia"/>
                <w:color w:val="auto"/>
                <w:sz w:val="24"/>
                <w:highlight w:val="none"/>
              </w:rPr>
              <w:t>（</w:t>
            </w:r>
            <w:r>
              <w:rPr>
                <w:color w:val="auto"/>
                <w:sz w:val="24"/>
                <w:highlight w:val="none"/>
              </w:rPr>
              <w:t>5</w:t>
            </w:r>
            <w:r>
              <w:rPr>
                <w:rFonts w:hint="eastAsia"/>
                <w:color w:val="auto"/>
                <w:sz w:val="24"/>
                <w:highlight w:val="none"/>
              </w:rPr>
              <w:t>）房屋建设：模板安装，要求模板有足够的强度、刚度、稳定性。模板支撑要牢固、稳定、可靠。</w:t>
            </w:r>
          </w:p>
          <w:p>
            <w:pPr>
              <w:adjustRightInd w:val="0"/>
              <w:snapToGrid w:val="0"/>
              <w:spacing w:line="360" w:lineRule="auto"/>
              <w:jc w:val="left"/>
              <w:rPr>
                <w:rFonts w:ascii="Times New Roman" w:hAnsi="Times New Roman"/>
                <w:b/>
                <w:bCs/>
                <w:color w:val="auto"/>
                <w:kern w:val="0"/>
              </w:rPr>
            </w:pPr>
            <w:r>
              <w:rPr>
                <w:rFonts w:hint="eastAsia"/>
                <w:b/>
                <w:bCs/>
                <w:color w:val="auto"/>
                <w:sz w:val="24"/>
                <w:highlight w:val="none"/>
                <w:lang w:val="en-US" w:eastAsia="zh-CN"/>
              </w:rPr>
              <w:t>2.14 全德</w:t>
            </w:r>
            <w:r>
              <w:rPr>
                <w:rFonts w:ascii="Times New Roman" w:hAnsi="Times New Roman"/>
                <w:b/>
                <w:bCs/>
                <w:color w:val="auto"/>
                <w:kern w:val="0"/>
                <w:sz w:val="24"/>
              </w:rPr>
              <w:t>变电站间隔扩建</w:t>
            </w:r>
          </w:p>
          <w:p>
            <w:pPr>
              <w:autoSpaceDE w:val="0"/>
              <w:autoSpaceDN w:val="0"/>
              <w:adjustRightInd w:val="0"/>
              <w:snapToGrid w:val="0"/>
              <w:spacing w:line="360" w:lineRule="auto"/>
              <w:ind w:firstLine="480" w:firstLineChars="200"/>
              <w:jc w:val="left"/>
              <w:rPr>
                <w:rFonts w:ascii="Times New Roman" w:hAnsi="Times New Roman"/>
                <w:color w:val="auto"/>
                <w:sz w:val="24"/>
              </w:rPr>
            </w:pPr>
            <w:r>
              <w:rPr>
                <w:rFonts w:ascii="Times New Roman" w:hAnsi="Times New Roman"/>
                <w:bCs/>
                <w:color w:val="auto"/>
                <w:sz w:val="24"/>
              </w:rPr>
              <w:t>本次</w:t>
            </w:r>
            <w:r>
              <w:rPr>
                <w:rFonts w:ascii="Times New Roman" w:hAnsi="Times New Roman"/>
                <w:color w:val="auto"/>
                <w:kern w:val="0"/>
                <w:sz w:val="24"/>
              </w:rPr>
              <w:t>扩建</w:t>
            </w:r>
            <w:r>
              <w:rPr>
                <w:rFonts w:hint="eastAsia" w:ascii="Times New Roman" w:hAnsi="Times New Roman"/>
                <w:color w:val="auto"/>
                <w:kern w:val="0"/>
                <w:sz w:val="24"/>
                <w:lang w:eastAsia="zh-CN"/>
              </w:rPr>
              <w:t>全德</w:t>
            </w:r>
            <w:r>
              <w:rPr>
                <w:rFonts w:ascii="Times New Roman" w:hAnsi="Times New Roman"/>
                <w:color w:val="auto"/>
                <w:kern w:val="0"/>
                <w:sz w:val="24"/>
              </w:rPr>
              <w:t>变电站</w:t>
            </w:r>
            <w:r>
              <w:rPr>
                <w:rFonts w:hint="eastAsia" w:ascii="Times New Roman" w:hAnsi="Times New Roman"/>
                <w:color w:val="auto"/>
                <w:kern w:val="0"/>
                <w:sz w:val="24"/>
                <w:lang w:val="en-US" w:eastAsia="zh-CN"/>
              </w:rPr>
              <w:t>11</w:t>
            </w:r>
            <w:r>
              <w:rPr>
                <w:rFonts w:ascii="Times New Roman" w:hAnsi="Times New Roman"/>
                <w:color w:val="auto"/>
                <w:kern w:val="0"/>
                <w:sz w:val="24"/>
              </w:rPr>
              <w:t>0kV出线间隔2个，完善相关一、二次设备。</w:t>
            </w:r>
            <w:r>
              <w:rPr>
                <w:rFonts w:hint="eastAsia" w:ascii="Times New Roman" w:hAnsi="Times New Roman"/>
                <w:color w:val="auto"/>
                <w:kern w:val="0"/>
                <w:sz w:val="24"/>
                <w:lang w:eastAsia="zh-CN"/>
              </w:rPr>
              <w:t>全德</w:t>
            </w:r>
            <w:r>
              <w:rPr>
                <w:rFonts w:ascii="Times New Roman" w:hAnsi="Times New Roman"/>
                <w:color w:val="auto"/>
                <w:kern w:val="0"/>
                <w:sz w:val="24"/>
              </w:rPr>
              <w:t>变电站内间隔扩建仅在预留位置安装设备，</w:t>
            </w:r>
            <w:r>
              <w:rPr>
                <w:rFonts w:ascii="Times New Roman" w:hAnsi="Times New Roman"/>
                <w:color w:val="auto"/>
                <w:sz w:val="24"/>
              </w:rPr>
              <w:t>基本无土建工程，主要产污环节图见图</w:t>
            </w:r>
            <w:r>
              <w:rPr>
                <w:rFonts w:hint="eastAsia" w:ascii="Times New Roman" w:hAnsi="Times New Roman"/>
                <w:color w:val="auto"/>
                <w:sz w:val="24"/>
                <w:lang w:val="en-US" w:eastAsia="zh-CN"/>
              </w:rPr>
              <w:t>2-4</w:t>
            </w:r>
            <w:r>
              <w:rPr>
                <w:rFonts w:ascii="Times New Roman" w:hAnsi="Times New Roman"/>
                <w:color w:val="auto"/>
                <w:sz w:val="24"/>
              </w:rPr>
              <w:t>所示。</w:t>
            </w:r>
          </w:p>
          <w:p>
            <w:pPr>
              <w:widowControl/>
              <w:jc w:val="center"/>
              <w:rPr>
                <w:rFonts w:ascii="Times New Roman" w:hAnsi="Times New Roman"/>
                <w:color w:val="auto"/>
              </w:rPr>
            </w:pPr>
            <w:r>
              <w:rPr>
                <w:rFonts w:ascii="Times New Roman" w:hAnsi="Times New Roman"/>
                <w:color w:val="auto"/>
              </w:rPr>
              <w:drawing>
                <wp:inline distT="0" distB="0" distL="114300" distR="114300">
                  <wp:extent cx="2720340" cy="1196340"/>
                  <wp:effectExtent l="0" t="0" r="381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720340" cy="1196340"/>
                          </a:xfrm>
                          <a:prstGeom prst="rect">
                            <a:avLst/>
                          </a:prstGeom>
                          <a:noFill/>
                          <a:ln>
                            <a:noFill/>
                          </a:ln>
                        </pic:spPr>
                      </pic:pic>
                    </a:graphicData>
                  </a:graphic>
                </wp:inline>
              </w:drawing>
            </w:r>
          </w:p>
          <w:p>
            <w:pPr>
              <w:pStyle w:val="5"/>
              <w:jc w:val="center"/>
              <w:rPr>
                <w:rFonts w:hint="default" w:eastAsia="宋体"/>
                <w:color w:val="auto"/>
                <w:sz w:val="24"/>
                <w:highlight w:val="none"/>
                <w:lang w:val="en-US" w:eastAsia="zh-CN"/>
              </w:rPr>
            </w:pPr>
            <w:r>
              <w:rPr>
                <w:rFonts w:ascii="Times New Roman" w:hAnsi="Times New Roman"/>
                <w:b/>
                <w:color w:val="auto"/>
                <w:sz w:val="24"/>
              </w:rPr>
              <w:t>图</w:t>
            </w:r>
            <w:r>
              <w:rPr>
                <w:rFonts w:hint="eastAsia" w:ascii="Times New Roman" w:hAnsi="Times New Roman"/>
                <w:b/>
                <w:color w:val="auto"/>
                <w:sz w:val="24"/>
                <w:lang w:val="en-US" w:eastAsia="zh-CN"/>
              </w:rPr>
              <w:t>2-4</w:t>
            </w:r>
            <w:r>
              <w:rPr>
                <w:rFonts w:ascii="Times New Roman" w:hAnsi="Times New Roman"/>
                <w:b/>
                <w:color w:val="auto"/>
                <w:sz w:val="24"/>
              </w:rPr>
              <w:t xml:space="preserve">  变电站</w:t>
            </w:r>
            <w:r>
              <w:rPr>
                <w:rFonts w:hint="eastAsia"/>
                <w:b/>
                <w:color w:val="auto"/>
                <w:sz w:val="24"/>
                <w:lang w:eastAsia="zh-CN"/>
              </w:rPr>
              <w:t>间隔扩建</w:t>
            </w:r>
            <w:r>
              <w:rPr>
                <w:rFonts w:ascii="Times New Roman" w:hAnsi="Times New Roman"/>
                <w:b/>
                <w:color w:val="auto"/>
                <w:sz w:val="24"/>
              </w:rPr>
              <w:t>施工流程及产污节点示意图</w:t>
            </w:r>
          </w:p>
          <w:p>
            <w:pPr>
              <w:rPr>
                <w:color w:val="auto"/>
              </w:rPr>
            </w:pPr>
          </w:p>
          <w:p>
            <w:pPr>
              <w:adjustRightInd w:val="0"/>
              <w:snapToGrid w:val="0"/>
              <w:spacing w:line="360" w:lineRule="auto"/>
              <w:jc w:val="left"/>
              <w:rPr>
                <w:rFonts w:cs="宋体"/>
                <w:b/>
                <w:bCs/>
                <w:color w:val="auto"/>
                <w:kern w:val="0"/>
                <w:sz w:val="24"/>
                <w:highlight w:val="none"/>
              </w:rPr>
            </w:pPr>
            <w:r>
              <w:rPr>
                <w:rFonts w:hint="eastAsia" w:cs="宋体"/>
                <w:b/>
                <w:bCs/>
                <w:color w:val="auto"/>
                <w:kern w:val="0"/>
                <w:sz w:val="24"/>
                <w:highlight w:val="none"/>
              </w:rPr>
              <w:t>2</w:t>
            </w:r>
            <w:r>
              <w:rPr>
                <w:rFonts w:cs="宋体"/>
                <w:b/>
                <w:bCs/>
                <w:color w:val="auto"/>
                <w:kern w:val="0"/>
                <w:sz w:val="24"/>
                <w:highlight w:val="none"/>
              </w:rPr>
              <w:t>.1</w:t>
            </w:r>
            <w:r>
              <w:rPr>
                <w:rFonts w:hint="eastAsia" w:cs="宋体"/>
                <w:b/>
                <w:bCs/>
                <w:color w:val="auto"/>
                <w:kern w:val="0"/>
                <w:sz w:val="24"/>
                <w:highlight w:val="none"/>
                <w:lang w:val="en-US" w:eastAsia="zh-CN"/>
              </w:rPr>
              <w:t>5</w:t>
            </w:r>
            <w:r>
              <w:rPr>
                <w:rFonts w:cs="宋体"/>
                <w:b/>
                <w:bCs/>
                <w:color w:val="auto"/>
                <w:kern w:val="0"/>
                <w:sz w:val="24"/>
                <w:highlight w:val="none"/>
              </w:rPr>
              <w:t xml:space="preserve"> </w:t>
            </w:r>
            <w:r>
              <w:rPr>
                <w:rFonts w:hint="eastAsia" w:cs="宋体"/>
                <w:b/>
                <w:bCs/>
                <w:color w:val="auto"/>
                <w:kern w:val="0"/>
                <w:sz w:val="24"/>
                <w:highlight w:val="none"/>
              </w:rPr>
              <w:t>输电线</w:t>
            </w:r>
          </w:p>
          <w:p>
            <w:pPr>
              <w:spacing w:before="120" w:beforeLines="50" w:after="120" w:afterLines="50" w:line="360" w:lineRule="auto"/>
              <w:ind w:firstLine="480" w:firstLineChars="200"/>
              <w:rPr>
                <w:bCs/>
                <w:color w:val="auto"/>
                <w:sz w:val="24"/>
                <w:highlight w:val="none"/>
              </w:rPr>
            </w:pPr>
            <w:r>
              <w:rPr>
                <w:rFonts w:hint="eastAsia"/>
                <w:bCs/>
                <w:color w:val="auto"/>
                <w:sz w:val="24"/>
                <w:highlight w:val="none"/>
              </w:rPr>
              <w:t>输电线施工流程及主要产污节点图见图</w:t>
            </w:r>
            <w:r>
              <w:rPr>
                <w:bCs/>
                <w:color w:val="auto"/>
                <w:sz w:val="24"/>
                <w:highlight w:val="none"/>
              </w:rPr>
              <w:t>2-</w:t>
            </w:r>
            <w:r>
              <w:rPr>
                <w:rFonts w:hint="eastAsia"/>
                <w:bCs/>
                <w:color w:val="auto"/>
                <w:sz w:val="24"/>
                <w:highlight w:val="none"/>
                <w:lang w:val="en-US" w:eastAsia="zh-CN"/>
              </w:rPr>
              <w:t>5</w:t>
            </w:r>
            <w:r>
              <w:rPr>
                <w:rFonts w:hint="eastAsia"/>
                <w:bCs/>
                <w:color w:val="auto"/>
                <w:sz w:val="24"/>
                <w:highlight w:val="none"/>
              </w:rPr>
              <w:t>所示。</w:t>
            </w:r>
          </w:p>
          <w:p>
            <w:pPr>
              <w:pStyle w:val="35"/>
              <w:rPr>
                <w:color w:val="auto"/>
                <w:highlight w:val="none"/>
              </w:rPr>
            </w:pPr>
          </w:p>
          <w:p>
            <w:pPr>
              <w:pStyle w:val="35"/>
              <w:rPr>
                <w:color w:val="auto"/>
                <w:highlight w:val="none"/>
              </w:rPr>
            </w:pPr>
          </w:p>
          <w:p>
            <w:pPr>
              <w:pStyle w:val="35"/>
              <w:rPr>
                <w:color w:val="auto"/>
                <w:highlight w:val="none"/>
              </w:rPr>
            </w:pPr>
          </w:p>
          <w:p>
            <w:pPr>
              <w:pStyle w:val="35"/>
              <w:rPr>
                <w:color w:val="auto"/>
                <w:highlight w:val="none"/>
              </w:rPr>
            </w:pPr>
            <w:r>
              <w:rPr>
                <w:color w:val="auto"/>
                <w:highlight w:val="none"/>
              </w:rPr>
              <mc:AlternateContent>
                <mc:Choice Requires="wpg">
                  <w:drawing>
                    <wp:anchor distT="0" distB="0" distL="114300" distR="114300" simplePos="0" relativeHeight="251659264" behindDoc="0" locked="0" layoutInCell="1" allowOverlap="1">
                      <wp:simplePos x="0" y="0"/>
                      <wp:positionH relativeFrom="column">
                        <wp:posOffset>284480</wp:posOffset>
                      </wp:positionH>
                      <wp:positionV relativeFrom="paragraph">
                        <wp:posOffset>63500</wp:posOffset>
                      </wp:positionV>
                      <wp:extent cx="4570095" cy="1990090"/>
                      <wp:effectExtent l="0" t="0" r="0" b="0"/>
                      <wp:wrapNone/>
                      <wp:docPr id="31" name="组合 31"/>
                      <wp:cNvGraphicFramePr/>
                      <a:graphic xmlns:a="http://schemas.openxmlformats.org/drawingml/2006/main">
                        <a:graphicData uri="http://schemas.microsoft.com/office/word/2010/wordprocessingGroup">
                          <wpg:wgp>
                            <wpg:cNvGrpSpPr/>
                            <wpg:grpSpPr>
                              <a:xfrm>
                                <a:off x="0" y="0"/>
                                <a:ext cx="4569798" cy="1990141"/>
                                <a:chOff x="-10" y="0"/>
                                <a:chExt cx="8434" cy="3031"/>
                              </a:xfrm>
                            </wpg:grpSpPr>
                            <wpg:grpSp>
                              <wpg:cNvPr id="160" name="Group 12675"/>
                              <wpg:cNvGrpSpPr/>
                              <wpg:grpSpPr>
                                <a:xfrm>
                                  <a:off x="-10" y="0"/>
                                  <a:ext cx="8434" cy="3031"/>
                                  <a:chOff x="-9" y="0"/>
                                  <a:chExt cx="7500" cy="3031"/>
                                </a:xfrm>
                              </wpg:grpSpPr>
                              <wpg:grpSp>
                                <wpg:cNvPr id="161" name="Group 12676"/>
                                <wpg:cNvGrpSpPr/>
                                <wpg:grpSpPr>
                                  <a:xfrm>
                                    <a:off x="0" y="0"/>
                                    <a:ext cx="7491" cy="2607"/>
                                    <a:chOff x="0" y="0"/>
                                    <a:chExt cx="7491" cy="2607"/>
                                  </a:xfrm>
                                </wpg:grpSpPr>
                                <wpg:grpSp>
                                  <wpg:cNvPr id="162" name="Group 12677"/>
                                  <wpg:cNvGrpSpPr/>
                                  <wpg:grpSpPr>
                                    <a:xfrm>
                                      <a:off x="9" y="163"/>
                                      <a:ext cx="7464" cy="2444"/>
                                      <a:chOff x="-249" y="0"/>
                                      <a:chExt cx="7464" cy="2444"/>
                                    </a:xfrm>
                                  </wpg:grpSpPr>
                                  <wps:wsp>
                                    <wps:cNvPr id="163" name="Rectangle 12678"/>
                                    <wps:cNvSpPr>
                                      <a:spLocks noChangeArrowheads="1"/>
                                    </wps:cNvSpPr>
                                    <wps:spPr bwMode="auto">
                                      <a:xfrm>
                                        <a:off x="138" y="323"/>
                                        <a:ext cx="1032" cy="329"/>
                                      </a:xfrm>
                                      <a:prstGeom prst="rect">
                                        <a:avLst/>
                                      </a:prstGeom>
                                      <a:noFill/>
                                      <a:ln w="9525">
                                        <a:solidFill>
                                          <a:srgbClr val="000000"/>
                                        </a:solidFill>
                                        <a:miter lim="800000"/>
                                      </a:ln>
                                    </wps:spPr>
                                    <wps:txbx>
                                      <w:txbxContent>
                                        <w:p>
                                          <w:pPr>
                                            <w:jc w:val="center"/>
                                            <w:rPr>
                                              <w:szCs w:val="21"/>
                                            </w:rPr>
                                          </w:pPr>
                                          <w:r>
                                            <w:rPr>
                                              <w:rFonts w:hint="eastAsia"/>
                                              <w:szCs w:val="21"/>
                                            </w:rPr>
                                            <w:t>场地平整</w:t>
                                          </w:r>
                                        </w:p>
                                        <w:p>
                                          <w:pPr>
                                            <w:rPr>
                                              <w:szCs w:val="21"/>
                                            </w:rPr>
                                          </w:pPr>
                                        </w:p>
                                      </w:txbxContent>
                                    </wps:txbx>
                                    <wps:bodyPr rot="0" vert="horz" wrap="square" lIns="7200" tIns="10800" rIns="7200" bIns="10800" anchor="t" anchorCtr="0" upright="1">
                                      <a:noAutofit/>
                                    </wps:bodyPr>
                                  </wps:wsp>
                                  <wps:wsp>
                                    <wps:cNvPr id="164" name="Rectangle 12679"/>
                                    <wps:cNvSpPr>
                                      <a:spLocks noChangeArrowheads="1"/>
                                    </wps:cNvSpPr>
                                    <wps:spPr bwMode="auto">
                                      <a:xfrm>
                                        <a:off x="1557" y="326"/>
                                        <a:ext cx="1032" cy="329"/>
                                      </a:xfrm>
                                      <a:prstGeom prst="rect">
                                        <a:avLst/>
                                      </a:prstGeom>
                                      <a:noFill/>
                                      <a:ln w="9525">
                                        <a:solidFill>
                                          <a:srgbClr val="000000"/>
                                        </a:solidFill>
                                        <a:miter lim="800000"/>
                                      </a:ln>
                                    </wps:spPr>
                                    <wps:txbx>
                                      <w:txbxContent>
                                        <w:p>
                                          <w:pPr>
                                            <w:jc w:val="center"/>
                                            <w:rPr>
                                              <w:szCs w:val="21"/>
                                            </w:rPr>
                                          </w:pPr>
                                          <w:r>
                                            <w:rPr>
                                              <w:rFonts w:hint="eastAsia"/>
                                              <w:szCs w:val="21"/>
                                            </w:rPr>
                                            <w:t>塔基建设</w:t>
                                          </w:r>
                                        </w:p>
                                        <w:p>
                                          <w:pPr>
                                            <w:rPr>
                                              <w:szCs w:val="21"/>
                                            </w:rPr>
                                          </w:pPr>
                                        </w:p>
                                      </w:txbxContent>
                                    </wps:txbx>
                                    <wps:bodyPr rot="0" vert="horz" wrap="square" lIns="7200" tIns="10800" rIns="7200" bIns="10800" anchor="t" anchorCtr="0" upright="1">
                                      <a:noAutofit/>
                                    </wps:bodyPr>
                                  </wps:wsp>
                                  <wps:wsp>
                                    <wps:cNvPr id="165" name="Rectangle 12680"/>
                                    <wps:cNvSpPr>
                                      <a:spLocks noChangeArrowheads="1"/>
                                    </wps:cNvSpPr>
                                    <wps:spPr bwMode="auto">
                                      <a:xfrm>
                                        <a:off x="2967" y="327"/>
                                        <a:ext cx="1032" cy="329"/>
                                      </a:xfrm>
                                      <a:prstGeom prst="rect">
                                        <a:avLst/>
                                      </a:prstGeom>
                                      <a:noFill/>
                                      <a:ln w="9525">
                                        <a:solidFill>
                                          <a:srgbClr val="000000"/>
                                        </a:solidFill>
                                        <a:miter lim="800000"/>
                                      </a:ln>
                                    </wps:spPr>
                                    <wps:txbx>
                                      <w:txbxContent>
                                        <w:p>
                                          <w:pPr>
                                            <w:jc w:val="center"/>
                                            <w:rPr>
                                              <w:szCs w:val="21"/>
                                            </w:rPr>
                                          </w:pPr>
                                          <w:r>
                                            <w:rPr>
                                              <w:rFonts w:hint="eastAsia"/>
                                              <w:szCs w:val="21"/>
                                            </w:rPr>
                                            <w:t>铁塔安装</w:t>
                                          </w:r>
                                        </w:p>
                                        <w:p>
                                          <w:pPr>
                                            <w:rPr>
                                              <w:szCs w:val="21"/>
                                            </w:rPr>
                                          </w:pPr>
                                        </w:p>
                                      </w:txbxContent>
                                    </wps:txbx>
                                    <wps:bodyPr rot="0" vert="horz" wrap="square" lIns="7200" tIns="10800" rIns="7200" bIns="10800" anchor="t" anchorCtr="0" upright="1">
                                      <a:noAutofit/>
                                    </wps:bodyPr>
                                  </wps:wsp>
                                  <wps:wsp>
                                    <wps:cNvPr id="166" name="Rectangle 12681"/>
                                    <wps:cNvSpPr>
                                      <a:spLocks noChangeArrowheads="1"/>
                                    </wps:cNvSpPr>
                                    <wps:spPr bwMode="auto">
                                      <a:xfrm>
                                        <a:off x="4395" y="326"/>
                                        <a:ext cx="1161" cy="326"/>
                                      </a:xfrm>
                                      <a:prstGeom prst="rect">
                                        <a:avLst/>
                                      </a:prstGeom>
                                      <a:noFill/>
                                      <a:ln w="9525">
                                        <a:solidFill>
                                          <a:srgbClr val="000000"/>
                                        </a:solidFill>
                                        <a:miter lim="800000"/>
                                      </a:ln>
                                    </wps:spPr>
                                    <wps:txbx>
                                      <w:txbxContent>
                                        <w:p>
                                          <w:pPr>
                                            <w:jc w:val="center"/>
                                            <w:rPr>
                                              <w:szCs w:val="21"/>
                                            </w:rPr>
                                          </w:pPr>
                                          <w:r>
                                            <w:rPr>
                                              <w:rFonts w:hint="eastAsia"/>
                                              <w:szCs w:val="21"/>
                                            </w:rPr>
                                            <w:t>输电线安装</w:t>
                                          </w:r>
                                        </w:p>
                                        <w:p>
                                          <w:pPr>
                                            <w:rPr>
                                              <w:szCs w:val="21"/>
                                            </w:rPr>
                                          </w:pPr>
                                        </w:p>
                                      </w:txbxContent>
                                    </wps:txbx>
                                    <wps:bodyPr rot="0" vert="horz" wrap="square" lIns="7200" tIns="10800" rIns="7200" bIns="10800" anchor="t" anchorCtr="0" upright="1">
                                      <a:noAutofit/>
                                    </wps:bodyPr>
                                  </wps:wsp>
                                  <wps:wsp>
                                    <wps:cNvPr id="167" name="Rectangle 12682"/>
                                    <wps:cNvSpPr>
                                      <a:spLocks noChangeArrowheads="1"/>
                                    </wps:cNvSpPr>
                                    <wps:spPr bwMode="auto">
                                      <a:xfrm>
                                        <a:off x="5943" y="326"/>
                                        <a:ext cx="1032" cy="326"/>
                                      </a:xfrm>
                                      <a:prstGeom prst="rect">
                                        <a:avLst/>
                                      </a:prstGeom>
                                      <a:noFill/>
                                      <a:ln w="9525">
                                        <a:solidFill>
                                          <a:srgbClr val="000000"/>
                                        </a:solidFill>
                                        <a:miter lim="800000"/>
                                      </a:ln>
                                    </wps:spPr>
                                    <wps:txbx>
                                      <w:txbxContent>
                                        <w:p>
                                          <w:pPr>
                                            <w:jc w:val="center"/>
                                            <w:rPr>
                                              <w:szCs w:val="21"/>
                                            </w:rPr>
                                          </w:pPr>
                                          <w:r>
                                            <w:rPr>
                                              <w:rFonts w:hint="eastAsia"/>
                                              <w:szCs w:val="21"/>
                                            </w:rPr>
                                            <w:t>投产使用</w:t>
                                          </w:r>
                                        </w:p>
                                        <w:p>
                                          <w:pPr>
                                            <w:rPr>
                                              <w:szCs w:val="21"/>
                                            </w:rPr>
                                          </w:pPr>
                                        </w:p>
                                      </w:txbxContent>
                                    </wps:txbx>
                                    <wps:bodyPr rot="0" vert="horz" wrap="square" lIns="7200" tIns="10800" rIns="7200" bIns="10800" anchor="t" anchorCtr="0" upright="1">
                                      <a:noAutofit/>
                                    </wps:bodyPr>
                                  </wps:wsp>
                                  <wps:wsp>
                                    <wps:cNvPr id="168" name="Line 12683"/>
                                    <wps:cNvCnPr>
                                      <a:cxnSpLocks noChangeShapeType="1"/>
                                    </wps:cNvCnPr>
                                    <wps:spPr bwMode="auto">
                                      <a:xfrm>
                                        <a:off x="1161" y="490"/>
                                        <a:ext cx="387" cy="0"/>
                                      </a:xfrm>
                                      <a:prstGeom prst="line">
                                        <a:avLst/>
                                      </a:prstGeom>
                                      <a:noFill/>
                                      <a:ln w="9525">
                                        <a:solidFill>
                                          <a:srgbClr val="000000"/>
                                        </a:solidFill>
                                        <a:round/>
                                        <a:tailEnd type="triangle" w="med" len="med"/>
                                      </a:ln>
                                    </wps:spPr>
                                    <wps:bodyPr/>
                                  </wps:wsp>
                                  <wps:wsp>
                                    <wps:cNvPr id="182" name="Line 12684"/>
                                    <wps:cNvCnPr>
                                      <a:cxnSpLocks noChangeShapeType="1"/>
                                    </wps:cNvCnPr>
                                    <wps:spPr bwMode="auto">
                                      <a:xfrm>
                                        <a:off x="2589" y="489"/>
                                        <a:ext cx="387" cy="0"/>
                                      </a:xfrm>
                                      <a:prstGeom prst="line">
                                        <a:avLst/>
                                      </a:prstGeom>
                                      <a:noFill/>
                                      <a:ln w="9525">
                                        <a:solidFill>
                                          <a:srgbClr val="000000"/>
                                        </a:solidFill>
                                        <a:round/>
                                        <a:tailEnd type="triangle" w="med" len="med"/>
                                      </a:ln>
                                    </wps:spPr>
                                    <wps:bodyPr/>
                                  </wps:wsp>
                                  <wps:wsp>
                                    <wps:cNvPr id="183" name="Line 12685"/>
                                    <wps:cNvCnPr>
                                      <a:cxnSpLocks noChangeShapeType="1"/>
                                    </wps:cNvCnPr>
                                    <wps:spPr bwMode="auto">
                                      <a:xfrm>
                                        <a:off x="4008" y="489"/>
                                        <a:ext cx="387" cy="0"/>
                                      </a:xfrm>
                                      <a:prstGeom prst="line">
                                        <a:avLst/>
                                      </a:prstGeom>
                                      <a:noFill/>
                                      <a:ln w="9525">
                                        <a:solidFill>
                                          <a:srgbClr val="000000"/>
                                        </a:solidFill>
                                        <a:round/>
                                        <a:tailEnd type="triangle" w="med" len="med"/>
                                      </a:ln>
                                    </wps:spPr>
                                    <wps:bodyPr/>
                                  </wps:wsp>
                                  <wps:wsp>
                                    <wps:cNvPr id="184" name="Line 12686"/>
                                    <wps:cNvCnPr>
                                      <a:cxnSpLocks noChangeShapeType="1"/>
                                    </wps:cNvCnPr>
                                    <wps:spPr bwMode="auto">
                                      <a:xfrm>
                                        <a:off x="5556" y="489"/>
                                        <a:ext cx="387" cy="0"/>
                                      </a:xfrm>
                                      <a:prstGeom prst="line">
                                        <a:avLst/>
                                      </a:prstGeom>
                                      <a:noFill/>
                                      <a:ln w="9525">
                                        <a:solidFill>
                                          <a:srgbClr val="000000"/>
                                        </a:solidFill>
                                        <a:round/>
                                        <a:tailEnd type="triangle" w="med" len="med"/>
                                      </a:ln>
                                    </wps:spPr>
                                    <wps:bodyPr/>
                                  </wps:wsp>
                                  <wps:wsp>
                                    <wps:cNvPr id="185" name="Line 12687"/>
                                    <wps:cNvCnPr>
                                      <a:cxnSpLocks noChangeShapeType="1"/>
                                    </wps:cNvCnPr>
                                    <wps:spPr bwMode="auto">
                                      <a:xfrm>
                                        <a:off x="2589" y="978"/>
                                        <a:ext cx="0" cy="326"/>
                                      </a:xfrm>
                                      <a:prstGeom prst="line">
                                        <a:avLst/>
                                      </a:prstGeom>
                                      <a:noFill/>
                                      <a:ln w="9525">
                                        <a:solidFill>
                                          <a:schemeClr val="tx1"/>
                                        </a:solidFill>
                                        <a:prstDash val="dash"/>
                                        <a:round/>
                                        <a:tailEnd type="triangle" w="med" len="med"/>
                                      </a:ln>
                                    </wps:spPr>
                                    <wps:bodyPr/>
                                  </wps:wsp>
                                  <wps:wsp>
                                    <wps:cNvPr id="186" name="Rectangle 12688"/>
                                    <wps:cNvSpPr>
                                      <a:spLocks noChangeArrowheads="1"/>
                                    </wps:cNvSpPr>
                                    <wps:spPr bwMode="auto">
                                      <a:xfrm>
                                        <a:off x="-249" y="1567"/>
                                        <a:ext cx="4504" cy="613"/>
                                      </a:xfrm>
                                      <a:prstGeom prst="rect">
                                        <a:avLst/>
                                      </a:prstGeom>
                                      <a:noFill/>
                                      <a:ln>
                                        <a:noFill/>
                                      </a:ln>
                                    </wps:spPr>
                                    <wps:txbx>
                                      <w:txbxContent>
                                        <w:p>
                                          <w:pPr>
                                            <w:adjustRightInd w:val="0"/>
                                            <w:snapToGrid w:val="0"/>
                                            <w:jc w:val="center"/>
                                            <w:rPr>
                                              <w:sz w:val="24"/>
                                              <w:szCs w:val="21"/>
                                            </w:rPr>
                                          </w:pPr>
                                          <w:r>
                                            <w:rPr>
                                              <w:rFonts w:hint="eastAsia"/>
                                              <w:szCs w:val="21"/>
                                            </w:rPr>
                                            <w:t>噪声、扬尘、施工机械燃油废气、水土流失、施工废水、施工垃圾、生活污水、生活垃圾</w:t>
                                          </w:r>
                                        </w:p>
                                        <w:p>
                                          <w:pPr>
                                            <w:rPr>
                                              <w:szCs w:val="21"/>
                                            </w:rPr>
                                          </w:pPr>
                                        </w:p>
                                      </w:txbxContent>
                                    </wps:txbx>
                                    <wps:bodyPr rot="0" vert="horz" wrap="square" lIns="7200" tIns="10800" rIns="7200" bIns="10800" anchor="t" anchorCtr="0" upright="1">
                                      <a:noAutofit/>
                                    </wps:bodyPr>
                                  </wps:wsp>
                                  <wps:wsp>
                                    <wps:cNvPr id="187" name="Rectangle 12689"/>
                                    <wps:cNvSpPr>
                                      <a:spLocks noChangeArrowheads="1"/>
                                    </wps:cNvSpPr>
                                    <wps:spPr bwMode="auto">
                                      <a:xfrm>
                                        <a:off x="4773" y="1465"/>
                                        <a:ext cx="2442" cy="979"/>
                                      </a:xfrm>
                                      <a:prstGeom prst="rect">
                                        <a:avLst/>
                                      </a:prstGeom>
                                      <a:noFill/>
                                      <a:ln>
                                        <a:noFill/>
                                      </a:ln>
                                    </wps:spPr>
                                    <wps:txbx>
                                      <w:txbxContent>
                                        <w:p>
                                          <w:pPr>
                                            <w:adjustRightInd w:val="0"/>
                                            <w:snapToGrid w:val="0"/>
                                            <w:rPr>
                                              <w:szCs w:val="21"/>
                                            </w:rPr>
                                          </w:pPr>
                                          <w:r>
                                            <w:rPr>
                                              <w:rFonts w:hint="eastAsia"/>
                                              <w:szCs w:val="21"/>
                                            </w:rPr>
                                            <w:t>噪声、工频电场强度、</w:t>
                                          </w:r>
                                        </w:p>
                                        <w:p>
                                          <w:pPr>
                                            <w:adjustRightInd w:val="0"/>
                                            <w:snapToGrid w:val="0"/>
                                            <w:rPr>
                                              <w:szCs w:val="21"/>
                                            </w:rPr>
                                          </w:pPr>
                                          <w:r>
                                            <w:rPr>
                                              <w:rFonts w:hint="eastAsia"/>
                                              <w:szCs w:val="21"/>
                                            </w:rPr>
                                            <w:t>磁感应强度</w:t>
                                          </w:r>
                                        </w:p>
                                        <w:p>
                                          <w:pPr>
                                            <w:adjustRightInd w:val="0"/>
                                            <w:snapToGrid w:val="0"/>
                                            <w:rPr>
                                              <w:sz w:val="24"/>
                                              <w:szCs w:val="21"/>
                                            </w:rPr>
                                          </w:pPr>
                                        </w:p>
                                        <w:p>
                                          <w:pPr>
                                            <w:rPr>
                                              <w:szCs w:val="21"/>
                                            </w:rPr>
                                          </w:pPr>
                                        </w:p>
                                      </w:txbxContent>
                                    </wps:txbx>
                                    <wps:bodyPr rot="0" vert="horz" wrap="square" lIns="7200" tIns="10800" rIns="7200" bIns="10800" anchor="t" anchorCtr="0" upright="1">
                                      <a:noAutofit/>
                                    </wps:bodyPr>
                                  </wps:wsp>
                                  <wps:wsp>
                                    <wps:cNvPr id="188" name="Line 12690"/>
                                    <wps:cNvCnPr>
                                      <a:cxnSpLocks noChangeShapeType="1"/>
                                    </wps:cNvCnPr>
                                    <wps:spPr bwMode="auto">
                                      <a:xfrm>
                                        <a:off x="6321" y="653"/>
                                        <a:ext cx="0" cy="652"/>
                                      </a:xfrm>
                                      <a:prstGeom prst="line">
                                        <a:avLst/>
                                      </a:prstGeom>
                                      <a:noFill/>
                                      <a:ln w="9525">
                                        <a:solidFill>
                                          <a:schemeClr val="tx1"/>
                                        </a:solidFill>
                                        <a:prstDash val="dash"/>
                                        <a:round/>
                                        <a:tailEnd type="triangle" w="med" len="med"/>
                                      </a:ln>
                                    </wps:spPr>
                                    <wps:bodyPr/>
                                  </wps:wsp>
                                  <wps:wsp>
                                    <wps:cNvPr id="189" name="Line 12691"/>
                                    <wps:cNvCnPr>
                                      <a:cxnSpLocks noChangeShapeType="1"/>
                                    </wps:cNvCnPr>
                                    <wps:spPr bwMode="auto">
                                      <a:xfrm>
                                        <a:off x="9" y="0"/>
                                        <a:ext cx="5676" cy="0"/>
                                      </a:xfrm>
                                      <a:prstGeom prst="line">
                                        <a:avLst/>
                                      </a:prstGeom>
                                      <a:noFill/>
                                      <a:ln w="9525">
                                        <a:solidFill>
                                          <a:schemeClr val="tx1"/>
                                        </a:solidFill>
                                        <a:prstDash val="lgDash"/>
                                        <a:round/>
                                      </a:ln>
                                    </wps:spPr>
                                    <wps:bodyPr/>
                                  </wps:wsp>
                                  <wps:wsp>
                                    <wps:cNvPr id="190" name="Line 12692"/>
                                    <wps:cNvCnPr>
                                      <a:cxnSpLocks noChangeShapeType="1"/>
                                    </wps:cNvCnPr>
                                    <wps:spPr bwMode="auto">
                                      <a:xfrm>
                                        <a:off x="9" y="978"/>
                                        <a:ext cx="5667" cy="1"/>
                                      </a:xfrm>
                                      <a:prstGeom prst="line">
                                        <a:avLst/>
                                      </a:prstGeom>
                                      <a:noFill/>
                                      <a:ln w="9525">
                                        <a:solidFill>
                                          <a:schemeClr val="tx1"/>
                                        </a:solidFill>
                                        <a:prstDash val="lgDash"/>
                                        <a:round/>
                                      </a:ln>
                                    </wps:spPr>
                                    <wps:bodyPr/>
                                  </wps:wsp>
                                  <wps:wsp>
                                    <wps:cNvPr id="191" name="Line 12693"/>
                                    <wps:cNvCnPr>
                                      <a:cxnSpLocks noChangeShapeType="1"/>
                                    </wps:cNvCnPr>
                                    <wps:spPr bwMode="auto">
                                      <a:xfrm>
                                        <a:off x="0" y="1"/>
                                        <a:ext cx="0" cy="978"/>
                                      </a:xfrm>
                                      <a:prstGeom prst="line">
                                        <a:avLst/>
                                      </a:prstGeom>
                                      <a:noFill/>
                                      <a:ln w="9525">
                                        <a:solidFill>
                                          <a:schemeClr val="tx1"/>
                                        </a:solidFill>
                                        <a:prstDash val="lgDash"/>
                                        <a:round/>
                                      </a:ln>
                                    </wps:spPr>
                                    <wps:bodyPr/>
                                  </wps:wsp>
                                  <wps:wsp>
                                    <wps:cNvPr id="192" name="Line 12694"/>
                                    <wps:cNvCnPr>
                                      <a:cxnSpLocks noChangeShapeType="1"/>
                                    </wps:cNvCnPr>
                                    <wps:spPr bwMode="auto">
                                      <a:xfrm>
                                        <a:off x="5676" y="0"/>
                                        <a:ext cx="0" cy="978"/>
                                      </a:xfrm>
                                      <a:prstGeom prst="line">
                                        <a:avLst/>
                                      </a:prstGeom>
                                      <a:noFill/>
                                      <a:ln w="9525">
                                        <a:solidFill>
                                          <a:schemeClr val="tx1"/>
                                        </a:solidFill>
                                        <a:prstDash val="lgDash"/>
                                        <a:round/>
                                      </a:ln>
                                    </wps:spPr>
                                    <wps:bodyPr/>
                                  </wps:wsp>
                                </wpg:grpSp>
                                <wps:wsp>
                                  <wps:cNvPr id="193" name="Line 12695"/>
                                  <wps:cNvCnPr>
                                    <a:cxnSpLocks noChangeShapeType="1"/>
                                  </wps:cNvCnPr>
                                  <wps:spPr bwMode="auto">
                                    <a:xfrm>
                                      <a:off x="0" y="1"/>
                                      <a:ext cx="0" cy="2445"/>
                                    </a:xfrm>
                                    <a:prstGeom prst="line">
                                      <a:avLst/>
                                    </a:prstGeom>
                                    <a:noFill/>
                                    <a:ln>
                                      <a:noFill/>
                                    </a:ln>
                                  </wps:spPr>
                                  <wps:bodyPr/>
                                </wps:wsp>
                                <wps:wsp>
                                  <wps:cNvPr id="194" name="Line 12696"/>
                                  <wps:cNvCnPr>
                                    <a:cxnSpLocks noChangeShapeType="1"/>
                                  </wps:cNvCnPr>
                                  <wps:spPr bwMode="auto">
                                    <a:xfrm>
                                      <a:off x="7482" y="0"/>
                                      <a:ext cx="0" cy="2445"/>
                                    </a:xfrm>
                                    <a:prstGeom prst="line">
                                      <a:avLst/>
                                    </a:prstGeom>
                                    <a:noFill/>
                                    <a:ln>
                                      <a:noFill/>
                                    </a:ln>
                                  </wps:spPr>
                                  <wps:bodyPr/>
                                </wps:wsp>
                                <wps:wsp>
                                  <wps:cNvPr id="195" name="Line 12697"/>
                                  <wps:cNvCnPr>
                                    <a:cxnSpLocks noChangeShapeType="1"/>
                                  </wps:cNvCnPr>
                                  <wps:spPr bwMode="auto">
                                    <a:xfrm>
                                      <a:off x="0" y="1"/>
                                      <a:ext cx="7482" cy="0"/>
                                    </a:xfrm>
                                    <a:prstGeom prst="line">
                                      <a:avLst/>
                                    </a:prstGeom>
                                    <a:noFill/>
                                    <a:ln>
                                      <a:noFill/>
                                    </a:ln>
                                  </wps:spPr>
                                  <wps:bodyPr/>
                                </wps:wsp>
                                <wps:wsp>
                                  <wps:cNvPr id="196" name="Line 12698"/>
                                  <wps:cNvCnPr>
                                    <a:cxnSpLocks noChangeShapeType="1"/>
                                  </wps:cNvCnPr>
                                  <wps:spPr bwMode="auto">
                                    <a:xfrm>
                                      <a:off x="9" y="2445"/>
                                      <a:ext cx="7482" cy="0"/>
                                    </a:xfrm>
                                    <a:prstGeom prst="line">
                                      <a:avLst/>
                                    </a:prstGeom>
                                    <a:noFill/>
                                    <a:ln>
                                      <a:noFill/>
                                    </a:ln>
                                  </wps:spPr>
                                  <wps:bodyPr/>
                                </wps:wsp>
                              </wpg:grpSp>
                              <wps:wsp>
                                <wps:cNvPr id="197" name="Rectangle 12699"/>
                                <wps:cNvSpPr>
                                  <a:spLocks noChangeArrowheads="1"/>
                                </wps:cNvSpPr>
                                <wps:spPr bwMode="auto">
                                  <a:xfrm>
                                    <a:off x="-9" y="2379"/>
                                    <a:ext cx="7482" cy="652"/>
                                  </a:xfrm>
                                  <a:prstGeom prst="rect">
                                    <a:avLst/>
                                  </a:prstGeom>
                                  <a:noFill/>
                                  <a:ln>
                                    <a:noFill/>
                                  </a:ln>
                                </wps:spPr>
                                <wps:txbx>
                                  <w:txbxContent>
                                    <w:p>
                                      <w:pPr>
                                        <w:spacing w:line="480" w:lineRule="exact"/>
                                        <w:jc w:val="center"/>
                                        <w:rPr>
                                          <w:b/>
                                          <w:sz w:val="24"/>
                                          <w:szCs w:val="32"/>
                                        </w:rPr>
                                      </w:pPr>
                                      <w:r>
                                        <w:rPr>
                                          <w:rFonts w:hint="eastAsia"/>
                                          <w:b/>
                                          <w:sz w:val="24"/>
                                          <w:szCs w:val="32"/>
                                        </w:rPr>
                                        <w:t>图</w:t>
                                      </w:r>
                                      <w:r>
                                        <w:rPr>
                                          <w:b/>
                                          <w:sz w:val="24"/>
                                          <w:szCs w:val="32"/>
                                        </w:rPr>
                                        <w:t>2-</w:t>
                                      </w:r>
                                      <w:r>
                                        <w:rPr>
                                          <w:rFonts w:hint="eastAsia"/>
                                          <w:b/>
                                          <w:sz w:val="24"/>
                                          <w:szCs w:val="32"/>
                                          <w:lang w:val="en-US" w:eastAsia="zh-CN"/>
                                        </w:rPr>
                                        <w:t>5</w:t>
                                      </w:r>
                                      <w:r>
                                        <w:rPr>
                                          <w:b/>
                                          <w:sz w:val="24"/>
                                          <w:szCs w:val="32"/>
                                        </w:rPr>
                                        <w:t xml:space="preserve">  </w:t>
                                      </w:r>
                                      <w:r>
                                        <w:rPr>
                                          <w:rFonts w:hint="eastAsia"/>
                                          <w:b/>
                                          <w:sz w:val="24"/>
                                          <w:szCs w:val="32"/>
                                        </w:rPr>
                                        <w:t>架空送电线路施工流程及产污节点示意图</w:t>
                                      </w:r>
                                    </w:p>
                                    <w:p>
                                      <w:pPr>
                                        <w:rPr>
                                          <w:b/>
                                        </w:rPr>
                                      </w:pPr>
                                    </w:p>
                                  </w:txbxContent>
                                </wps:txbx>
                                <wps:bodyPr rot="0" vert="horz" wrap="square" lIns="91440" tIns="45720" rIns="91440" bIns="45720" anchor="t" anchorCtr="0" upright="1">
                                  <a:noAutofit/>
                                </wps:bodyPr>
                              </wps:wsp>
                            </wpg:grpSp>
                            <wps:wsp>
                              <wps:cNvPr id="198" name="Rectangle 32946"/>
                              <wps:cNvSpPr>
                                <a:spLocks noChangeArrowheads="1"/>
                              </wps:cNvSpPr>
                              <wps:spPr bwMode="auto">
                                <a:xfrm>
                                  <a:off x="38" y="1613"/>
                                  <a:ext cx="5062" cy="705"/>
                                </a:xfrm>
                                <a:prstGeom prst="rect">
                                  <a:avLst/>
                                </a:prstGeom>
                                <a:solidFill>
                                  <a:srgbClr val="FFFFFF">
                                    <a:alpha val="0"/>
                                  </a:srgbClr>
                                </a:solidFill>
                                <a:ln w="9525">
                                  <a:solidFill>
                                    <a:srgbClr val="000000"/>
                                  </a:solidFill>
                                  <a:prstDash val="dash"/>
                                  <a:miter lim="800000"/>
                                </a:ln>
                              </wps:spPr>
                              <wps:bodyPr rot="0" vert="horz" wrap="square" lIns="91440" tIns="45720" rIns="91440" bIns="45720" anchor="t" anchorCtr="0" upright="1">
                                <a:noAutofit/>
                              </wps:bodyPr>
                            </wps:wsp>
                            <wps:wsp>
                              <wps:cNvPr id="199" name="Rectangle 32947"/>
                              <wps:cNvSpPr>
                                <a:spLocks noChangeArrowheads="1"/>
                              </wps:cNvSpPr>
                              <wps:spPr bwMode="auto">
                                <a:xfrm>
                                  <a:off x="5490" y="1628"/>
                                  <a:ext cx="2587" cy="635"/>
                                </a:xfrm>
                                <a:prstGeom prst="rect">
                                  <a:avLst/>
                                </a:prstGeom>
                                <a:solidFill>
                                  <a:srgbClr val="FFFFFF">
                                    <a:alpha val="0"/>
                                  </a:srgbClr>
                                </a:solidFill>
                                <a:ln w="9525">
                                  <a:solidFill>
                                    <a:srgbClr val="000000"/>
                                  </a:solidFill>
                                  <a:prstDash val="dash"/>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2.4pt;margin-top:5pt;height:156.7pt;width:359.85pt;z-index:251659264;mso-width-relative:page;mso-height-relative:page;" coordorigin="-10,0" coordsize="8434,3031" o:gfxdata="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">
                      <o:lock v:ext="edit" aspectratio="f"/>
                      <v:group id="Group 12675" o:spid="_x0000_s1026" o:spt="203" style="position:absolute;left:-10;top:0;height:3031;width:8434;" coordorigin="-9,0" coordsize="7500,3031"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group id="Group 12676" o:spid="_x0000_s1026" o:spt="203" style="position:absolute;left:0;top:0;height:2607;width:7491;" coordsize="7491,2607"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o:lock v:ext="edit" aspectratio="f"/>
                          <v:group id="Group 12677" o:spid="_x0000_s1026" o:spt="203" style="position:absolute;left:9;top:163;height:2444;width:7464;" coordorigin="-249,0" coordsize="7464,2444" o:gfxdata="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20OdvAAAANwAAAAPAAAAAAAAAAEAIAAAACIAAABkcnMvZG93bnJldi54bWxQ&#10;SwECFAAUAAAACACHTuJAMy8FnjsAAAA5AAAAFQAAAAAAAAABACAAAAALAQAAZHJzL2dyb3Vwc2hh&#10;cGV4bWwueG1sUEsFBgAAAAAGAAYAYAEAAMgDAAAAAA==&#10;">
                            <o:lock v:ext="edit" aspectratio="f"/>
                            <v:rect id="Rectangle 12678" o:spid="_x0000_s1026" o:spt="1" style="position:absolute;left:138;top:323;height:329;width:1032;" filled="f" stroked="t" coordsize="21600,21600" o:gfxdata="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Ld/ultwAAANwAAAAP&#10;AAAAAAAAAAEAIAAAACIAAABkcnMvZG93bnJldi54bWxQSwECFAAUAAAACACHTuJAMy8FnjsAAAA5&#10;AAAAEAAAAAAAAAABACAAAAAGAQAAZHJzL3NoYXBleG1sLnhtbFBLBQYAAAAABgAGAFsBAACwAwAA&#10;AAA=&#10;">
                              <v:fill on="f" focussize="0,0"/>
                              <v:stroke color="#000000" miterlimit="8" joinstyle="miter"/>
                              <v:imagedata o:title=""/>
                              <o:lock v:ext="edit" aspectratio="f"/>
                              <v:textbox inset="0.2mm,0.3mm,0.2mm,0.3mm">
                                <w:txbxContent>
                                  <w:p>
                                    <w:pPr>
                                      <w:jc w:val="center"/>
                                      <w:rPr>
                                        <w:szCs w:val="21"/>
                                      </w:rPr>
                                    </w:pPr>
                                    <w:r>
                                      <w:rPr>
                                        <w:rFonts w:hint="eastAsia"/>
                                        <w:szCs w:val="21"/>
                                      </w:rPr>
                                      <w:t>场地平整</w:t>
                                    </w:r>
                                  </w:p>
                                  <w:p>
                                    <w:pPr>
                                      <w:rPr>
                                        <w:szCs w:val="21"/>
                                      </w:rPr>
                                    </w:pPr>
                                  </w:p>
                                </w:txbxContent>
                              </v:textbox>
                            </v:rect>
                            <v:rect id="Rectangle 12679" o:spid="_x0000_s1026" o:spt="1" style="position:absolute;left:1557;top:326;height:329;width:1032;" filled="f" stroked="t" coordsize="21600,21600" o:gfxdata="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nmPRtwAAANwAAAAP&#10;AAAAAAAAAAEAIAAAACIAAABkcnMvZG93bnJldi54bWxQSwECFAAUAAAACACHTuJAMy8FnjsAAAA5&#10;AAAAEAAAAAAAAAABACAAAAAGAQAAZHJzL3NoYXBleG1sLnhtbFBLBQYAAAAABgAGAFsBAACwAwAA&#10;AAA=&#10;">
                              <v:fill on="f" focussize="0,0"/>
                              <v:stroke color="#000000" miterlimit="8" joinstyle="miter"/>
                              <v:imagedata o:title=""/>
                              <o:lock v:ext="edit" aspectratio="f"/>
                              <v:textbox inset="0.2mm,0.3mm,0.2mm,0.3mm">
                                <w:txbxContent>
                                  <w:p>
                                    <w:pPr>
                                      <w:jc w:val="center"/>
                                      <w:rPr>
                                        <w:szCs w:val="21"/>
                                      </w:rPr>
                                    </w:pPr>
                                    <w:r>
                                      <w:rPr>
                                        <w:rFonts w:hint="eastAsia"/>
                                        <w:szCs w:val="21"/>
                                      </w:rPr>
                                      <w:t>塔基建设</w:t>
                                    </w:r>
                                  </w:p>
                                  <w:p>
                                    <w:pPr>
                                      <w:rPr>
                                        <w:szCs w:val="21"/>
                                      </w:rPr>
                                    </w:pPr>
                                  </w:p>
                                </w:txbxContent>
                              </v:textbox>
                            </v:rect>
                            <v:rect id="Rectangle 12680" o:spid="_x0000_s1026" o:spt="1" style="position:absolute;left:2967;top:327;height:329;width:1032;" filled="f" stroked="t" coordsize="21600,21600" o:gfxdata="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0sZKtwAAANwAAAAP&#10;AAAAAAAAAAEAIAAAACIAAABkcnMvZG93bnJldi54bWxQSwECFAAUAAAACACHTuJAMy8FnjsAAAA5&#10;AAAAEAAAAAAAAAABACAAAAAGAQAAZHJzL3NoYXBleG1sLnhtbFBLBQYAAAAABgAGAFsBAACwAwAA&#10;AAA=&#10;">
                              <v:fill on="f" focussize="0,0"/>
                              <v:stroke color="#000000" miterlimit="8" joinstyle="miter"/>
                              <v:imagedata o:title=""/>
                              <o:lock v:ext="edit" aspectratio="f"/>
                              <v:textbox inset="0.2mm,0.3mm,0.2mm,0.3mm">
                                <w:txbxContent>
                                  <w:p>
                                    <w:pPr>
                                      <w:jc w:val="center"/>
                                      <w:rPr>
                                        <w:szCs w:val="21"/>
                                      </w:rPr>
                                    </w:pPr>
                                    <w:r>
                                      <w:rPr>
                                        <w:rFonts w:hint="eastAsia"/>
                                        <w:szCs w:val="21"/>
                                      </w:rPr>
                                      <w:t>铁塔安装</w:t>
                                    </w:r>
                                  </w:p>
                                  <w:p>
                                    <w:pPr>
                                      <w:rPr>
                                        <w:szCs w:val="21"/>
                                      </w:rPr>
                                    </w:pPr>
                                  </w:p>
                                </w:txbxContent>
                              </v:textbox>
                            </v:rect>
                            <v:rect id="Rectangle 12681" o:spid="_x0000_s1026" o:spt="1" style="position:absolute;left:4395;top:326;height:326;width:1161;" filled="f" stroked="t" coordsize="21600,21600" o:gfxdata="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bAFg9twAAANwAAAAP&#10;AAAAAAAAAAEAIAAAACIAAABkcnMvZG93bnJldi54bWxQSwECFAAUAAAACACHTuJAMy8FnjsAAAA5&#10;AAAAEAAAAAAAAAABACAAAAAGAQAAZHJzL3NoYXBleG1sLnhtbFBLBQYAAAAABgAGAFsBAACwAwAA&#10;AAA=&#10;">
                              <v:fill on="f" focussize="0,0"/>
                              <v:stroke color="#000000" miterlimit="8" joinstyle="miter"/>
                              <v:imagedata o:title=""/>
                              <o:lock v:ext="edit" aspectratio="f"/>
                              <v:textbox inset="0.2mm,0.3mm,0.2mm,0.3mm">
                                <w:txbxContent>
                                  <w:p>
                                    <w:pPr>
                                      <w:jc w:val="center"/>
                                      <w:rPr>
                                        <w:szCs w:val="21"/>
                                      </w:rPr>
                                    </w:pPr>
                                    <w:r>
                                      <w:rPr>
                                        <w:rFonts w:hint="eastAsia"/>
                                        <w:szCs w:val="21"/>
                                      </w:rPr>
                                      <w:t>输电线安装</w:t>
                                    </w:r>
                                  </w:p>
                                  <w:p>
                                    <w:pPr>
                                      <w:rPr>
                                        <w:szCs w:val="21"/>
                                      </w:rPr>
                                    </w:pPr>
                                  </w:p>
                                </w:txbxContent>
                              </v:textbox>
                            </v:rect>
                            <v:rect id="Rectangle 12682" o:spid="_x0000_s1026" o:spt="1" style="position:absolute;left:5943;top:326;height:326;width:1032;" filled="f" stroked="t" coordsize="21600,21600" o:gfxdata="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0TP2mtwAAANwAAAAP&#10;AAAAAAAAAAEAIAAAACIAAABkcnMvZG93bnJldi54bWxQSwECFAAUAAAACACHTuJAMy8FnjsAAAA5&#10;AAAAEAAAAAAAAAABACAAAAAGAQAAZHJzL3NoYXBleG1sLnhtbFBLBQYAAAAABgAGAFsBAACwAwAA&#10;AAA=&#10;">
                              <v:fill on="f" focussize="0,0"/>
                              <v:stroke color="#000000" miterlimit="8" joinstyle="miter"/>
                              <v:imagedata o:title=""/>
                              <o:lock v:ext="edit" aspectratio="f"/>
                              <v:textbox inset="0.2mm,0.3mm,0.2mm,0.3mm">
                                <w:txbxContent>
                                  <w:p>
                                    <w:pPr>
                                      <w:jc w:val="center"/>
                                      <w:rPr>
                                        <w:szCs w:val="21"/>
                                      </w:rPr>
                                    </w:pPr>
                                    <w:r>
                                      <w:rPr>
                                        <w:rFonts w:hint="eastAsia"/>
                                        <w:szCs w:val="21"/>
                                      </w:rPr>
                                      <w:t>投产使用</w:t>
                                    </w:r>
                                  </w:p>
                                  <w:p>
                                    <w:pPr>
                                      <w:rPr>
                                        <w:szCs w:val="21"/>
                                      </w:rPr>
                                    </w:pPr>
                                  </w:p>
                                </w:txbxContent>
                              </v:textbox>
                            </v:rect>
                            <v:line id="Line 12683" o:spid="_x0000_s1026" o:spt="20" style="position:absolute;left:1161;top:490;height:0;width:387;" filled="f" stroked="t" coordsize="21600,21600" o:gfxdata="UEsDBAoAAAAAAIdO4kAAAAAAAAAAAAAAAAAEAAAAZHJzL1BLAwQUAAAACACHTuJAxRQXEMAAAADc&#10;AAAADwAAAGRycy9kb3ducmV2LnhtbEWPQWvCQBCF70L/wzKF3nSTHiSkrh4KloK2opHS3obsNAnN&#10;zobdVdN/7xwEbzO8N+99s1iNrldnCrHzbCCfZaCIa287bgwcq/W0ABUTssXeMxn4pwir5cNkgaX1&#10;F97T+ZAaJSEcSzTQpjSUWse6JYdx5gdi0X59cJhkDY22AS8S7nr9nGVz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FBc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2684" o:spid="_x0000_s1026" o:spt="20" style="position:absolute;left:2589;top:489;height:0;width:387;" filled="f" stroked="t" coordsize="21600,21600" o:gfxdata="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wxg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12685" o:spid="_x0000_s1026" o:spt="20" style="position:absolute;left:4008;top:489;height:0;width:387;" filled="f" stroked="t" coordsize="21600,21600" o:gfxdata="UEsDBAoAAAAAAIdO4kAAAAAAAAAAAAAAAAAEAAAAZHJzL1BLAwQUAAAACACHTuJAe7xjm70AAADc&#10;AAAADwAAAGRycy9kb3ducmV2LnhtbEVPS2vCQBC+C/6HZYTedJMW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vGO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2686" o:spid="_x0000_s1026" o:spt="20" style="position:absolute;left:5556;top:489;height:0;width:387;" filled="f" stroked="t" coordsize="21600,21600" o:gfxdata="UEsDBAoAAAAAAIdO4kAAAAAAAAAAAAAAAAAEAAAAZHJzL1BLAwQUAAAACACHTuJA9FX7770AAADc&#10;AAAADwAAAGRycy9kb3ducmV2LnhtbEVPS2vCQBC+C/6HZYTedJNS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f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2687" o:spid="_x0000_s1026" o:spt="20" style="position:absolute;left:2589;top:978;height:326;width:0;" filled="f" stroked="t" coordsize="21600,21600" o:gfxdata="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g0FL4A&#10;AADcAAAADwAAAAAAAAABACAAAAAiAAAAZHJzL2Rvd25yZXYueG1sUEsBAhQAFAAAAAgAh07iQDMv&#10;BZ47AAAAOQAAABAAAAAAAAAAAQAgAAAADQEAAGRycy9zaGFwZXhtbC54bWxQSwUGAAAAAAYABgBb&#10;AQAAtwMAAAAA&#10;">
                              <v:fill on="f" focussize="0,0"/>
                              <v:stroke color="#000000 [3213]" joinstyle="round" dashstyle="dash" endarrow="block"/>
                              <v:imagedata o:title=""/>
                              <o:lock v:ext="edit" aspectratio="f"/>
                            </v:line>
                            <v:rect id="Rectangle 12688" o:spid="_x0000_s1026" o:spt="1" style="position:absolute;left:-249;top:1567;height:613;width:4504;" filled="f" stroked="f" coordsize="21600,21600" o:gfxdata="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4XNFrsAAADc&#10;AAAADwAAAAAAAAABACAAAAAiAAAAZHJzL2Rvd25yZXYueG1sUEsBAhQAFAAAAAgAh07iQDMvBZ47&#10;AAAAOQAAABAAAAAAAAAAAQAgAAAACgEAAGRycy9zaGFwZXhtbC54bWxQSwUGAAAAAAYABgBbAQAA&#10;tAMAAAAA&#10;">
                              <v:fill on="f" focussize="0,0"/>
                              <v:stroke on="f"/>
                              <v:imagedata o:title=""/>
                              <o:lock v:ext="edit" aspectratio="f"/>
                              <v:textbox inset="0.2mm,0.3mm,0.2mm,0.3mm">
                                <w:txbxContent>
                                  <w:p>
                                    <w:pPr>
                                      <w:adjustRightInd w:val="0"/>
                                      <w:snapToGrid w:val="0"/>
                                      <w:jc w:val="center"/>
                                      <w:rPr>
                                        <w:sz w:val="24"/>
                                        <w:szCs w:val="21"/>
                                      </w:rPr>
                                    </w:pPr>
                                    <w:r>
                                      <w:rPr>
                                        <w:rFonts w:hint="eastAsia"/>
                                        <w:szCs w:val="21"/>
                                      </w:rPr>
                                      <w:t>噪声、扬尘、施工机械燃油废气、水土流失、施工废水、施工垃圾、生活污水、生活垃圾</w:t>
                                    </w:r>
                                  </w:p>
                                  <w:p>
                                    <w:pPr>
                                      <w:rPr>
                                        <w:szCs w:val="21"/>
                                      </w:rPr>
                                    </w:pPr>
                                  </w:p>
                                </w:txbxContent>
                              </v:textbox>
                            </v:rect>
                            <v:rect id="Rectangle 12689" o:spid="_x0000_s1026" o:spt="1" style="position:absolute;left:4773;top:1465;height:979;width:2442;" filled="f" stroked="f" coordsize="21600,21600" o:gfxdata="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yWiNugAAANwA&#10;AAAPAAAAAAAAAAEAIAAAACIAAABkcnMvZG93bnJldi54bWxQSwECFAAUAAAACACHTuJAMy8FnjsA&#10;AAA5AAAAEAAAAAAAAAABACAAAAAJAQAAZHJzL3NoYXBleG1sLnhtbFBLBQYAAAAABgAGAFsBAACz&#10;AwAAAAA=&#10;">
                              <v:fill on="f" focussize="0,0"/>
                              <v:stroke on="f"/>
                              <v:imagedata o:title=""/>
                              <o:lock v:ext="edit" aspectratio="f"/>
                              <v:textbox inset="0.2mm,0.3mm,0.2mm,0.3mm">
                                <w:txbxContent>
                                  <w:p>
                                    <w:pPr>
                                      <w:adjustRightInd w:val="0"/>
                                      <w:snapToGrid w:val="0"/>
                                      <w:rPr>
                                        <w:szCs w:val="21"/>
                                      </w:rPr>
                                    </w:pPr>
                                    <w:r>
                                      <w:rPr>
                                        <w:rFonts w:hint="eastAsia"/>
                                        <w:szCs w:val="21"/>
                                      </w:rPr>
                                      <w:t>噪声、工频电场强度、</w:t>
                                    </w:r>
                                  </w:p>
                                  <w:p>
                                    <w:pPr>
                                      <w:adjustRightInd w:val="0"/>
                                      <w:snapToGrid w:val="0"/>
                                      <w:rPr>
                                        <w:szCs w:val="21"/>
                                      </w:rPr>
                                    </w:pPr>
                                    <w:r>
                                      <w:rPr>
                                        <w:rFonts w:hint="eastAsia"/>
                                        <w:szCs w:val="21"/>
                                      </w:rPr>
                                      <w:t>磁感应强度</w:t>
                                    </w:r>
                                  </w:p>
                                  <w:p>
                                    <w:pPr>
                                      <w:adjustRightInd w:val="0"/>
                                      <w:snapToGrid w:val="0"/>
                                      <w:rPr>
                                        <w:sz w:val="24"/>
                                        <w:szCs w:val="21"/>
                                      </w:rPr>
                                    </w:pPr>
                                  </w:p>
                                  <w:p>
                                    <w:pPr>
                                      <w:rPr>
                                        <w:szCs w:val="21"/>
                                      </w:rPr>
                                    </w:pPr>
                                  </w:p>
                                </w:txbxContent>
                              </v:textbox>
                            </v:rect>
                            <v:line id="Line 12690" o:spid="_x0000_s1026" o:spt="20" style="position:absolute;left:6321;top:653;height:652;width:0;" filled="f" stroked="t" coordsize="21600,21600" o:gfxdata="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ZuK&#10;wAAAANwAAAAPAAAAAAAAAAEAIAAAACIAAABkcnMvZG93bnJldi54bWxQSwECFAAUAAAACACHTuJA&#10;My8FnjsAAAA5AAAAEAAAAAAAAAABACAAAAAPAQAAZHJzL3NoYXBleG1sLnhtbFBLBQYAAAAABgAG&#10;AFsBAAC5AwAAAAA=&#10;">
                              <v:fill on="f" focussize="0,0"/>
                              <v:stroke color="#000000 [3213]" joinstyle="round" dashstyle="dash" endarrow="block"/>
                              <v:imagedata o:title=""/>
                              <o:lock v:ext="edit" aspectratio="f"/>
                            </v:line>
                            <v:line id="Line 12691" o:spid="_x0000_s1026" o:spt="20" style="position:absolute;left:9;top:0;height:0;width:5676;" filled="f" stroked="t" coordsize="21600,21600" o:gfxdata="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JhUfugAAANwA&#10;AAAPAAAAAAAAAAEAIAAAACIAAABkcnMvZG93bnJldi54bWxQSwECFAAUAAAACACHTuJAMy8FnjsA&#10;AAA5AAAAEAAAAAAAAAABACAAAAAJAQAAZHJzL3NoYXBleG1sLnhtbFBLBQYAAAAABgAGAFsBAACz&#10;AwAAAAA=&#10;">
                              <v:fill on="f" focussize="0,0"/>
                              <v:stroke color="#000000 [3213]" joinstyle="round" dashstyle="longDash"/>
                              <v:imagedata o:title=""/>
                              <o:lock v:ext="edit" aspectratio="f"/>
                            </v:line>
                            <v:line id="Line 12692" o:spid="_x0000_s1026" o:spt="20" style="position:absolute;left:9;top:978;height:1;width:5667;" filled="f" stroked="t" coordsize="21600,21600" o:gfxdata="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UqX74A&#10;AADcAAAADwAAAAAAAAABACAAAAAiAAAAZHJzL2Rvd25yZXYueG1sUEsBAhQAFAAAAAgAh07iQDMv&#10;BZ47AAAAOQAAABAAAAAAAAAAAQAgAAAADQEAAGRycy9zaGFwZXhtbC54bWxQSwUGAAAAAAYABgBb&#10;AQAAtwMAAAAA&#10;">
                              <v:fill on="f" focussize="0,0"/>
                              <v:stroke color="#000000 [3213]" joinstyle="round" dashstyle="longDash"/>
                              <v:imagedata o:title=""/>
                              <o:lock v:ext="edit" aspectratio="f"/>
                            </v:line>
                            <v:line id="Line 12693" o:spid="_x0000_s1026" o:spt="20" style="position:absolute;left:0;top:1;height:978;width:0;" filled="f" stroked="t" coordsize="21600,21600" o:gfxdata="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iY/EvQAA&#10;ANwAAAAPAAAAAAAAAAEAIAAAACIAAABkcnMvZG93bnJldi54bWxQSwECFAAUAAAACACHTuJAMy8F&#10;njsAAAA5AAAAEAAAAAAAAAABACAAAAAMAQAAZHJzL3NoYXBleG1sLnhtbFBLBQYAAAAABgAGAFsB&#10;AAC2AwAAAAA=&#10;">
                              <v:fill on="f" focussize="0,0"/>
                              <v:stroke color="#000000 [3213]" joinstyle="round" dashstyle="longDash"/>
                              <v:imagedata o:title=""/>
                              <o:lock v:ext="edit" aspectratio="f"/>
                            </v:line>
                            <v:line id="Line 12694" o:spid="_x0000_s1026" o:spt="20" style="position:absolute;left:5676;top:0;height:978;width:0;" filled="f" stroked="t" coordsize="21600,21600" o:gfxdata="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bEbO8AAAA&#10;3AAAAA8AAAAAAAAAAQAgAAAAIgAAAGRycy9kb3ducmV2LnhtbFBLAQIUABQAAAAIAIdO4kAzLwWe&#10;OwAAADkAAAAQAAAAAAAAAAEAIAAAAAsBAABkcnMvc2hhcGV4bWwueG1sUEsFBgAAAAAGAAYAWwEA&#10;ALUDAAAAAA==&#10;">
                              <v:fill on="f" focussize="0,0"/>
                              <v:stroke color="#000000 [3213]" joinstyle="round" dashstyle="longDash"/>
                              <v:imagedata o:title=""/>
                              <o:lock v:ext="edit" aspectratio="f"/>
                            </v:line>
                          </v:group>
                          <v:line id="Line 12695" o:spid="_x0000_s1026" o:spt="20" style="position:absolute;left:0;top:1;height:2445;width:0;" filled="f" stroked="f" coordsize="21600,21600" o:gfxdata="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MgD7sAAADc&#10;AAAADwAAAAAAAAABACAAAAAiAAAAZHJzL2Rvd25yZXYueG1sUEsBAhQAFAAAAAgAh07iQDMvBZ47&#10;AAAAOQAAABAAAAAAAAAAAQAgAAAACgEAAGRycy9zaGFwZXhtbC54bWxQSwUGAAAAAAYABgBbAQAA&#10;tAMAAAAA&#10;">
                            <v:fill on="f" focussize="0,0"/>
                            <v:stroke on="f"/>
                            <v:imagedata o:title=""/>
                            <o:lock v:ext="edit" aspectratio="f"/>
                          </v:line>
                          <v:line id="Line 12696" o:spid="_x0000_s1026" o:spt="20" style="position:absolute;left:7482;top:0;height:2445;width:0;" filled="f" stroked="f" coordsize="21600,21600" o:gfxdata="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rh7vQAA&#10;ANwAAAAPAAAAAAAAAAEAIAAAACIAAABkcnMvZG93bnJldi54bWxQSwECFAAUAAAACACHTuJAMy8F&#10;njsAAAA5AAAAEAAAAAAAAAABACAAAAAMAQAAZHJzL3NoYXBleG1sLnhtbFBLBQYAAAAABgAGAFsB&#10;AAC2AwAAAAA=&#10;">
                            <v:fill on="f" focussize="0,0"/>
                            <v:stroke on="f"/>
                            <v:imagedata o:title=""/>
                            <o:lock v:ext="edit" aspectratio="f"/>
                          </v:line>
                          <v:line id="Line 12697" o:spid="_x0000_s1026" o:spt="20" style="position:absolute;left:0;top:1;height:0;width:7482;" filled="f" stroked="f" coordsize="21600,21600" o:gfxdata="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Nh3gvQAA&#10;ANwAAAAPAAAAAAAAAAEAIAAAACIAAABkcnMvZG93bnJldi54bWxQSwECFAAUAAAACACHTuJAMy8F&#10;njsAAAA5AAAAEAAAAAAAAAABACAAAAAMAQAAZHJzL3NoYXBleG1sLnhtbFBLBQYAAAAABgAGAFsB&#10;AAC2AwAAAAA=&#10;">
                            <v:fill on="f" focussize="0,0"/>
                            <v:stroke on="f"/>
                            <v:imagedata o:title=""/>
                            <o:lock v:ext="edit" aspectratio="f"/>
                          </v:line>
                          <v:line id="Line 12698" o:spid="_x0000_s1026" o:spt="20" style="position:absolute;left:9;top:2445;height:0;width:7482;" filled="f" stroked="f" coordsize="21600,21600" o:gfxdata="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5IOXvQAA&#10;ANwAAAAPAAAAAAAAAAEAIAAAACIAAABkcnMvZG93bnJldi54bWxQSwECFAAUAAAACACHTuJAMy8F&#10;njsAAAA5AAAAEAAAAAAAAAABACAAAAAMAQAAZHJzL3NoYXBleG1sLnhtbFBLBQYAAAAABgAGAFsB&#10;AAC2AwAAAAA=&#10;">
                            <v:fill on="f" focussize="0,0"/>
                            <v:stroke on="f"/>
                            <v:imagedata o:title=""/>
                            <o:lock v:ext="edit" aspectratio="f"/>
                          </v:line>
                        </v:group>
                        <v:rect id="Rectangle 12699" o:spid="_x0000_s1026" o:spt="1" style="position:absolute;left:-9;top:2379;height:652;width:7482;" filled="f" stroked="f" coordsize="21600,21600" o:gfxdata="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kW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480" w:lineRule="exact"/>
                                  <w:jc w:val="center"/>
                                  <w:rPr>
                                    <w:b/>
                                    <w:sz w:val="24"/>
                                    <w:szCs w:val="32"/>
                                  </w:rPr>
                                </w:pPr>
                                <w:r>
                                  <w:rPr>
                                    <w:rFonts w:hint="eastAsia"/>
                                    <w:b/>
                                    <w:sz w:val="24"/>
                                    <w:szCs w:val="32"/>
                                  </w:rPr>
                                  <w:t>图</w:t>
                                </w:r>
                                <w:r>
                                  <w:rPr>
                                    <w:b/>
                                    <w:sz w:val="24"/>
                                    <w:szCs w:val="32"/>
                                  </w:rPr>
                                  <w:t>2-</w:t>
                                </w:r>
                                <w:r>
                                  <w:rPr>
                                    <w:rFonts w:hint="eastAsia"/>
                                    <w:b/>
                                    <w:sz w:val="24"/>
                                    <w:szCs w:val="32"/>
                                    <w:lang w:val="en-US" w:eastAsia="zh-CN"/>
                                  </w:rPr>
                                  <w:t>5</w:t>
                                </w:r>
                                <w:r>
                                  <w:rPr>
                                    <w:b/>
                                    <w:sz w:val="24"/>
                                    <w:szCs w:val="32"/>
                                  </w:rPr>
                                  <w:t xml:space="preserve">  </w:t>
                                </w:r>
                                <w:r>
                                  <w:rPr>
                                    <w:rFonts w:hint="eastAsia"/>
                                    <w:b/>
                                    <w:sz w:val="24"/>
                                    <w:szCs w:val="32"/>
                                  </w:rPr>
                                  <w:t>架空送电线路施工流程及产污节点示意图</w:t>
                                </w:r>
                              </w:p>
                              <w:p>
                                <w:pPr>
                                  <w:rPr>
                                    <w:b/>
                                  </w:rPr>
                                </w:pPr>
                              </w:p>
                            </w:txbxContent>
                          </v:textbox>
                        </v:rect>
                      </v:group>
                      <v:rect id="Rectangle 32946" o:spid="_x0000_s1026" o:spt="1" style="position:absolute;left:38;top:1613;height:705;width:5062;" fillcolor="#FFFFFF" filled="t" stroked="t" coordsize="21600,21600" o:gfxdata="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ElaK&#10;wAAAANwAAAAPAAAAAAAAAAEAIAAAACIAAABkcnMvZG93bnJldi54bWxQSwECFAAUAAAACACHTuJA&#10;My8FnjsAAAA5AAAAEAAAAAAAAAABACAAAAAPAQAAZHJzL3NoYXBleG1sLnhtbFBLBQYAAAAABgAG&#10;AFsBAAC5AwAAAAA=&#10;">
                        <v:fill on="t" opacity="0f" focussize="0,0"/>
                        <v:stroke color="#000000" miterlimit="8" joinstyle="miter" dashstyle="dash"/>
                        <v:imagedata o:title=""/>
                        <o:lock v:ext="edit" aspectratio="f"/>
                      </v:rect>
                      <v:rect id="Rectangle 32947" o:spid="_x0000_s1026" o:spt="1" style="position:absolute;left:5490;top:1628;height:635;width:2587;" fillcolor="#FFFFFF" filled="t" stroked="t" coordsize="21600,21600" o:gfxdata="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XvMRvQAA&#10;ANwAAAAPAAAAAAAAAAEAIAAAACIAAABkcnMvZG93bnJldi54bWxQSwECFAAUAAAACACHTuJAMy8F&#10;njsAAAA5AAAAEAAAAAAAAAABACAAAAAMAQAAZHJzL3NoYXBleG1sLnhtbFBLBQYAAAAABgAGAFsB&#10;AAC2AwAAAAA=&#10;">
                        <v:fill on="t" opacity="0f" focussize="0,0"/>
                        <v:stroke color="#000000" miterlimit="8" joinstyle="miter" dashstyle="dash"/>
                        <v:imagedata o:title=""/>
                        <o:lock v:ext="edit" aspectratio="f"/>
                      </v:rect>
                    </v:group>
                  </w:pict>
                </mc:Fallback>
              </mc:AlternateContent>
            </w:r>
          </w:p>
          <w:p>
            <w:pPr>
              <w:pStyle w:val="35"/>
              <w:rPr>
                <w:color w:val="auto"/>
                <w:highlight w:val="none"/>
              </w:rPr>
            </w:pPr>
          </w:p>
          <w:p>
            <w:pPr>
              <w:pStyle w:val="35"/>
              <w:rPr>
                <w:color w:val="auto"/>
                <w:highlight w:val="none"/>
              </w:rPr>
            </w:pPr>
          </w:p>
          <w:p>
            <w:pPr>
              <w:pStyle w:val="35"/>
              <w:rPr>
                <w:color w:val="auto"/>
                <w:highlight w:val="none"/>
              </w:rPr>
            </w:pPr>
          </w:p>
          <w:p>
            <w:pPr>
              <w:pStyle w:val="35"/>
              <w:rPr>
                <w:color w:val="auto"/>
                <w:highlight w:val="none"/>
              </w:rPr>
            </w:pPr>
          </w:p>
          <w:p>
            <w:pPr>
              <w:pStyle w:val="35"/>
              <w:rPr>
                <w:color w:val="auto"/>
                <w:highlight w:val="none"/>
              </w:rPr>
            </w:pPr>
          </w:p>
          <w:p>
            <w:pPr>
              <w:pStyle w:val="35"/>
              <w:rPr>
                <w:color w:val="auto"/>
                <w:highlight w:val="none"/>
              </w:rPr>
            </w:pPr>
          </w:p>
          <w:p>
            <w:pPr>
              <w:pStyle w:val="35"/>
              <w:rPr>
                <w:color w:val="auto"/>
                <w:highlight w:val="none"/>
              </w:rPr>
            </w:pPr>
          </w:p>
          <w:p>
            <w:pPr>
              <w:adjustRightInd w:val="0"/>
              <w:snapToGrid w:val="0"/>
              <w:spacing w:line="360" w:lineRule="auto"/>
              <w:ind w:firstLine="480" w:firstLineChars="200"/>
              <w:rPr>
                <w:color w:val="auto"/>
                <w:sz w:val="24"/>
                <w:highlight w:val="none"/>
              </w:rPr>
            </w:pPr>
            <w:r>
              <w:rPr>
                <w:rFonts w:hint="eastAsia"/>
                <w:color w:val="auto"/>
                <w:sz w:val="24"/>
                <w:highlight w:val="none"/>
              </w:rPr>
              <w:t>线路施工分三个阶段：一是施工准备；二是铁塔基础施工；三是杆塔组立、架设搭接。</w:t>
            </w:r>
            <w:r>
              <w:rPr>
                <w:color w:val="auto"/>
                <w:sz w:val="24"/>
                <w:highlight w:val="none"/>
              </w:rPr>
              <w:t xml:space="preserve"> </w:t>
            </w:r>
          </w:p>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（1）施工准备</w:t>
            </w:r>
            <w:r>
              <w:rPr>
                <w:b/>
                <w:bCs/>
                <w:color w:val="auto"/>
                <w:sz w:val="24"/>
                <w:highlight w:val="none"/>
              </w:rPr>
              <w:t xml:space="preserve"> </w:t>
            </w:r>
          </w:p>
          <w:p>
            <w:pPr>
              <w:adjustRightInd w:val="0"/>
              <w:snapToGrid w:val="0"/>
              <w:spacing w:line="360" w:lineRule="auto"/>
              <w:ind w:firstLine="480" w:firstLineChars="200"/>
              <w:rPr>
                <w:color w:val="auto"/>
                <w:sz w:val="24"/>
                <w:highlight w:val="none"/>
              </w:rPr>
            </w:pPr>
            <w:r>
              <w:rPr>
                <w:rFonts w:hint="eastAsia"/>
                <w:color w:val="auto"/>
                <w:sz w:val="24"/>
                <w:highlight w:val="none"/>
              </w:rPr>
              <w:t>对局部塔基位置、施工场地、牵张场等区域的现有植被进行铲除，平整场地，准备施工所需机械器材、工程建材等。</w:t>
            </w:r>
            <w:r>
              <w:rPr>
                <w:color w:val="auto"/>
                <w:sz w:val="24"/>
                <w:highlight w:val="none"/>
              </w:rPr>
              <w:t xml:space="preserve"> </w:t>
            </w:r>
          </w:p>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w:t>
            </w:r>
            <w:r>
              <w:rPr>
                <w:b/>
                <w:bCs/>
                <w:color w:val="auto"/>
                <w:sz w:val="24"/>
                <w:highlight w:val="none"/>
              </w:rPr>
              <w:t>2</w:t>
            </w:r>
            <w:r>
              <w:rPr>
                <w:rFonts w:hint="eastAsia"/>
                <w:b/>
                <w:bCs/>
                <w:color w:val="auto"/>
                <w:sz w:val="24"/>
                <w:highlight w:val="none"/>
              </w:rPr>
              <w:t>）铁塔基础施工</w:t>
            </w:r>
            <w:r>
              <w:rPr>
                <w:b/>
                <w:bCs/>
                <w:color w:val="auto"/>
                <w:sz w:val="24"/>
                <w:highlight w:val="none"/>
              </w:rPr>
              <w:t xml:space="preserve"> </w:t>
            </w:r>
          </w:p>
          <w:p>
            <w:pPr>
              <w:adjustRightInd w:val="0"/>
              <w:snapToGrid w:val="0"/>
              <w:spacing w:line="360" w:lineRule="auto"/>
              <w:ind w:firstLine="480" w:firstLineChars="200"/>
              <w:rPr>
                <w:rFonts w:asciiTheme="minorHAnsi" w:hAnsiTheme="minorHAnsi" w:cstheme="minorBidi"/>
                <w:color w:val="auto"/>
                <w:sz w:val="24"/>
                <w:szCs w:val="32"/>
                <w:highlight w:val="none"/>
              </w:rPr>
            </w:pPr>
            <w:r>
              <w:rPr>
                <w:rFonts w:hint="eastAsia"/>
                <w:color w:val="auto"/>
                <w:sz w:val="24"/>
                <w:highlight w:val="none"/>
              </w:rPr>
              <w:t>铁塔基础：在确保塔基基础安全和质量的前提下，基坑开挖采用人工、小型机械的掏挖开槽，避免过多的破坏原状土壤、植被环境。岩石和地质比较稳定的塔位，在设计允许的前提下，基础底板尽量采用以土代模的施工方法，减少土石方的开挖量。基坑开挖尽量保持坑壁成型完好，并做好土石方的堆放，避免坍塌流失影响周围环境和破坏植被，基坑开挖好后尽快浇筑混凝土。根据塔基周围施工条件，有条件的情况下采用商品混凝土，现场混凝土泵车不能到达的塔基采用小型拌合机制备后浇筑。拌制混凝土前要在地面铺上防水布或钢板，砂、石、水泥等放在防水布或钢板上人工搅拌，基础拆模后，经监理验收合格在进行回填，塔基处按需修筑挡墙和排水沟。</w:t>
            </w:r>
            <w:r>
              <w:rPr>
                <w:rFonts w:hint="eastAsia"/>
                <w:color w:val="auto"/>
                <w:sz w:val="24"/>
                <w:szCs w:val="32"/>
                <w:highlight w:val="none"/>
              </w:rPr>
              <w:t>做好塔基排水，在塔基周围修建临时排水沟、护坡，减轻水土流失。</w:t>
            </w:r>
          </w:p>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w:t>
            </w:r>
            <w:r>
              <w:rPr>
                <w:b/>
                <w:bCs/>
                <w:color w:val="auto"/>
                <w:sz w:val="24"/>
                <w:highlight w:val="none"/>
              </w:rPr>
              <w:t>3</w:t>
            </w:r>
            <w:r>
              <w:rPr>
                <w:rFonts w:hint="eastAsia"/>
                <w:b/>
                <w:bCs/>
                <w:color w:val="auto"/>
                <w:sz w:val="24"/>
                <w:highlight w:val="none"/>
              </w:rPr>
              <w:t>）杆塔组立及架线搭接</w:t>
            </w:r>
            <w:r>
              <w:rPr>
                <w:b/>
                <w:bCs/>
                <w:color w:val="auto"/>
                <w:sz w:val="24"/>
                <w:highlight w:val="none"/>
              </w:rPr>
              <w:t xml:space="preserve"> </w:t>
            </w:r>
          </w:p>
          <w:p>
            <w:pPr>
              <w:adjustRightInd w:val="0"/>
              <w:snapToGrid w:val="0"/>
              <w:spacing w:line="360" w:lineRule="auto"/>
              <w:ind w:firstLine="480" w:firstLineChars="200"/>
              <w:rPr>
                <w:color w:val="auto"/>
                <w:sz w:val="24"/>
                <w:highlight w:val="none"/>
              </w:rPr>
            </w:pPr>
            <w:r>
              <w:rPr>
                <w:rFonts w:hint="eastAsia" w:ascii="宋体" w:hAnsi="宋体" w:cs="宋体"/>
                <w:color w:val="auto"/>
                <w:sz w:val="24"/>
                <w:highlight w:val="none"/>
              </w:rPr>
              <w:t>①</w:t>
            </w:r>
            <w:r>
              <w:rPr>
                <w:rFonts w:hint="eastAsia"/>
                <w:color w:val="auto"/>
                <w:sz w:val="24"/>
                <w:highlight w:val="none"/>
              </w:rPr>
              <w:t>杆塔组立：工程铁塔安装施工采用分解组塔的施工方法。在实际施工过程中，根据铁塔的形式、高度、重量以及施工场地、施工设备等施工现场情况，确定正装分解组塔或倒装分解组塔。利用支立抱杆，吊装铁塔构件，抱杆通过牵引绳的连接拉动，随铁塔高度的增高而上升，各个构件顶端和底部支脚采用螺栓连接。</w:t>
            </w:r>
          </w:p>
          <w:p>
            <w:pPr>
              <w:adjustRightInd w:val="0"/>
              <w:snapToGrid w:val="0"/>
              <w:spacing w:line="360" w:lineRule="auto"/>
              <w:ind w:firstLine="480" w:firstLineChars="200"/>
              <w:rPr>
                <w:color w:val="auto"/>
                <w:sz w:val="24"/>
                <w:highlight w:val="none"/>
              </w:rPr>
            </w:pPr>
            <w:r>
              <w:rPr>
                <w:rFonts w:hint="eastAsia" w:ascii="宋体" w:hAnsi="宋体" w:cs="宋体"/>
                <w:color w:val="auto"/>
                <w:sz w:val="24"/>
                <w:highlight w:val="none"/>
              </w:rPr>
              <w:t>②</w:t>
            </w:r>
            <w:r>
              <w:rPr>
                <w:rFonts w:hint="eastAsia"/>
                <w:color w:val="auto"/>
                <w:sz w:val="24"/>
                <w:highlight w:val="none"/>
              </w:rPr>
              <w:t>架线搭接：跨越水域等优先采用</w:t>
            </w:r>
            <w:r>
              <w:rPr>
                <w:rFonts w:hint="eastAsia"/>
                <w:color w:val="auto"/>
                <w:sz w:val="24"/>
                <w:highlight w:val="none"/>
                <w:lang w:eastAsia="zh-CN"/>
              </w:rPr>
              <w:t>无人机放线</w:t>
            </w:r>
            <w:r>
              <w:rPr>
                <w:rFonts w:hint="eastAsia"/>
                <w:color w:val="auto"/>
                <w:sz w:val="24"/>
                <w:highlight w:val="none"/>
              </w:rPr>
              <w:t>，在跨越经济作物地区利用脚手架或钢管分段搭设简易跨越架进行跨越施工。</w:t>
            </w:r>
          </w:p>
          <w:p>
            <w:pPr>
              <w:adjustRightInd w:val="0"/>
              <w:snapToGrid w:val="0"/>
              <w:spacing w:line="360" w:lineRule="auto"/>
              <w:ind w:firstLine="480" w:firstLineChars="200"/>
              <w:rPr>
                <w:color w:val="auto"/>
                <w:sz w:val="24"/>
                <w:highlight w:val="none"/>
              </w:rPr>
            </w:pPr>
            <w:r>
              <w:rPr>
                <w:rFonts w:hint="eastAsia"/>
                <w:color w:val="auto"/>
                <w:sz w:val="24"/>
                <w:highlight w:val="none"/>
              </w:rPr>
              <w:t>导线宜采用一牵二的架线方式，在牵引场布置一台大牵引机，在张力场布置一台张力机，一次牵引二根导线。地线采用一牵一方式进行张力架线。</w:t>
            </w:r>
            <w:r>
              <w:rPr>
                <w:color w:val="auto"/>
                <w:sz w:val="24"/>
                <w:highlight w:val="none"/>
              </w:rPr>
              <w:t>OPGW</w:t>
            </w:r>
            <w:r>
              <w:rPr>
                <w:rFonts w:hint="eastAsia"/>
                <w:color w:val="auto"/>
                <w:sz w:val="24"/>
                <w:highlight w:val="none"/>
              </w:rPr>
              <w:t>光缆采用一牵一专用牵张设备进行张力架线。由于</w:t>
            </w:r>
            <w:r>
              <w:rPr>
                <w:color w:val="auto"/>
                <w:sz w:val="24"/>
                <w:highlight w:val="none"/>
              </w:rPr>
              <w:t>OPGW</w:t>
            </w:r>
            <w:r>
              <w:rPr>
                <w:rFonts w:hint="eastAsia"/>
                <w:color w:val="auto"/>
                <w:sz w:val="24"/>
                <w:highlight w:val="none"/>
              </w:rPr>
              <w:t>光缆受盘长的限制，很难与导线同场展放，根据现场实际情况尽可能地选择同场展放，无条件时与导线分开展放。</w:t>
            </w:r>
          </w:p>
          <w:p>
            <w:pPr>
              <w:adjustRightInd w:val="0"/>
              <w:snapToGrid w:val="0"/>
              <w:spacing w:line="360" w:lineRule="auto"/>
              <w:ind w:firstLine="480" w:firstLineChars="200"/>
              <w:rPr>
                <w:color w:val="auto"/>
                <w:sz w:val="24"/>
                <w:highlight w:val="none"/>
              </w:rPr>
            </w:pPr>
            <w:r>
              <w:rPr>
                <w:rFonts w:hint="eastAsia"/>
                <w:color w:val="auto"/>
                <w:sz w:val="24"/>
                <w:highlight w:val="none"/>
              </w:rPr>
              <w:t>线路架设完成后，对塔基开基面进行回填，回填土按要求分层夯实，开挖出的土石方全部回填于塔基及周边低洼处，并进行绿化覆盖。</w:t>
            </w:r>
          </w:p>
          <w:p>
            <w:pPr>
              <w:spacing w:line="360" w:lineRule="auto"/>
              <w:ind w:firstLine="482" w:firstLineChars="200"/>
              <w:rPr>
                <w:b/>
                <w:bCs w:val="0"/>
                <w:color w:val="auto"/>
              </w:rPr>
            </w:pPr>
            <w:r>
              <w:rPr>
                <w:rFonts w:hint="eastAsia"/>
                <w:b/>
                <w:color w:val="auto"/>
                <w:sz w:val="24"/>
                <w:highlight w:val="none"/>
              </w:rPr>
              <w:t>（</w:t>
            </w:r>
            <w:r>
              <w:rPr>
                <w:b/>
                <w:color w:val="auto"/>
                <w:sz w:val="24"/>
                <w:highlight w:val="none"/>
              </w:rPr>
              <w:t>4</w:t>
            </w:r>
            <w:r>
              <w:rPr>
                <w:rFonts w:hint="eastAsia"/>
                <w:b/>
                <w:color w:val="auto"/>
                <w:sz w:val="24"/>
                <w:highlight w:val="none"/>
              </w:rPr>
              <w:t>）</w:t>
            </w:r>
            <w:r>
              <w:rPr>
                <w:rFonts w:hint="eastAsia"/>
                <w:b/>
                <w:bCs w:val="0"/>
                <w:color w:val="auto"/>
                <w:sz w:val="24"/>
                <w:highlight w:val="none"/>
              </w:rPr>
              <w:t>越</w:t>
            </w:r>
            <w:r>
              <w:rPr>
                <w:rFonts w:hint="eastAsia"/>
                <w:b/>
                <w:bCs w:val="0"/>
                <w:color w:val="auto"/>
                <w:sz w:val="24"/>
                <w:highlight w:val="none"/>
                <w:lang w:eastAsia="zh-CN"/>
              </w:rPr>
              <w:t>高速公路</w:t>
            </w:r>
            <w:r>
              <w:rPr>
                <w:rFonts w:hint="eastAsia"/>
                <w:b/>
                <w:bCs w:val="0"/>
                <w:color w:val="auto"/>
                <w:sz w:val="24"/>
                <w:highlight w:val="none"/>
              </w:rPr>
              <w:t>施工方案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olor w:val="auto"/>
                <w:lang w:eastAsia="zh-CN"/>
              </w:rPr>
            </w:pPr>
            <w:r>
              <w:rPr>
                <w:rFonts w:hint="eastAsia"/>
                <w:color w:val="auto"/>
                <w:sz w:val="24"/>
                <w:lang w:eastAsia="zh-CN"/>
              </w:rPr>
              <w:t>拟建</w:t>
            </w:r>
            <w:r>
              <w:rPr>
                <w:rFonts w:hint="eastAsia"/>
                <w:color w:val="auto"/>
                <w:sz w:val="24"/>
              </w:rPr>
              <w:t>110</w:t>
            </w:r>
            <w:r>
              <w:rPr>
                <w:color w:val="auto"/>
                <w:sz w:val="24"/>
              </w:rPr>
              <w:t>kV</w:t>
            </w:r>
            <w:r>
              <w:rPr>
                <w:rFonts w:hint="eastAsia"/>
                <w:color w:val="auto"/>
                <w:sz w:val="24"/>
              </w:rPr>
              <w:t>架空线路跨越</w:t>
            </w:r>
            <w:r>
              <w:rPr>
                <w:rFonts w:hint="eastAsia"/>
                <w:color w:val="auto"/>
                <w:sz w:val="24"/>
                <w:lang w:eastAsia="zh-CN"/>
              </w:rPr>
              <w:t>渝遂高速，跨渝遂高速段两侧塔基距离高速公路分别约</w:t>
            </w:r>
            <w:r>
              <w:rPr>
                <w:rFonts w:hint="eastAsia"/>
                <w:color w:val="auto"/>
                <w:sz w:val="24"/>
                <w:lang w:val="en-US" w:eastAsia="zh-CN"/>
              </w:rPr>
              <w:t>75m、95m，两塔之间距离约320m，且地势平坦，因此不</w:t>
            </w:r>
            <w:r>
              <w:rPr>
                <w:rFonts w:hint="eastAsia"/>
                <w:color w:val="auto"/>
                <w:sz w:val="24"/>
              </w:rPr>
              <w:t>采用跨越架与封网的方式</w:t>
            </w:r>
            <w:r>
              <w:rPr>
                <w:rFonts w:hint="eastAsia"/>
                <w:color w:val="auto"/>
                <w:sz w:val="24"/>
                <w:lang w:eastAsia="zh-CN"/>
              </w:rPr>
              <w:t>，施工方案采用前述普通施工工艺。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6" w:type="dxa"/>
            <w:vAlign w:val="center"/>
          </w:tcPr>
          <w:p>
            <w:pPr>
              <w:adjustRightInd w:val="0"/>
              <w:snapToGrid w:val="0"/>
              <w:jc w:val="center"/>
              <w:rPr>
                <w:rFonts w:cs="宋体"/>
                <w:color w:val="auto"/>
                <w:kern w:val="0"/>
                <w:sz w:val="24"/>
                <w:highlight w:val="yellow"/>
              </w:rPr>
            </w:pPr>
            <w:r>
              <w:rPr>
                <w:rFonts w:hint="eastAsia" w:cs="宋体"/>
                <w:color w:val="auto"/>
                <w:kern w:val="0"/>
                <w:sz w:val="24"/>
                <w:highlight w:val="none"/>
              </w:rPr>
              <w:t>其他</w:t>
            </w:r>
          </w:p>
        </w:tc>
        <w:tc>
          <w:tcPr>
            <w:tcW w:w="8646" w:type="dxa"/>
            <w:vAlign w:val="center"/>
          </w:tcPr>
          <w:p>
            <w:pPr>
              <w:adjustRightInd w:val="0"/>
              <w:snapToGrid w:val="0"/>
              <w:spacing w:line="360" w:lineRule="auto"/>
              <w:jc w:val="left"/>
              <w:rPr>
                <w:rFonts w:cs="宋体"/>
                <w:b/>
                <w:bCs/>
                <w:color w:val="auto"/>
                <w:kern w:val="0"/>
                <w:sz w:val="24"/>
                <w:highlight w:val="none"/>
              </w:rPr>
            </w:pPr>
            <w:r>
              <w:rPr>
                <w:rFonts w:hint="eastAsia" w:cs="宋体"/>
                <w:b/>
                <w:bCs/>
                <w:color w:val="auto"/>
                <w:kern w:val="0"/>
                <w:sz w:val="24"/>
                <w:highlight w:val="none"/>
              </w:rPr>
              <w:t>2</w:t>
            </w:r>
            <w:r>
              <w:rPr>
                <w:rFonts w:cs="宋体"/>
                <w:b/>
                <w:bCs/>
                <w:color w:val="auto"/>
                <w:kern w:val="0"/>
                <w:sz w:val="24"/>
                <w:highlight w:val="none"/>
              </w:rPr>
              <w:t>.1</w:t>
            </w:r>
            <w:r>
              <w:rPr>
                <w:rFonts w:hint="eastAsia" w:cs="宋体"/>
                <w:b/>
                <w:bCs/>
                <w:color w:val="auto"/>
                <w:kern w:val="0"/>
                <w:sz w:val="24"/>
                <w:highlight w:val="none"/>
                <w:lang w:val="en-US" w:eastAsia="zh-CN"/>
              </w:rPr>
              <w:t>6</w:t>
            </w:r>
            <w:r>
              <w:rPr>
                <w:rFonts w:cs="宋体"/>
                <w:b/>
                <w:bCs/>
                <w:color w:val="auto"/>
                <w:kern w:val="0"/>
                <w:sz w:val="24"/>
                <w:highlight w:val="none"/>
              </w:rPr>
              <w:t xml:space="preserve"> </w:t>
            </w:r>
            <w:r>
              <w:rPr>
                <w:rFonts w:hint="eastAsia" w:cs="宋体"/>
                <w:b/>
                <w:bCs/>
                <w:color w:val="auto"/>
                <w:kern w:val="0"/>
                <w:sz w:val="24"/>
                <w:highlight w:val="none"/>
              </w:rPr>
              <w:t>方案比选</w:t>
            </w:r>
          </w:p>
          <w:p>
            <w:pPr>
              <w:spacing w:line="360" w:lineRule="auto"/>
              <w:ind w:firstLine="480" w:firstLineChars="200"/>
              <w:rPr>
                <w:rFonts w:hint="eastAsia" w:ascii="Times New Roman" w:hAnsi="Times New Roman" w:eastAsia="宋体" w:cs="Times New Roman"/>
                <w:color w:val="auto"/>
                <w:sz w:val="24"/>
                <w:highlight w:val="none"/>
              </w:rPr>
            </w:pPr>
            <w:bookmarkStart w:id="8" w:name="_Toc6969"/>
            <w:r>
              <w:rPr>
                <w:rFonts w:hint="eastAsia" w:ascii="Times New Roman" w:hAnsi="Times New Roman" w:eastAsia="宋体" w:cs="Times New Roman"/>
                <w:color w:val="auto"/>
                <w:sz w:val="24"/>
                <w:highlight w:val="none"/>
              </w:rPr>
              <w:t>由于本工程线路较</w:t>
            </w:r>
            <w:r>
              <w:rPr>
                <w:rFonts w:hint="eastAsia" w:ascii="Times New Roman" w:hAnsi="Times New Roman" w:eastAsia="宋体" w:cs="Times New Roman"/>
                <w:color w:val="auto"/>
                <w:sz w:val="24"/>
                <w:highlight w:val="none"/>
                <w:lang w:val="en-US" w:eastAsia="zh-CN"/>
              </w:rPr>
              <w:t>短</w:t>
            </w:r>
            <w:r>
              <w:rPr>
                <w:rFonts w:hint="eastAsia" w:ascii="Times New Roman" w:hAnsi="Times New Roman" w:eastAsia="宋体" w:cs="Times New Roman"/>
                <w:color w:val="auto"/>
                <w:sz w:val="24"/>
                <w:highlight w:val="none"/>
              </w:rPr>
              <w:t>，沿线房屋较多，且需考虑尽量避开乡镇规划，若要线路走向合理，路径方案具备可行性，线路路径存在可优化或论证之处，故拟定了南、北两个路径方案。</w:t>
            </w:r>
          </w:p>
          <w:p>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（1）比选方案（南方案）</w:t>
            </w:r>
          </w:p>
          <w:p>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线路从全德变</w:t>
            </w:r>
            <w:r>
              <w:rPr>
                <w:rFonts w:hint="eastAsia" w:ascii="Times New Roman" w:hAnsi="Times New Roman" w:eastAsia="宋体" w:cs="Times New Roman"/>
                <w:color w:val="auto"/>
                <w:sz w:val="24"/>
                <w:highlight w:val="none"/>
                <w:lang w:val="en-US" w:eastAsia="zh-CN"/>
              </w:rPr>
              <w:t>架空出线后，线路</w:t>
            </w:r>
            <w:r>
              <w:rPr>
                <w:rFonts w:hint="eastAsia" w:ascii="Times New Roman" w:hAnsi="Times New Roman" w:eastAsia="宋体" w:cs="Times New Roman"/>
                <w:color w:val="auto"/>
                <w:sz w:val="24"/>
                <w:highlight w:val="none"/>
              </w:rPr>
              <w:t>向东南平行110kV德永南北线出线，至淮运河北岸右转向南走线，</w:t>
            </w:r>
            <w:r>
              <w:rPr>
                <w:rFonts w:hint="eastAsia" w:ascii="Times New Roman" w:hAnsi="Times New Roman" w:eastAsia="宋体" w:cs="Times New Roman"/>
                <w:color w:val="auto"/>
                <w:sz w:val="24"/>
                <w:highlight w:val="none"/>
                <w:lang w:val="en-US" w:eastAsia="zh-CN"/>
              </w:rPr>
              <w:t>在楼房院子处跨过在建渝遂高速，并沿着高速匝道继续向南走线，线路在花院墙附近跨过</w:t>
            </w:r>
            <w:r>
              <w:rPr>
                <w:rFonts w:hint="eastAsia" w:ascii="Times New Roman" w:hAnsi="Times New Roman" w:eastAsia="宋体" w:cs="Times New Roman"/>
                <w:color w:val="auto"/>
                <w:sz w:val="24"/>
                <w:highlight w:val="none"/>
              </w:rPr>
              <w:t>35kV铜永线、35kV铁永线</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经过谢善人庙子，在邱家湾附近</w:t>
            </w:r>
            <w:r>
              <w:rPr>
                <w:rFonts w:hint="eastAsia" w:ascii="Times New Roman" w:hAnsi="Times New Roman" w:eastAsia="宋体" w:cs="Times New Roman"/>
                <w:color w:val="auto"/>
                <w:sz w:val="24"/>
                <w:highlight w:val="none"/>
              </w:rPr>
              <w:t>下钻220kV铜龙南北线、220kV全龙南北线，</w:t>
            </w:r>
            <w:r>
              <w:rPr>
                <w:rFonts w:hint="eastAsia" w:ascii="Times New Roman" w:hAnsi="Times New Roman" w:eastAsia="宋体" w:cs="Times New Roman"/>
                <w:color w:val="auto"/>
                <w:sz w:val="24"/>
                <w:highlight w:val="none"/>
                <w:lang w:val="en-US" w:eastAsia="zh-CN"/>
              </w:rPr>
              <w:t>后线路沿规划道路向东南走线，在徐家作坊附近左转继续沿规划道路走线，至</w:t>
            </w:r>
            <w:bookmarkEnd w:id="8"/>
            <w:r>
              <w:rPr>
                <w:rFonts w:hint="eastAsia" w:ascii="Times New Roman" w:hAnsi="Times New Roman" w:eastAsia="宋体" w:cs="Times New Roman"/>
                <w:color w:val="auto"/>
                <w:sz w:val="24"/>
                <w:highlight w:val="none"/>
              </w:rPr>
              <w:t>玫瑰园</w:t>
            </w:r>
            <w:r>
              <w:rPr>
                <w:rFonts w:hint="eastAsia" w:ascii="Times New Roman" w:hAnsi="Times New Roman" w:eastAsia="宋体" w:cs="Times New Roman"/>
                <w:color w:val="auto"/>
                <w:sz w:val="24"/>
                <w:highlight w:val="none"/>
                <w:lang w:val="en-US" w:eastAsia="zh-CN"/>
              </w:rPr>
              <w:t>后右转沿规划路向东至拟建淮阳变电站。</w:t>
            </w:r>
          </w:p>
          <w:p>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（2）推荐方案（北方案）</w:t>
            </w:r>
          </w:p>
          <w:p>
            <w:pPr>
              <w:spacing w:line="360" w:lineRule="auto"/>
              <w:ind w:firstLine="480" w:firstLineChars="200"/>
              <w:rPr>
                <w:rFonts w:hint="eastAsia"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北方案</w:t>
            </w:r>
            <w:r>
              <w:rPr>
                <w:rFonts w:hint="eastAsia" w:ascii="Times New Roman" w:hAnsi="Times New Roman" w:eastAsia="宋体" w:cs="Times New Roman"/>
                <w:color w:val="auto"/>
                <w:sz w:val="24"/>
                <w:highlight w:val="none"/>
              </w:rPr>
              <w:t>线路从</w:t>
            </w:r>
            <w:r>
              <w:rPr>
                <w:rFonts w:hint="eastAsia" w:ascii="Times New Roman" w:hAnsi="Times New Roman" w:eastAsia="宋体" w:cs="Times New Roman"/>
                <w:color w:val="auto"/>
                <w:sz w:val="24"/>
                <w:highlight w:val="none"/>
                <w:lang w:val="en-US" w:eastAsia="zh-CN"/>
              </w:rPr>
              <w:t>全德220kV变电站110kV构架侧出线，向东南平行110kV德永南北线走线，</w:t>
            </w:r>
            <w:r>
              <w:rPr>
                <w:rFonts w:hint="eastAsia" w:cs="Times New Roman"/>
                <w:color w:val="auto"/>
                <w:sz w:val="24"/>
                <w:highlight w:val="none"/>
                <w:lang w:val="en-US" w:eastAsia="zh-CN"/>
              </w:rPr>
              <w:t>在G2#塔大号侧约30m跨淮远河进入东城街道飞凤村，继续向东南走线，在G4#塔大号侧约360m进入蒲吕街道沙心村，在G8#塔小号侧约20m进入旧县街道，</w:t>
            </w:r>
            <w:r>
              <w:rPr>
                <w:rFonts w:hint="eastAsia"/>
                <w:color w:val="auto"/>
                <w:sz w:val="24"/>
                <w:szCs w:val="24"/>
                <w:lang w:eastAsia="zh-CN"/>
              </w:rPr>
              <w:t>钻</w:t>
            </w:r>
            <w:r>
              <w:rPr>
                <w:rFonts w:hint="eastAsia"/>
                <w:color w:val="auto"/>
                <w:sz w:val="24"/>
                <w:szCs w:val="24"/>
                <w:lang w:val="en-US" w:eastAsia="zh-CN"/>
              </w:rPr>
              <w:t>220kV铜龙南北线、全龙南北线后，</w:t>
            </w:r>
            <w:r>
              <w:rPr>
                <w:rFonts w:hint="eastAsia" w:cs="Times New Roman"/>
                <w:color w:val="auto"/>
                <w:sz w:val="24"/>
                <w:highlight w:val="none"/>
                <w:lang w:val="en-US" w:eastAsia="zh-CN"/>
              </w:rPr>
              <w:t>在G8#塔大号侧约160m又进入蒲吕街道沙心村，后线路继续向东南走线，在G12#塔处转向西南侧走线，跨在建渝遂高速后，沿在建铜安高速方向走线，至17#塔处分两个单回线路分别接至2个终端塔，再接入拟建110kV淮阳变电站。</w:t>
            </w:r>
          </w:p>
          <w:p>
            <w:pPr>
              <w:jc w:val="center"/>
              <w:rPr>
                <w:color w:val="auto"/>
              </w:rPr>
            </w:pPr>
            <w:r>
              <w:rPr>
                <w:color w:val="auto"/>
              </w:rPr>
              <w:drawing>
                <wp:inline distT="0" distB="0" distL="114300" distR="114300">
                  <wp:extent cx="5350510" cy="3200400"/>
                  <wp:effectExtent l="0" t="0" r="254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350510" cy="3200400"/>
                          </a:xfrm>
                          <a:prstGeom prst="rect">
                            <a:avLst/>
                          </a:prstGeom>
                          <a:noFill/>
                          <a:ln>
                            <a:noFill/>
                          </a:ln>
                        </pic:spPr>
                      </pic:pic>
                    </a:graphicData>
                  </a:graphic>
                </wp:inline>
              </w:drawing>
            </w:r>
          </w:p>
          <w:p>
            <w:pPr>
              <w:pStyle w:val="5"/>
              <w:jc w:val="center"/>
              <w:rPr>
                <w:rFonts w:hint="eastAsia" w:eastAsia="宋体"/>
                <w:color w:val="auto"/>
                <w:sz w:val="24"/>
                <w:szCs w:val="24"/>
                <w:lang w:eastAsia="zh-CN"/>
              </w:rPr>
            </w:pPr>
            <w:r>
              <w:rPr>
                <w:rFonts w:hint="eastAsia"/>
                <w:color w:val="auto"/>
                <w:sz w:val="24"/>
                <w:szCs w:val="24"/>
                <w:lang w:eastAsia="zh-CN"/>
              </w:rPr>
              <w:t>图</w:t>
            </w:r>
            <w:r>
              <w:rPr>
                <w:rFonts w:hint="eastAsia"/>
                <w:color w:val="auto"/>
                <w:sz w:val="24"/>
                <w:szCs w:val="24"/>
                <w:lang w:val="en-US" w:eastAsia="zh-CN"/>
              </w:rPr>
              <w:t xml:space="preserve">2-7  </w:t>
            </w:r>
            <w:r>
              <w:rPr>
                <w:rFonts w:hint="eastAsia"/>
                <w:color w:val="auto"/>
                <w:sz w:val="24"/>
                <w:szCs w:val="24"/>
                <w:lang w:eastAsia="zh-CN"/>
              </w:rPr>
              <w:t>路径对比图</w:t>
            </w:r>
          </w:p>
          <w:p>
            <w:pPr>
              <w:jc w:val="center"/>
              <w:rPr>
                <w:b/>
                <w:color w:val="auto"/>
                <w:kern w:val="2"/>
                <w:sz w:val="24"/>
                <w:szCs w:val="24"/>
              </w:rPr>
            </w:pPr>
            <w:r>
              <w:rPr>
                <w:rFonts w:hint="eastAsia"/>
                <w:b/>
                <w:color w:val="auto"/>
                <w:sz w:val="24"/>
                <w:szCs w:val="24"/>
              </w:rPr>
              <w:t>表</w:t>
            </w:r>
            <w:r>
              <w:rPr>
                <w:rFonts w:hint="eastAsia"/>
                <w:b/>
                <w:color w:val="auto"/>
                <w:sz w:val="24"/>
                <w:szCs w:val="24"/>
                <w:lang w:val="en-US" w:eastAsia="zh-CN"/>
              </w:rPr>
              <w:t>2-8</w:t>
            </w:r>
            <w:r>
              <w:rPr>
                <w:rFonts w:hint="eastAsia"/>
                <w:b/>
                <w:color w:val="auto"/>
                <w:sz w:val="24"/>
                <w:szCs w:val="24"/>
              </w:rPr>
              <w:t xml:space="preserve">         </w:t>
            </w:r>
            <w:r>
              <w:rPr>
                <w:rFonts w:hint="eastAsia"/>
                <w:b/>
                <w:color w:val="auto"/>
                <w:kern w:val="2"/>
                <w:sz w:val="24"/>
                <w:szCs w:val="24"/>
              </w:rPr>
              <w:t>路径方案比较表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3"/>
              <w:gridCol w:w="1706"/>
              <w:gridCol w:w="2934"/>
              <w:gridCol w:w="32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01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项目名称</w:t>
                  </w:r>
                </w:p>
              </w:tc>
              <w:tc>
                <w:tcPr>
                  <w:tcW w:w="1740" w:type="pct"/>
                  <w:tcBorders>
                    <w:tl2br w:val="nil"/>
                    <w:tr2bl w:val="nil"/>
                  </w:tcBorders>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比选方案（南方案）</w:t>
                  </w:r>
                </w:p>
              </w:tc>
              <w:tc>
                <w:tcPr>
                  <w:tcW w:w="1942" w:type="pct"/>
                  <w:tcBorders>
                    <w:tl2br w:val="nil"/>
                    <w:tr2bl w:val="nil"/>
                  </w:tcBorders>
                  <w:noWrap w:val="0"/>
                  <w:vAlign w:val="center"/>
                </w:tcPr>
                <w:p>
                  <w:pPr>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推荐</w:t>
                  </w:r>
                  <w:r>
                    <w:rPr>
                      <w:rFonts w:hint="default" w:ascii="Times New Roman" w:hAnsi="Times New Roman" w:cs="Times New Roman"/>
                      <w:bCs/>
                      <w:color w:val="auto"/>
                      <w:sz w:val="21"/>
                      <w:szCs w:val="21"/>
                    </w:rPr>
                    <w:t>方案（北方案）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1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电压等级</w:t>
                  </w:r>
                </w:p>
              </w:tc>
              <w:tc>
                <w:tcPr>
                  <w:tcW w:w="174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110</w:t>
                  </w:r>
                  <w:r>
                    <w:rPr>
                      <w:rFonts w:hint="default" w:ascii="Times New Roman" w:hAnsi="Times New Roman" w:cs="Times New Roman"/>
                      <w:color w:val="auto"/>
                      <w:sz w:val="21"/>
                      <w:szCs w:val="21"/>
                    </w:rPr>
                    <w:t>kV</w:t>
                  </w:r>
                </w:p>
              </w:tc>
              <w:tc>
                <w:tcPr>
                  <w:tcW w:w="194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110</w:t>
                  </w:r>
                  <w:r>
                    <w:rPr>
                      <w:rFonts w:hint="default" w:ascii="Times New Roman" w:hAnsi="Times New Roman" w:cs="Times New Roman"/>
                      <w:color w:val="auto"/>
                      <w:sz w:val="21"/>
                      <w:szCs w:val="21"/>
                    </w:rPr>
                    <w:t>kV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01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线路长度</w:t>
                  </w:r>
                </w:p>
              </w:tc>
              <w:tc>
                <w:tcPr>
                  <w:tcW w:w="174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4.6</w:t>
                  </w:r>
                  <w:r>
                    <w:rPr>
                      <w:rFonts w:hint="default" w:ascii="Times New Roman" w:hAnsi="Times New Roman" w:cs="Times New Roman"/>
                      <w:color w:val="auto"/>
                      <w:sz w:val="21"/>
                      <w:szCs w:val="21"/>
                    </w:rPr>
                    <w:t>km</w:t>
                  </w:r>
                </w:p>
              </w:tc>
              <w:tc>
                <w:tcPr>
                  <w:tcW w:w="194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2×4.1+0.3km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01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曲折系数</w:t>
                  </w:r>
                </w:p>
              </w:tc>
              <w:tc>
                <w:tcPr>
                  <w:tcW w:w="1740"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21</w:t>
                  </w:r>
                </w:p>
              </w:tc>
              <w:tc>
                <w:tcPr>
                  <w:tcW w:w="1942" w:type="pct"/>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01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线路转角</w:t>
                  </w:r>
                </w:p>
              </w:tc>
              <w:tc>
                <w:tcPr>
                  <w:tcW w:w="174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13</w:t>
                  </w:r>
                  <w:r>
                    <w:rPr>
                      <w:rFonts w:hint="default" w:ascii="Times New Roman" w:hAnsi="Times New Roman" w:cs="Times New Roman"/>
                      <w:color w:val="auto"/>
                      <w:sz w:val="21"/>
                      <w:szCs w:val="21"/>
                    </w:rPr>
                    <w:t>基</w:t>
                  </w:r>
                </w:p>
              </w:tc>
              <w:tc>
                <w:tcPr>
                  <w:tcW w:w="194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12</w:t>
                  </w:r>
                  <w:r>
                    <w:rPr>
                      <w:rFonts w:hint="default" w:ascii="Times New Roman" w:hAnsi="Times New Roman" w:cs="Times New Roman"/>
                      <w:color w:val="auto"/>
                      <w:sz w:val="21"/>
                      <w:szCs w:val="21"/>
                    </w:rPr>
                    <w:t>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04"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01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污秽情况</w:t>
                  </w:r>
                </w:p>
              </w:tc>
              <w:tc>
                <w:tcPr>
                  <w:tcW w:w="174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d级</w:t>
                  </w:r>
                </w:p>
              </w:tc>
              <w:tc>
                <w:tcPr>
                  <w:tcW w:w="194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01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冰区划分</w:t>
                  </w:r>
                </w:p>
              </w:tc>
              <w:tc>
                <w:tcPr>
                  <w:tcW w:w="174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mm</w:t>
                  </w:r>
                </w:p>
              </w:tc>
              <w:tc>
                <w:tcPr>
                  <w:tcW w:w="194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01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地形情况</w:t>
                  </w:r>
                </w:p>
              </w:tc>
              <w:tc>
                <w:tcPr>
                  <w:tcW w:w="174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丘陵</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0%</w:t>
                  </w:r>
                </w:p>
              </w:tc>
              <w:tc>
                <w:tcPr>
                  <w:tcW w:w="194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丘陵</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01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人力运距</w:t>
                  </w:r>
                </w:p>
              </w:tc>
              <w:tc>
                <w:tcPr>
                  <w:tcW w:w="174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600</w:t>
                  </w:r>
                </w:p>
              </w:tc>
              <w:tc>
                <w:tcPr>
                  <w:tcW w:w="194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01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房屋跨越</w:t>
                  </w:r>
                </w:p>
              </w:tc>
              <w:tc>
                <w:tcPr>
                  <w:tcW w:w="1740" w:type="pct"/>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7</w:t>
                  </w:r>
                </w:p>
              </w:tc>
              <w:tc>
                <w:tcPr>
                  <w:tcW w:w="1942" w:type="pct"/>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01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交通情况</w:t>
                  </w:r>
                </w:p>
              </w:tc>
              <w:tc>
                <w:tcPr>
                  <w:tcW w:w="174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w:t>
                  </w:r>
                </w:p>
              </w:tc>
              <w:tc>
                <w:tcPr>
                  <w:tcW w:w="194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101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主要交叉跨越</w:t>
                  </w:r>
                </w:p>
              </w:tc>
              <w:tc>
                <w:tcPr>
                  <w:tcW w:w="174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下穿</w:t>
                  </w:r>
                  <w:r>
                    <w:rPr>
                      <w:rFonts w:hint="default" w:ascii="Times New Roman" w:hAnsi="Times New Roman" w:cs="Times New Roman"/>
                      <w:color w:val="auto"/>
                      <w:sz w:val="21"/>
                      <w:szCs w:val="21"/>
                      <w:lang w:val="en-US" w:eastAsia="zh-CN"/>
                    </w:rPr>
                    <w:t>22</w:t>
                  </w:r>
                  <w:r>
                    <w:rPr>
                      <w:rFonts w:hint="default" w:ascii="Times New Roman" w:hAnsi="Times New Roman" w:cs="Times New Roman"/>
                      <w:color w:val="auto"/>
                      <w:sz w:val="21"/>
                      <w:szCs w:val="21"/>
                    </w:rPr>
                    <w:t>0kV线路</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回，跨越35kV线路</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回</w:t>
                  </w:r>
                </w:p>
              </w:tc>
              <w:tc>
                <w:tcPr>
                  <w:tcW w:w="1942" w:type="pct"/>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下穿</w:t>
                  </w:r>
                  <w:r>
                    <w:rPr>
                      <w:rFonts w:hint="default" w:ascii="Times New Roman" w:hAnsi="Times New Roman" w:cs="Times New Roman"/>
                      <w:color w:val="auto"/>
                      <w:sz w:val="21"/>
                      <w:szCs w:val="21"/>
                      <w:lang w:val="en-US" w:eastAsia="zh-CN"/>
                    </w:rPr>
                    <w:t>22</w:t>
                  </w:r>
                  <w:r>
                    <w:rPr>
                      <w:rFonts w:hint="default" w:ascii="Times New Roman" w:hAnsi="Times New Roman" w:cs="Times New Roman"/>
                      <w:color w:val="auto"/>
                      <w:sz w:val="21"/>
                      <w:szCs w:val="21"/>
                    </w:rPr>
                    <w:t>0kV线路</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回，跨越35kV线路</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04"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01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林木砍伐</w:t>
                  </w:r>
                </w:p>
              </w:tc>
              <w:tc>
                <w:tcPr>
                  <w:tcW w:w="174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1800</w:t>
                  </w:r>
                  <w:r>
                    <w:rPr>
                      <w:rFonts w:hint="default" w:ascii="Times New Roman" w:hAnsi="Times New Roman" w:cs="Times New Roman"/>
                      <w:color w:val="auto"/>
                      <w:sz w:val="21"/>
                      <w:szCs w:val="21"/>
                    </w:rPr>
                    <w:t>棵</w:t>
                  </w:r>
                </w:p>
              </w:tc>
              <w:tc>
                <w:tcPr>
                  <w:tcW w:w="1942"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1500</w:t>
                  </w:r>
                  <w:r>
                    <w:rPr>
                      <w:rFonts w:hint="default" w:ascii="Times New Roman" w:hAnsi="Times New Roman" w:cs="Times New Roman"/>
                      <w:color w:val="auto"/>
                      <w:sz w:val="21"/>
                      <w:szCs w:val="21"/>
                    </w:rPr>
                    <w:t>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1012" w:type="pct"/>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杆塔数量（基）</w:t>
                  </w:r>
                </w:p>
              </w:tc>
              <w:tc>
                <w:tcPr>
                  <w:tcW w:w="1740" w:type="pct"/>
                  <w:tcBorders>
                    <w:tl2br w:val="nil"/>
                    <w:tr2bl w:val="nil"/>
                  </w:tcBorders>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w:t>
                  </w:r>
                </w:p>
              </w:tc>
              <w:tc>
                <w:tcPr>
                  <w:tcW w:w="1942" w:type="pct"/>
                  <w:tcBorders>
                    <w:tl2br w:val="nil"/>
                    <w:tr2bl w:val="nil"/>
                  </w:tcBorders>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1012" w:type="pct"/>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通信干扰情况</w:t>
                  </w:r>
                </w:p>
              </w:tc>
              <w:tc>
                <w:tcPr>
                  <w:tcW w:w="1740" w:type="pct"/>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较轻</w:t>
                  </w:r>
                </w:p>
              </w:tc>
              <w:tc>
                <w:tcPr>
                  <w:tcW w:w="1942" w:type="pct"/>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较轻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012" w:type="pct"/>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压矿情况</w:t>
                  </w:r>
                </w:p>
              </w:tc>
              <w:tc>
                <w:tcPr>
                  <w:tcW w:w="1740" w:type="pct"/>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无压覆矿</w:t>
                  </w:r>
                </w:p>
              </w:tc>
              <w:tc>
                <w:tcPr>
                  <w:tcW w:w="1942" w:type="pct"/>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无压覆矿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04" w:type="pct"/>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1012" w:type="pct"/>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优点</w:t>
                  </w:r>
                </w:p>
              </w:tc>
              <w:tc>
                <w:tcPr>
                  <w:tcW w:w="1740" w:type="pct"/>
                  <w:tcBorders>
                    <w:tl2br w:val="nil"/>
                    <w:tr2bl w:val="nil"/>
                  </w:tcBorders>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无需改造35kV线路</w:t>
                  </w:r>
                </w:p>
              </w:tc>
              <w:tc>
                <w:tcPr>
                  <w:tcW w:w="1942" w:type="pct"/>
                  <w:tcBorders>
                    <w:tl2br w:val="nil"/>
                    <w:tr2bl w:val="nil"/>
                  </w:tcBorders>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沿线交通较为便利，杆塔数量和转角数量相对较少，林木砍伐数量较少。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1012" w:type="pct"/>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缺点</w:t>
                  </w:r>
                </w:p>
              </w:tc>
              <w:tc>
                <w:tcPr>
                  <w:tcW w:w="1740" w:type="pct"/>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    跨房屋3处，沿线交通不便，杆塔数量和转角数量相对较多，林木砍伐数量较多，线路进入规划区，规划区内道路标高未确定，道路未成形，房屋未拆迁，影响规划区内地块出让。</w:t>
                  </w:r>
                </w:p>
              </w:tc>
              <w:tc>
                <w:tcPr>
                  <w:tcW w:w="1942" w:type="pct"/>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不跨越房屋，需改造35kV线路</w:t>
                  </w:r>
                </w:p>
              </w:tc>
            </w:tr>
          </w:tbl>
          <w:p>
            <w:pPr>
              <w:autoSpaceDE w:val="0"/>
              <w:adjustRightInd w:val="0"/>
              <w:snapToGrid w:val="0"/>
              <w:spacing w:line="360" w:lineRule="auto"/>
              <w:ind w:firstLine="480" w:firstLineChars="200"/>
              <w:rPr>
                <w:rFonts w:hint="eastAsia"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zh-CN" w:eastAsia="zh-CN" w:bidi="ar-SA"/>
              </w:rPr>
              <w:t>根据上述可以得出，南方案的线路</w:t>
            </w:r>
            <w:r>
              <w:rPr>
                <w:rFonts w:hint="eastAsia" w:ascii="Times New Roman" w:hAnsi="Times New Roman" w:eastAsia="宋体" w:cs="Times New Roman"/>
                <w:color w:val="auto"/>
                <w:kern w:val="2"/>
                <w:sz w:val="24"/>
                <w:szCs w:val="24"/>
                <w:highlight w:val="none"/>
                <w:lang w:val="en-US" w:eastAsia="zh-CN" w:bidi="ar-SA"/>
              </w:rPr>
              <w:t>虽然不用改造35kV线路</w:t>
            </w:r>
            <w:r>
              <w:rPr>
                <w:rFonts w:hint="eastAsia"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en-US" w:eastAsia="zh-CN" w:bidi="ar-SA"/>
              </w:rPr>
              <w:t>但南方案跨房屋数量多，沿线交通不便，杆塔数量和转角数量相对较多，林木砍伐数量较多，线路进入规划区，规划区内道路标高未确定，道路未成形，房屋未拆迁，影响规划区内地块出让，</w:t>
            </w:r>
            <w:r>
              <w:rPr>
                <w:rFonts w:hint="eastAsia" w:ascii="Times New Roman" w:hAnsi="Times New Roman" w:eastAsia="宋体" w:cs="Times New Roman"/>
                <w:color w:val="auto"/>
                <w:kern w:val="2"/>
                <w:sz w:val="24"/>
                <w:szCs w:val="24"/>
                <w:highlight w:val="none"/>
                <w:lang w:val="zh-CN" w:eastAsia="zh-CN" w:bidi="ar-SA"/>
              </w:rPr>
              <w:t>且结合业主单位意见和乡镇、规划、国土等其他部门意见，</w:t>
            </w:r>
            <w:r>
              <w:rPr>
                <w:rFonts w:hint="eastAsia" w:ascii="Times New Roman" w:hAnsi="Times New Roman" w:eastAsia="宋体" w:cs="Times New Roman"/>
                <w:color w:val="auto"/>
                <w:kern w:val="2"/>
                <w:sz w:val="24"/>
                <w:szCs w:val="24"/>
                <w:highlight w:val="none"/>
                <w:lang w:val="en-US" w:eastAsia="zh-CN" w:bidi="ar-SA"/>
              </w:rPr>
              <w:t>其中铜梁区规划和自然资源局提出，园区建设将会滞后线路建设，线路在规划区内走线不利于划区内地块出让以及今后道路建设</w:t>
            </w:r>
            <w:r>
              <w:rPr>
                <w:rFonts w:hint="eastAsia" w:cs="Times New Roman"/>
                <w:color w:val="auto"/>
                <w:kern w:val="2"/>
                <w:sz w:val="24"/>
                <w:szCs w:val="24"/>
                <w:highlight w:val="none"/>
                <w:lang w:val="en-US" w:eastAsia="zh-CN" w:bidi="ar-SA"/>
              </w:rPr>
              <w:t>。</w:t>
            </w:r>
          </w:p>
          <w:p>
            <w:pPr>
              <w:autoSpaceDE w:val="0"/>
              <w:adjustRightInd w:val="0"/>
              <w:snapToGrid w:val="0"/>
              <w:spacing w:line="360" w:lineRule="auto"/>
              <w:ind w:firstLine="480" w:firstLineChars="200"/>
              <w:rPr>
                <w:rFonts w:hint="default"/>
                <w:bCs/>
                <w:color w:val="auto"/>
                <w:sz w:val="24"/>
                <w:lang w:val="en-US" w:eastAsia="zh-CN"/>
              </w:rPr>
            </w:pPr>
            <w:r>
              <w:rPr>
                <w:rFonts w:hint="default"/>
                <w:bCs/>
                <w:color w:val="auto"/>
                <w:sz w:val="24"/>
                <w:lang w:val="en-US" w:eastAsia="zh-CN"/>
              </w:rPr>
              <w:t>综合考虑，</w:t>
            </w:r>
            <w:r>
              <w:rPr>
                <w:rFonts w:hint="eastAsia" w:ascii="Times New Roman" w:hAnsi="Times New Roman" w:eastAsia="宋体" w:cs="Times New Roman"/>
                <w:color w:val="auto"/>
                <w:kern w:val="2"/>
                <w:sz w:val="24"/>
                <w:szCs w:val="24"/>
                <w:highlight w:val="none"/>
                <w:lang w:val="zh-CN" w:eastAsia="zh-CN" w:bidi="ar-SA"/>
              </w:rPr>
              <w:t>本工程线路路径最终推荐</w:t>
            </w:r>
            <w:r>
              <w:rPr>
                <w:rFonts w:hint="eastAsia" w:ascii="Times New Roman" w:hAnsi="Times New Roman" w:eastAsia="宋体" w:cs="Times New Roman"/>
                <w:color w:val="auto"/>
                <w:kern w:val="2"/>
                <w:sz w:val="24"/>
                <w:szCs w:val="24"/>
                <w:highlight w:val="none"/>
                <w:lang w:val="en-US" w:eastAsia="zh-CN" w:bidi="ar-SA"/>
              </w:rPr>
              <w:t>北</w:t>
            </w:r>
            <w:r>
              <w:rPr>
                <w:rFonts w:hint="eastAsia" w:ascii="Times New Roman" w:hAnsi="Times New Roman" w:eastAsia="宋体" w:cs="Times New Roman"/>
                <w:color w:val="auto"/>
                <w:kern w:val="2"/>
                <w:sz w:val="24"/>
                <w:szCs w:val="24"/>
                <w:highlight w:val="none"/>
                <w:lang w:val="zh-CN" w:eastAsia="zh-CN" w:bidi="ar-SA"/>
              </w:rPr>
              <w:t>方案。</w:t>
            </w:r>
            <w:r>
              <w:rPr>
                <w:rFonts w:hint="default"/>
                <w:bCs/>
                <w:color w:val="auto"/>
                <w:sz w:val="24"/>
                <w:lang w:val="en-US" w:eastAsia="zh-CN"/>
              </w:rPr>
              <w:t>因此本次评价按照北方案作为推荐方案进行评价。</w:t>
            </w:r>
          </w:p>
          <w:p>
            <w:pPr>
              <w:adjustRightInd w:val="0"/>
              <w:snapToGrid w:val="0"/>
              <w:spacing w:line="360" w:lineRule="auto"/>
              <w:jc w:val="left"/>
              <w:rPr>
                <w:rFonts w:cs="宋体"/>
                <w:b/>
                <w:bCs/>
                <w:color w:val="auto"/>
                <w:kern w:val="0"/>
                <w:sz w:val="24"/>
                <w:highlight w:val="none"/>
              </w:rPr>
            </w:pPr>
            <w:r>
              <w:rPr>
                <w:rFonts w:cs="宋体"/>
                <w:b/>
                <w:bCs/>
                <w:color w:val="auto"/>
                <w:kern w:val="0"/>
                <w:sz w:val="24"/>
                <w:highlight w:val="none"/>
              </w:rPr>
              <w:t>2.1</w:t>
            </w:r>
            <w:r>
              <w:rPr>
                <w:rFonts w:hint="eastAsia" w:cs="宋体"/>
                <w:b/>
                <w:bCs/>
                <w:color w:val="auto"/>
                <w:kern w:val="0"/>
                <w:sz w:val="24"/>
                <w:highlight w:val="none"/>
                <w:lang w:val="en-US" w:eastAsia="zh-CN"/>
              </w:rPr>
              <w:t>7</w:t>
            </w:r>
            <w:r>
              <w:rPr>
                <w:rFonts w:cs="宋体"/>
                <w:b/>
                <w:bCs/>
                <w:color w:val="auto"/>
                <w:kern w:val="0"/>
                <w:sz w:val="24"/>
                <w:highlight w:val="none"/>
              </w:rPr>
              <w:t xml:space="preserve"> </w:t>
            </w:r>
            <w:r>
              <w:rPr>
                <w:rFonts w:hint="eastAsia" w:cs="宋体"/>
                <w:b/>
                <w:bCs/>
                <w:color w:val="auto"/>
                <w:kern w:val="0"/>
                <w:sz w:val="24"/>
                <w:highlight w:val="none"/>
              </w:rPr>
              <w:t>项目路径协议取得情况</w:t>
            </w:r>
          </w:p>
          <w:p>
            <w:pPr>
              <w:spacing w:line="360" w:lineRule="auto"/>
              <w:ind w:firstLine="480" w:firstLineChars="200"/>
              <w:rPr>
                <w:color w:val="auto"/>
                <w:sz w:val="24"/>
                <w:highlight w:val="none"/>
              </w:rPr>
            </w:pPr>
            <w:r>
              <w:rPr>
                <w:rFonts w:hint="eastAsia"/>
                <w:color w:val="auto"/>
                <w:sz w:val="24"/>
                <w:highlight w:val="none"/>
              </w:rPr>
              <w:t>本工程在可研设计阶段已取得了重庆市铜梁区规划和自然资源局</w:t>
            </w:r>
            <w:r>
              <w:rPr>
                <w:rFonts w:hint="eastAsia"/>
                <w:color w:val="auto"/>
                <w:sz w:val="24"/>
                <w:highlight w:val="none"/>
                <w:lang w:eastAsia="zh-CN"/>
              </w:rPr>
              <w:t>、</w:t>
            </w:r>
            <w:r>
              <w:rPr>
                <w:rFonts w:hint="eastAsia"/>
                <w:color w:val="auto"/>
                <w:sz w:val="24"/>
                <w:highlight w:val="none"/>
              </w:rPr>
              <w:t>重庆市铜梁区林业局</w:t>
            </w:r>
            <w:r>
              <w:rPr>
                <w:rFonts w:hint="eastAsia"/>
                <w:color w:val="auto"/>
                <w:sz w:val="24"/>
                <w:highlight w:val="none"/>
                <w:lang w:eastAsia="zh-CN"/>
              </w:rPr>
              <w:t>、</w:t>
            </w:r>
            <w:r>
              <w:rPr>
                <w:rFonts w:hint="eastAsia"/>
                <w:color w:val="auto"/>
                <w:sz w:val="24"/>
                <w:highlight w:val="none"/>
              </w:rPr>
              <w:t>重庆市铜梁区交通局</w:t>
            </w:r>
            <w:r>
              <w:rPr>
                <w:rFonts w:hint="eastAsia"/>
                <w:color w:val="auto"/>
                <w:sz w:val="24"/>
                <w:highlight w:val="none"/>
                <w:lang w:eastAsia="zh-CN"/>
              </w:rPr>
              <w:t>、重庆市铜梁区生态环境局、</w:t>
            </w:r>
            <w:r>
              <w:rPr>
                <w:rFonts w:hint="eastAsia"/>
                <w:color w:val="auto"/>
                <w:sz w:val="24"/>
                <w:highlight w:val="none"/>
              </w:rPr>
              <w:t>重庆市铜梁区二坪</w:t>
            </w:r>
            <w:r>
              <w:rPr>
                <w:rFonts w:hint="eastAsia"/>
                <w:color w:val="auto"/>
                <w:sz w:val="24"/>
                <w:highlight w:val="none"/>
                <w:lang w:eastAsia="zh-CN"/>
              </w:rPr>
              <w:t>镇</w:t>
            </w:r>
            <w:r>
              <w:rPr>
                <w:rFonts w:hint="eastAsia"/>
                <w:color w:val="auto"/>
                <w:sz w:val="24"/>
                <w:highlight w:val="none"/>
              </w:rPr>
              <w:t>的路径协议，详见表</w:t>
            </w:r>
            <w:r>
              <w:rPr>
                <w:color w:val="auto"/>
                <w:sz w:val="24"/>
                <w:highlight w:val="none"/>
              </w:rPr>
              <w:t>2-</w:t>
            </w:r>
            <w:r>
              <w:rPr>
                <w:rFonts w:hint="eastAsia"/>
                <w:color w:val="auto"/>
                <w:sz w:val="24"/>
                <w:highlight w:val="none"/>
                <w:lang w:val="en-US" w:eastAsia="zh-CN"/>
              </w:rPr>
              <w:t>9</w:t>
            </w:r>
            <w:r>
              <w:rPr>
                <w:rFonts w:hint="eastAsia"/>
                <w:color w:val="auto"/>
                <w:sz w:val="24"/>
                <w:highlight w:val="none"/>
              </w:rPr>
              <w:t>。</w:t>
            </w:r>
          </w:p>
          <w:p>
            <w:pPr>
              <w:pStyle w:val="95"/>
              <w:spacing w:before="0" w:after="0" w:line="240" w:lineRule="auto"/>
              <w:ind w:firstLine="480"/>
              <w:rPr>
                <w:color w:val="auto"/>
                <w:kern w:val="2"/>
                <w:sz w:val="24"/>
                <w:szCs w:val="24"/>
                <w:highlight w:val="none"/>
              </w:rPr>
            </w:pPr>
            <w:r>
              <w:rPr>
                <w:rFonts w:hint="eastAsia"/>
                <w:color w:val="auto"/>
                <w:sz w:val="24"/>
                <w:szCs w:val="24"/>
                <w:highlight w:val="none"/>
              </w:rPr>
              <w:t>表</w:t>
            </w:r>
            <w:r>
              <w:rPr>
                <w:color w:val="auto"/>
                <w:sz w:val="24"/>
                <w:szCs w:val="24"/>
                <w:highlight w:val="none"/>
              </w:rPr>
              <w:t>2-</w:t>
            </w:r>
            <w:r>
              <w:rPr>
                <w:rFonts w:hint="eastAsia"/>
                <w:color w:val="auto"/>
                <w:sz w:val="24"/>
                <w:szCs w:val="24"/>
                <w:highlight w:val="none"/>
                <w:lang w:val="en-US" w:eastAsia="zh-CN"/>
              </w:rPr>
              <w:t>9</w:t>
            </w:r>
            <w:r>
              <w:rPr>
                <w:color w:val="auto"/>
                <w:sz w:val="24"/>
                <w:szCs w:val="24"/>
                <w:highlight w:val="none"/>
              </w:rPr>
              <w:t xml:space="preserve"> </w:t>
            </w:r>
            <w:r>
              <w:rPr>
                <w:rFonts w:hint="eastAsia"/>
                <w:color w:val="auto"/>
                <w:sz w:val="24"/>
                <w:szCs w:val="24"/>
                <w:highlight w:val="none"/>
              </w:rPr>
              <w:t>线路路径协议取得情况</w:t>
            </w:r>
          </w:p>
          <w:tbl>
            <w:tblPr>
              <w:tblStyle w:val="29"/>
              <w:tblW w:w="4996" w:type="pct"/>
              <w:tblInd w:w="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3043"/>
              <w:gridCol w:w="27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67" w:type="pct"/>
                  <w:tcBorders>
                    <w:tl2br w:val="nil"/>
                    <w:tr2bl w:val="nil"/>
                  </w:tcBorders>
                  <w:vAlign w:val="center"/>
                </w:tcPr>
                <w:p>
                  <w:pPr>
                    <w:pStyle w:val="97"/>
                    <w:adjustRightInd w:val="0"/>
                    <w:snapToGrid w:val="0"/>
                    <w:spacing w:before="0" w:after="0"/>
                    <w:rPr>
                      <w:color w:val="auto"/>
                      <w:sz w:val="21"/>
                      <w:szCs w:val="21"/>
                      <w:highlight w:val="none"/>
                    </w:rPr>
                  </w:pPr>
                  <w:r>
                    <w:rPr>
                      <w:rFonts w:hint="eastAsia"/>
                      <w:color w:val="auto"/>
                      <w:sz w:val="21"/>
                      <w:szCs w:val="21"/>
                      <w:highlight w:val="none"/>
                    </w:rPr>
                    <w:t>相关单位</w:t>
                  </w:r>
                </w:p>
              </w:tc>
              <w:tc>
                <w:tcPr>
                  <w:tcW w:w="1806" w:type="pct"/>
                  <w:tcBorders>
                    <w:tl2br w:val="nil"/>
                    <w:tr2bl w:val="nil"/>
                  </w:tcBorders>
                </w:tcPr>
                <w:p>
                  <w:pPr>
                    <w:pStyle w:val="97"/>
                    <w:adjustRightInd w:val="0"/>
                    <w:snapToGrid w:val="0"/>
                    <w:spacing w:before="0" w:after="0"/>
                    <w:rPr>
                      <w:color w:val="auto"/>
                      <w:sz w:val="21"/>
                      <w:szCs w:val="21"/>
                      <w:highlight w:val="none"/>
                    </w:rPr>
                  </w:pPr>
                  <w:r>
                    <w:rPr>
                      <w:rFonts w:hint="eastAsia"/>
                      <w:color w:val="auto"/>
                      <w:sz w:val="21"/>
                      <w:szCs w:val="21"/>
                      <w:highlight w:val="none"/>
                    </w:rPr>
                    <w:t>意见</w:t>
                  </w:r>
                </w:p>
              </w:tc>
              <w:tc>
                <w:tcPr>
                  <w:tcW w:w="1626" w:type="pct"/>
                  <w:tcBorders>
                    <w:tl2br w:val="nil"/>
                    <w:tr2bl w:val="nil"/>
                  </w:tcBorders>
                  <w:vAlign w:val="center"/>
                </w:tcPr>
                <w:p>
                  <w:pPr>
                    <w:pStyle w:val="97"/>
                    <w:adjustRightInd w:val="0"/>
                    <w:snapToGrid w:val="0"/>
                    <w:spacing w:before="0" w:after="0"/>
                    <w:rPr>
                      <w:color w:val="auto"/>
                      <w:sz w:val="21"/>
                      <w:szCs w:val="21"/>
                      <w:highlight w:val="none"/>
                    </w:rPr>
                  </w:pPr>
                  <w:r>
                    <w:rPr>
                      <w:rFonts w:hint="eastAsia"/>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7" w:type="pct"/>
                  <w:tcBorders>
                    <w:tl2br w:val="nil"/>
                    <w:tr2bl w:val="nil"/>
                  </w:tcBorders>
                  <w:vAlign w:val="center"/>
                </w:tcPr>
                <w:p>
                  <w:pPr>
                    <w:adjustRightInd/>
                    <w:spacing w:line="240" w:lineRule="auto"/>
                    <w:jc w:val="center"/>
                    <w:textAlignment w:val="auto"/>
                    <w:rPr>
                      <w:color w:val="auto"/>
                      <w:sz w:val="21"/>
                      <w:szCs w:val="21"/>
                      <w:highlight w:val="none"/>
                    </w:rPr>
                  </w:pPr>
                  <w:r>
                    <w:rPr>
                      <w:rFonts w:ascii="Times New Roman" w:hAnsi="Times New Roman"/>
                      <w:color w:val="auto"/>
                      <w:sz w:val="21"/>
                      <w:szCs w:val="21"/>
                      <w:highlight w:val="none"/>
                    </w:rPr>
                    <w:t>重庆市</w:t>
                  </w:r>
                  <w:r>
                    <w:rPr>
                      <w:rFonts w:hint="eastAsia" w:ascii="Times New Roman" w:hAnsi="Times New Roman"/>
                      <w:color w:val="auto"/>
                      <w:sz w:val="21"/>
                      <w:szCs w:val="21"/>
                      <w:highlight w:val="none"/>
                    </w:rPr>
                    <w:t>铜梁</w:t>
                  </w:r>
                  <w:r>
                    <w:rPr>
                      <w:rFonts w:ascii="Times New Roman" w:hAnsi="Times New Roman"/>
                      <w:color w:val="auto"/>
                      <w:sz w:val="21"/>
                      <w:szCs w:val="21"/>
                      <w:highlight w:val="none"/>
                    </w:rPr>
                    <w:t>区规划和自然资源局</w:t>
                  </w:r>
                </w:p>
              </w:tc>
              <w:tc>
                <w:tcPr>
                  <w:tcW w:w="1806" w:type="pct"/>
                  <w:tcBorders>
                    <w:tl2br w:val="nil"/>
                    <w:tr2bl w:val="nil"/>
                  </w:tcBorders>
                  <w:vAlign w:val="center"/>
                </w:tcPr>
                <w:p>
                  <w:pPr>
                    <w:adjustRightInd/>
                    <w:spacing w:line="240" w:lineRule="auto"/>
                    <w:jc w:val="center"/>
                    <w:textAlignment w:val="auto"/>
                    <w:rPr>
                      <w:color w:val="auto"/>
                      <w:sz w:val="21"/>
                      <w:szCs w:val="21"/>
                      <w:highlight w:val="none"/>
                    </w:rPr>
                  </w:pPr>
                  <w:r>
                    <w:rPr>
                      <w:rFonts w:hint="eastAsia" w:ascii="Times New Roman" w:hAnsi="Times New Roman"/>
                      <w:color w:val="auto"/>
                      <w:sz w:val="21"/>
                      <w:szCs w:val="21"/>
                      <w:highlight w:val="none"/>
                      <w:lang w:val="en-US" w:eastAsia="zh-CN"/>
                    </w:rPr>
                    <w:t>原则同意</w:t>
                  </w:r>
                  <w:r>
                    <w:rPr>
                      <w:rFonts w:hint="eastAsia"/>
                      <w:color w:val="auto"/>
                      <w:sz w:val="21"/>
                      <w:szCs w:val="21"/>
                      <w:highlight w:val="none"/>
                      <w:lang w:val="en-US" w:eastAsia="zh-CN"/>
                    </w:rPr>
                    <w:t>，在初设和施工图设计中优化线形，尽量避让现状房屋</w:t>
                  </w:r>
                </w:p>
              </w:tc>
              <w:tc>
                <w:tcPr>
                  <w:tcW w:w="1626" w:type="pct"/>
                  <w:tcBorders>
                    <w:tl2br w:val="nil"/>
                    <w:tr2bl w:val="nil"/>
                  </w:tcBorders>
                  <w:vAlign w:val="center"/>
                </w:tcPr>
                <w:p>
                  <w:pPr>
                    <w:pStyle w:val="97"/>
                    <w:adjustRightInd w:val="0"/>
                    <w:snapToGrid w:val="0"/>
                    <w:spacing w:before="0" w:after="0"/>
                    <w:rPr>
                      <w:rFonts w:hint="eastAsia" w:eastAsia="宋体"/>
                      <w:color w:val="auto"/>
                      <w:sz w:val="21"/>
                      <w:szCs w:val="21"/>
                      <w:highlight w:val="none"/>
                      <w:lang w:eastAsia="zh-CN"/>
                    </w:rPr>
                  </w:pPr>
                  <w:r>
                    <w:rPr>
                      <w:rFonts w:hint="eastAsia"/>
                      <w:color w:val="auto"/>
                      <w:sz w:val="21"/>
                      <w:szCs w:val="21"/>
                      <w:highlight w:val="none"/>
                      <w:lang w:val="en-US" w:eastAsia="zh-CN"/>
                    </w:rPr>
                    <w:t>初设</w:t>
                  </w:r>
                  <w:r>
                    <w:rPr>
                      <w:rFonts w:hint="eastAsia"/>
                      <w:color w:val="auto"/>
                      <w:sz w:val="21"/>
                      <w:szCs w:val="21"/>
                      <w:highlight w:val="none"/>
                      <w:lang w:eastAsia="zh-CN"/>
                    </w:rPr>
                    <w:t>已</w:t>
                  </w:r>
                  <w:r>
                    <w:rPr>
                      <w:rFonts w:hint="eastAsia"/>
                      <w:color w:val="auto"/>
                      <w:sz w:val="21"/>
                      <w:szCs w:val="21"/>
                      <w:highlight w:val="none"/>
                      <w:lang w:val="en-US" w:eastAsia="zh-CN"/>
                    </w:rPr>
                    <w:t>尽量避让现状房屋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7" w:type="pct"/>
                  <w:tcBorders>
                    <w:tl2br w:val="nil"/>
                    <w:tr2bl w:val="nil"/>
                  </w:tcBorders>
                  <w:vAlign w:val="center"/>
                </w:tcPr>
                <w:p>
                  <w:pPr>
                    <w:adjustRightInd/>
                    <w:spacing w:line="240" w:lineRule="auto"/>
                    <w:jc w:val="center"/>
                    <w:textAlignment w:val="auto"/>
                    <w:rPr>
                      <w:color w:val="auto"/>
                      <w:sz w:val="21"/>
                      <w:szCs w:val="21"/>
                      <w:highlight w:val="none"/>
                    </w:rPr>
                  </w:pPr>
                  <w:r>
                    <w:rPr>
                      <w:rFonts w:ascii="Times New Roman" w:hAnsi="Times New Roman"/>
                      <w:color w:val="auto"/>
                      <w:sz w:val="21"/>
                      <w:szCs w:val="21"/>
                      <w:highlight w:val="none"/>
                    </w:rPr>
                    <w:t>重庆市</w:t>
                  </w:r>
                  <w:r>
                    <w:rPr>
                      <w:rFonts w:hint="eastAsia" w:ascii="Times New Roman" w:hAnsi="Times New Roman"/>
                      <w:color w:val="auto"/>
                      <w:sz w:val="21"/>
                      <w:szCs w:val="21"/>
                      <w:highlight w:val="none"/>
                    </w:rPr>
                    <w:t>铜梁</w:t>
                  </w:r>
                  <w:r>
                    <w:rPr>
                      <w:rFonts w:ascii="Times New Roman" w:hAnsi="Times New Roman"/>
                      <w:color w:val="auto"/>
                      <w:sz w:val="21"/>
                      <w:szCs w:val="21"/>
                      <w:highlight w:val="none"/>
                    </w:rPr>
                    <w:t>区</w:t>
                  </w:r>
                  <w:r>
                    <w:rPr>
                      <w:rFonts w:hint="eastAsia" w:ascii="Times New Roman" w:hAnsi="Times New Roman"/>
                      <w:color w:val="auto"/>
                      <w:sz w:val="21"/>
                      <w:szCs w:val="21"/>
                      <w:highlight w:val="none"/>
                      <w:lang w:val="en-US" w:eastAsia="zh-CN"/>
                    </w:rPr>
                    <w:t>林业</w:t>
                  </w:r>
                  <w:r>
                    <w:rPr>
                      <w:rFonts w:ascii="Times New Roman" w:hAnsi="Times New Roman"/>
                      <w:color w:val="auto"/>
                      <w:sz w:val="21"/>
                      <w:szCs w:val="21"/>
                      <w:highlight w:val="none"/>
                    </w:rPr>
                    <w:t>局</w:t>
                  </w:r>
                </w:p>
              </w:tc>
              <w:tc>
                <w:tcPr>
                  <w:tcW w:w="1806" w:type="pct"/>
                  <w:tcBorders>
                    <w:tl2br w:val="nil"/>
                    <w:tr2bl w:val="nil"/>
                  </w:tcBorders>
                  <w:vAlign w:val="center"/>
                </w:tcPr>
                <w:p>
                  <w:pPr>
                    <w:adjustRightInd/>
                    <w:spacing w:line="240" w:lineRule="auto"/>
                    <w:jc w:val="center"/>
                    <w:textAlignment w:val="auto"/>
                    <w:rPr>
                      <w:color w:val="auto"/>
                      <w:sz w:val="21"/>
                      <w:szCs w:val="21"/>
                      <w:highlight w:val="none"/>
                    </w:rPr>
                  </w:pPr>
                  <w:r>
                    <w:rPr>
                      <w:rFonts w:hint="eastAsia" w:ascii="Times New Roman" w:hAnsi="Times New Roman"/>
                      <w:color w:val="auto"/>
                      <w:sz w:val="21"/>
                      <w:szCs w:val="21"/>
                      <w:highlight w:val="none"/>
                      <w:lang w:val="en-US" w:eastAsia="zh-CN"/>
                    </w:rPr>
                    <w:t>原则同意</w:t>
                  </w:r>
                </w:p>
              </w:tc>
              <w:tc>
                <w:tcPr>
                  <w:tcW w:w="1626" w:type="pct"/>
                  <w:tcBorders>
                    <w:tl2br w:val="nil"/>
                    <w:tr2bl w:val="nil"/>
                  </w:tcBorders>
                  <w:vAlign w:val="center"/>
                </w:tcPr>
                <w:p>
                  <w:pPr>
                    <w:pStyle w:val="97"/>
                    <w:adjustRightInd w:val="0"/>
                    <w:snapToGrid w:val="0"/>
                    <w:spacing w:before="0" w:after="0"/>
                    <w:rPr>
                      <w:color w:val="auto"/>
                      <w:sz w:val="21"/>
                      <w:szCs w:val="21"/>
                      <w:highlight w:val="none"/>
                    </w:rPr>
                  </w:pPr>
                  <w:r>
                    <w:rPr>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7" w:type="pct"/>
                  <w:tcBorders>
                    <w:tl2br w:val="nil"/>
                    <w:tr2bl w:val="nil"/>
                  </w:tcBorders>
                  <w:vAlign w:val="center"/>
                </w:tcPr>
                <w:p>
                  <w:pPr>
                    <w:adjustRightInd/>
                    <w:spacing w:line="240" w:lineRule="auto"/>
                    <w:jc w:val="center"/>
                    <w:textAlignment w:val="auto"/>
                    <w:rPr>
                      <w:color w:val="auto"/>
                      <w:sz w:val="21"/>
                      <w:szCs w:val="21"/>
                      <w:highlight w:val="none"/>
                    </w:rPr>
                  </w:pPr>
                  <w:r>
                    <w:rPr>
                      <w:rFonts w:ascii="Times New Roman" w:hAnsi="Times New Roman"/>
                      <w:color w:val="auto"/>
                      <w:sz w:val="21"/>
                      <w:szCs w:val="21"/>
                      <w:highlight w:val="none"/>
                    </w:rPr>
                    <w:t>重庆市</w:t>
                  </w:r>
                  <w:r>
                    <w:rPr>
                      <w:rFonts w:hint="eastAsia" w:ascii="Times New Roman" w:hAnsi="Times New Roman"/>
                      <w:color w:val="auto"/>
                      <w:sz w:val="21"/>
                      <w:szCs w:val="21"/>
                      <w:highlight w:val="none"/>
                    </w:rPr>
                    <w:t>铜梁</w:t>
                  </w:r>
                  <w:r>
                    <w:rPr>
                      <w:rFonts w:ascii="Times New Roman" w:hAnsi="Times New Roman"/>
                      <w:color w:val="auto"/>
                      <w:sz w:val="21"/>
                      <w:szCs w:val="21"/>
                      <w:highlight w:val="none"/>
                    </w:rPr>
                    <w:t>区</w:t>
                  </w:r>
                  <w:r>
                    <w:rPr>
                      <w:rFonts w:hint="eastAsia" w:ascii="Times New Roman" w:hAnsi="Times New Roman"/>
                      <w:color w:val="auto"/>
                      <w:sz w:val="21"/>
                      <w:szCs w:val="21"/>
                      <w:highlight w:val="none"/>
                      <w:lang w:val="en-US" w:eastAsia="zh-CN"/>
                    </w:rPr>
                    <w:t>交通</w:t>
                  </w:r>
                  <w:r>
                    <w:rPr>
                      <w:rFonts w:ascii="Times New Roman" w:hAnsi="Times New Roman"/>
                      <w:color w:val="auto"/>
                      <w:sz w:val="21"/>
                      <w:szCs w:val="21"/>
                      <w:highlight w:val="none"/>
                    </w:rPr>
                    <w:t>局</w:t>
                  </w:r>
                </w:p>
              </w:tc>
              <w:tc>
                <w:tcPr>
                  <w:tcW w:w="1806" w:type="pct"/>
                  <w:tcBorders>
                    <w:tl2br w:val="nil"/>
                    <w:tr2bl w:val="nil"/>
                  </w:tcBorders>
                  <w:vAlign w:val="center"/>
                </w:tcPr>
                <w:p>
                  <w:pPr>
                    <w:adjustRightInd/>
                    <w:spacing w:line="240" w:lineRule="auto"/>
                    <w:jc w:val="center"/>
                    <w:textAlignment w:val="auto"/>
                    <w:rPr>
                      <w:color w:val="auto"/>
                      <w:sz w:val="21"/>
                      <w:szCs w:val="21"/>
                      <w:highlight w:val="none"/>
                    </w:rPr>
                  </w:pPr>
                  <w:r>
                    <w:rPr>
                      <w:rFonts w:hint="eastAsia" w:ascii="Times New Roman" w:hAnsi="Times New Roman"/>
                      <w:color w:val="auto"/>
                      <w:sz w:val="21"/>
                      <w:szCs w:val="21"/>
                      <w:highlight w:val="none"/>
                      <w:lang w:val="en-US" w:eastAsia="zh-CN"/>
                    </w:rPr>
                    <w:t>原则同意</w:t>
                  </w:r>
                  <w:r>
                    <w:rPr>
                      <w:rFonts w:hint="eastAsia"/>
                      <w:color w:val="auto"/>
                      <w:sz w:val="21"/>
                      <w:szCs w:val="21"/>
                      <w:highlight w:val="none"/>
                      <w:lang w:val="en-US" w:eastAsia="zh-CN"/>
                    </w:rPr>
                    <w:t>，在初设和施工图设计中优化线路走向，尽量避让高速保护带。</w:t>
                  </w:r>
                </w:p>
              </w:tc>
              <w:tc>
                <w:tcPr>
                  <w:tcW w:w="1626" w:type="pct"/>
                  <w:tcBorders>
                    <w:tl2br w:val="nil"/>
                    <w:tr2bl w:val="nil"/>
                  </w:tcBorders>
                  <w:vAlign w:val="center"/>
                </w:tcPr>
                <w:p>
                  <w:pPr>
                    <w:pStyle w:val="97"/>
                    <w:adjustRightInd w:val="0"/>
                    <w:snapToGrid w:val="0"/>
                    <w:spacing w:before="0" w:after="0"/>
                    <w:rPr>
                      <w:color w:val="auto"/>
                      <w:sz w:val="21"/>
                      <w:szCs w:val="21"/>
                      <w:highlight w:val="none"/>
                    </w:rPr>
                  </w:pPr>
                  <w:r>
                    <w:rPr>
                      <w:rFonts w:hint="eastAsia"/>
                      <w:color w:val="auto"/>
                      <w:sz w:val="21"/>
                      <w:szCs w:val="21"/>
                      <w:highlight w:val="none"/>
                      <w:lang w:val="en-US" w:eastAsia="zh-CN"/>
                    </w:rPr>
                    <w:t>初设</w:t>
                  </w:r>
                  <w:r>
                    <w:rPr>
                      <w:rFonts w:hint="eastAsia"/>
                      <w:color w:val="auto"/>
                      <w:sz w:val="21"/>
                      <w:szCs w:val="21"/>
                      <w:highlight w:val="none"/>
                      <w:lang w:eastAsia="zh-CN"/>
                    </w:rPr>
                    <w:t>已</w:t>
                  </w:r>
                  <w:r>
                    <w:rPr>
                      <w:rFonts w:hint="eastAsia"/>
                      <w:color w:val="auto"/>
                      <w:sz w:val="21"/>
                      <w:szCs w:val="21"/>
                      <w:highlight w:val="none"/>
                      <w:lang w:val="en-US" w:eastAsia="zh-CN"/>
                    </w:rPr>
                    <w:t>尽量避让高速保护带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7" w:type="pct"/>
                  <w:tcBorders>
                    <w:tl2br w:val="nil"/>
                    <w:tr2bl w:val="nil"/>
                  </w:tcBorders>
                  <w:vAlign w:val="center"/>
                </w:tcPr>
                <w:p>
                  <w:pPr>
                    <w:adjustRightInd/>
                    <w:spacing w:line="240" w:lineRule="auto"/>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重庆市铜梁区生态环境局</w:t>
                  </w:r>
                </w:p>
              </w:tc>
              <w:tc>
                <w:tcPr>
                  <w:tcW w:w="1806" w:type="pct"/>
                  <w:tcBorders>
                    <w:tl2br w:val="nil"/>
                    <w:tr2bl w:val="nil"/>
                  </w:tcBorders>
                  <w:vAlign w:val="center"/>
                </w:tcPr>
                <w:p>
                  <w:pPr>
                    <w:adjustRightInd/>
                    <w:spacing w:line="240" w:lineRule="auto"/>
                    <w:jc w:val="center"/>
                    <w:textAlignment w:val="auto"/>
                    <w:rPr>
                      <w:color w:val="auto"/>
                      <w:sz w:val="21"/>
                      <w:szCs w:val="21"/>
                      <w:highlight w:val="none"/>
                    </w:rPr>
                  </w:pPr>
                  <w:r>
                    <w:rPr>
                      <w:rFonts w:hint="eastAsia" w:ascii="Times New Roman" w:hAnsi="Times New Roman"/>
                      <w:color w:val="auto"/>
                      <w:sz w:val="21"/>
                      <w:szCs w:val="21"/>
                      <w:highlight w:val="none"/>
                      <w:lang w:val="en-US" w:eastAsia="zh-CN"/>
                    </w:rPr>
                    <w:t>原则同意</w:t>
                  </w:r>
                </w:p>
              </w:tc>
              <w:tc>
                <w:tcPr>
                  <w:tcW w:w="1626" w:type="pct"/>
                  <w:tcBorders>
                    <w:tl2br w:val="nil"/>
                    <w:tr2bl w:val="nil"/>
                  </w:tcBorders>
                  <w:vAlign w:val="center"/>
                </w:tcPr>
                <w:p>
                  <w:pPr>
                    <w:pStyle w:val="97"/>
                    <w:adjustRightInd w:val="0"/>
                    <w:snapToGrid w:val="0"/>
                    <w:spacing w:before="0" w:after="0"/>
                    <w:rPr>
                      <w:color w:val="auto"/>
                      <w:sz w:val="21"/>
                      <w:szCs w:val="21"/>
                      <w:highlight w:val="none"/>
                    </w:rPr>
                  </w:pPr>
                  <w:r>
                    <w:rPr>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7" w:type="pct"/>
                  <w:tcBorders>
                    <w:tl2br w:val="nil"/>
                    <w:tr2bl w:val="nil"/>
                  </w:tcBorders>
                  <w:vAlign w:val="center"/>
                </w:tcPr>
                <w:p>
                  <w:pPr>
                    <w:adjustRightInd/>
                    <w:spacing w:line="240" w:lineRule="auto"/>
                    <w:jc w:val="center"/>
                    <w:textAlignment w:val="auto"/>
                    <w:rPr>
                      <w:color w:val="auto"/>
                      <w:sz w:val="21"/>
                      <w:szCs w:val="21"/>
                      <w:highlight w:val="none"/>
                    </w:rPr>
                  </w:pPr>
                  <w:r>
                    <w:rPr>
                      <w:rFonts w:ascii="Times New Roman" w:hAnsi="Times New Roman"/>
                      <w:color w:val="auto"/>
                      <w:sz w:val="21"/>
                      <w:szCs w:val="21"/>
                      <w:highlight w:val="none"/>
                    </w:rPr>
                    <w:t>重庆市</w:t>
                  </w:r>
                  <w:r>
                    <w:rPr>
                      <w:rFonts w:hint="eastAsia" w:ascii="Times New Roman" w:hAnsi="Times New Roman"/>
                      <w:color w:val="auto"/>
                      <w:sz w:val="21"/>
                      <w:szCs w:val="21"/>
                      <w:highlight w:val="none"/>
                    </w:rPr>
                    <w:t>铜梁</w:t>
                  </w:r>
                  <w:r>
                    <w:rPr>
                      <w:rFonts w:ascii="Times New Roman" w:hAnsi="Times New Roman"/>
                      <w:color w:val="auto"/>
                      <w:sz w:val="21"/>
                      <w:szCs w:val="21"/>
                      <w:highlight w:val="none"/>
                    </w:rPr>
                    <w:t>区</w:t>
                  </w:r>
                  <w:r>
                    <w:rPr>
                      <w:rFonts w:hint="eastAsia" w:ascii="Times New Roman" w:hAnsi="Times New Roman"/>
                      <w:color w:val="auto"/>
                      <w:sz w:val="21"/>
                      <w:szCs w:val="21"/>
                      <w:highlight w:val="none"/>
                      <w:lang w:val="en-US" w:eastAsia="zh-CN"/>
                    </w:rPr>
                    <w:t>二坪</w:t>
                  </w:r>
                  <w:r>
                    <w:rPr>
                      <w:rFonts w:hint="eastAsia"/>
                      <w:color w:val="auto"/>
                      <w:sz w:val="21"/>
                      <w:szCs w:val="21"/>
                      <w:highlight w:val="none"/>
                      <w:lang w:val="en-US" w:eastAsia="zh-CN"/>
                    </w:rPr>
                    <w:t>镇人民政府</w:t>
                  </w:r>
                </w:p>
              </w:tc>
              <w:tc>
                <w:tcPr>
                  <w:tcW w:w="1806" w:type="pct"/>
                  <w:tcBorders>
                    <w:tl2br w:val="nil"/>
                    <w:tr2bl w:val="nil"/>
                  </w:tcBorders>
                  <w:vAlign w:val="center"/>
                </w:tcPr>
                <w:p>
                  <w:pPr>
                    <w:adjustRightInd/>
                    <w:spacing w:line="240" w:lineRule="auto"/>
                    <w:jc w:val="center"/>
                    <w:textAlignment w:val="auto"/>
                    <w:rPr>
                      <w:color w:val="auto"/>
                      <w:sz w:val="21"/>
                      <w:szCs w:val="21"/>
                      <w:highlight w:val="none"/>
                    </w:rPr>
                  </w:pPr>
                  <w:r>
                    <w:rPr>
                      <w:rFonts w:hint="eastAsia" w:ascii="Times New Roman" w:hAnsi="Times New Roman"/>
                      <w:color w:val="auto"/>
                      <w:sz w:val="21"/>
                      <w:szCs w:val="21"/>
                      <w:highlight w:val="none"/>
                      <w:lang w:val="en-US" w:eastAsia="zh-CN"/>
                    </w:rPr>
                    <w:t>原则同意</w:t>
                  </w:r>
                </w:p>
              </w:tc>
              <w:tc>
                <w:tcPr>
                  <w:tcW w:w="1626" w:type="pct"/>
                  <w:tcBorders>
                    <w:tl2br w:val="nil"/>
                    <w:tr2bl w:val="nil"/>
                  </w:tcBorders>
                  <w:vAlign w:val="center"/>
                </w:tcPr>
                <w:p>
                  <w:pPr>
                    <w:pStyle w:val="97"/>
                    <w:adjustRightInd w:val="0"/>
                    <w:snapToGrid w:val="0"/>
                    <w:spacing w:before="0" w:after="0"/>
                    <w:rPr>
                      <w:color w:val="auto"/>
                      <w:sz w:val="21"/>
                      <w:szCs w:val="21"/>
                      <w:highlight w:val="none"/>
                    </w:rPr>
                  </w:pPr>
                  <w:r>
                    <w:rPr>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7" w:type="pct"/>
                  <w:tcBorders>
                    <w:tl2br w:val="nil"/>
                    <w:tr2bl w:val="nil"/>
                  </w:tcBorders>
                  <w:vAlign w:val="center"/>
                </w:tcPr>
                <w:p>
                  <w:pPr>
                    <w:adjustRightInd/>
                    <w:spacing w:line="240" w:lineRule="auto"/>
                    <w:jc w:val="center"/>
                    <w:textAlignment w:val="auto"/>
                    <w:rPr>
                      <w:rFonts w:hint="eastAsia" w:ascii="Times New Roman" w:hAnsi="Times New Roman" w:eastAsia="宋体"/>
                      <w:color w:val="auto"/>
                      <w:sz w:val="21"/>
                      <w:szCs w:val="21"/>
                      <w:highlight w:val="none"/>
                      <w:lang w:eastAsia="zh-CN"/>
                    </w:rPr>
                  </w:pPr>
                  <w:r>
                    <w:rPr>
                      <w:rFonts w:hint="eastAsia"/>
                      <w:color w:val="auto"/>
                      <w:sz w:val="21"/>
                      <w:szCs w:val="21"/>
                      <w:highlight w:val="none"/>
                      <w:lang w:eastAsia="zh-CN"/>
                    </w:rPr>
                    <w:t>旧县街道办事处</w:t>
                  </w:r>
                </w:p>
              </w:tc>
              <w:tc>
                <w:tcPr>
                  <w:tcW w:w="1806" w:type="pct"/>
                  <w:tcBorders>
                    <w:tl2br w:val="nil"/>
                    <w:tr2bl w:val="nil"/>
                  </w:tcBorders>
                  <w:vAlign w:val="center"/>
                </w:tcPr>
                <w:p>
                  <w:pPr>
                    <w:adjustRightInd/>
                    <w:spacing w:line="240" w:lineRule="auto"/>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原则同意</w:t>
                  </w:r>
                </w:p>
              </w:tc>
              <w:tc>
                <w:tcPr>
                  <w:tcW w:w="1626" w:type="pct"/>
                  <w:tcBorders>
                    <w:tl2br w:val="nil"/>
                    <w:tr2bl w:val="nil"/>
                  </w:tcBorders>
                  <w:vAlign w:val="center"/>
                </w:tcPr>
                <w:p>
                  <w:pPr>
                    <w:pStyle w:val="97"/>
                    <w:adjustRightInd w:val="0"/>
                    <w:snapToGrid w:val="0"/>
                    <w:spacing w:before="0" w:after="0"/>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7" w:type="pct"/>
                  <w:tcBorders>
                    <w:tl2br w:val="nil"/>
                    <w:tr2bl w:val="nil"/>
                  </w:tcBorders>
                  <w:vAlign w:val="center"/>
                </w:tcPr>
                <w:p>
                  <w:pPr>
                    <w:adjustRightInd/>
                    <w:spacing w:line="240" w:lineRule="auto"/>
                    <w:jc w:val="center"/>
                    <w:textAlignment w:val="auto"/>
                    <w:rPr>
                      <w:rFonts w:ascii="Times New Roman" w:hAnsi="Times New Roman"/>
                      <w:color w:val="auto"/>
                      <w:sz w:val="21"/>
                      <w:szCs w:val="21"/>
                      <w:highlight w:val="none"/>
                    </w:rPr>
                  </w:pPr>
                  <w:r>
                    <w:rPr>
                      <w:rFonts w:hint="eastAsia"/>
                      <w:color w:val="auto"/>
                      <w:sz w:val="21"/>
                      <w:szCs w:val="21"/>
                      <w:highlight w:val="none"/>
                      <w:lang w:eastAsia="zh-CN"/>
                    </w:rPr>
                    <w:t>蒲吕街道办事处</w:t>
                  </w:r>
                </w:p>
              </w:tc>
              <w:tc>
                <w:tcPr>
                  <w:tcW w:w="1806" w:type="pct"/>
                  <w:tcBorders>
                    <w:tl2br w:val="nil"/>
                    <w:tr2bl w:val="nil"/>
                  </w:tcBorders>
                  <w:vAlign w:val="center"/>
                </w:tcPr>
                <w:p>
                  <w:pPr>
                    <w:adjustRightInd/>
                    <w:spacing w:line="240" w:lineRule="auto"/>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原则同意</w:t>
                  </w:r>
                </w:p>
              </w:tc>
              <w:tc>
                <w:tcPr>
                  <w:tcW w:w="1626" w:type="pct"/>
                  <w:tcBorders>
                    <w:tl2br w:val="nil"/>
                    <w:tr2bl w:val="nil"/>
                  </w:tcBorders>
                  <w:vAlign w:val="center"/>
                </w:tcPr>
                <w:p>
                  <w:pPr>
                    <w:pStyle w:val="97"/>
                    <w:adjustRightInd w:val="0"/>
                    <w:snapToGrid w:val="0"/>
                    <w:spacing w:before="0" w:after="0"/>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7" w:type="pct"/>
                  <w:tcBorders>
                    <w:tl2br w:val="nil"/>
                    <w:tr2bl w:val="nil"/>
                  </w:tcBorders>
                  <w:vAlign w:val="center"/>
                </w:tcPr>
                <w:p>
                  <w:pPr>
                    <w:adjustRightInd/>
                    <w:spacing w:line="240" w:lineRule="auto"/>
                    <w:jc w:val="center"/>
                    <w:textAlignment w:val="auto"/>
                    <w:rPr>
                      <w:rFonts w:hint="eastAsia" w:ascii="Times New Roman" w:hAnsi="Times New Roman" w:eastAsia="宋体"/>
                      <w:color w:val="auto"/>
                      <w:sz w:val="21"/>
                      <w:szCs w:val="21"/>
                      <w:highlight w:val="none"/>
                      <w:lang w:eastAsia="zh-CN"/>
                    </w:rPr>
                  </w:pPr>
                  <w:r>
                    <w:rPr>
                      <w:rFonts w:hint="eastAsia"/>
                      <w:color w:val="auto"/>
                      <w:sz w:val="21"/>
                      <w:szCs w:val="21"/>
                      <w:highlight w:val="none"/>
                      <w:lang w:eastAsia="zh-CN"/>
                    </w:rPr>
                    <w:t>东城街道办事处</w:t>
                  </w:r>
                </w:p>
              </w:tc>
              <w:tc>
                <w:tcPr>
                  <w:tcW w:w="1806" w:type="pct"/>
                  <w:tcBorders>
                    <w:tl2br w:val="nil"/>
                    <w:tr2bl w:val="nil"/>
                  </w:tcBorders>
                  <w:vAlign w:val="center"/>
                </w:tcPr>
                <w:p>
                  <w:pPr>
                    <w:adjustRightInd/>
                    <w:spacing w:line="240" w:lineRule="auto"/>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原则同意</w:t>
                  </w:r>
                </w:p>
              </w:tc>
              <w:tc>
                <w:tcPr>
                  <w:tcW w:w="1626" w:type="pct"/>
                  <w:tcBorders>
                    <w:tl2br w:val="nil"/>
                    <w:tr2bl w:val="nil"/>
                  </w:tcBorders>
                  <w:vAlign w:val="center"/>
                </w:tcPr>
                <w:p>
                  <w:pPr>
                    <w:pStyle w:val="97"/>
                    <w:adjustRightInd w:val="0"/>
                    <w:snapToGrid w:val="0"/>
                    <w:spacing w:before="0" w:after="0"/>
                    <w:rPr>
                      <w:color w:val="auto"/>
                      <w:sz w:val="21"/>
                      <w:szCs w:val="21"/>
                      <w:highlight w:val="none"/>
                    </w:rPr>
                  </w:pPr>
                </w:p>
              </w:tc>
            </w:tr>
          </w:tbl>
          <w:p>
            <w:pPr>
              <w:pStyle w:val="35"/>
              <w:ind w:left="0" w:leftChars="0" w:firstLine="0" w:firstLineChars="0"/>
              <w:rPr>
                <w:color w:val="auto"/>
                <w:highlight w:val="yellow"/>
              </w:rPr>
            </w:pPr>
          </w:p>
          <w:p>
            <w:pPr>
              <w:pStyle w:val="35"/>
              <w:ind w:left="0" w:leftChars="0" w:firstLine="0" w:firstLineChars="0"/>
              <w:rPr>
                <w:color w:val="auto"/>
                <w:highlight w:val="yellow"/>
              </w:rPr>
            </w:pPr>
          </w:p>
          <w:p>
            <w:pPr>
              <w:pStyle w:val="35"/>
              <w:ind w:left="0" w:leftChars="0" w:firstLine="0" w:firstLineChars="0"/>
              <w:rPr>
                <w:color w:val="auto"/>
                <w:highlight w:val="yellow"/>
              </w:rPr>
            </w:pPr>
          </w:p>
          <w:p>
            <w:pPr>
              <w:pStyle w:val="35"/>
              <w:ind w:left="0" w:leftChars="0" w:firstLine="0" w:firstLineChars="0"/>
              <w:rPr>
                <w:color w:val="auto"/>
                <w:highlight w:val="yellow"/>
              </w:rPr>
            </w:pPr>
          </w:p>
          <w:p>
            <w:pPr>
              <w:pStyle w:val="35"/>
              <w:ind w:left="0" w:leftChars="0" w:firstLine="0" w:firstLineChars="0"/>
              <w:rPr>
                <w:color w:val="auto"/>
                <w:highlight w:val="yellow"/>
              </w:rPr>
            </w:pPr>
          </w:p>
        </w:tc>
      </w:tr>
    </w:tbl>
    <w:p>
      <w:pPr>
        <w:pStyle w:val="25"/>
        <w:spacing w:before="0" w:beforeAutospacing="0" w:after="0" w:afterAutospacing="0"/>
        <w:jc w:val="center"/>
        <w:outlineLvl w:val="0"/>
        <w:rPr>
          <w:rFonts w:ascii="Times New Roman" w:hAnsi="Times New Roman"/>
          <w:snapToGrid w:val="0"/>
          <w:color w:val="auto"/>
          <w:sz w:val="30"/>
          <w:szCs w:val="30"/>
          <w:highlight w:val="none"/>
        </w:rPr>
      </w:pPr>
      <w:r>
        <w:rPr>
          <w:rFonts w:ascii="Times New Roman" w:hAnsi="Times New Roman"/>
          <w:b/>
          <w:bCs/>
          <w:color w:val="auto"/>
          <w:highlight w:val="yellow"/>
        </w:rPr>
        <w:br w:type="page"/>
      </w:r>
      <w:r>
        <w:rPr>
          <w:rFonts w:hint="eastAsia" w:ascii="Times New Roman" w:hAnsi="Times New Roman"/>
          <w:snapToGrid w:val="0"/>
          <w:color w:val="auto"/>
          <w:sz w:val="30"/>
          <w:szCs w:val="30"/>
          <w:highlight w:val="none"/>
        </w:rPr>
        <w:t>三、生态环境现状、保护目标及评价标准</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0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4" w:hRule="atLeast"/>
          <w:jc w:val="center"/>
        </w:trPr>
        <w:tc>
          <w:tcPr>
            <w:tcW w:w="275" w:type="pct"/>
            <w:vAlign w:val="center"/>
          </w:tcPr>
          <w:p>
            <w:pPr>
              <w:adjustRightInd w:val="0"/>
              <w:snapToGrid w:val="0"/>
              <w:jc w:val="center"/>
              <w:rPr>
                <w:rFonts w:cs="宋体"/>
                <w:color w:val="auto"/>
                <w:kern w:val="0"/>
                <w:sz w:val="24"/>
                <w:highlight w:val="yellow"/>
              </w:rPr>
            </w:pPr>
            <w:r>
              <w:rPr>
                <w:rFonts w:hint="eastAsia" w:cs="宋体"/>
                <w:color w:val="auto"/>
                <w:kern w:val="0"/>
                <w:sz w:val="24"/>
                <w:highlight w:val="none"/>
              </w:rPr>
              <w:t>生态环境现状</w:t>
            </w:r>
          </w:p>
        </w:tc>
        <w:tc>
          <w:tcPr>
            <w:tcW w:w="4725" w:type="pct"/>
            <w:vAlign w:val="center"/>
          </w:tcPr>
          <w:p>
            <w:pPr>
              <w:adjustRightInd w:val="0"/>
              <w:snapToGrid w:val="0"/>
              <w:spacing w:before="120" w:beforeLines="50" w:line="360" w:lineRule="auto"/>
              <w:rPr>
                <w:rFonts w:ascii="Times New Roman" w:hAnsi="Times New Roman"/>
                <w:b/>
                <w:bCs/>
                <w:color w:val="auto"/>
                <w:kern w:val="0"/>
                <w:sz w:val="24"/>
              </w:rPr>
            </w:pPr>
            <w:r>
              <w:rPr>
                <w:rFonts w:ascii="Times New Roman" w:hAnsi="Times New Roman"/>
                <w:b/>
                <w:bCs/>
                <w:color w:val="auto"/>
                <w:kern w:val="0"/>
                <w:sz w:val="24"/>
              </w:rPr>
              <w:t>3.1 生态环境现状</w:t>
            </w:r>
          </w:p>
          <w:p>
            <w:pPr>
              <w:pStyle w:val="35"/>
              <w:adjustRightInd w:val="0"/>
              <w:snapToGrid w:val="0"/>
              <w:ind w:firstLine="0"/>
              <w:jc w:val="left"/>
              <w:rPr>
                <w:rFonts w:ascii="Times New Roman" w:hAnsi="Times New Roman" w:cs="Times New Roman"/>
                <w:b/>
                <w:bCs/>
                <w:color w:val="auto"/>
              </w:rPr>
            </w:pPr>
            <w:r>
              <w:rPr>
                <w:rFonts w:ascii="Times New Roman" w:hAnsi="Times New Roman" w:cs="Times New Roman"/>
                <w:b/>
                <w:bCs/>
                <w:color w:val="auto"/>
              </w:rPr>
              <w:t>3.1.1 主体功能区划</w:t>
            </w:r>
          </w:p>
          <w:p>
            <w:pPr>
              <w:adjustRightInd w:val="0"/>
              <w:snapToGrid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根据《国务院关于印发全国主体功能区规划的通知》（国发﹝2010﹞46号），项目所在的重庆市属于成渝地区－重庆经济区，成渝地区－重庆经济区属于国家层面的重点开发区域，项目所在区域不在国家重点生态功能区名录、国家禁止开发区域名录中。</w:t>
            </w:r>
          </w:p>
          <w:p>
            <w:pPr>
              <w:adjustRightInd w:val="0"/>
              <w:snapToGrid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根据《重庆市主体功能区规划》，重庆市铜梁区为重点开发区域，重点发展机械加工、轻纺、农产品加工。</w:t>
            </w:r>
          </w:p>
          <w:p>
            <w:pPr>
              <w:pStyle w:val="35"/>
              <w:adjustRightInd w:val="0"/>
              <w:snapToGrid w:val="0"/>
              <w:ind w:firstLine="0"/>
              <w:jc w:val="left"/>
              <w:rPr>
                <w:rFonts w:ascii="Times New Roman" w:hAnsi="Times New Roman" w:cs="Times New Roman"/>
                <w:b/>
                <w:bCs/>
                <w:color w:val="auto"/>
              </w:rPr>
            </w:pPr>
            <w:r>
              <w:rPr>
                <w:rFonts w:ascii="Times New Roman" w:hAnsi="Times New Roman" w:cs="Times New Roman"/>
                <w:b/>
                <w:bCs/>
                <w:color w:val="auto"/>
              </w:rPr>
              <w:t>3.1.2 生态功能区划</w:t>
            </w:r>
          </w:p>
          <w:p>
            <w:pPr>
              <w:adjustRightInd w:val="0"/>
              <w:snapToGrid w:val="0"/>
              <w:spacing w:line="360" w:lineRule="auto"/>
              <w:ind w:firstLine="470" w:firstLineChars="196"/>
              <w:rPr>
                <w:rFonts w:ascii="Times New Roman" w:hAnsi="Times New Roman"/>
                <w:color w:val="auto"/>
                <w:sz w:val="24"/>
              </w:rPr>
            </w:pPr>
            <w:r>
              <w:rPr>
                <w:rFonts w:ascii="Times New Roman" w:hAnsi="Times New Roman"/>
                <w:color w:val="auto"/>
                <w:kern w:val="0"/>
                <w:sz w:val="24"/>
              </w:rPr>
              <w:t>根据《全国生态功能区划（修编版）》（2015年11月），重庆市铜梁区</w:t>
            </w:r>
            <w:r>
              <w:rPr>
                <w:rFonts w:ascii="Times New Roman" w:hAnsi="Times New Roman"/>
                <w:color w:val="auto"/>
                <w:sz w:val="24"/>
              </w:rPr>
              <w:t>定位为农产品提供功能区的“Ⅱ-01-30 四川盆地农产品提供功能区” （图5.2-1）。该类型区的主要生态问题：农田侵占、土壤肥力下降、农业面源污染严重；在草地畜牧业区，过度放牧，草地退化沙化，抵御灾害能力低。</w:t>
            </w:r>
          </w:p>
          <w:p>
            <w:pPr>
              <w:autoSpaceDE w:val="0"/>
              <w:autoSpaceDN w:val="0"/>
              <w:adjustRightInd w:val="0"/>
              <w:snapToGrid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根据《重庆市生态功能区划（修编）》（2008年7月），项目所在铜梁区属于“Ⅳ3-2 渝西方山丘陵营养物质保持-水体保护生态功能区”，见下图3-1。该功能区地貌以丘陵和平原为主，森林覆盖率也较低。区内主要河流有嘉陵江、渠江、涪江、濑溪河、窟窿河、怀远河等，多年平均地表水资源量144.6亿m</w:t>
            </w:r>
            <w:r>
              <w:rPr>
                <w:rFonts w:ascii="Times New Roman" w:hAnsi="Times New Roman"/>
                <w:color w:val="auto"/>
                <w:kern w:val="0"/>
                <w:sz w:val="24"/>
                <w:vertAlign w:val="superscript"/>
              </w:rPr>
              <w:t>3</w:t>
            </w:r>
            <w:r>
              <w:rPr>
                <w:rFonts w:ascii="Times New Roman" w:hAnsi="Times New Roman"/>
                <w:color w:val="auto"/>
                <w:kern w:val="0"/>
                <w:sz w:val="24"/>
              </w:rPr>
              <w:t>。亚热带气候，雨热同季，降水充沛，全年适合农作物生长。煤、天然气、盐、铝土等矿产储量丰富，有大足石刻、钓鱼城、龙水湖等丰富的旅游资源。</w:t>
            </w:r>
          </w:p>
          <w:p>
            <w:pPr>
              <w:autoSpaceDE w:val="0"/>
              <w:autoSpaceDN w:val="0"/>
              <w:adjustRightInd w:val="0"/>
              <w:snapToGrid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主要生态环境问题为缺水较严重，建设用地占用耕地面积大，森林覆盖率低，农村面源污染和次级河流污染较为严重，农业的生态环境保护和城郊型生态农业基地建设的压力较大，矿山生态环境破坏和地质灾害普遍。主导生态功能是水资源与水生态保护、农业生态功能的维持与提高，辅助功能为水土流失预防与监督、面源污染、矿山污染控制。</w:t>
            </w:r>
          </w:p>
          <w:p>
            <w:pPr>
              <w:autoSpaceDE w:val="0"/>
              <w:autoSpaceDN w:val="0"/>
              <w:adjustRightInd w:val="0"/>
              <w:snapToGrid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生态环境建设的主要方向为加强水资源保护利用；水土流失预防；农业生态环境建设和农村面源防治；加强农业基础设施建设；强制关闭污染严重的小煤窑、小矿山；开展矿山废弃物的清理、生态重建与复垦；加强大中型水库的保护和建设工作；区内自然保护区、森林公园、地质公园和风景名胜区核心区禁止开发区，依法进行保护，严禁一切开发建设行为；次级河流和重要水域应重点保护。</w:t>
            </w:r>
          </w:p>
          <w:p>
            <w:pPr>
              <w:pStyle w:val="35"/>
              <w:rPr>
                <w:rFonts w:ascii="Times New Roman" w:hAnsi="Times New Roman" w:cs="Times New Roman"/>
                <w:color w:val="auto"/>
              </w:rPr>
            </w:pPr>
            <w:r>
              <w:rPr>
                <w:rFonts w:ascii="Times New Roman" w:hAnsi="Times New Roman" w:cs="Times New Roman"/>
                <w:color w:val="auto"/>
              </w:rPr>
              <mc:AlternateContent>
                <mc:Choice Requires="wps">
                  <w:drawing>
                    <wp:anchor distT="0" distB="0" distL="114300" distR="114300" simplePos="0" relativeHeight="251662336" behindDoc="0" locked="0" layoutInCell="1" allowOverlap="1">
                      <wp:simplePos x="0" y="0"/>
                      <wp:positionH relativeFrom="column">
                        <wp:posOffset>1544320</wp:posOffset>
                      </wp:positionH>
                      <wp:positionV relativeFrom="paragraph">
                        <wp:posOffset>2454275</wp:posOffset>
                      </wp:positionV>
                      <wp:extent cx="542925" cy="390525"/>
                      <wp:effectExtent l="318770" t="4445" r="14605" b="481330"/>
                      <wp:wrapNone/>
                      <wp:docPr id="7" name="线形标注 1 7"/>
                      <wp:cNvGraphicFramePr/>
                      <a:graphic xmlns:a="http://schemas.openxmlformats.org/drawingml/2006/main">
                        <a:graphicData uri="http://schemas.microsoft.com/office/word/2010/wordprocessingShape">
                          <wps:wsp>
                            <wps:cNvSpPr/>
                            <wps:spPr>
                              <a:xfrm>
                                <a:off x="0" y="0"/>
                                <a:ext cx="542925" cy="390525"/>
                              </a:xfrm>
                              <a:prstGeom prst="borderCallout1">
                                <a:avLst>
                                  <a:gd name="adj1" fmla="val 29269"/>
                                  <a:gd name="adj2" fmla="val -14037"/>
                                  <a:gd name="adj3" fmla="val 221949"/>
                                  <a:gd name="adj4" fmla="val -57894"/>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项目</w:t>
                                  </w:r>
                                </w:p>
                                <w:p>
                                  <w:pPr>
                                    <w:jc w:val="center"/>
                                  </w:pPr>
                                  <w:r>
                                    <w:rPr>
                                      <w:rFonts w:hint="eastAsia"/>
                                    </w:rPr>
                                    <w:t>所在区</w:t>
                                  </w:r>
                                </w:p>
                              </w:txbxContent>
                            </wps:txbx>
                            <wps:bodyPr lIns="0" tIns="0" rIns="0" bIns="0" upright="1"/>
                          </wps:wsp>
                        </a:graphicData>
                      </a:graphic>
                    </wp:anchor>
                  </w:drawing>
                </mc:Choice>
                <mc:Fallback>
                  <w:pict>
                    <v:shape id="_x0000_s1026" o:spid="_x0000_s1026" o:spt="47" type="#_x0000_t47" style="position:absolute;left:0pt;margin-left:121.6pt;margin-top:193.25pt;height:30.75pt;width:42.75pt;z-index:251662336;mso-width-relative:page;mso-height-relative:page;" fillcolor="#FFFFFF" filled="t" stroked="t" coordsize="21600,21600" o:gfxdata="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GBv/9kAAAALAQAADwAAAAAAAAABACAAAAAiAAAAZHJzL2Rvd25yZXYueG1sUEsBAhQAFAAAAAgA&#10;h07iQE4kX7FdAgAA+gQAAA4AAAAAAAAAAQAgAAAAKAEAAGRycy9lMm9Eb2MueG1sUEsFBgAAAAAG&#10;AAYAWQEAAPcFAAAAAA==&#10;" adj="-12505,47941,-3032,6322">
                      <v:fill on="t" focussize="0,0"/>
                      <v:stroke color="#000000" joinstyle="miter"/>
                      <v:imagedata o:title=""/>
                      <o:lock v:ext="edit" aspectratio="f"/>
                      <v:textbox inset="0mm,0mm,0mm,0mm">
                        <w:txbxContent>
                          <w:p>
                            <w:pPr>
                              <w:jc w:val="center"/>
                            </w:pPr>
                            <w:r>
                              <w:rPr>
                                <w:rFonts w:hint="eastAsia"/>
                              </w:rPr>
                              <w:t>项目</w:t>
                            </w:r>
                          </w:p>
                          <w:p>
                            <w:pPr>
                              <w:jc w:val="center"/>
                            </w:pPr>
                            <w:r>
                              <w:rPr>
                                <w:rFonts w:hint="eastAsia"/>
                              </w:rPr>
                              <w:t>所在区</w:t>
                            </w:r>
                          </w:p>
                        </w:txbxContent>
                      </v:textbox>
                    </v:shape>
                  </w:pict>
                </mc:Fallback>
              </mc:AlternateContent>
            </w:r>
            <w:r>
              <w:rPr>
                <w:rFonts w:ascii="Times New Roman" w:hAnsi="Times New Roman" w:cs="Times New Roman"/>
                <w:color w:val="auto"/>
              </w:rPr>
              <w:drawing>
                <wp:inline distT="0" distB="0" distL="114300" distR="114300">
                  <wp:extent cx="5100955" cy="6301105"/>
                  <wp:effectExtent l="0" t="0" r="444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100955" cy="6301105"/>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b/>
                <w:bCs/>
                <w:color w:val="auto"/>
                <w:kern w:val="0"/>
                <w:sz w:val="24"/>
              </w:rPr>
            </w:pPr>
            <w:r>
              <w:rPr>
                <w:rFonts w:ascii="Times New Roman" w:hAnsi="Times New Roman"/>
                <w:b/>
                <w:bCs/>
                <w:color w:val="auto"/>
                <w:sz w:val="24"/>
              </w:rPr>
              <w:t xml:space="preserve">图3-1  </w:t>
            </w:r>
            <w:r>
              <w:rPr>
                <w:rFonts w:ascii="Times New Roman" w:hAnsi="Times New Roman"/>
                <w:b/>
                <w:bCs/>
                <w:color w:val="auto"/>
                <w:kern w:val="0"/>
                <w:sz w:val="24"/>
              </w:rPr>
              <w:t>本项目所在区域的生态功能三级区划图</w:t>
            </w:r>
          </w:p>
          <w:p>
            <w:pPr>
              <w:adjustRightInd w:val="0"/>
              <w:snapToGrid w:val="0"/>
              <w:spacing w:line="360" w:lineRule="auto"/>
              <w:jc w:val="left"/>
              <w:rPr>
                <w:rFonts w:ascii="Times New Roman" w:hAnsi="Times New Roman"/>
                <w:b/>
                <w:bCs/>
                <w:color w:val="auto"/>
                <w:kern w:val="0"/>
                <w:sz w:val="24"/>
              </w:rPr>
            </w:pPr>
            <w:r>
              <w:rPr>
                <w:rFonts w:ascii="Times New Roman" w:hAnsi="Times New Roman"/>
                <w:b/>
                <w:bCs/>
                <w:color w:val="auto"/>
                <w:sz w:val="24"/>
              </w:rPr>
              <w:t>3.1.3</w:t>
            </w:r>
            <w:r>
              <w:rPr>
                <w:rFonts w:ascii="Times New Roman" w:hAnsi="Times New Roman"/>
                <w:b/>
                <w:bCs/>
                <w:color w:val="auto"/>
                <w:kern w:val="0"/>
                <w:sz w:val="24"/>
              </w:rPr>
              <w:t>项目区域生态环境现状</w:t>
            </w:r>
          </w:p>
          <w:p>
            <w:pPr>
              <w:spacing w:line="360" w:lineRule="auto"/>
              <w:ind w:firstLine="482" w:firstLineChars="200"/>
              <w:rPr>
                <w:rFonts w:ascii="Times New Roman" w:hAnsi="Times New Roman"/>
                <w:b/>
                <w:bCs/>
                <w:color w:val="auto"/>
                <w:sz w:val="24"/>
                <w:szCs w:val="24"/>
              </w:rPr>
            </w:pPr>
            <w:r>
              <w:rPr>
                <w:rFonts w:ascii="Times New Roman" w:hAnsi="Times New Roman"/>
                <w:b/>
                <w:bCs/>
                <w:color w:val="auto"/>
                <w:sz w:val="24"/>
                <w:szCs w:val="24"/>
              </w:rPr>
              <w:t>（</w:t>
            </w:r>
            <w:r>
              <w:rPr>
                <w:rFonts w:hint="eastAsia" w:ascii="Times New Roman" w:hAnsi="Times New Roman"/>
                <w:b/>
                <w:bCs/>
                <w:color w:val="auto"/>
                <w:sz w:val="24"/>
                <w:szCs w:val="24"/>
                <w:lang w:val="en-US" w:eastAsia="zh-CN"/>
              </w:rPr>
              <w:t>1</w:t>
            </w:r>
            <w:r>
              <w:rPr>
                <w:rFonts w:ascii="Times New Roman" w:hAnsi="Times New Roman"/>
                <w:b/>
                <w:bCs/>
                <w:color w:val="auto"/>
                <w:sz w:val="24"/>
                <w:szCs w:val="24"/>
              </w:rPr>
              <w:t>）生态系统类型</w:t>
            </w:r>
          </w:p>
          <w:p>
            <w:pPr>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rPr>
              <w:t>本项目位于铜梁区</w:t>
            </w:r>
            <w:r>
              <w:rPr>
                <w:rFonts w:hint="eastAsia" w:ascii="Times New Roman" w:hAnsi="Times New Roman"/>
                <w:color w:val="auto"/>
                <w:sz w:val="24"/>
                <w:szCs w:val="24"/>
                <w:lang w:eastAsia="zh-CN"/>
              </w:rPr>
              <w:t>二坪镇、</w:t>
            </w:r>
            <w:r>
              <w:rPr>
                <w:rFonts w:hint="eastAsia" w:ascii="Times New Roman" w:hAnsi="Times New Roman"/>
                <w:color w:val="auto"/>
                <w:sz w:val="24"/>
                <w:szCs w:val="24"/>
              </w:rPr>
              <w:t>蒲吕街道、旧县街道</w:t>
            </w:r>
            <w:r>
              <w:rPr>
                <w:rFonts w:hint="eastAsia" w:ascii="Times New Roman" w:hAnsi="Times New Roman"/>
                <w:color w:val="auto"/>
                <w:sz w:val="24"/>
                <w:szCs w:val="24"/>
                <w:lang w:eastAsia="zh-CN"/>
              </w:rPr>
              <w:t>、</w:t>
            </w:r>
            <w:r>
              <w:rPr>
                <w:rFonts w:hint="eastAsia"/>
                <w:color w:val="auto"/>
                <w:sz w:val="24"/>
                <w:szCs w:val="24"/>
                <w:highlight w:val="none"/>
                <w:lang w:val="en-US" w:eastAsia="zh-CN"/>
              </w:rPr>
              <w:t>东城街道</w:t>
            </w:r>
            <w:r>
              <w:rPr>
                <w:rFonts w:hint="eastAsia" w:ascii="Times New Roman" w:hAnsi="Times New Roman"/>
                <w:color w:val="auto"/>
                <w:sz w:val="24"/>
                <w:szCs w:val="24"/>
              </w:rPr>
              <w:t>，</w:t>
            </w:r>
            <w:r>
              <w:rPr>
                <w:rFonts w:ascii="Times New Roman" w:hAnsi="Times New Roman"/>
                <w:color w:val="auto"/>
                <w:sz w:val="24"/>
                <w:szCs w:val="24"/>
              </w:rPr>
              <w:t>评价区内主要为农田生态系统。</w:t>
            </w:r>
          </w:p>
          <w:p>
            <w:pPr>
              <w:spacing w:line="360" w:lineRule="auto"/>
              <w:ind w:firstLine="482" w:firstLineChars="200"/>
              <w:rPr>
                <w:rFonts w:hint="eastAsia" w:ascii="Times New Roman" w:hAnsi="Times New Roman" w:eastAsia="宋体"/>
                <w:b/>
                <w:bCs/>
                <w:color w:val="auto"/>
                <w:sz w:val="24"/>
                <w:szCs w:val="24"/>
                <w:lang w:eastAsia="zh-CN"/>
              </w:rPr>
            </w:pPr>
            <w:r>
              <w:rPr>
                <w:rFonts w:ascii="Times New Roman" w:hAnsi="Times New Roman"/>
                <w:b/>
                <w:bCs/>
                <w:color w:val="auto"/>
                <w:sz w:val="24"/>
                <w:szCs w:val="24"/>
              </w:rPr>
              <w:t>（</w:t>
            </w:r>
            <w:r>
              <w:rPr>
                <w:rFonts w:hint="eastAsia" w:ascii="Times New Roman" w:hAnsi="Times New Roman"/>
                <w:b/>
                <w:bCs/>
                <w:color w:val="auto"/>
                <w:sz w:val="24"/>
                <w:szCs w:val="24"/>
                <w:lang w:val="en-US" w:eastAsia="zh-CN"/>
              </w:rPr>
              <w:t>2</w:t>
            </w:r>
            <w:r>
              <w:rPr>
                <w:rFonts w:ascii="Times New Roman" w:hAnsi="Times New Roman"/>
                <w:b/>
                <w:bCs/>
                <w:color w:val="auto"/>
                <w:sz w:val="24"/>
                <w:szCs w:val="24"/>
              </w:rPr>
              <w:t>）</w:t>
            </w:r>
            <w:r>
              <w:rPr>
                <w:rFonts w:hint="eastAsia" w:ascii="Times New Roman" w:hAnsi="Times New Roman"/>
                <w:b/>
                <w:bCs/>
                <w:color w:val="auto"/>
                <w:sz w:val="24"/>
                <w:szCs w:val="24"/>
                <w:lang w:eastAsia="zh-CN"/>
              </w:rPr>
              <w:t>植物</w:t>
            </w:r>
          </w:p>
          <w:p>
            <w:pPr>
              <w:autoSpaceDE w:val="0"/>
              <w:autoSpaceDN w:val="0"/>
              <w:adjustRightInd w:val="0"/>
              <w:snapToGrid w:val="0"/>
              <w:spacing w:line="360" w:lineRule="auto"/>
              <w:ind w:firstLine="480" w:firstLineChars="200"/>
              <w:jc w:val="left"/>
              <w:rPr>
                <w:rFonts w:ascii="Times New Roman" w:hAnsi="Times New Roman"/>
                <w:color w:val="auto"/>
                <w:sz w:val="24"/>
                <w:szCs w:val="24"/>
              </w:rPr>
            </w:pPr>
            <w:r>
              <w:rPr>
                <w:rFonts w:ascii="Times New Roman" w:hAnsi="Times New Roman"/>
                <w:color w:val="auto"/>
                <w:kern w:val="0"/>
                <w:sz w:val="24"/>
                <w:szCs w:val="24"/>
              </w:rPr>
              <w:t>项目所在区域植被属于亚热带常绿阔叶林区——川东盆地偏湿性常绿阔叶林亚带——盆边东南部中山植被地区。本项目调查区域评价区分布植物资源均属当地常见种和广布种，乔木主要有柏木等裸子植物组成的单优势乔木林、慈竹林和马桑、火棘、铁仔、崖花子、小果蔷薇等为主的灌木类别。草本植物则主要有白苞蒿、丝茅、野胡萝卜、酢浆草、小蓬草、早熟禾、翠云草等。</w:t>
            </w:r>
            <w:r>
              <w:rPr>
                <w:rFonts w:hint="eastAsia" w:ascii="Times New Roman" w:hAnsi="Times New Roman"/>
                <w:color w:val="auto"/>
                <w:kern w:val="0"/>
                <w:sz w:val="24"/>
                <w:szCs w:val="24"/>
              </w:rPr>
              <w:t>培植植被主要有农作物和经济林木，代表性农作物有水稻、铃薯、红薯等。</w:t>
            </w:r>
            <w:r>
              <w:rPr>
                <w:rFonts w:ascii="Times New Roman" w:hAnsi="Times New Roman"/>
                <w:color w:val="auto"/>
                <w:sz w:val="24"/>
                <w:szCs w:val="24"/>
              </w:rPr>
              <w:t>通过现场调查，结合《重庆市林业局重庆市农业农村委员会关于印发〈重庆市重点保护野生动物名录〉和〈重庆市重点保护野生植物名录〉的通知》（渝林规范〔2023〕2号），调查期间未发现重点保护野生植物。</w:t>
            </w:r>
            <w:r>
              <w:rPr>
                <w:rFonts w:hint="eastAsia" w:ascii="Times New Roman" w:hAnsi="Times New Roman"/>
                <w:color w:val="auto"/>
                <w:sz w:val="24"/>
                <w:szCs w:val="24"/>
              </w:rPr>
              <w:t>项目沿线不涉及</w:t>
            </w:r>
            <w:r>
              <w:rPr>
                <w:rFonts w:hint="eastAsia"/>
                <w:color w:val="auto"/>
                <w:sz w:val="24"/>
                <w:szCs w:val="24"/>
              </w:rPr>
              <w:t>国家公园、自然保护区、风景名胜区、自然公园、世界自然遗产、生态保护红线等生态敏感区。</w:t>
            </w:r>
          </w:p>
          <w:p>
            <w:pPr>
              <w:spacing w:line="360" w:lineRule="auto"/>
              <w:ind w:firstLine="482" w:firstLineChars="200"/>
              <w:rPr>
                <w:rFonts w:ascii="Times New Roman" w:hAnsi="Times New Roman"/>
                <w:b/>
                <w:bCs/>
                <w:color w:val="auto"/>
                <w:sz w:val="24"/>
                <w:szCs w:val="24"/>
              </w:rPr>
            </w:pPr>
            <w:r>
              <w:rPr>
                <w:rFonts w:ascii="Times New Roman" w:hAnsi="Times New Roman"/>
                <w:b/>
                <w:bCs/>
                <w:color w:val="auto"/>
                <w:sz w:val="24"/>
                <w:szCs w:val="24"/>
              </w:rPr>
              <w:t>（</w:t>
            </w:r>
            <w:r>
              <w:rPr>
                <w:rFonts w:hint="eastAsia" w:ascii="Times New Roman" w:hAnsi="Times New Roman"/>
                <w:b/>
                <w:bCs/>
                <w:color w:val="auto"/>
                <w:sz w:val="24"/>
                <w:szCs w:val="24"/>
                <w:lang w:val="en-US" w:eastAsia="zh-CN"/>
              </w:rPr>
              <w:t>3</w:t>
            </w:r>
            <w:r>
              <w:rPr>
                <w:rFonts w:ascii="Times New Roman" w:hAnsi="Times New Roman"/>
                <w:b/>
                <w:bCs/>
                <w:color w:val="auto"/>
                <w:sz w:val="24"/>
                <w:szCs w:val="24"/>
              </w:rPr>
              <w:t>）动物</w:t>
            </w:r>
          </w:p>
          <w:p>
            <w:pPr>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rPr>
              <w:t>动物主要以人工饲养家禽、家养宠物、鼠类</w:t>
            </w:r>
            <w:r>
              <w:rPr>
                <w:rFonts w:hint="eastAsia"/>
                <w:color w:val="auto"/>
                <w:sz w:val="24"/>
                <w:szCs w:val="24"/>
                <w:lang w:eastAsia="zh-CN"/>
              </w:rPr>
              <w:t>、</w:t>
            </w:r>
            <w:r>
              <w:rPr>
                <w:rFonts w:hint="eastAsia" w:ascii="Times New Roman" w:hAnsi="Times New Roman"/>
                <w:color w:val="auto"/>
                <w:sz w:val="24"/>
                <w:szCs w:val="24"/>
              </w:rPr>
              <w:t>蛇类</w:t>
            </w:r>
            <w:r>
              <w:rPr>
                <w:rFonts w:hint="eastAsia"/>
                <w:color w:val="auto"/>
                <w:sz w:val="24"/>
                <w:szCs w:val="24"/>
                <w:lang w:eastAsia="zh-CN"/>
              </w:rPr>
              <w:t>和鸟类</w:t>
            </w:r>
            <w:r>
              <w:rPr>
                <w:rFonts w:hint="eastAsia" w:ascii="Times New Roman" w:hAnsi="Times New Roman"/>
                <w:color w:val="auto"/>
                <w:sz w:val="24"/>
                <w:szCs w:val="24"/>
              </w:rPr>
              <w:t>等常见动物，</w:t>
            </w:r>
            <w:r>
              <w:rPr>
                <w:rFonts w:ascii="Times New Roman" w:hAnsi="Times New Roman"/>
                <w:color w:val="auto"/>
                <w:sz w:val="24"/>
                <w:szCs w:val="24"/>
              </w:rPr>
              <w:t>通过现场调查，结合《重庆市林业局重庆市农业农村委员会关于印发〈重庆市重点保护野生动物名录〉和〈重庆市重点保护野生植物名录〉的通知》（渝林规范〔2023〕2号），调查期间未发现重点保护野生动物。</w:t>
            </w:r>
          </w:p>
          <w:p>
            <w:pPr>
              <w:spacing w:line="360" w:lineRule="auto"/>
              <w:ind w:firstLine="482" w:firstLineChars="200"/>
              <w:rPr>
                <w:rFonts w:ascii="Times New Roman" w:hAnsi="Times New Roman"/>
                <w:b/>
                <w:bCs/>
                <w:color w:val="auto"/>
                <w:sz w:val="24"/>
                <w:szCs w:val="24"/>
              </w:rPr>
            </w:pPr>
            <w:r>
              <w:rPr>
                <w:rFonts w:ascii="Times New Roman" w:hAnsi="Times New Roman"/>
                <w:b/>
                <w:bCs/>
                <w:color w:val="auto"/>
                <w:sz w:val="24"/>
                <w:szCs w:val="24"/>
              </w:rPr>
              <w:t>（</w:t>
            </w:r>
            <w:r>
              <w:rPr>
                <w:rFonts w:hint="eastAsia" w:ascii="Times New Roman" w:hAnsi="Times New Roman"/>
                <w:b/>
                <w:bCs/>
                <w:color w:val="auto"/>
                <w:sz w:val="24"/>
                <w:szCs w:val="24"/>
                <w:lang w:val="en-US" w:eastAsia="zh-CN"/>
              </w:rPr>
              <w:t>4</w:t>
            </w:r>
            <w:r>
              <w:rPr>
                <w:rFonts w:ascii="Times New Roman" w:hAnsi="Times New Roman"/>
                <w:b/>
                <w:bCs/>
                <w:color w:val="auto"/>
                <w:sz w:val="24"/>
                <w:szCs w:val="24"/>
              </w:rPr>
              <w:t>）土地利用类型</w:t>
            </w:r>
          </w:p>
          <w:p>
            <w:pPr>
              <w:autoSpaceDE w:val="0"/>
              <w:autoSpaceDN w:val="0"/>
              <w:adjustRightInd w:val="0"/>
              <w:snapToGrid w:val="0"/>
              <w:spacing w:line="360" w:lineRule="auto"/>
              <w:ind w:firstLine="480" w:firstLineChars="200"/>
              <w:jc w:val="left"/>
              <w:rPr>
                <w:rFonts w:hint="default" w:ascii="Times New Roman" w:hAnsi="Times New Roman" w:eastAsia="宋体"/>
                <w:color w:val="auto"/>
                <w:kern w:val="0"/>
                <w:sz w:val="24"/>
                <w:szCs w:val="24"/>
                <w:lang w:val="en-US" w:eastAsia="zh-CN" w:bidi="en-US"/>
              </w:rPr>
            </w:pPr>
            <w:r>
              <w:rPr>
                <w:rFonts w:hint="eastAsia"/>
                <w:color w:val="auto"/>
                <w:sz w:val="24"/>
                <w:szCs w:val="24"/>
                <w:highlight w:val="none"/>
                <w:lang w:eastAsia="zh-CN"/>
              </w:rPr>
              <w:t>拟建项目永久</w:t>
            </w:r>
            <w:r>
              <w:rPr>
                <w:rFonts w:hint="eastAsia"/>
                <w:color w:val="auto"/>
                <w:sz w:val="24"/>
                <w:szCs w:val="24"/>
                <w:highlight w:val="none"/>
              </w:rPr>
              <w:t>占地面积约</w:t>
            </w:r>
            <w:r>
              <w:rPr>
                <w:rFonts w:hint="eastAsia"/>
                <w:color w:val="auto"/>
                <w:sz w:val="24"/>
                <w:szCs w:val="24"/>
                <w:highlight w:val="none"/>
                <w:lang w:val="en-US" w:eastAsia="zh-CN"/>
              </w:rPr>
              <w:t>7875</w:t>
            </w:r>
            <w:r>
              <w:rPr>
                <w:color w:val="auto"/>
                <w:sz w:val="24"/>
                <w:szCs w:val="24"/>
                <w:highlight w:val="none"/>
              </w:rPr>
              <w:t>m</w:t>
            </w:r>
            <w:r>
              <w:rPr>
                <w:color w:val="auto"/>
                <w:sz w:val="24"/>
                <w:szCs w:val="24"/>
                <w:highlight w:val="none"/>
                <w:vertAlign w:val="superscript"/>
              </w:rPr>
              <w:t>2</w:t>
            </w:r>
            <w:r>
              <w:rPr>
                <w:rFonts w:hint="eastAsia"/>
                <w:color w:val="auto"/>
                <w:sz w:val="24"/>
                <w:szCs w:val="24"/>
                <w:highlight w:val="none"/>
                <w:lang w:eastAsia="zh-CN"/>
              </w:rPr>
              <w:t>，</w:t>
            </w:r>
            <w:r>
              <w:rPr>
                <w:rFonts w:hint="eastAsia"/>
                <w:color w:val="auto"/>
                <w:sz w:val="24"/>
                <w:szCs w:val="24"/>
                <w:highlight w:val="none"/>
              </w:rPr>
              <w:t>临时占地约</w:t>
            </w:r>
            <w:r>
              <w:rPr>
                <w:rFonts w:hint="eastAsia"/>
                <w:color w:val="auto"/>
                <w:sz w:val="24"/>
                <w:szCs w:val="24"/>
                <w:highlight w:val="none"/>
                <w:lang w:val="en-US" w:eastAsia="zh-CN"/>
              </w:rPr>
              <w:t>2025</w:t>
            </w:r>
            <w:r>
              <w:rPr>
                <w:color w:val="auto"/>
                <w:sz w:val="24"/>
                <w:szCs w:val="24"/>
                <w:highlight w:val="none"/>
              </w:rPr>
              <w:t>m</w:t>
            </w:r>
            <w:r>
              <w:rPr>
                <w:color w:val="auto"/>
                <w:sz w:val="24"/>
                <w:szCs w:val="24"/>
                <w:highlight w:val="none"/>
                <w:vertAlign w:val="superscript"/>
              </w:rPr>
              <w:t>2</w:t>
            </w:r>
            <w:r>
              <w:rPr>
                <w:rFonts w:hint="eastAsia"/>
                <w:color w:val="auto"/>
                <w:sz w:val="24"/>
                <w:szCs w:val="24"/>
                <w:highlight w:val="none"/>
                <w:lang w:eastAsia="zh-CN"/>
              </w:rPr>
              <w:t>，</w:t>
            </w:r>
            <w:r>
              <w:rPr>
                <w:rFonts w:ascii="Times New Roman" w:hAnsi="Times New Roman"/>
                <w:color w:val="auto"/>
                <w:sz w:val="24"/>
                <w:szCs w:val="24"/>
              </w:rPr>
              <w:t>占地主要占用</w:t>
            </w:r>
            <w:r>
              <w:rPr>
                <w:rFonts w:hint="eastAsia"/>
                <w:color w:val="auto"/>
                <w:sz w:val="24"/>
                <w:szCs w:val="24"/>
                <w:highlight w:val="none"/>
              </w:rPr>
              <w:t>灌木林</w:t>
            </w:r>
            <w:r>
              <w:rPr>
                <w:rFonts w:hint="eastAsia"/>
                <w:color w:val="auto"/>
                <w:sz w:val="24"/>
                <w:szCs w:val="24"/>
                <w:highlight w:val="none"/>
                <w:lang w:eastAsia="zh-CN"/>
              </w:rPr>
              <w:t>、旱地、水田</w:t>
            </w:r>
            <w:r>
              <w:rPr>
                <w:rFonts w:hint="eastAsia"/>
                <w:color w:val="auto"/>
                <w:kern w:val="0"/>
                <w:sz w:val="24"/>
                <w:szCs w:val="24"/>
                <w:lang w:eastAsia="zh-CN" w:bidi="en-US"/>
              </w:rPr>
              <w:t>，具体见表</w:t>
            </w:r>
            <w:r>
              <w:rPr>
                <w:rFonts w:hint="eastAsia"/>
                <w:color w:val="auto"/>
                <w:kern w:val="0"/>
                <w:sz w:val="24"/>
                <w:szCs w:val="24"/>
                <w:lang w:val="en-US" w:eastAsia="zh-CN" w:bidi="en-US"/>
              </w:rPr>
              <w:t>2-7。</w:t>
            </w:r>
          </w:p>
          <w:p>
            <w:pPr>
              <w:spacing w:line="360" w:lineRule="auto"/>
              <w:rPr>
                <w:b/>
                <w:color w:val="auto"/>
                <w:sz w:val="24"/>
                <w:highlight w:val="none"/>
              </w:rPr>
            </w:pPr>
            <w:r>
              <w:rPr>
                <w:rFonts w:hint="eastAsia"/>
                <w:b/>
                <w:color w:val="auto"/>
                <w:sz w:val="24"/>
                <w:highlight w:val="none"/>
              </w:rPr>
              <w:t>3.</w:t>
            </w:r>
            <w:r>
              <w:rPr>
                <w:rFonts w:hint="eastAsia"/>
                <w:b/>
                <w:color w:val="auto"/>
                <w:sz w:val="24"/>
                <w:highlight w:val="none"/>
                <w:lang w:val="en-US" w:eastAsia="zh-CN"/>
              </w:rPr>
              <w:t>2</w:t>
            </w:r>
            <w:r>
              <w:rPr>
                <w:rFonts w:hint="eastAsia"/>
                <w:b/>
                <w:color w:val="auto"/>
                <w:sz w:val="24"/>
                <w:highlight w:val="none"/>
              </w:rPr>
              <w:t>环境</w:t>
            </w:r>
            <w:r>
              <w:rPr>
                <w:b/>
                <w:color w:val="auto"/>
                <w:sz w:val="24"/>
                <w:highlight w:val="none"/>
              </w:rPr>
              <w:t>空气质量现状</w:t>
            </w:r>
          </w:p>
          <w:p>
            <w:pPr>
              <w:snapToGrid w:val="0"/>
              <w:spacing w:line="360" w:lineRule="auto"/>
              <w:ind w:firstLine="480" w:firstLineChars="200"/>
              <w:rPr>
                <w:color w:val="auto"/>
                <w:kern w:val="0"/>
                <w:sz w:val="24"/>
                <w:highlight w:val="none"/>
                <w:lang w:bidi="en-US"/>
              </w:rPr>
            </w:pPr>
            <w:r>
              <w:rPr>
                <w:color w:val="auto"/>
                <w:kern w:val="0"/>
                <w:sz w:val="24"/>
                <w:highlight w:val="none"/>
                <w:lang w:bidi="en-US"/>
              </w:rPr>
              <w:t>根据《重庆市环境空气质量功能区划分规定》（渝府发[2016]19号）规定，</w:t>
            </w:r>
            <w:r>
              <w:rPr>
                <w:rFonts w:hint="eastAsia"/>
                <w:color w:val="auto"/>
                <w:kern w:val="0"/>
                <w:sz w:val="24"/>
                <w:highlight w:val="none"/>
                <w:lang w:bidi="en-US"/>
              </w:rPr>
              <w:t>本项目</w:t>
            </w:r>
            <w:r>
              <w:rPr>
                <w:color w:val="auto"/>
                <w:kern w:val="0"/>
                <w:sz w:val="24"/>
                <w:highlight w:val="none"/>
                <w:lang w:bidi="en-US"/>
              </w:rPr>
              <w:t>所在区域为空气质量二类功能区，评价标准按《环境空气质量标准》（GB3095-2012）二级标准执行。</w:t>
            </w:r>
          </w:p>
          <w:p>
            <w:pPr>
              <w:snapToGrid w:val="0"/>
              <w:spacing w:line="360" w:lineRule="auto"/>
              <w:ind w:firstLine="480" w:firstLineChars="200"/>
              <w:rPr>
                <w:rFonts w:hint="eastAsia"/>
                <w:color w:val="auto"/>
                <w:kern w:val="0"/>
                <w:sz w:val="24"/>
                <w:highlight w:val="none"/>
                <w:lang w:bidi="en-US"/>
              </w:rPr>
            </w:pPr>
            <w:r>
              <w:rPr>
                <w:rFonts w:hint="eastAsia"/>
                <w:bCs/>
                <w:color w:val="auto"/>
                <w:kern w:val="0"/>
                <w:sz w:val="24"/>
                <w:highlight w:val="none"/>
                <w:lang w:bidi="en-US"/>
              </w:rPr>
              <w:t>项目所在区域基本环境污染物（</w:t>
            </w:r>
            <w:r>
              <w:rPr>
                <w:color w:val="auto"/>
                <w:kern w:val="0"/>
                <w:sz w:val="24"/>
                <w:highlight w:val="none"/>
                <w:lang w:bidi="en-US"/>
              </w:rPr>
              <w:t>SO</w:t>
            </w:r>
            <w:r>
              <w:rPr>
                <w:color w:val="auto"/>
                <w:kern w:val="0"/>
                <w:sz w:val="24"/>
                <w:highlight w:val="none"/>
                <w:vertAlign w:val="subscript"/>
                <w:lang w:bidi="en-US"/>
              </w:rPr>
              <w:t>2</w:t>
            </w:r>
            <w:r>
              <w:rPr>
                <w:rFonts w:hint="eastAsia"/>
                <w:color w:val="auto"/>
                <w:kern w:val="0"/>
                <w:sz w:val="24"/>
                <w:highlight w:val="none"/>
                <w:lang w:bidi="en-US"/>
              </w:rPr>
              <w:t>、</w:t>
            </w:r>
            <w:r>
              <w:rPr>
                <w:color w:val="auto"/>
                <w:kern w:val="0"/>
                <w:sz w:val="24"/>
                <w:highlight w:val="none"/>
                <w:lang w:bidi="en-US"/>
              </w:rPr>
              <w:t>NO</w:t>
            </w:r>
            <w:r>
              <w:rPr>
                <w:color w:val="auto"/>
                <w:kern w:val="0"/>
                <w:sz w:val="24"/>
                <w:highlight w:val="none"/>
                <w:vertAlign w:val="subscript"/>
                <w:lang w:bidi="en-US"/>
              </w:rPr>
              <w:t>2</w:t>
            </w:r>
            <w:r>
              <w:rPr>
                <w:rFonts w:hint="eastAsia"/>
                <w:color w:val="auto"/>
                <w:kern w:val="0"/>
                <w:sz w:val="24"/>
                <w:highlight w:val="none"/>
                <w:lang w:bidi="en-US"/>
              </w:rPr>
              <w:t>、</w:t>
            </w:r>
            <w:r>
              <w:rPr>
                <w:color w:val="auto"/>
                <w:kern w:val="0"/>
                <w:sz w:val="24"/>
                <w:highlight w:val="none"/>
                <w:lang w:bidi="en-US"/>
              </w:rPr>
              <w:t>PM</w:t>
            </w:r>
            <w:r>
              <w:rPr>
                <w:color w:val="auto"/>
                <w:kern w:val="0"/>
                <w:sz w:val="24"/>
                <w:highlight w:val="none"/>
                <w:vertAlign w:val="subscript"/>
                <w:lang w:bidi="en-US"/>
              </w:rPr>
              <w:t>10</w:t>
            </w:r>
            <w:r>
              <w:rPr>
                <w:rFonts w:hint="eastAsia"/>
                <w:color w:val="auto"/>
                <w:kern w:val="0"/>
                <w:sz w:val="24"/>
                <w:highlight w:val="none"/>
                <w:lang w:bidi="en-US"/>
              </w:rPr>
              <w:t>、</w:t>
            </w:r>
            <w:r>
              <w:rPr>
                <w:color w:val="auto"/>
                <w:kern w:val="0"/>
                <w:sz w:val="24"/>
                <w:highlight w:val="none"/>
                <w:lang w:bidi="en-US"/>
              </w:rPr>
              <w:t>PM</w:t>
            </w:r>
            <w:r>
              <w:rPr>
                <w:color w:val="auto"/>
                <w:kern w:val="0"/>
                <w:sz w:val="24"/>
                <w:highlight w:val="none"/>
                <w:vertAlign w:val="subscript"/>
                <w:lang w:bidi="en-US"/>
              </w:rPr>
              <w:t>2.5</w:t>
            </w:r>
            <w:r>
              <w:rPr>
                <w:rFonts w:hint="eastAsia"/>
                <w:color w:val="auto"/>
                <w:kern w:val="0"/>
                <w:sz w:val="24"/>
                <w:highlight w:val="none"/>
                <w:lang w:bidi="en-US"/>
              </w:rPr>
              <w:t>、</w:t>
            </w:r>
            <w:r>
              <w:rPr>
                <w:color w:val="auto"/>
                <w:kern w:val="0"/>
                <w:sz w:val="24"/>
                <w:highlight w:val="none"/>
                <w:lang w:bidi="en-US"/>
              </w:rPr>
              <w:t>O</w:t>
            </w:r>
            <w:r>
              <w:rPr>
                <w:color w:val="auto"/>
                <w:kern w:val="0"/>
                <w:sz w:val="24"/>
                <w:highlight w:val="none"/>
                <w:vertAlign w:val="subscript"/>
                <w:lang w:bidi="en-US"/>
              </w:rPr>
              <w:t>3</w:t>
            </w:r>
            <w:r>
              <w:rPr>
                <w:rFonts w:hint="eastAsia"/>
                <w:color w:val="auto"/>
                <w:kern w:val="0"/>
                <w:sz w:val="24"/>
                <w:highlight w:val="none"/>
                <w:lang w:bidi="en-US"/>
              </w:rPr>
              <w:t>、</w:t>
            </w:r>
            <w:r>
              <w:rPr>
                <w:bCs/>
                <w:color w:val="auto"/>
                <w:kern w:val="0"/>
                <w:sz w:val="24"/>
                <w:highlight w:val="none"/>
                <w:lang w:bidi="en-US"/>
              </w:rPr>
              <w:t>CO</w:t>
            </w:r>
            <w:r>
              <w:rPr>
                <w:rFonts w:hint="eastAsia"/>
                <w:bCs/>
                <w:color w:val="auto"/>
                <w:kern w:val="0"/>
                <w:sz w:val="24"/>
                <w:highlight w:val="none"/>
                <w:lang w:bidi="en-US"/>
              </w:rPr>
              <w:t>）现状数据引用于</w:t>
            </w:r>
            <w:r>
              <w:rPr>
                <w:rFonts w:hint="eastAsia"/>
                <w:color w:val="auto"/>
                <w:kern w:val="0"/>
                <w:sz w:val="24"/>
                <w:highlight w:val="none"/>
                <w:lang w:bidi="en-US"/>
              </w:rPr>
              <w:t>《</w:t>
            </w:r>
            <w:r>
              <w:rPr>
                <w:color w:val="auto"/>
                <w:kern w:val="0"/>
                <w:sz w:val="24"/>
                <w:highlight w:val="none"/>
                <w:lang w:bidi="en-US"/>
              </w:rPr>
              <w:t>202</w:t>
            </w:r>
            <w:r>
              <w:rPr>
                <w:rFonts w:hint="eastAsia"/>
                <w:color w:val="auto"/>
                <w:kern w:val="0"/>
                <w:sz w:val="24"/>
                <w:highlight w:val="none"/>
                <w:lang w:val="en-US" w:eastAsia="zh-CN" w:bidi="en-US"/>
              </w:rPr>
              <w:t>2</w:t>
            </w:r>
            <w:r>
              <w:rPr>
                <w:rFonts w:hint="eastAsia"/>
                <w:color w:val="auto"/>
                <w:kern w:val="0"/>
                <w:sz w:val="24"/>
                <w:highlight w:val="none"/>
                <w:lang w:bidi="en-US"/>
              </w:rPr>
              <w:t>年重庆市生态环境状况公报》中</w:t>
            </w:r>
            <w:r>
              <w:rPr>
                <w:rFonts w:hint="eastAsia"/>
                <w:color w:val="auto"/>
                <w:kern w:val="0"/>
                <w:sz w:val="24"/>
                <w:highlight w:val="none"/>
                <w:lang w:eastAsia="zh-CN" w:bidi="en-US"/>
              </w:rPr>
              <w:t>铜梁区</w:t>
            </w:r>
            <w:r>
              <w:rPr>
                <w:rFonts w:hint="eastAsia"/>
                <w:color w:val="auto"/>
                <w:kern w:val="0"/>
                <w:sz w:val="24"/>
                <w:highlight w:val="none"/>
                <w:lang w:bidi="en-US"/>
              </w:rPr>
              <w:t>环境空气质量现状监测值进行评价，评价结果详见表</w:t>
            </w:r>
            <w:r>
              <w:rPr>
                <w:color w:val="auto"/>
                <w:kern w:val="0"/>
                <w:sz w:val="24"/>
                <w:highlight w:val="none"/>
                <w:lang w:bidi="en-US"/>
              </w:rPr>
              <w:t>3-1</w:t>
            </w:r>
            <w:r>
              <w:rPr>
                <w:rFonts w:hint="eastAsia"/>
                <w:color w:val="auto"/>
                <w:kern w:val="0"/>
                <w:sz w:val="24"/>
                <w:highlight w:val="none"/>
                <w:lang w:bidi="en-US"/>
              </w:rPr>
              <w:t>。</w:t>
            </w:r>
          </w:p>
          <w:p>
            <w:pPr>
              <w:pStyle w:val="5"/>
              <w:rPr>
                <w:rFonts w:hint="eastAsia"/>
                <w:color w:val="auto"/>
                <w:kern w:val="0"/>
                <w:sz w:val="24"/>
                <w:highlight w:val="none"/>
                <w:lang w:bidi="en-US"/>
              </w:rPr>
            </w:pPr>
          </w:p>
          <w:p>
            <w:pPr>
              <w:rPr>
                <w:rFonts w:hint="eastAsia"/>
                <w:color w:val="auto"/>
                <w:kern w:val="0"/>
                <w:sz w:val="24"/>
                <w:highlight w:val="none"/>
                <w:lang w:bidi="en-US"/>
              </w:rPr>
            </w:pPr>
          </w:p>
          <w:p>
            <w:pPr>
              <w:pStyle w:val="2"/>
              <w:adjustRightInd w:val="0"/>
              <w:spacing w:before="0" w:after="0" w:line="240" w:lineRule="auto"/>
              <w:ind w:left="494" w:hanging="494" w:hangingChars="205"/>
              <w:jc w:val="center"/>
              <w:rPr>
                <w:rFonts w:hint="eastAsia" w:eastAsia="宋体"/>
                <w:color w:val="auto"/>
                <w:kern w:val="2"/>
                <w:sz w:val="24"/>
                <w:szCs w:val="24"/>
                <w:highlight w:val="none"/>
              </w:rPr>
            </w:pPr>
          </w:p>
          <w:p>
            <w:pPr>
              <w:pStyle w:val="2"/>
              <w:adjustRightInd w:val="0"/>
              <w:spacing w:before="0" w:after="0" w:line="240" w:lineRule="auto"/>
              <w:ind w:left="494" w:hanging="494" w:hangingChars="205"/>
              <w:jc w:val="center"/>
              <w:rPr>
                <w:rFonts w:eastAsia="宋体"/>
                <w:color w:val="auto"/>
                <w:kern w:val="2"/>
                <w:sz w:val="24"/>
                <w:szCs w:val="24"/>
                <w:highlight w:val="none"/>
              </w:rPr>
            </w:pPr>
            <w:r>
              <w:rPr>
                <w:rFonts w:hint="eastAsia" w:eastAsia="宋体"/>
                <w:color w:val="auto"/>
                <w:kern w:val="2"/>
                <w:sz w:val="24"/>
                <w:szCs w:val="24"/>
                <w:highlight w:val="none"/>
              </w:rPr>
              <w:t>表</w:t>
            </w:r>
            <w:r>
              <w:rPr>
                <w:rFonts w:eastAsia="宋体"/>
                <w:color w:val="auto"/>
                <w:kern w:val="2"/>
                <w:sz w:val="24"/>
                <w:szCs w:val="24"/>
                <w:highlight w:val="none"/>
              </w:rPr>
              <w:t xml:space="preserve">3-1   </w:t>
            </w:r>
            <w:r>
              <w:rPr>
                <w:rFonts w:hint="eastAsia" w:eastAsia="宋体"/>
                <w:color w:val="auto"/>
                <w:kern w:val="2"/>
                <w:sz w:val="24"/>
                <w:szCs w:val="24"/>
                <w:highlight w:val="none"/>
              </w:rPr>
              <w:t>区域空气质量现状评价表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966"/>
              <w:gridCol w:w="1959"/>
              <w:gridCol w:w="1211"/>
              <w:gridCol w:w="1211"/>
              <w:gridCol w:w="884"/>
              <w:gridCol w:w="9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45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地区</w:t>
                  </w:r>
                </w:p>
              </w:tc>
              <w:tc>
                <w:tcPr>
                  <w:tcW w:w="61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污染物</w:t>
                  </w:r>
                </w:p>
              </w:tc>
              <w:tc>
                <w:tcPr>
                  <w:tcW w:w="124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年评价指标</w:t>
                  </w:r>
                </w:p>
              </w:tc>
              <w:tc>
                <w:tcPr>
                  <w:tcW w:w="77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现状浓度（µg/m</w:t>
                  </w:r>
                  <w:r>
                    <w:rPr>
                      <w:rFonts w:hint="default" w:ascii="Times New Roman" w:hAnsi="Times New Roman" w:cs="Times New Roman"/>
                      <w:color w:val="auto"/>
                      <w:kern w:val="0"/>
                      <w:sz w:val="21"/>
                      <w:szCs w:val="21"/>
                      <w:highlight w:val="none"/>
                      <w:vertAlign w:val="superscript"/>
                      <w:lang w:bidi="en-US"/>
                    </w:rPr>
                    <w:t>3</w:t>
                  </w:r>
                  <w:r>
                    <w:rPr>
                      <w:rFonts w:hint="default" w:ascii="Times New Roman" w:hAnsi="Times New Roman" w:cs="Times New Roman"/>
                      <w:color w:val="auto"/>
                      <w:kern w:val="0"/>
                      <w:sz w:val="21"/>
                      <w:szCs w:val="21"/>
                      <w:highlight w:val="none"/>
                      <w:lang w:bidi="en-US"/>
                    </w:rPr>
                    <w:t>）</w:t>
                  </w:r>
                </w:p>
              </w:tc>
              <w:tc>
                <w:tcPr>
                  <w:tcW w:w="77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标准值（µg/m</w:t>
                  </w:r>
                  <w:r>
                    <w:rPr>
                      <w:rFonts w:hint="default" w:ascii="Times New Roman" w:hAnsi="Times New Roman" w:cs="Times New Roman"/>
                      <w:color w:val="auto"/>
                      <w:kern w:val="0"/>
                      <w:sz w:val="21"/>
                      <w:szCs w:val="21"/>
                      <w:highlight w:val="none"/>
                      <w:vertAlign w:val="superscript"/>
                      <w:lang w:bidi="en-US"/>
                    </w:rPr>
                    <w:t>3</w:t>
                  </w:r>
                  <w:r>
                    <w:rPr>
                      <w:rFonts w:hint="default" w:ascii="Times New Roman" w:hAnsi="Times New Roman" w:cs="Times New Roman"/>
                      <w:color w:val="auto"/>
                      <w:kern w:val="0"/>
                      <w:sz w:val="21"/>
                      <w:szCs w:val="21"/>
                      <w:highlight w:val="none"/>
                      <w:lang w:bidi="en-US"/>
                    </w:rPr>
                    <w:t>）</w:t>
                  </w:r>
                </w:p>
              </w:tc>
              <w:tc>
                <w:tcPr>
                  <w:tcW w:w="562"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占标率%</w:t>
                  </w:r>
                </w:p>
              </w:tc>
              <w:tc>
                <w:tcPr>
                  <w:tcW w:w="57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459"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彭水县</w:t>
                  </w:r>
                </w:p>
              </w:tc>
              <w:tc>
                <w:tcPr>
                  <w:tcW w:w="61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PM</w:t>
                  </w:r>
                  <w:r>
                    <w:rPr>
                      <w:rFonts w:hint="default" w:ascii="Times New Roman" w:hAnsi="Times New Roman" w:cs="Times New Roman"/>
                      <w:color w:val="auto"/>
                      <w:kern w:val="0"/>
                      <w:sz w:val="21"/>
                      <w:szCs w:val="21"/>
                      <w:highlight w:val="none"/>
                      <w:vertAlign w:val="subscript"/>
                      <w:lang w:bidi="en-US"/>
                    </w:rPr>
                    <w:t>10</w:t>
                  </w:r>
                </w:p>
              </w:tc>
              <w:tc>
                <w:tcPr>
                  <w:tcW w:w="1247"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年平均质量浓度</w:t>
                  </w:r>
                </w:p>
              </w:tc>
              <w:tc>
                <w:tcPr>
                  <w:tcW w:w="77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cs="Times New Roman"/>
                      <w:color w:val="auto"/>
                      <w:kern w:val="0"/>
                      <w:sz w:val="21"/>
                      <w:szCs w:val="21"/>
                      <w:highlight w:val="none"/>
                      <w:lang w:val="en-US" w:eastAsia="zh-CN" w:bidi="en-US"/>
                    </w:rPr>
                    <w:t>53</w:t>
                  </w:r>
                </w:p>
              </w:tc>
              <w:tc>
                <w:tcPr>
                  <w:tcW w:w="77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70</w:t>
                  </w:r>
                </w:p>
              </w:tc>
              <w:tc>
                <w:tcPr>
                  <w:tcW w:w="562" w:type="pct"/>
                  <w:tcBorders>
                    <w:tl2br w:val="nil"/>
                    <w:tr2bl w:val="nil"/>
                  </w:tcBorders>
                  <w:vAlign w:val="center"/>
                </w:tcPr>
                <w:p>
                  <w:pPr>
                    <w:pStyle w:val="35"/>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en-US"/>
                    </w:rPr>
                    <w:t>75.7</w:t>
                  </w:r>
                </w:p>
              </w:tc>
              <w:tc>
                <w:tcPr>
                  <w:tcW w:w="57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459"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p>
              </w:tc>
              <w:tc>
                <w:tcPr>
                  <w:tcW w:w="61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SO</w:t>
                  </w:r>
                  <w:r>
                    <w:rPr>
                      <w:rFonts w:hint="default" w:ascii="Times New Roman" w:hAnsi="Times New Roman" w:cs="Times New Roman"/>
                      <w:color w:val="auto"/>
                      <w:kern w:val="0"/>
                      <w:sz w:val="21"/>
                      <w:szCs w:val="21"/>
                      <w:highlight w:val="none"/>
                      <w:vertAlign w:val="subscript"/>
                      <w:lang w:bidi="en-US"/>
                    </w:rPr>
                    <w:t>2</w:t>
                  </w:r>
                </w:p>
              </w:tc>
              <w:tc>
                <w:tcPr>
                  <w:tcW w:w="124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p>
              </w:tc>
              <w:tc>
                <w:tcPr>
                  <w:tcW w:w="77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cs="Times New Roman"/>
                      <w:color w:val="auto"/>
                      <w:kern w:val="0"/>
                      <w:sz w:val="21"/>
                      <w:szCs w:val="21"/>
                      <w:highlight w:val="none"/>
                      <w:lang w:val="en-US" w:eastAsia="zh-CN" w:bidi="en-US"/>
                    </w:rPr>
                    <w:t>11</w:t>
                  </w:r>
                </w:p>
              </w:tc>
              <w:tc>
                <w:tcPr>
                  <w:tcW w:w="77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60</w:t>
                  </w:r>
                </w:p>
              </w:tc>
              <w:tc>
                <w:tcPr>
                  <w:tcW w:w="562"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cs="Times New Roman"/>
                      <w:color w:val="auto"/>
                      <w:kern w:val="0"/>
                      <w:sz w:val="21"/>
                      <w:szCs w:val="21"/>
                      <w:highlight w:val="none"/>
                      <w:lang w:val="en-US" w:eastAsia="zh-CN" w:bidi="en-US"/>
                    </w:rPr>
                    <w:t>18.3</w:t>
                  </w:r>
                </w:p>
              </w:tc>
              <w:tc>
                <w:tcPr>
                  <w:tcW w:w="57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459"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p>
              </w:tc>
              <w:tc>
                <w:tcPr>
                  <w:tcW w:w="61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NO</w:t>
                  </w:r>
                  <w:r>
                    <w:rPr>
                      <w:rFonts w:hint="default" w:ascii="Times New Roman" w:hAnsi="Times New Roman" w:cs="Times New Roman"/>
                      <w:color w:val="auto"/>
                      <w:kern w:val="0"/>
                      <w:sz w:val="21"/>
                      <w:szCs w:val="21"/>
                      <w:highlight w:val="none"/>
                      <w:vertAlign w:val="subscript"/>
                      <w:lang w:bidi="en-US"/>
                    </w:rPr>
                    <w:t>2</w:t>
                  </w:r>
                </w:p>
              </w:tc>
              <w:tc>
                <w:tcPr>
                  <w:tcW w:w="124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p>
              </w:tc>
              <w:tc>
                <w:tcPr>
                  <w:tcW w:w="77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cs="Times New Roman"/>
                      <w:color w:val="auto"/>
                      <w:kern w:val="0"/>
                      <w:sz w:val="21"/>
                      <w:szCs w:val="21"/>
                      <w:highlight w:val="none"/>
                      <w:lang w:val="en-US" w:eastAsia="zh-CN" w:bidi="en-US"/>
                    </w:rPr>
                    <w:t>27</w:t>
                  </w:r>
                </w:p>
              </w:tc>
              <w:tc>
                <w:tcPr>
                  <w:tcW w:w="77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40</w:t>
                  </w:r>
                </w:p>
              </w:tc>
              <w:tc>
                <w:tcPr>
                  <w:tcW w:w="562"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cs="Times New Roman"/>
                      <w:color w:val="auto"/>
                      <w:kern w:val="0"/>
                      <w:sz w:val="21"/>
                      <w:szCs w:val="21"/>
                      <w:highlight w:val="none"/>
                      <w:lang w:val="en-US" w:eastAsia="zh-CN" w:bidi="en-US"/>
                    </w:rPr>
                    <w:t>67.5</w:t>
                  </w:r>
                </w:p>
              </w:tc>
              <w:tc>
                <w:tcPr>
                  <w:tcW w:w="57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459"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p>
              </w:tc>
              <w:tc>
                <w:tcPr>
                  <w:tcW w:w="61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PM</w:t>
                  </w:r>
                  <w:r>
                    <w:rPr>
                      <w:rFonts w:hint="default" w:ascii="Times New Roman" w:hAnsi="Times New Roman" w:cs="Times New Roman"/>
                      <w:color w:val="auto"/>
                      <w:kern w:val="0"/>
                      <w:sz w:val="21"/>
                      <w:szCs w:val="21"/>
                      <w:highlight w:val="none"/>
                      <w:vertAlign w:val="subscript"/>
                      <w:lang w:bidi="en-US"/>
                    </w:rPr>
                    <w:t>2.5</w:t>
                  </w:r>
                </w:p>
              </w:tc>
              <w:tc>
                <w:tcPr>
                  <w:tcW w:w="124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p>
              </w:tc>
              <w:tc>
                <w:tcPr>
                  <w:tcW w:w="77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cs="Times New Roman"/>
                      <w:color w:val="auto"/>
                      <w:kern w:val="0"/>
                      <w:sz w:val="21"/>
                      <w:szCs w:val="21"/>
                      <w:highlight w:val="none"/>
                      <w:lang w:val="en-US" w:eastAsia="zh-CN" w:bidi="en-US"/>
                    </w:rPr>
                    <w:t>34</w:t>
                  </w:r>
                </w:p>
              </w:tc>
              <w:tc>
                <w:tcPr>
                  <w:tcW w:w="77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35</w:t>
                  </w:r>
                </w:p>
              </w:tc>
              <w:tc>
                <w:tcPr>
                  <w:tcW w:w="562"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cs="Times New Roman"/>
                      <w:color w:val="auto"/>
                      <w:kern w:val="0"/>
                      <w:sz w:val="21"/>
                      <w:szCs w:val="21"/>
                      <w:highlight w:val="none"/>
                      <w:lang w:val="en-US" w:eastAsia="zh-CN" w:bidi="en-US"/>
                    </w:rPr>
                    <w:t>97.1</w:t>
                  </w:r>
                </w:p>
              </w:tc>
              <w:tc>
                <w:tcPr>
                  <w:tcW w:w="57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459"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p>
              </w:tc>
              <w:tc>
                <w:tcPr>
                  <w:tcW w:w="61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CO</w:t>
                  </w:r>
                </w:p>
              </w:tc>
              <w:tc>
                <w:tcPr>
                  <w:tcW w:w="124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日均浓度的第95百分位数</w:t>
                  </w:r>
                </w:p>
              </w:tc>
              <w:tc>
                <w:tcPr>
                  <w:tcW w:w="77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val="en-US" w:eastAsia="zh-CN" w:bidi="en-US"/>
                    </w:rPr>
                    <w:t>1.0</w:t>
                  </w:r>
                  <w:r>
                    <w:rPr>
                      <w:rFonts w:hint="default" w:ascii="Times New Roman" w:hAnsi="Times New Roman" w:cs="Times New Roman"/>
                      <w:color w:val="auto"/>
                      <w:kern w:val="0"/>
                      <w:sz w:val="21"/>
                      <w:szCs w:val="21"/>
                      <w:highlight w:val="none"/>
                      <w:lang w:bidi="en-US"/>
                    </w:rPr>
                    <w:t>mg/m</w:t>
                  </w:r>
                  <w:r>
                    <w:rPr>
                      <w:rFonts w:hint="default" w:ascii="Times New Roman" w:hAnsi="Times New Roman" w:cs="Times New Roman"/>
                      <w:color w:val="auto"/>
                      <w:kern w:val="0"/>
                      <w:sz w:val="21"/>
                      <w:szCs w:val="21"/>
                      <w:highlight w:val="none"/>
                      <w:vertAlign w:val="superscript"/>
                      <w:lang w:bidi="en-US"/>
                    </w:rPr>
                    <w:t>3</w:t>
                  </w:r>
                </w:p>
              </w:tc>
              <w:tc>
                <w:tcPr>
                  <w:tcW w:w="77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4mg/m</w:t>
                  </w:r>
                  <w:r>
                    <w:rPr>
                      <w:rFonts w:hint="default" w:ascii="Times New Roman" w:hAnsi="Times New Roman" w:cs="Times New Roman"/>
                      <w:color w:val="auto"/>
                      <w:kern w:val="0"/>
                      <w:sz w:val="21"/>
                      <w:szCs w:val="21"/>
                      <w:highlight w:val="none"/>
                      <w:vertAlign w:val="superscript"/>
                      <w:lang w:bidi="en-US"/>
                    </w:rPr>
                    <w:t>3</w:t>
                  </w:r>
                </w:p>
              </w:tc>
              <w:tc>
                <w:tcPr>
                  <w:tcW w:w="562"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cs="Times New Roman"/>
                      <w:color w:val="auto"/>
                      <w:kern w:val="0"/>
                      <w:sz w:val="21"/>
                      <w:szCs w:val="21"/>
                      <w:highlight w:val="none"/>
                      <w:lang w:val="en-US" w:eastAsia="zh-CN" w:bidi="en-US"/>
                    </w:rPr>
                    <w:t>25.0</w:t>
                  </w:r>
                </w:p>
              </w:tc>
              <w:tc>
                <w:tcPr>
                  <w:tcW w:w="57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459"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p>
              </w:tc>
              <w:tc>
                <w:tcPr>
                  <w:tcW w:w="61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O</w:t>
                  </w:r>
                  <w:r>
                    <w:rPr>
                      <w:rFonts w:hint="default" w:ascii="Times New Roman" w:hAnsi="Times New Roman" w:cs="Times New Roman"/>
                      <w:color w:val="auto"/>
                      <w:kern w:val="0"/>
                      <w:sz w:val="21"/>
                      <w:szCs w:val="21"/>
                      <w:highlight w:val="none"/>
                      <w:vertAlign w:val="subscript"/>
                      <w:lang w:bidi="en-US"/>
                    </w:rPr>
                    <w:t>3</w:t>
                  </w:r>
                </w:p>
              </w:tc>
              <w:tc>
                <w:tcPr>
                  <w:tcW w:w="124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日最大8h平均浓度的第90百分位数</w:t>
                  </w:r>
                </w:p>
              </w:tc>
              <w:tc>
                <w:tcPr>
                  <w:tcW w:w="77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cs="Times New Roman"/>
                      <w:color w:val="auto"/>
                      <w:kern w:val="0"/>
                      <w:sz w:val="21"/>
                      <w:szCs w:val="21"/>
                      <w:highlight w:val="none"/>
                      <w:lang w:val="en-US" w:eastAsia="zh-CN" w:bidi="en-US"/>
                    </w:rPr>
                    <w:t>149</w:t>
                  </w:r>
                </w:p>
              </w:tc>
              <w:tc>
                <w:tcPr>
                  <w:tcW w:w="77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160</w:t>
                  </w:r>
                </w:p>
              </w:tc>
              <w:tc>
                <w:tcPr>
                  <w:tcW w:w="562"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cs="Times New Roman"/>
                      <w:color w:val="auto"/>
                      <w:kern w:val="0"/>
                      <w:sz w:val="21"/>
                      <w:szCs w:val="21"/>
                      <w:highlight w:val="none"/>
                      <w:lang w:val="en-US" w:eastAsia="zh-CN" w:bidi="en-US"/>
                    </w:rPr>
                    <w:t>93.1</w:t>
                  </w:r>
                </w:p>
              </w:tc>
              <w:tc>
                <w:tcPr>
                  <w:tcW w:w="57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highlight w:val="none"/>
                      <w:lang w:bidi="en-US"/>
                    </w:rPr>
                  </w:pPr>
                  <w:r>
                    <w:rPr>
                      <w:rFonts w:hint="default" w:ascii="Times New Roman" w:hAnsi="Times New Roman" w:cs="Times New Roman"/>
                      <w:color w:val="auto"/>
                      <w:kern w:val="0"/>
                      <w:sz w:val="21"/>
                      <w:szCs w:val="21"/>
                      <w:highlight w:val="none"/>
                      <w:lang w:bidi="en-US"/>
                    </w:rPr>
                    <w:t>达标</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color w:val="auto"/>
                <w:kern w:val="0"/>
                <w:sz w:val="24"/>
                <w:highlight w:val="none"/>
                <w:lang w:bidi="en-US"/>
              </w:rPr>
            </w:pPr>
            <w:r>
              <w:rPr>
                <w:rFonts w:hint="eastAsia"/>
                <w:color w:val="auto"/>
                <w:kern w:val="0"/>
                <w:sz w:val="24"/>
                <w:highlight w:val="none"/>
                <w:lang w:bidi="en-US"/>
              </w:rPr>
              <w:t>由上表可知，项目所在的</w:t>
            </w:r>
            <w:r>
              <w:rPr>
                <w:rFonts w:hint="eastAsia"/>
                <w:color w:val="auto"/>
                <w:kern w:val="0"/>
                <w:sz w:val="24"/>
                <w:highlight w:val="none"/>
                <w:lang w:eastAsia="zh-CN" w:bidi="en-US"/>
              </w:rPr>
              <w:t>铜梁区</w:t>
            </w:r>
            <w:r>
              <w:rPr>
                <w:rFonts w:hint="eastAsia"/>
                <w:color w:val="auto"/>
                <w:kern w:val="0"/>
                <w:sz w:val="24"/>
                <w:highlight w:val="none"/>
                <w:lang w:bidi="en-US"/>
              </w:rPr>
              <w:t>区域环境空气中</w:t>
            </w:r>
            <w:r>
              <w:rPr>
                <w:color w:val="auto"/>
                <w:kern w:val="0"/>
                <w:sz w:val="24"/>
                <w:highlight w:val="none"/>
                <w:lang w:bidi="en-US"/>
              </w:rPr>
              <w:t>PM</w:t>
            </w:r>
            <w:r>
              <w:rPr>
                <w:color w:val="auto"/>
                <w:kern w:val="0"/>
                <w:sz w:val="24"/>
                <w:highlight w:val="none"/>
                <w:vertAlign w:val="subscript"/>
                <w:lang w:bidi="en-US"/>
              </w:rPr>
              <w:t>10</w:t>
            </w:r>
            <w:r>
              <w:rPr>
                <w:rFonts w:hint="eastAsia"/>
                <w:color w:val="auto"/>
                <w:kern w:val="0"/>
                <w:sz w:val="24"/>
                <w:highlight w:val="none"/>
                <w:lang w:bidi="en-US"/>
              </w:rPr>
              <w:t>、</w:t>
            </w:r>
            <w:r>
              <w:rPr>
                <w:color w:val="auto"/>
                <w:kern w:val="0"/>
                <w:sz w:val="24"/>
                <w:highlight w:val="none"/>
                <w:lang w:bidi="en-US"/>
              </w:rPr>
              <w:t>PM</w:t>
            </w:r>
            <w:r>
              <w:rPr>
                <w:color w:val="auto"/>
                <w:kern w:val="0"/>
                <w:sz w:val="24"/>
                <w:highlight w:val="none"/>
                <w:vertAlign w:val="subscript"/>
                <w:lang w:bidi="en-US"/>
              </w:rPr>
              <w:t>2.5</w:t>
            </w:r>
            <w:r>
              <w:rPr>
                <w:rFonts w:hint="eastAsia"/>
                <w:color w:val="auto"/>
                <w:kern w:val="0"/>
                <w:sz w:val="24"/>
                <w:highlight w:val="none"/>
                <w:lang w:bidi="en-US"/>
              </w:rPr>
              <w:t>、</w:t>
            </w:r>
            <w:r>
              <w:rPr>
                <w:color w:val="auto"/>
                <w:kern w:val="0"/>
                <w:sz w:val="24"/>
                <w:highlight w:val="none"/>
                <w:lang w:bidi="en-US"/>
              </w:rPr>
              <w:t>SO</w:t>
            </w:r>
            <w:r>
              <w:rPr>
                <w:color w:val="auto"/>
                <w:kern w:val="0"/>
                <w:sz w:val="24"/>
                <w:highlight w:val="none"/>
                <w:vertAlign w:val="subscript"/>
                <w:lang w:bidi="en-US"/>
              </w:rPr>
              <w:t>2</w:t>
            </w:r>
            <w:r>
              <w:rPr>
                <w:rFonts w:hint="eastAsia"/>
                <w:color w:val="auto"/>
                <w:kern w:val="0"/>
                <w:sz w:val="24"/>
                <w:highlight w:val="none"/>
                <w:lang w:bidi="en-US"/>
              </w:rPr>
              <w:t>、</w:t>
            </w:r>
            <w:r>
              <w:rPr>
                <w:color w:val="auto"/>
                <w:kern w:val="0"/>
                <w:sz w:val="24"/>
                <w:highlight w:val="none"/>
                <w:lang w:bidi="en-US"/>
              </w:rPr>
              <w:t>NO</w:t>
            </w:r>
            <w:r>
              <w:rPr>
                <w:color w:val="auto"/>
                <w:kern w:val="0"/>
                <w:sz w:val="24"/>
                <w:highlight w:val="none"/>
                <w:vertAlign w:val="subscript"/>
                <w:lang w:bidi="en-US"/>
              </w:rPr>
              <w:t>2</w:t>
            </w:r>
            <w:r>
              <w:rPr>
                <w:rFonts w:hint="eastAsia"/>
                <w:color w:val="auto"/>
                <w:kern w:val="0"/>
                <w:sz w:val="24"/>
                <w:highlight w:val="none"/>
                <w:lang w:bidi="en-US"/>
              </w:rPr>
              <w:t>、</w:t>
            </w:r>
            <w:r>
              <w:rPr>
                <w:color w:val="auto"/>
                <w:kern w:val="0"/>
                <w:sz w:val="24"/>
                <w:highlight w:val="none"/>
                <w:lang w:bidi="en-US"/>
              </w:rPr>
              <w:t>O</w:t>
            </w:r>
            <w:r>
              <w:rPr>
                <w:color w:val="auto"/>
                <w:kern w:val="0"/>
                <w:sz w:val="24"/>
                <w:highlight w:val="none"/>
                <w:vertAlign w:val="subscript"/>
                <w:lang w:bidi="en-US"/>
              </w:rPr>
              <w:t>3</w:t>
            </w:r>
            <w:r>
              <w:rPr>
                <w:rFonts w:hint="eastAsia"/>
                <w:color w:val="auto"/>
                <w:kern w:val="0"/>
                <w:sz w:val="24"/>
                <w:highlight w:val="none"/>
                <w:lang w:bidi="en-US"/>
              </w:rPr>
              <w:t>、</w:t>
            </w:r>
            <w:r>
              <w:rPr>
                <w:color w:val="auto"/>
                <w:kern w:val="0"/>
                <w:sz w:val="24"/>
                <w:highlight w:val="none"/>
                <w:lang w:bidi="en-US"/>
              </w:rPr>
              <w:t>CO</w:t>
            </w:r>
            <w:r>
              <w:rPr>
                <w:rFonts w:hint="eastAsia"/>
                <w:color w:val="auto"/>
                <w:kern w:val="0"/>
                <w:sz w:val="24"/>
                <w:highlight w:val="none"/>
                <w:lang w:bidi="en-US"/>
              </w:rPr>
              <w:t>浓度均满足《环境空气质量标准》（</w:t>
            </w:r>
            <w:r>
              <w:rPr>
                <w:color w:val="auto"/>
                <w:kern w:val="0"/>
                <w:sz w:val="24"/>
                <w:highlight w:val="none"/>
                <w:lang w:bidi="en-US"/>
              </w:rPr>
              <w:t>GB3095-2012</w:t>
            </w:r>
            <w:r>
              <w:rPr>
                <w:rFonts w:hint="eastAsia"/>
                <w:color w:val="auto"/>
                <w:kern w:val="0"/>
                <w:sz w:val="24"/>
                <w:highlight w:val="none"/>
                <w:lang w:bidi="en-US"/>
              </w:rPr>
              <w:t>）中的二级标准，属于环境空气质量达标区。</w:t>
            </w:r>
          </w:p>
          <w:p>
            <w:pPr>
              <w:spacing w:line="360" w:lineRule="auto"/>
              <w:rPr>
                <w:b/>
                <w:color w:val="auto"/>
                <w:sz w:val="24"/>
                <w:highlight w:val="none"/>
              </w:rPr>
            </w:pPr>
            <w:r>
              <w:rPr>
                <w:b/>
                <w:color w:val="auto"/>
                <w:sz w:val="24"/>
                <w:highlight w:val="none"/>
              </w:rPr>
              <w:t>3.</w:t>
            </w:r>
            <w:r>
              <w:rPr>
                <w:rFonts w:hint="eastAsia"/>
                <w:b/>
                <w:color w:val="auto"/>
                <w:sz w:val="24"/>
                <w:highlight w:val="none"/>
                <w:lang w:val="en-US" w:eastAsia="zh-CN"/>
              </w:rPr>
              <w:t>3</w:t>
            </w:r>
            <w:r>
              <w:rPr>
                <w:b/>
                <w:color w:val="auto"/>
                <w:sz w:val="24"/>
                <w:highlight w:val="none"/>
              </w:rPr>
              <w:t xml:space="preserve"> </w:t>
            </w:r>
            <w:r>
              <w:rPr>
                <w:rFonts w:hint="eastAsia"/>
                <w:b/>
                <w:color w:val="auto"/>
                <w:sz w:val="24"/>
                <w:highlight w:val="none"/>
              </w:rPr>
              <w:t>地表水环境质量现状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淮阳变电站</w:t>
            </w:r>
            <w:r>
              <w:rPr>
                <w:rFonts w:hint="default" w:ascii="Times New Roman" w:hAnsi="Times New Roman" w:eastAsia="宋体" w:cs="Times New Roman"/>
                <w:b w:val="0"/>
                <w:bCs w:val="0"/>
                <w:color w:val="auto"/>
                <w:sz w:val="24"/>
                <w:szCs w:val="24"/>
                <w:highlight w:val="none"/>
                <w:lang w:val="en-US" w:eastAsia="zh-CN"/>
              </w:rPr>
              <w:t>值守人员产生的生活污水通过</w:t>
            </w:r>
            <w:r>
              <w:rPr>
                <w:rFonts w:hint="eastAsia" w:ascii="Times New Roman" w:hAnsi="Times New Roman" w:eastAsia="宋体" w:cs="Times New Roman"/>
                <w:b w:val="0"/>
                <w:bCs w:val="0"/>
                <w:color w:val="auto"/>
                <w:sz w:val="24"/>
                <w:szCs w:val="24"/>
                <w:highlight w:val="none"/>
                <w:lang w:val="en-US" w:eastAsia="zh-CN"/>
              </w:rPr>
              <w:t>一体化污水处理设施</w:t>
            </w:r>
            <w:r>
              <w:rPr>
                <w:rFonts w:hint="default" w:ascii="Times New Roman" w:hAnsi="Times New Roman" w:eastAsia="宋体" w:cs="Times New Roman"/>
                <w:b w:val="0"/>
                <w:bCs w:val="0"/>
                <w:color w:val="auto"/>
                <w:sz w:val="24"/>
                <w:szCs w:val="24"/>
                <w:highlight w:val="none"/>
                <w:lang w:val="en-US" w:eastAsia="zh-CN"/>
              </w:rPr>
              <w:t>处理后</w:t>
            </w:r>
            <w:r>
              <w:rPr>
                <w:rFonts w:hint="eastAsia" w:ascii="Times New Roman" w:hAnsi="Times New Roman" w:eastAsia="宋体" w:cs="Times New Roman"/>
                <w:b w:val="0"/>
                <w:bCs w:val="0"/>
                <w:color w:val="auto"/>
                <w:sz w:val="24"/>
                <w:szCs w:val="24"/>
                <w:highlight w:val="none"/>
                <w:lang w:val="en-US" w:eastAsia="zh-CN"/>
              </w:rPr>
              <w:t>用于</w:t>
            </w:r>
            <w:r>
              <w:rPr>
                <w:rFonts w:hint="eastAsia" w:cs="Times New Roman"/>
                <w:b w:val="0"/>
                <w:bCs w:val="0"/>
                <w:color w:val="auto"/>
                <w:sz w:val="24"/>
                <w:szCs w:val="24"/>
                <w:highlight w:val="none"/>
                <w:lang w:val="en-US" w:eastAsia="zh-CN"/>
              </w:rPr>
              <w:t>红线</w:t>
            </w:r>
            <w:r>
              <w:rPr>
                <w:rFonts w:hint="eastAsia" w:ascii="Times New Roman" w:hAnsi="Times New Roman" w:eastAsia="宋体" w:cs="Times New Roman"/>
                <w:b w:val="0"/>
                <w:bCs w:val="0"/>
                <w:color w:val="auto"/>
                <w:sz w:val="24"/>
                <w:szCs w:val="24"/>
                <w:highlight w:val="none"/>
                <w:lang w:val="en-US" w:eastAsia="zh-CN"/>
              </w:rPr>
              <w:t>内</w:t>
            </w:r>
            <w:r>
              <w:rPr>
                <w:rFonts w:hint="eastAsia"/>
                <w:bCs/>
                <w:color w:val="auto"/>
                <w:sz w:val="24"/>
                <w:szCs w:val="24"/>
              </w:rPr>
              <w:t>绿化</w:t>
            </w:r>
            <w:r>
              <w:rPr>
                <w:rFonts w:hint="eastAsia"/>
                <w:bCs/>
                <w:color w:val="auto"/>
                <w:sz w:val="24"/>
                <w:szCs w:val="24"/>
                <w:lang w:eastAsia="zh-CN"/>
              </w:rPr>
              <w:t>施肥</w:t>
            </w:r>
            <w:r>
              <w:rPr>
                <w:rFonts w:hint="eastAsia" w:ascii="Times New Roman" w:hAnsi="Times New Roman" w:eastAsia="宋体" w:cs="Times New Roman"/>
                <w:b w:val="0"/>
                <w:bCs w:val="0"/>
                <w:color w:val="auto"/>
                <w:sz w:val="24"/>
                <w:szCs w:val="24"/>
                <w:highlight w:val="none"/>
                <w:lang w:val="en-US" w:eastAsia="zh-CN"/>
              </w:rPr>
              <w:t>，后期待园区污水管网建成后</w:t>
            </w:r>
            <w:r>
              <w:rPr>
                <w:rFonts w:hint="default" w:ascii="Times New Roman" w:hAnsi="Times New Roman" w:eastAsia="宋体" w:cs="Times New Roman"/>
                <w:b w:val="0"/>
                <w:bCs w:val="0"/>
                <w:color w:val="auto"/>
                <w:sz w:val="24"/>
                <w:szCs w:val="24"/>
                <w:highlight w:val="none"/>
                <w:lang w:val="en-US" w:eastAsia="zh-CN"/>
              </w:rPr>
              <w:t>经市政污水管网进入东城污水处理厂处理后进入淮远河。根据《重庆市人民政府批转重庆市地表水环境功能类别调整方案的通知》（渝府发〔2012〕4 号），淮远河为Ⅳ类水域，执行《地表水环境质量标准》（GB 3838-2002）Ⅳ类</w:t>
            </w:r>
            <w:r>
              <w:rPr>
                <w:rFonts w:hint="eastAsia" w:ascii="Times New Roman" w:hAnsi="Times New Roman" w:eastAsia="宋体" w:cs="Times New Roman"/>
                <w:b w:val="0"/>
                <w:bCs w:val="0"/>
                <w:color w:val="auto"/>
                <w:sz w:val="24"/>
                <w:szCs w:val="24"/>
                <w:highlight w:val="none"/>
                <w:lang w:val="en-US" w:eastAsia="zh-CN"/>
              </w:rPr>
              <w:t>水质</w:t>
            </w:r>
            <w:r>
              <w:rPr>
                <w:rFonts w:hint="default" w:ascii="Times New Roman" w:hAnsi="Times New Roman" w:eastAsia="宋体" w:cs="Times New Roman"/>
                <w:b w:val="0"/>
                <w:bCs w:val="0"/>
                <w:color w:val="auto"/>
                <w:sz w:val="24"/>
                <w:szCs w:val="24"/>
                <w:highlight w:val="none"/>
                <w:lang w:val="en-US" w:eastAsia="zh-CN"/>
              </w:rPr>
              <w:t xml:space="preserve">标准。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根据铜梁区生态环境局202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月发布的《2023年</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月铜梁区水环境质量状况》，</w:t>
            </w:r>
            <w:r>
              <w:rPr>
                <w:rFonts w:hint="eastAsia" w:ascii="Times New Roman" w:hAnsi="Times New Roman" w:eastAsia="宋体" w:cs="Times New Roman"/>
                <w:color w:val="auto"/>
                <w:sz w:val="24"/>
                <w:szCs w:val="24"/>
                <w:highlight w:val="none"/>
                <w:lang w:eastAsia="zh-CN"/>
              </w:rPr>
              <w:t>发布网页如下：</w:t>
            </w:r>
          </w:p>
          <w:p>
            <w:pPr>
              <w:pStyle w:val="3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auto"/>
              </w:rPr>
            </w:pPr>
            <w:r>
              <w:rPr>
                <w:color w:val="auto"/>
              </w:rPr>
              <w:drawing>
                <wp:inline distT="0" distB="0" distL="114300" distR="114300">
                  <wp:extent cx="3676015" cy="3017520"/>
                  <wp:effectExtent l="0" t="0" r="635"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3676015" cy="3017520"/>
                          </a:xfrm>
                          <a:prstGeom prst="rect">
                            <a:avLst/>
                          </a:prstGeom>
                          <a:noFill/>
                          <a:ln>
                            <a:noFill/>
                          </a:ln>
                        </pic:spPr>
                      </pic:pic>
                    </a:graphicData>
                  </a:graphic>
                </wp:inline>
              </w:drawing>
            </w:r>
          </w:p>
          <w:p>
            <w:pPr>
              <w:jc w:val="center"/>
              <w:rPr>
                <w:rFonts w:hint="eastAsia" w:eastAsia="宋体"/>
                <w:b/>
                <w:bCs/>
                <w:color w:val="auto"/>
                <w:sz w:val="24"/>
                <w:szCs w:val="24"/>
                <w:lang w:val="en-US" w:eastAsia="zh-CN"/>
              </w:rPr>
            </w:pPr>
            <w:r>
              <w:rPr>
                <w:rFonts w:hint="eastAsia"/>
                <w:b/>
                <w:bCs/>
                <w:color w:val="auto"/>
                <w:sz w:val="24"/>
                <w:szCs w:val="24"/>
                <w:lang w:eastAsia="zh-CN"/>
              </w:rPr>
              <w:t>图</w:t>
            </w:r>
            <w:r>
              <w:rPr>
                <w:rFonts w:hint="eastAsia"/>
                <w:b/>
                <w:bCs/>
                <w:color w:val="auto"/>
                <w:sz w:val="24"/>
                <w:szCs w:val="24"/>
                <w:lang w:val="en-US" w:eastAsia="zh-CN"/>
              </w:rPr>
              <w:t xml:space="preserve">3-2  </w:t>
            </w:r>
            <w:r>
              <w:rPr>
                <w:rFonts w:hint="default" w:ascii="Times New Roman" w:hAnsi="Times New Roman" w:eastAsia="宋体" w:cs="Times New Roman"/>
                <w:b/>
                <w:bCs/>
                <w:color w:val="auto"/>
                <w:sz w:val="24"/>
                <w:szCs w:val="24"/>
                <w:highlight w:val="none"/>
              </w:rPr>
              <w:t>202</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年</w:t>
            </w: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月</w:t>
            </w:r>
            <w:r>
              <w:rPr>
                <w:rFonts w:hint="eastAsia" w:ascii="Times New Roman" w:hAnsi="Times New Roman" w:eastAsia="宋体" w:cs="Times New Roman"/>
                <w:b/>
                <w:bCs/>
                <w:color w:val="auto"/>
                <w:sz w:val="24"/>
                <w:szCs w:val="24"/>
                <w:highlight w:val="none"/>
                <w:lang w:eastAsia="zh-CN"/>
              </w:rPr>
              <w:t>铜梁区水环境</w:t>
            </w:r>
            <w:r>
              <w:rPr>
                <w:rFonts w:hint="eastAsia"/>
                <w:b/>
                <w:bCs/>
                <w:color w:val="auto"/>
                <w:sz w:val="24"/>
                <w:szCs w:val="24"/>
                <w:highlight w:val="none"/>
              </w:rPr>
              <w:t>质量</w:t>
            </w:r>
            <w:r>
              <w:rPr>
                <w:rFonts w:hint="eastAsia"/>
                <w:b/>
                <w:bCs/>
                <w:color w:val="auto"/>
                <w:sz w:val="24"/>
                <w:szCs w:val="24"/>
                <w:highlight w:val="none"/>
                <w:lang w:eastAsia="zh-CN"/>
              </w:rPr>
              <w:t>状况截图</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由此表明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月，铜梁区淮远河众志桥断面平均水质达到Ⅳ类水质，满足《地表水环境质量标准》（GB3838-2002）</w:t>
            </w:r>
            <w:r>
              <w:rPr>
                <w:rFonts w:hint="default" w:ascii="Times New Roman" w:hAnsi="Times New Roman" w:eastAsia="宋体" w:cs="Times New Roman"/>
                <w:color w:val="auto"/>
                <w:sz w:val="24"/>
                <w:szCs w:val="24"/>
                <w:highlight w:val="none"/>
                <w:lang w:val="en-US" w:eastAsia="zh-CN"/>
              </w:rPr>
              <w:t>Ⅳ</w:t>
            </w:r>
            <w:r>
              <w:rPr>
                <w:rFonts w:hint="default" w:ascii="Times New Roman" w:hAnsi="Times New Roman" w:eastAsia="宋体" w:cs="Times New Roman"/>
                <w:color w:val="auto"/>
                <w:sz w:val="24"/>
                <w:szCs w:val="24"/>
                <w:highlight w:val="none"/>
              </w:rPr>
              <w:t>类水域标准</w:t>
            </w:r>
            <w:r>
              <w:rPr>
                <w:rFonts w:hint="default" w:ascii="Times New Roman" w:hAnsi="Times New Roman" w:eastAsia="宋体" w:cs="Times New Roman"/>
                <w:color w:val="auto"/>
                <w:sz w:val="24"/>
                <w:szCs w:val="24"/>
                <w:highlight w:val="none"/>
                <w:lang w:val="en-US" w:eastAsia="zh-CN"/>
              </w:rPr>
              <w:t>。</w:t>
            </w:r>
          </w:p>
          <w:p>
            <w:pPr>
              <w:rPr>
                <w:color w:val="auto"/>
                <w:highlight w:val="none"/>
              </w:rPr>
            </w:pPr>
          </w:p>
          <w:p>
            <w:pPr>
              <w:adjustRightInd w:val="0"/>
              <w:snapToGrid w:val="0"/>
              <w:spacing w:line="360" w:lineRule="auto"/>
              <w:rPr>
                <w:b/>
                <w:bCs/>
                <w:color w:val="auto"/>
                <w:kern w:val="0"/>
                <w:sz w:val="24"/>
                <w:highlight w:val="none"/>
              </w:rPr>
            </w:pPr>
            <w:r>
              <w:rPr>
                <w:b/>
                <w:bCs/>
                <w:color w:val="auto"/>
                <w:kern w:val="0"/>
                <w:sz w:val="24"/>
                <w:highlight w:val="none"/>
              </w:rPr>
              <w:t>3.</w:t>
            </w:r>
            <w:r>
              <w:rPr>
                <w:rFonts w:hint="eastAsia"/>
                <w:b/>
                <w:bCs/>
                <w:color w:val="auto"/>
                <w:kern w:val="0"/>
                <w:sz w:val="24"/>
                <w:highlight w:val="none"/>
                <w:lang w:val="en-US" w:eastAsia="zh-CN"/>
              </w:rPr>
              <w:t>4</w:t>
            </w:r>
            <w:r>
              <w:rPr>
                <w:rFonts w:hint="eastAsia"/>
                <w:b/>
                <w:bCs/>
                <w:color w:val="auto"/>
                <w:kern w:val="0"/>
                <w:sz w:val="24"/>
                <w:highlight w:val="none"/>
              </w:rPr>
              <w:t>电磁环境现状</w:t>
            </w:r>
          </w:p>
          <w:p>
            <w:pPr>
              <w:adjustRightInd w:val="0"/>
              <w:snapToGrid w:val="0"/>
              <w:spacing w:line="360" w:lineRule="auto"/>
              <w:ind w:firstLine="480" w:firstLineChars="200"/>
              <w:rPr>
                <w:rFonts w:hint="default" w:ascii="Times New Roman" w:hAnsi="Times New Roman" w:cs="Times New Roman"/>
                <w:bCs/>
                <w:color w:val="auto"/>
                <w:sz w:val="24"/>
                <w:szCs w:val="24"/>
                <w:highlight w:val="none"/>
              </w:rPr>
            </w:pPr>
            <w:r>
              <w:rPr>
                <w:rFonts w:hint="eastAsia"/>
                <w:bCs/>
                <w:color w:val="auto"/>
                <w:sz w:val="24"/>
                <w:highlight w:val="none"/>
              </w:rPr>
              <w:t>根据监测报告（</w:t>
            </w:r>
            <w:r>
              <w:rPr>
                <w:rFonts w:hint="eastAsia"/>
                <w:color w:val="auto"/>
                <w:sz w:val="24"/>
                <w:szCs w:val="36"/>
                <w:highlight w:val="none"/>
              </w:rPr>
              <w:t>渝泓环（监）</w:t>
            </w:r>
            <w:r>
              <w:rPr>
                <w:rFonts w:hint="eastAsia"/>
                <w:color w:val="auto"/>
                <w:sz w:val="24"/>
                <w:szCs w:val="36"/>
                <w:highlight w:val="none"/>
                <w:lang w:eastAsia="zh-CN"/>
              </w:rPr>
              <w:t>[2023]849号</w:t>
            </w:r>
            <w:r>
              <w:rPr>
                <w:rFonts w:hint="eastAsia"/>
                <w:bCs/>
                <w:color w:val="auto"/>
                <w:sz w:val="24"/>
                <w:highlight w:val="none"/>
              </w:rPr>
              <w:t>），</w:t>
            </w:r>
            <w:bookmarkStart w:id="9" w:name="_Hlk82450570"/>
            <w:r>
              <w:rPr>
                <w:rFonts w:hint="default" w:ascii="Times New Roman" w:hAnsi="Times New Roman" w:cs="Times New Roman"/>
                <w:color w:val="auto"/>
                <w:sz w:val="24"/>
                <w:szCs w:val="24"/>
                <w:highlight w:val="none"/>
              </w:rPr>
              <w:t>拟建</w:t>
            </w:r>
            <w:r>
              <w:rPr>
                <w:rFonts w:hint="eastAsia" w:cs="Times New Roman"/>
                <w:color w:val="auto"/>
                <w:sz w:val="24"/>
                <w:szCs w:val="24"/>
                <w:highlight w:val="none"/>
                <w:lang w:eastAsia="zh-CN"/>
              </w:rPr>
              <w:t>淮阳</w:t>
            </w:r>
            <w:r>
              <w:rPr>
                <w:rFonts w:hint="default" w:ascii="Times New Roman" w:hAnsi="Times New Roman" w:cs="Times New Roman"/>
                <w:color w:val="auto"/>
                <w:sz w:val="24"/>
                <w:szCs w:val="24"/>
                <w:highlight w:val="none"/>
              </w:rPr>
              <w:t>变电站站址处</w:t>
            </w:r>
            <w:r>
              <w:rPr>
                <w:rFonts w:hint="eastAsia" w:ascii="Times New Roman" w:hAnsi="Times New Roman" w:cs="Times New Roman"/>
                <w:color w:val="auto"/>
                <w:sz w:val="24"/>
                <w:szCs w:val="24"/>
                <w:highlight w:val="none"/>
                <w:lang w:eastAsia="zh-CN"/>
              </w:rPr>
              <w:t>及其环境保护目标</w:t>
            </w:r>
            <w:r>
              <w:rPr>
                <w:rFonts w:hint="default" w:ascii="Times New Roman" w:hAnsi="Times New Roman" w:cs="Times New Roman"/>
                <w:color w:val="auto"/>
                <w:sz w:val="24"/>
                <w:szCs w:val="24"/>
                <w:highlight w:val="none"/>
              </w:rPr>
              <w:t>各监测点工频电场强度为</w:t>
            </w:r>
            <w:r>
              <w:rPr>
                <w:color w:val="auto"/>
                <w:sz w:val="24"/>
                <w:szCs w:val="24"/>
                <w:highlight w:val="none"/>
              </w:rPr>
              <w:t>2.098</w:t>
            </w:r>
            <w:r>
              <w:rPr>
                <w:rFonts w:hint="default" w:ascii="Times New Roman" w:hAnsi="Times New Roman" w:cs="Times New Roman"/>
                <w:color w:val="auto"/>
                <w:sz w:val="24"/>
                <w:szCs w:val="24"/>
                <w:highlight w:val="none"/>
              </w:rPr>
              <w:t>～</w:t>
            </w:r>
            <w:r>
              <w:rPr>
                <w:color w:val="auto"/>
                <w:sz w:val="24"/>
                <w:szCs w:val="24"/>
                <w:highlight w:val="none"/>
              </w:rPr>
              <w:t>3.929</w:t>
            </w:r>
            <w:r>
              <w:rPr>
                <w:rFonts w:hint="default" w:ascii="Times New Roman" w:hAnsi="Times New Roman" w:cs="Times New Roman"/>
                <w:color w:val="auto"/>
                <w:sz w:val="24"/>
                <w:szCs w:val="24"/>
                <w:highlight w:val="none"/>
              </w:rPr>
              <w:t>V/m，磁感应强度为0.0054～0.00</w:t>
            </w:r>
            <w:r>
              <w:rPr>
                <w:rFonts w:hint="eastAsia" w:ascii="Times New Roman" w:hAnsi="Times New Roman" w:cs="Times New Roman"/>
                <w:color w:val="auto"/>
                <w:sz w:val="24"/>
                <w:szCs w:val="24"/>
                <w:highlight w:val="none"/>
                <w:lang w:val="en-US" w:eastAsia="zh-CN"/>
              </w:rPr>
              <w:t>62</w:t>
            </w:r>
            <w:r>
              <w:rPr>
                <w:rFonts w:hint="default" w:ascii="Times New Roman" w:hAnsi="Times New Roman" w:cs="Times New Roman"/>
                <w:color w:val="auto"/>
                <w:sz w:val="24"/>
                <w:szCs w:val="24"/>
                <w:highlight w:val="none"/>
              </w:rPr>
              <w:t>μT；拟建线路拟建段沿线各监测点工频电场强度为</w:t>
            </w:r>
            <w:r>
              <w:rPr>
                <w:color w:val="auto"/>
                <w:sz w:val="24"/>
                <w:szCs w:val="24"/>
                <w:highlight w:val="none"/>
              </w:rPr>
              <w:t>0.079</w:t>
            </w:r>
            <w:r>
              <w:rPr>
                <w:rFonts w:hint="default" w:ascii="Times New Roman" w:hAnsi="Times New Roman" w:cs="Times New Roman"/>
                <w:color w:val="auto"/>
                <w:sz w:val="24"/>
                <w:szCs w:val="24"/>
                <w:highlight w:val="none"/>
              </w:rPr>
              <w:t>～</w:t>
            </w:r>
            <w:r>
              <w:rPr>
                <w:color w:val="auto"/>
                <w:sz w:val="24"/>
                <w:szCs w:val="24"/>
                <w:highlight w:val="none"/>
              </w:rPr>
              <w:t>32.74</w:t>
            </w:r>
            <w:r>
              <w:rPr>
                <w:rFonts w:hint="default" w:ascii="Times New Roman" w:hAnsi="Times New Roman" w:cs="Times New Roman"/>
                <w:color w:val="auto"/>
                <w:sz w:val="24"/>
                <w:szCs w:val="24"/>
                <w:highlight w:val="none"/>
              </w:rPr>
              <w:t>V/m，磁感应强度为</w:t>
            </w:r>
            <w:r>
              <w:rPr>
                <w:color w:val="auto"/>
                <w:sz w:val="24"/>
                <w:szCs w:val="24"/>
                <w:highlight w:val="none"/>
              </w:rPr>
              <w:t>0.0053</w:t>
            </w:r>
            <w:r>
              <w:rPr>
                <w:rFonts w:hint="default" w:ascii="Times New Roman" w:hAnsi="Times New Roman" w:cs="Times New Roman"/>
                <w:color w:val="auto"/>
                <w:sz w:val="24"/>
                <w:szCs w:val="24"/>
                <w:highlight w:val="none"/>
              </w:rPr>
              <w:t>～</w:t>
            </w:r>
            <w:r>
              <w:rPr>
                <w:color w:val="auto"/>
                <w:sz w:val="24"/>
                <w:szCs w:val="24"/>
                <w:highlight w:val="none"/>
              </w:rPr>
              <w:t>0.0583</w:t>
            </w:r>
            <w:r>
              <w:rPr>
                <w:rFonts w:hint="default" w:ascii="Times New Roman" w:hAnsi="Times New Roman" w:cs="Times New Roman"/>
                <w:color w:val="auto"/>
                <w:sz w:val="24"/>
                <w:szCs w:val="24"/>
                <w:highlight w:val="none"/>
              </w:rPr>
              <w:t>μT；</w:t>
            </w:r>
            <w:r>
              <w:rPr>
                <w:rFonts w:hint="eastAsia" w:ascii="Times New Roman" w:hAnsi="Times New Roman" w:cs="Times New Roman"/>
                <w:color w:val="auto"/>
                <w:sz w:val="24"/>
                <w:szCs w:val="24"/>
                <w:highlight w:val="none"/>
                <w:lang w:val="en-US" w:eastAsia="zh-CN"/>
              </w:rPr>
              <w:t>220kV全德变电站扩建间隔侧</w:t>
            </w:r>
            <w:r>
              <w:rPr>
                <w:rFonts w:hint="default" w:ascii="Times New Roman" w:hAnsi="Times New Roman" w:cs="Times New Roman"/>
                <w:color w:val="auto"/>
                <w:sz w:val="24"/>
                <w:szCs w:val="24"/>
                <w:highlight w:val="none"/>
              </w:rPr>
              <w:t>监测点工频电场强度为</w:t>
            </w:r>
            <w:r>
              <w:rPr>
                <w:color w:val="auto"/>
                <w:sz w:val="24"/>
                <w:szCs w:val="24"/>
                <w:highlight w:val="none"/>
              </w:rPr>
              <w:t>111.8</w:t>
            </w:r>
            <w:r>
              <w:rPr>
                <w:rFonts w:hint="default" w:ascii="Times New Roman" w:hAnsi="Times New Roman" w:cs="Times New Roman"/>
                <w:color w:val="auto"/>
                <w:sz w:val="24"/>
                <w:szCs w:val="24"/>
                <w:highlight w:val="none"/>
              </w:rPr>
              <w:t>V/m，磁感应强度为</w:t>
            </w:r>
            <w:r>
              <w:rPr>
                <w:color w:val="auto"/>
                <w:sz w:val="24"/>
                <w:szCs w:val="24"/>
                <w:highlight w:val="none"/>
              </w:rPr>
              <w:t>0.1644</w:t>
            </w:r>
            <w:r>
              <w:rPr>
                <w:rFonts w:hint="default" w:ascii="Times New Roman" w:hAnsi="Times New Roman" w:cs="Times New Roman"/>
                <w:color w:val="auto"/>
                <w:sz w:val="24"/>
                <w:szCs w:val="24"/>
                <w:highlight w:val="none"/>
              </w:rPr>
              <w:t>μT</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均</w:t>
            </w:r>
            <w:r>
              <w:rPr>
                <w:rFonts w:hint="eastAsia" w:ascii="Times New Roman" w:hAnsi="Times New Roman" w:cs="Times New Roman"/>
                <w:color w:val="auto"/>
                <w:sz w:val="24"/>
                <w:szCs w:val="24"/>
                <w:highlight w:val="none"/>
                <w:lang w:eastAsia="zh-CN"/>
              </w:rPr>
              <w:t>小于</w:t>
            </w:r>
            <w:r>
              <w:rPr>
                <w:rFonts w:hint="default" w:ascii="Times New Roman" w:hAnsi="Times New Roman" w:cs="Times New Roman"/>
                <w:color w:val="auto"/>
                <w:sz w:val="24"/>
                <w:szCs w:val="24"/>
                <w:highlight w:val="none"/>
              </w:rPr>
              <w:t>《电磁环境控制限值》（GB8702-2014）</w:t>
            </w:r>
            <w:r>
              <w:rPr>
                <w:rFonts w:hint="eastAsia" w:cs="Times New Roman"/>
                <w:color w:val="auto"/>
                <w:sz w:val="24"/>
                <w:szCs w:val="24"/>
                <w:highlight w:val="none"/>
                <w:lang w:eastAsia="zh-CN"/>
              </w:rPr>
              <w:t>限值</w:t>
            </w:r>
            <w:r>
              <w:rPr>
                <w:rFonts w:hint="default" w:ascii="Times New Roman" w:hAnsi="Times New Roman" w:cs="Times New Roman"/>
                <w:color w:val="auto"/>
                <w:sz w:val="24"/>
                <w:szCs w:val="24"/>
                <w:highlight w:val="none"/>
              </w:rPr>
              <w:t>要求（公众曝露限值：工频电场强度标准限值4000V/m、磁感应强度标准限值100μT）。</w:t>
            </w:r>
            <w:bookmarkEnd w:id="9"/>
          </w:p>
          <w:p>
            <w:pPr>
              <w:adjustRightInd w:val="0"/>
              <w:snapToGrid w:val="0"/>
              <w:spacing w:line="360" w:lineRule="auto"/>
              <w:rPr>
                <w:b/>
                <w:bCs/>
                <w:color w:val="auto"/>
                <w:kern w:val="0"/>
                <w:sz w:val="24"/>
                <w:highlight w:val="none"/>
              </w:rPr>
            </w:pPr>
            <w:r>
              <w:rPr>
                <w:b/>
                <w:bCs/>
                <w:color w:val="auto"/>
                <w:kern w:val="0"/>
                <w:sz w:val="24"/>
                <w:highlight w:val="none"/>
              </w:rPr>
              <w:t>3.</w:t>
            </w:r>
            <w:r>
              <w:rPr>
                <w:rFonts w:hint="eastAsia"/>
                <w:b/>
                <w:bCs/>
                <w:color w:val="auto"/>
                <w:kern w:val="0"/>
                <w:sz w:val="24"/>
                <w:highlight w:val="none"/>
                <w:lang w:val="en-US" w:eastAsia="zh-CN"/>
              </w:rPr>
              <w:t>5</w:t>
            </w:r>
            <w:r>
              <w:rPr>
                <w:rFonts w:hint="eastAsia"/>
                <w:b/>
                <w:bCs/>
                <w:color w:val="auto"/>
                <w:kern w:val="0"/>
                <w:sz w:val="24"/>
                <w:highlight w:val="none"/>
              </w:rPr>
              <w:t>声环境质量现状</w:t>
            </w:r>
          </w:p>
          <w:p>
            <w:pPr>
              <w:spacing w:line="360" w:lineRule="auto"/>
              <w:ind w:firstLine="482" w:firstLineChars="200"/>
              <w:rPr>
                <w:b/>
                <w:color w:val="auto"/>
                <w:sz w:val="24"/>
                <w:szCs w:val="24"/>
                <w:highlight w:val="none"/>
              </w:rPr>
            </w:pPr>
            <w:r>
              <w:rPr>
                <w:rFonts w:hint="eastAsia"/>
                <w:b/>
                <w:color w:val="auto"/>
                <w:sz w:val="24"/>
                <w:szCs w:val="24"/>
                <w:highlight w:val="none"/>
              </w:rPr>
              <w:t>（</w:t>
            </w:r>
            <w:r>
              <w:rPr>
                <w:b/>
                <w:color w:val="auto"/>
                <w:sz w:val="24"/>
                <w:szCs w:val="24"/>
                <w:highlight w:val="none"/>
              </w:rPr>
              <w:t>1</w:t>
            </w:r>
            <w:r>
              <w:rPr>
                <w:rFonts w:hint="eastAsia"/>
                <w:b/>
                <w:color w:val="auto"/>
                <w:sz w:val="24"/>
                <w:szCs w:val="24"/>
                <w:highlight w:val="none"/>
              </w:rPr>
              <w:t>）声环境功能区划</w:t>
            </w:r>
          </w:p>
          <w:p>
            <w:pPr>
              <w:spacing w:line="360" w:lineRule="auto"/>
              <w:ind w:firstLine="480" w:firstLineChars="200"/>
              <w:rPr>
                <w:rFonts w:hint="eastAsia" w:eastAsia="宋体"/>
                <w:bCs/>
                <w:color w:val="auto"/>
                <w:sz w:val="24"/>
                <w:szCs w:val="24"/>
                <w:lang w:val="en-US" w:eastAsia="zh-CN"/>
              </w:rPr>
            </w:pPr>
            <w:r>
              <w:rPr>
                <w:rFonts w:ascii="Times New Roman" w:hAnsi="Times New Roman"/>
                <w:bCs/>
                <w:color w:val="auto"/>
                <w:sz w:val="24"/>
                <w:szCs w:val="24"/>
              </w:rPr>
              <w:t>根据</w:t>
            </w:r>
            <w:r>
              <w:rPr>
                <w:rFonts w:ascii="Times New Roman" w:hAnsi="Times New Roman"/>
                <w:color w:val="auto"/>
                <w:sz w:val="24"/>
                <w:szCs w:val="24"/>
              </w:rPr>
              <w:t>《</w:t>
            </w:r>
            <w:r>
              <w:rPr>
                <w:rFonts w:ascii="Times New Roman" w:hAnsi="Times New Roman"/>
                <w:bCs/>
                <w:color w:val="auto"/>
                <w:sz w:val="24"/>
                <w:szCs w:val="24"/>
              </w:rPr>
              <w:t>重庆市铜梁区人民政府办公室关于印发重庆市铜梁区声环境功能区划分调整方案的通知</w:t>
            </w:r>
            <w:r>
              <w:rPr>
                <w:rFonts w:ascii="Times New Roman" w:hAnsi="Times New Roman"/>
                <w:color w:val="auto"/>
                <w:sz w:val="24"/>
                <w:szCs w:val="24"/>
              </w:rPr>
              <w:t>》</w:t>
            </w:r>
            <w:r>
              <w:rPr>
                <w:rFonts w:ascii="Times New Roman" w:hAnsi="Times New Roman"/>
                <w:bCs/>
                <w:color w:val="auto"/>
                <w:sz w:val="24"/>
                <w:szCs w:val="24"/>
              </w:rPr>
              <w:t>（铜府办〔2023〕17号）</w:t>
            </w:r>
            <w:r>
              <w:rPr>
                <w:rFonts w:hint="eastAsia"/>
                <w:bCs/>
                <w:color w:val="auto"/>
                <w:sz w:val="24"/>
                <w:szCs w:val="24"/>
                <w:lang w:eastAsia="zh-CN"/>
              </w:rPr>
              <w:t>，拟建</w:t>
            </w:r>
            <w:r>
              <w:rPr>
                <w:rFonts w:hint="eastAsia"/>
                <w:bCs/>
                <w:color w:val="auto"/>
                <w:sz w:val="24"/>
                <w:szCs w:val="24"/>
                <w:lang w:val="en-US" w:eastAsia="zh-CN"/>
              </w:rPr>
              <w:t>110kV淮阳变电站位于规划工业园区内，执行</w:t>
            </w:r>
            <w:r>
              <w:rPr>
                <w:rFonts w:hint="eastAsia" w:ascii="Times New Roman" w:hAnsi="Times New Roman"/>
                <w:color w:val="auto"/>
                <w:kern w:val="0"/>
                <w:sz w:val="24"/>
                <w:szCs w:val="24"/>
              </w:rPr>
              <w:t>《声环境质量标准》（</w:t>
            </w:r>
            <w:r>
              <w:rPr>
                <w:rFonts w:ascii="Times New Roman" w:hAnsi="Times New Roman"/>
                <w:color w:val="auto"/>
                <w:kern w:val="0"/>
                <w:sz w:val="24"/>
                <w:szCs w:val="24"/>
              </w:rPr>
              <w:t>GB3096-2008</w:t>
            </w:r>
            <w:r>
              <w:rPr>
                <w:rFonts w:hint="eastAsia" w:ascii="Times New Roman" w:hAnsi="Times New Roman"/>
                <w:color w:val="auto"/>
                <w:kern w:val="0"/>
                <w:sz w:val="24"/>
                <w:szCs w:val="24"/>
              </w:rPr>
              <w:t>）中</w:t>
            </w:r>
            <w:r>
              <w:rPr>
                <w:rFonts w:hint="eastAsia"/>
                <w:color w:val="auto"/>
                <w:kern w:val="0"/>
                <w:sz w:val="24"/>
                <w:szCs w:val="24"/>
                <w:lang w:val="en-US" w:eastAsia="zh-CN"/>
              </w:rPr>
              <w:t>3</w:t>
            </w:r>
            <w:r>
              <w:rPr>
                <w:rFonts w:hint="eastAsia" w:ascii="Times New Roman" w:hAnsi="Times New Roman"/>
                <w:color w:val="auto"/>
                <w:kern w:val="0"/>
                <w:sz w:val="24"/>
                <w:szCs w:val="24"/>
              </w:rPr>
              <w:t>类</w:t>
            </w:r>
            <w:r>
              <w:rPr>
                <w:rFonts w:hint="eastAsia" w:ascii="Times New Roman" w:hAnsi="Times New Roman"/>
                <w:bCs/>
                <w:color w:val="auto"/>
                <w:sz w:val="24"/>
                <w:szCs w:val="24"/>
              </w:rPr>
              <w:t>声环境质量标准</w:t>
            </w:r>
            <w:r>
              <w:rPr>
                <w:rFonts w:hint="eastAsia" w:ascii="Times New Roman" w:hAnsi="Times New Roman"/>
                <w:bCs/>
                <w:color w:val="auto"/>
                <w:sz w:val="24"/>
                <w:szCs w:val="24"/>
                <w:lang w:eastAsia="zh-CN"/>
              </w:rPr>
              <w:t>，其</w:t>
            </w:r>
            <w:r>
              <w:rPr>
                <w:rFonts w:hint="eastAsia"/>
                <w:bCs/>
                <w:color w:val="auto"/>
                <w:sz w:val="24"/>
                <w:szCs w:val="24"/>
                <w:lang w:eastAsia="zh-CN"/>
              </w:rPr>
              <w:t>位于工业园区范围内的</w:t>
            </w:r>
            <w:r>
              <w:rPr>
                <w:rFonts w:hint="eastAsia" w:ascii="Times New Roman" w:hAnsi="Times New Roman"/>
                <w:bCs/>
                <w:color w:val="auto"/>
                <w:sz w:val="24"/>
                <w:szCs w:val="24"/>
                <w:lang w:eastAsia="zh-CN"/>
              </w:rPr>
              <w:t>声环境保护目标执行</w:t>
            </w:r>
            <w:r>
              <w:rPr>
                <w:rFonts w:hint="eastAsia"/>
                <w:color w:val="auto"/>
                <w:kern w:val="0"/>
                <w:sz w:val="24"/>
                <w:szCs w:val="24"/>
                <w:lang w:val="en-US" w:eastAsia="zh-CN"/>
              </w:rPr>
              <w:t>3</w:t>
            </w:r>
            <w:r>
              <w:rPr>
                <w:rFonts w:hint="eastAsia" w:ascii="Times New Roman" w:hAnsi="Times New Roman"/>
                <w:color w:val="auto"/>
                <w:kern w:val="0"/>
                <w:sz w:val="24"/>
                <w:szCs w:val="24"/>
              </w:rPr>
              <w:t>类</w:t>
            </w:r>
            <w:r>
              <w:rPr>
                <w:rFonts w:hint="eastAsia" w:ascii="Times New Roman" w:hAnsi="Times New Roman"/>
                <w:bCs/>
                <w:color w:val="auto"/>
                <w:sz w:val="24"/>
                <w:szCs w:val="24"/>
              </w:rPr>
              <w:t>声环境质量标准</w:t>
            </w:r>
            <w:r>
              <w:rPr>
                <w:rFonts w:hint="eastAsia" w:ascii="Times New Roman" w:hAnsi="Times New Roman"/>
                <w:bCs/>
                <w:color w:val="auto"/>
                <w:sz w:val="24"/>
                <w:szCs w:val="24"/>
                <w:lang w:eastAsia="zh-CN"/>
              </w:rPr>
              <w:t>，</w:t>
            </w:r>
            <w:r>
              <w:rPr>
                <w:rFonts w:hint="eastAsia"/>
                <w:bCs/>
                <w:color w:val="auto"/>
                <w:sz w:val="24"/>
                <w:szCs w:val="24"/>
                <w:lang w:eastAsia="zh-CN"/>
              </w:rPr>
              <w:t>位于</w:t>
            </w:r>
            <w:r>
              <w:rPr>
                <w:rFonts w:hint="eastAsia" w:ascii="Times New Roman" w:hAnsi="Times New Roman"/>
                <w:bCs/>
                <w:color w:val="auto"/>
                <w:sz w:val="24"/>
                <w:szCs w:val="24"/>
                <w:lang w:eastAsia="zh-CN"/>
              </w:rPr>
              <w:t>农村区域</w:t>
            </w:r>
            <w:r>
              <w:rPr>
                <w:rFonts w:hint="eastAsia"/>
                <w:bCs/>
                <w:color w:val="auto"/>
                <w:sz w:val="24"/>
                <w:szCs w:val="24"/>
                <w:lang w:eastAsia="zh-CN"/>
              </w:rPr>
              <w:t>的声环境保护目标</w:t>
            </w:r>
            <w:r>
              <w:rPr>
                <w:rFonts w:hint="eastAsia" w:ascii="Times New Roman" w:hAnsi="Times New Roman"/>
                <w:bCs/>
                <w:color w:val="auto"/>
                <w:sz w:val="24"/>
                <w:szCs w:val="24"/>
                <w:lang w:eastAsia="zh-CN"/>
              </w:rPr>
              <w:t>执行</w:t>
            </w:r>
            <w:r>
              <w:rPr>
                <w:rFonts w:hint="eastAsia"/>
                <w:color w:val="auto"/>
                <w:kern w:val="0"/>
                <w:sz w:val="24"/>
                <w:szCs w:val="24"/>
                <w:lang w:val="en-US" w:eastAsia="zh-CN"/>
              </w:rPr>
              <w:t>1</w:t>
            </w:r>
            <w:r>
              <w:rPr>
                <w:rFonts w:hint="eastAsia" w:ascii="Times New Roman" w:hAnsi="Times New Roman"/>
                <w:color w:val="auto"/>
                <w:kern w:val="0"/>
                <w:sz w:val="24"/>
                <w:szCs w:val="24"/>
              </w:rPr>
              <w:t>类</w:t>
            </w:r>
            <w:r>
              <w:rPr>
                <w:rFonts w:hint="eastAsia" w:ascii="Times New Roman" w:hAnsi="Times New Roman"/>
                <w:bCs/>
                <w:color w:val="auto"/>
                <w:sz w:val="24"/>
                <w:szCs w:val="24"/>
              </w:rPr>
              <w:t>声环境质量标准</w:t>
            </w:r>
            <w:r>
              <w:rPr>
                <w:rFonts w:hint="eastAsia" w:ascii="Times New Roman" w:hAnsi="Times New Roman"/>
                <w:bCs/>
                <w:color w:val="auto"/>
                <w:sz w:val="24"/>
                <w:szCs w:val="24"/>
                <w:lang w:eastAsia="zh-CN"/>
              </w:rPr>
              <w:t>。</w:t>
            </w:r>
            <w:r>
              <w:rPr>
                <w:rFonts w:hint="eastAsia"/>
                <w:bCs/>
                <w:color w:val="auto"/>
                <w:sz w:val="24"/>
                <w:szCs w:val="24"/>
                <w:lang w:val="en-US" w:eastAsia="zh-CN"/>
              </w:rPr>
              <w:t>1类、3类声功能区内的声环境保护目标，如</w:t>
            </w:r>
            <w:r>
              <w:rPr>
                <w:rFonts w:hint="eastAsia"/>
                <w:bCs/>
                <w:color w:val="auto"/>
                <w:sz w:val="24"/>
                <w:szCs w:val="24"/>
                <w:lang w:eastAsia="zh-CN"/>
              </w:rPr>
              <w:t>距建成后的铜安高速分别在</w:t>
            </w:r>
            <w:r>
              <w:rPr>
                <w:rFonts w:hint="eastAsia"/>
                <w:bCs/>
                <w:color w:val="auto"/>
                <w:sz w:val="24"/>
                <w:szCs w:val="24"/>
                <w:lang w:val="en-US" w:eastAsia="zh-CN"/>
              </w:rPr>
              <w:t>55m、25m范围内，执行4a类声环境质量标准。</w:t>
            </w:r>
          </w:p>
          <w:p>
            <w:pPr>
              <w:spacing w:line="360" w:lineRule="auto"/>
              <w:ind w:firstLine="480" w:firstLineChars="200"/>
              <w:rPr>
                <w:rFonts w:hint="eastAsia" w:ascii="Times New Roman" w:hAnsi="Times New Roman" w:eastAsia="宋体"/>
                <w:bCs/>
                <w:color w:val="auto"/>
                <w:sz w:val="24"/>
                <w:szCs w:val="24"/>
                <w:lang w:val="en-US" w:eastAsia="zh-CN"/>
              </w:rPr>
            </w:pPr>
            <w:r>
              <w:rPr>
                <w:rFonts w:hint="eastAsia" w:ascii="Times New Roman" w:hAnsi="Times New Roman"/>
                <w:bCs/>
                <w:color w:val="auto"/>
                <w:sz w:val="24"/>
                <w:szCs w:val="24"/>
              </w:rPr>
              <w:t>本项目线路</w:t>
            </w:r>
            <w:r>
              <w:rPr>
                <w:rFonts w:hint="eastAsia"/>
                <w:bCs/>
                <w:color w:val="auto"/>
                <w:sz w:val="24"/>
                <w:szCs w:val="24"/>
                <w:lang w:eastAsia="zh-CN"/>
              </w:rPr>
              <w:t>沿线涉及农村区域、</w:t>
            </w:r>
            <w:r>
              <w:rPr>
                <w:rFonts w:hint="eastAsia"/>
                <w:bCs/>
                <w:color w:val="auto"/>
                <w:sz w:val="24"/>
                <w:szCs w:val="24"/>
                <w:lang w:val="en-US" w:eastAsia="zh-CN"/>
              </w:rPr>
              <w:t>207省道、规划工业园区和</w:t>
            </w:r>
            <w:r>
              <w:rPr>
                <w:rFonts w:hint="eastAsia" w:ascii="Times New Roman" w:hAnsi="Times New Roman"/>
                <w:bCs/>
                <w:color w:val="auto"/>
                <w:sz w:val="24"/>
                <w:szCs w:val="24"/>
              </w:rPr>
              <w:t>在建</w:t>
            </w:r>
            <w:r>
              <w:rPr>
                <w:rFonts w:hint="eastAsia"/>
                <w:bCs/>
                <w:color w:val="auto"/>
                <w:sz w:val="24"/>
                <w:szCs w:val="24"/>
                <w:lang w:eastAsia="zh-CN"/>
              </w:rPr>
              <w:t>铜安</w:t>
            </w:r>
            <w:r>
              <w:rPr>
                <w:rFonts w:hint="eastAsia" w:ascii="Times New Roman" w:hAnsi="Times New Roman"/>
                <w:bCs/>
                <w:color w:val="auto"/>
                <w:sz w:val="24"/>
                <w:szCs w:val="24"/>
              </w:rPr>
              <w:t>高速路</w:t>
            </w:r>
            <w:r>
              <w:rPr>
                <w:rFonts w:hint="eastAsia"/>
                <w:bCs/>
                <w:color w:val="auto"/>
                <w:sz w:val="24"/>
                <w:szCs w:val="24"/>
                <w:lang w:eastAsia="zh-CN"/>
              </w:rPr>
              <w:t>和渝遂高速</w:t>
            </w:r>
            <w:r>
              <w:rPr>
                <w:rFonts w:hint="eastAsia" w:ascii="Times New Roman" w:hAnsi="Times New Roman"/>
                <w:bCs/>
                <w:color w:val="auto"/>
                <w:sz w:val="24"/>
                <w:szCs w:val="24"/>
              </w:rPr>
              <w:t>。因此，本项目</w:t>
            </w:r>
            <w:r>
              <w:rPr>
                <w:rFonts w:hint="eastAsia"/>
                <w:bCs/>
                <w:color w:val="auto"/>
                <w:sz w:val="24"/>
                <w:szCs w:val="24"/>
                <w:lang w:eastAsia="zh-CN"/>
              </w:rPr>
              <w:t>线路</w:t>
            </w:r>
            <w:r>
              <w:rPr>
                <w:rFonts w:hint="eastAsia" w:ascii="Times New Roman" w:hAnsi="Times New Roman"/>
                <w:bCs/>
                <w:color w:val="auto"/>
                <w:sz w:val="24"/>
                <w:szCs w:val="24"/>
              </w:rPr>
              <w:t>所在</w:t>
            </w:r>
            <w:r>
              <w:rPr>
                <w:rFonts w:hint="eastAsia"/>
                <w:bCs/>
                <w:color w:val="auto"/>
                <w:sz w:val="24"/>
                <w:szCs w:val="24"/>
                <w:lang w:eastAsia="zh-CN"/>
              </w:rPr>
              <w:t>农村</w:t>
            </w:r>
            <w:r>
              <w:rPr>
                <w:rFonts w:hint="eastAsia" w:ascii="Times New Roman" w:hAnsi="Times New Roman"/>
                <w:bCs/>
                <w:color w:val="auto"/>
                <w:sz w:val="24"/>
                <w:szCs w:val="24"/>
              </w:rPr>
              <w:t>区域现状执行</w:t>
            </w:r>
            <w:r>
              <w:rPr>
                <w:rFonts w:hint="eastAsia" w:ascii="Times New Roman" w:hAnsi="Times New Roman"/>
                <w:color w:val="auto"/>
                <w:kern w:val="0"/>
                <w:sz w:val="24"/>
                <w:szCs w:val="24"/>
              </w:rPr>
              <w:t>《声环境质量标准》（</w:t>
            </w:r>
            <w:r>
              <w:rPr>
                <w:rFonts w:ascii="Times New Roman" w:hAnsi="Times New Roman"/>
                <w:color w:val="auto"/>
                <w:kern w:val="0"/>
                <w:sz w:val="24"/>
                <w:szCs w:val="24"/>
              </w:rPr>
              <w:t>GB3096-2008</w:t>
            </w:r>
            <w:r>
              <w:rPr>
                <w:rFonts w:hint="eastAsia" w:ascii="Times New Roman" w:hAnsi="Times New Roman"/>
                <w:color w:val="auto"/>
                <w:kern w:val="0"/>
                <w:sz w:val="24"/>
                <w:szCs w:val="24"/>
              </w:rPr>
              <w:t>）中</w:t>
            </w:r>
            <w:r>
              <w:rPr>
                <w:rFonts w:hint="eastAsia"/>
                <w:color w:val="auto"/>
                <w:kern w:val="0"/>
                <w:sz w:val="24"/>
                <w:szCs w:val="24"/>
                <w:lang w:val="en-US" w:eastAsia="zh-CN"/>
              </w:rPr>
              <w:t>1</w:t>
            </w:r>
            <w:r>
              <w:rPr>
                <w:rFonts w:hint="eastAsia" w:ascii="Times New Roman" w:hAnsi="Times New Roman"/>
                <w:color w:val="auto"/>
                <w:kern w:val="0"/>
                <w:sz w:val="24"/>
                <w:szCs w:val="24"/>
              </w:rPr>
              <w:t>类</w:t>
            </w:r>
            <w:r>
              <w:rPr>
                <w:rFonts w:hint="eastAsia" w:ascii="Times New Roman" w:hAnsi="Times New Roman"/>
                <w:bCs/>
                <w:color w:val="auto"/>
                <w:sz w:val="24"/>
                <w:szCs w:val="24"/>
              </w:rPr>
              <w:t>声环境质量标准</w:t>
            </w:r>
            <w:r>
              <w:rPr>
                <w:rFonts w:hint="eastAsia" w:ascii="Times New Roman" w:hAnsi="Times New Roman"/>
                <w:color w:val="auto"/>
                <w:kern w:val="0"/>
                <w:sz w:val="24"/>
                <w:szCs w:val="24"/>
              </w:rPr>
              <w:t>，</w:t>
            </w:r>
            <w:r>
              <w:rPr>
                <w:rFonts w:hint="eastAsia"/>
                <w:color w:val="auto"/>
                <w:kern w:val="0"/>
                <w:sz w:val="24"/>
                <w:szCs w:val="24"/>
                <w:lang w:eastAsia="zh-CN"/>
              </w:rPr>
              <w:t>跨</w:t>
            </w:r>
            <w:r>
              <w:rPr>
                <w:rFonts w:hint="eastAsia"/>
                <w:bCs/>
                <w:color w:val="auto"/>
                <w:sz w:val="24"/>
                <w:szCs w:val="24"/>
                <w:lang w:val="en-US" w:eastAsia="zh-CN"/>
              </w:rPr>
              <w:t>207省道和建成后的</w:t>
            </w:r>
            <w:r>
              <w:rPr>
                <w:rFonts w:hint="eastAsia"/>
                <w:bCs/>
                <w:color w:val="auto"/>
                <w:sz w:val="24"/>
                <w:szCs w:val="24"/>
                <w:lang w:eastAsia="zh-CN"/>
              </w:rPr>
              <w:t>渝遂</w:t>
            </w:r>
            <w:r>
              <w:rPr>
                <w:rFonts w:hint="eastAsia"/>
                <w:bCs/>
                <w:color w:val="auto"/>
                <w:sz w:val="24"/>
                <w:szCs w:val="24"/>
                <w:lang w:val="en-US" w:eastAsia="zh-CN"/>
              </w:rPr>
              <w:t>高速公路</w:t>
            </w:r>
            <w:r>
              <w:rPr>
                <w:rFonts w:hint="eastAsia"/>
                <w:bCs/>
                <w:color w:val="auto"/>
                <w:sz w:val="24"/>
                <w:szCs w:val="24"/>
                <w:lang w:eastAsia="zh-CN"/>
              </w:rPr>
              <w:t>分别</w:t>
            </w:r>
            <w:r>
              <w:rPr>
                <w:rFonts w:ascii="Times New Roman" w:hAnsi="Times New Roman"/>
                <w:bCs/>
                <w:color w:val="auto"/>
                <w:sz w:val="24"/>
                <w:szCs w:val="24"/>
              </w:rPr>
              <w:t>4</w:t>
            </w:r>
            <w:r>
              <w:rPr>
                <w:rFonts w:hint="eastAsia"/>
                <w:bCs/>
                <w:color w:val="auto"/>
                <w:sz w:val="24"/>
                <w:szCs w:val="24"/>
                <w:lang w:val="en-US" w:eastAsia="zh-CN"/>
              </w:rPr>
              <w:t>5</w:t>
            </w:r>
            <w:r>
              <w:rPr>
                <w:rFonts w:ascii="Times New Roman" w:hAnsi="Times New Roman"/>
                <w:bCs/>
                <w:color w:val="auto"/>
                <w:sz w:val="24"/>
                <w:szCs w:val="24"/>
              </w:rPr>
              <w:t>m</w:t>
            </w:r>
            <w:r>
              <w:rPr>
                <w:rFonts w:hint="eastAsia"/>
                <w:bCs/>
                <w:color w:val="auto"/>
                <w:sz w:val="24"/>
                <w:szCs w:val="24"/>
                <w:lang w:eastAsia="zh-CN"/>
              </w:rPr>
              <w:t>、</w:t>
            </w:r>
            <w:r>
              <w:rPr>
                <w:rFonts w:hint="eastAsia"/>
                <w:bCs/>
                <w:color w:val="auto"/>
                <w:sz w:val="24"/>
                <w:szCs w:val="24"/>
                <w:lang w:val="en-US" w:eastAsia="zh-CN"/>
              </w:rPr>
              <w:t>55m</w:t>
            </w:r>
            <w:r>
              <w:rPr>
                <w:rFonts w:hint="eastAsia" w:ascii="Times New Roman" w:hAnsi="Times New Roman"/>
                <w:bCs/>
                <w:color w:val="auto"/>
                <w:sz w:val="24"/>
                <w:szCs w:val="24"/>
              </w:rPr>
              <w:t>范围执行</w:t>
            </w:r>
            <w:r>
              <w:rPr>
                <w:rFonts w:ascii="Times New Roman" w:hAnsi="Times New Roman"/>
                <w:bCs/>
                <w:color w:val="auto"/>
                <w:sz w:val="24"/>
                <w:szCs w:val="24"/>
              </w:rPr>
              <w:t>4a</w:t>
            </w:r>
            <w:r>
              <w:rPr>
                <w:rFonts w:hint="eastAsia" w:ascii="Times New Roman" w:hAnsi="Times New Roman"/>
                <w:bCs/>
                <w:color w:val="auto"/>
                <w:sz w:val="24"/>
                <w:szCs w:val="24"/>
              </w:rPr>
              <w:t>类声环境质量标准</w:t>
            </w:r>
            <w:r>
              <w:rPr>
                <w:rFonts w:hint="eastAsia" w:ascii="Times New Roman" w:hAnsi="Times New Roman"/>
                <w:bCs/>
                <w:color w:val="auto"/>
                <w:sz w:val="24"/>
                <w:szCs w:val="24"/>
                <w:lang w:eastAsia="zh-CN"/>
              </w:rPr>
              <w:t>，跨工业园区段执行</w:t>
            </w:r>
            <w:r>
              <w:rPr>
                <w:rFonts w:hint="eastAsia" w:ascii="Times New Roman" w:hAnsi="Times New Roman"/>
                <w:bCs/>
                <w:color w:val="auto"/>
                <w:sz w:val="24"/>
                <w:szCs w:val="24"/>
                <w:lang w:val="en-US" w:eastAsia="zh-CN"/>
              </w:rPr>
              <w:t>3类</w:t>
            </w:r>
            <w:r>
              <w:rPr>
                <w:rFonts w:hint="eastAsia" w:ascii="Times New Roman" w:hAnsi="Times New Roman"/>
                <w:bCs/>
                <w:color w:val="auto"/>
                <w:sz w:val="24"/>
                <w:szCs w:val="24"/>
              </w:rPr>
              <w:t>声环境质量标准</w:t>
            </w:r>
            <w:r>
              <w:rPr>
                <w:rFonts w:hint="eastAsia"/>
                <w:bCs/>
                <w:color w:val="auto"/>
                <w:sz w:val="24"/>
                <w:szCs w:val="24"/>
                <w:lang w:eastAsia="zh-CN"/>
              </w:rPr>
              <w:t>，距建成后的铜安高速在</w:t>
            </w:r>
            <w:r>
              <w:rPr>
                <w:rFonts w:hint="eastAsia"/>
                <w:bCs/>
                <w:color w:val="auto"/>
                <w:sz w:val="24"/>
                <w:szCs w:val="24"/>
                <w:lang w:val="en-US" w:eastAsia="zh-CN"/>
              </w:rPr>
              <w:t>55m范围内的执行4a类声环境质量标准。</w:t>
            </w:r>
          </w:p>
          <w:p>
            <w:pPr>
              <w:spacing w:line="360" w:lineRule="auto"/>
              <w:ind w:firstLine="480" w:firstLineChars="200"/>
              <w:rPr>
                <w:rFonts w:hint="eastAsia" w:eastAsia="宋体"/>
                <w:color w:val="auto"/>
                <w:sz w:val="24"/>
                <w:szCs w:val="24"/>
                <w:highlight w:val="none"/>
                <w:lang w:val="en-US" w:eastAsia="zh-CN"/>
              </w:rPr>
            </w:pPr>
            <w:r>
              <w:rPr>
                <w:rFonts w:hint="eastAsia"/>
                <w:bCs/>
                <w:color w:val="auto"/>
                <w:sz w:val="24"/>
                <w:szCs w:val="24"/>
                <w:highlight w:val="none"/>
                <w:lang w:eastAsia="zh-CN"/>
              </w:rPr>
              <w:t>根据全德</w:t>
            </w:r>
            <w:r>
              <w:rPr>
                <w:rFonts w:hint="eastAsia"/>
                <w:bCs/>
                <w:color w:val="auto"/>
                <w:sz w:val="24"/>
                <w:szCs w:val="24"/>
                <w:highlight w:val="none"/>
                <w:lang w:val="en-US" w:eastAsia="zh-CN"/>
              </w:rPr>
              <w:t>220kV变电站原</w:t>
            </w:r>
            <w:r>
              <w:rPr>
                <w:rFonts w:hint="eastAsia" w:ascii="Times New Roman" w:hAnsi="Times New Roman"/>
                <w:bCs/>
                <w:color w:val="auto"/>
                <w:sz w:val="24"/>
                <w:szCs w:val="24"/>
                <w:highlight w:val="none"/>
              </w:rPr>
              <w:t>《重庆市建设项目环境保护批准书》（</w:t>
            </w:r>
            <w:r>
              <w:rPr>
                <w:rFonts w:hint="eastAsia" w:ascii="Times New Roman" w:hAnsi="Times New Roman"/>
                <w:color w:val="auto"/>
                <w:sz w:val="24"/>
                <w:szCs w:val="24"/>
                <w:highlight w:val="none"/>
              </w:rPr>
              <w:t>渝（辐）环准〔</w:t>
            </w:r>
            <w:r>
              <w:rPr>
                <w:rFonts w:ascii="Times New Roman" w:hAnsi="Times New Roman"/>
                <w:color w:val="auto"/>
                <w:sz w:val="24"/>
                <w:szCs w:val="24"/>
                <w:highlight w:val="none"/>
              </w:rPr>
              <w:t>2015</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18</w:t>
            </w:r>
            <w:r>
              <w:rPr>
                <w:rFonts w:hint="eastAsia" w:ascii="Times New Roman" w:hAnsi="Times New Roman"/>
                <w:color w:val="auto"/>
                <w:sz w:val="24"/>
                <w:szCs w:val="24"/>
                <w:highlight w:val="none"/>
              </w:rPr>
              <w:t>号</w:t>
            </w:r>
            <w:r>
              <w:rPr>
                <w:rFonts w:hint="eastAsia" w:ascii="Times New Roman" w:hAnsi="Times New Roman"/>
                <w:bCs/>
                <w:color w:val="auto"/>
                <w:sz w:val="24"/>
                <w:szCs w:val="24"/>
                <w:highlight w:val="none"/>
              </w:rPr>
              <w:t>），</w:t>
            </w:r>
            <w:r>
              <w:rPr>
                <w:rFonts w:hint="eastAsia" w:ascii="Times New Roman" w:hAnsi="Times New Roman"/>
                <w:bCs/>
                <w:color w:val="auto"/>
                <w:sz w:val="24"/>
                <w:szCs w:val="24"/>
                <w:highlight w:val="none"/>
                <w:lang w:eastAsia="zh-CN"/>
              </w:rPr>
              <w:t>变电站扩建间隔侧厂界噪声执行</w:t>
            </w:r>
            <w:r>
              <w:rPr>
                <w:rFonts w:hint="eastAsia" w:ascii="Times New Roman" w:hAnsi="Times New Roman" w:cs="Times New Roman"/>
                <w:bCs/>
                <w:color w:val="auto"/>
                <w:sz w:val="24"/>
                <w:szCs w:val="24"/>
                <w:highlight w:val="none"/>
              </w:rPr>
              <w:t>《工业企业厂界环境噪声排放标准》（GB12348-2008）2类标准</w:t>
            </w:r>
            <w:r>
              <w:rPr>
                <w:rFonts w:hint="eastAsia" w:ascii="Times New Roman" w:hAnsi="Times New Roman" w:cs="Times New Roman"/>
                <w:bCs/>
                <w:color w:val="auto"/>
                <w:sz w:val="24"/>
                <w:szCs w:val="24"/>
                <w:highlight w:val="none"/>
                <w:lang w:eastAsia="zh-CN"/>
              </w:rPr>
              <w:t>。</w:t>
            </w:r>
          </w:p>
          <w:p>
            <w:pPr>
              <w:pStyle w:val="90"/>
              <w:tabs>
                <w:tab w:val="left" w:pos="309"/>
                <w:tab w:val="left" w:pos="515"/>
              </w:tabs>
              <w:adjustRightInd w:val="0"/>
              <w:snapToGrid w:val="0"/>
              <w:spacing w:line="360" w:lineRule="auto"/>
              <w:ind w:firstLine="482" w:firstLineChars="200"/>
              <w:jc w:val="left"/>
              <w:rPr>
                <w:rFonts w:ascii="Times New Roman" w:hAnsi="Times New Roman" w:cs="Times New Roman" w:eastAsiaTheme="minorEastAsia"/>
                <w:b/>
                <w:color w:val="auto"/>
                <w:sz w:val="24"/>
                <w:highlight w:val="none"/>
              </w:rPr>
            </w:pPr>
            <w:r>
              <w:rPr>
                <w:rFonts w:hint="eastAsia" w:ascii="Times New Roman" w:hAnsi="Times New Roman" w:cs="Times New Roman" w:eastAsiaTheme="minorEastAsia"/>
                <w:b/>
                <w:color w:val="auto"/>
                <w:sz w:val="24"/>
                <w:highlight w:val="none"/>
              </w:rPr>
              <w:t>（</w:t>
            </w:r>
            <w:r>
              <w:rPr>
                <w:rFonts w:ascii="Times New Roman" w:hAnsi="Times New Roman" w:cs="Times New Roman" w:eastAsiaTheme="minorEastAsia"/>
                <w:b/>
                <w:color w:val="auto"/>
                <w:sz w:val="24"/>
                <w:highlight w:val="none"/>
              </w:rPr>
              <w:t>2</w:t>
            </w:r>
            <w:r>
              <w:rPr>
                <w:rFonts w:hint="eastAsia" w:ascii="Times New Roman" w:hAnsi="Times New Roman" w:cs="Times New Roman" w:eastAsiaTheme="minorEastAsia"/>
                <w:b/>
                <w:color w:val="auto"/>
                <w:sz w:val="24"/>
                <w:highlight w:val="none"/>
              </w:rPr>
              <w:t>）监测布点</w:t>
            </w:r>
          </w:p>
          <w:p>
            <w:pPr>
              <w:pStyle w:val="36"/>
              <w:snapToGrid w:val="0"/>
              <w:spacing w:line="360" w:lineRule="auto"/>
              <w:ind w:firstLine="480" w:firstLineChars="200"/>
              <w:rPr>
                <w:rFonts w:hint="default" w:ascii="Times New Roman" w:hAnsi="Times New Roman" w:eastAsiaTheme="minorEastAsia"/>
                <w:b w:val="0"/>
                <w:bCs/>
                <w:color w:val="auto"/>
                <w:highlight w:val="none"/>
              </w:rPr>
            </w:pPr>
            <w:r>
              <w:rPr>
                <w:rFonts w:ascii="Times New Roman" w:eastAsiaTheme="minorEastAsia"/>
                <w:b w:val="0"/>
                <w:bCs/>
                <w:color w:val="auto"/>
                <w:highlight w:val="none"/>
              </w:rPr>
              <w:t>本</w:t>
            </w:r>
            <w:r>
              <w:rPr>
                <w:rFonts w:hint="default" w:ascii="Times New Roman" w:hAnsi="Times New Roman" w:eastAsiaTheme="minorEastAsia"/>
                <w:b w:val="0"/>
                <w:bCs/>
                <w:color w:val="auto"/>
                <w:highlight w:val="none"/>
              </w:rPr>
              <w:t>项目</w:t>
            </w:r>
            <w:r>
              <w:rPr>
                <w:rFonts w:hint="eastAsia" w:ascii="Times New Roman" w:hAnsi="Times New Roman"/>
                <w:b w:val="0"/>
                <w:bCs/>
                <w:color w:val="auto"/>
                <w:highlight w:val="none"/>
                <w:lang w:eastAsia="zh-CN"/>
              </w:rPr>
              <w:t>变电站</w:t>
            </w:r>
            <w:r>
              <w:rPr>
                <w:rFonts w:hint="default" w:ascii="Times New Roman" w:hAnsi="Times New Roman"/>
                <w:b w:val="0"/>
                <w:bCs/>
                <w:color w:val="auto"/>
                <w:highlight w:val="none"/>
              </w:rPr>
              <w:t>及</w:t>
            </w:r>
            <w:r>
              <w:rPr>
                <w:rFonts w:hint="eastAsia" w:ascii="Times New Roman" w:hAnsi="Times New Roman"/>
                <w:b w:val="0"/>
                <w:bCs/>
                <w:color w:val="auto"/>
                <w:highlight w:val="none"/>
                <w:lang w:eastAsia="zh-CN"/>
              </w:rPr>
              <w:t>线路沿线目前均属于农村区域</w:t>
            </w:r>
            <w:r>
              <w:rPr>
                <w:b w:val="0"/>
                <w:bCs/>
                <w:color w:val="auto"/>
                <w:highlight w:val="none"/>
              </w:rPr>
              <w:t>，</w:t>
            </w:r>
            <w:r>
              <w:rPr>
                <w:rFonts w:ascii="Times New Roman" w:eastAsiaTheme="minorEastAsia"/>
                <w:b w:val="0"/>
                <w:bCs/>
                <w:color w:val="auto"/>
                <w:highlight w:val="none"/>
              </w:rPr>
              <w:t>以乡村自然环境为主，评价范围内无较大噪声污染源。本次环评通过实测了解拟建</w:t>
            </w:r>
            <w:r>
              <w:rPr>
                <w:rFonts w:hint="eastAsia" w:ascii="Times New Roman" w:eastAsiaTheme="minorEastAsia"/>
                <w:b w:val="0"/>
                <w:bCs/>
                <w:color w:val="auto"/>
                <w:highlight w:val="none"/>
                <w:lang w:val="en-US" w:eastAsia="zh-CN"/>
              </w:rPr>
              <w:t>11</w:t>
            </w:r>
            <w:r>
              <w:rPr>
                <w:rFonts w:ascii="Times New Roman" w:eastAsiaTheme="minorEastAsia"/>
                <w:b w:val="0"/>
                <w:bCs/>
                <w:color w:val="auto"/>
                <w:highlight w:val="none"/>
              </w:rPr>
              <w:t>0kV输变电项目评价范围内声环境质量现状，重庆泓天环境监测有限公司于202</w:t>
            </w:r>
            <w:r>
              <w:rPr>
                <w:rFonts w:hint="eastAsia" w:ascii="Times New Roman" w:eastAsiaTheme="minorEastAsia"/>
                <w:b w:val="0"/>
                <w:bCs/>
                <w:color w:val="auto"/>
                <w:highlight w:val="none"/>
                <w:lang w:val="en-US" w:eastAsia="zh-CN"/>
              </w:rPr>
              <w:t>3</w:t>
            </w:r>
            <w:r>
              <w:rPr>
                <w:rFonts w:ascii="Times New Roman" w:eastAsiaTheme="minorEastAsia"/>
                <w:b w:val="0"/>
                <w:bCs/>
                <w:color w:val="auto"/>
                <w:highlight w:val="none"/>
              </w:rPr>
              <w:t>年</w:t>
            </w:r>
            <w:r>
              <w:rPr>
                <w:rFonts w:hint="eastAsia" w:ascii="Times New Roman" w:eastAsiaTheme="minorEastAsia"/>
                <w:b w:val="0"/>
                <w:bCs/>
                <w:color w:val="auto"/>
                <w:highlight w:val="none"/>
                <w:lang w:val="en-US" w:eastAsia="zh-CN"/>
              </w:rPr>
              <w:t>10</w:t>
            </w:r>
            <w:r>
              <w:rPr>
                <w:rFonts w:ascii="Times New Roman" w:eastAsiaTheme="minorEastAsia"/>
                <w:b w:val="0"/>
                <w:bCs/>
                <w:color w:val="auto"/>
                <w:highlight w:val="none"/>
              </w:rPr>
              <w:t>月</w:t>
            </w:r>
            <w:r>
              <w:rPr>
                <w:rFonts w:hint="eastAsia" w:ascii="Times New Roman" w:eastAsiaTheme="minorEastAsia"/>
                <w:b w:val="0"/>
                <w:bCs/>
                <w:color w:val="auto"/>
                <w:highlight w:val="none"/>
                <w:lang w:val="en-US" w:eastAsia="zh-CN"/>
              </w:rPr>
              <w:t>8</w:t>
            </w:r>
            <w:r>
              <w:rPr>
                <w:rFonts w:ascii="Times New Roman" w:eastAsiaTheme="minorEastAsia"/>
                <w:b w:val="0"/>
                <w:bCs/>
                <w:color w:val="auto"/>
                <w:highlight w:val="none"/>
              </w:rPr>
              <w:t>日对项目进行了声环境的监测（见附件5，渝泓环（监）</w:t>
            </w:r>
            <w:r>
              <w:rPr>
                <w:rFonts w:hint="eastAsia" w:ascii="Times New Roman" w:eastAsiaTheme="minorEastAsia"/>
                <w:b w:val="0"/>
                <w:bCs/>
                <w:color w:val="auto"/>
                <w:highlight w:val="none"/>
                <w:lang w:eastAsia="zh-CN"/>
              </w:rPr>
              <w:t>[2023]849号</w:t>
            </w:r>
            <w:r>
              <w:rPr>
                <w:rFonts w:ascii="Times New Roman" w:eastAsiaTheme="minorEastAsia"/>
                <w:b w:val="0"/>
                <w:bCs/>
                <w:color w:val="auto"/>
                <w:highlight w:val="none"/>
              </w:rPr>
              <w:t>）。监测点位选取原则参照HJ 2.4-2021及HJ24-2020进行，</w:t>
            </w:r>
            <w:r>
              <w:rPr>
                <w:rFonts w:ascii="Times New Roman" w:hAnsi="Times New Roman"/>
                <w:b w:val="0"/>
                <w:bCs/>
                <w:color w:val="auto"/>
                <w:highlight w:val="none"/>
              </w:rPr>
              <w:t>共布设</w:t>
            </w:r>
            <w:r>
              <w:rPr>
                <w:rFonts w:hint="eastAsia" w:ascii="Times New Roman" w:hAnsi="Times New Roman"/>
                <w:b w:val="0"/>
                <w:bCs/>
                <w:color w:val="auto"/>
                <w:highlight w:val="none"/>
                <w:lang w:val="en-US" w:eastAsia="zh-CN"/>
              </w:rPr>
              <w:t>13</w:t>
            </w:r>
            <w:r>
              <w:rPr>
                <w:rFonts w:ascii="Times New Roman" w:hAnsi="Times New Roman"/>
                <w:b w:val="0"/>
                <w:bCs/>
                <w:color w:val="auto"/>
                <w:highlight w:val="none"/>
              </w:rPr>
              <w:t>个声环境监测点位。声环境监测点位布置及代表情况见表3-2，</w:t>
            </w:r>
            <w:r>
              <w:rPr>
                <w:rFonts w:ascii="Times New Roman" w:eastAsiaTheme="minorEastAsia"/>
                <w:b w:val="0"/>
                <w:bCs/>
                <w:color w:val="auto"/>
                <w:highlight w:val="none"/>
              </w:rPr>
              <w:t>监测布点图见附图</w:t>
            </w:r>
            <w:r>
              <w:rPr>
                <w:rFonts w:hint="eastAsia" w:ascii="Times New Roman" w:eastAsiaTheme="minorEastAsia"/>
                <w:b w:val="0"/>
                <w:bCs/>
                <w:color w:val="auto"/>
                <w:highlight w:val="none"/>
                <w:lang w:val="en-US" w:eastAsia="zh-CN"/>
              </w:rPr>
              <w:t>8</w:t>
            </w:r>
            <w:r>
              <w:rPr>
                <w:rFonts w:ascii="Times New Roman" w:eastAsiaTheme="minorEastAsia"/>
                <w:b w:val="0"/>
                <w:bCs/>
                <w:color w:val="auto"/>
                <w:highlight w:val="none"/>
              </w:rPr>
              <w:t>。</w:t>
            </w:r>
          </w:p>
          <w:p>
            <w:pPr>
              <w:adjustRightInd w:val="0"/>
              <w:snapToGrid w:val="0"/>
              <w:jc w:val="center"/>
              <w:rPr>
                <w:rFonts w:eastAsiaTheme="minorEastAsia"/>
                <w:b/>
                <w:bCs/>
                <w:color w:val="auto"/>
                <w:sz w:val="24"/>
                <w:highlight w:val="none"/>
              </w:rPr>
            </w:pPr>
            <w:bookmarkStart w:id="10" w:name="_Hlk82450358"/>
            <w:r>
              <w:rPr>
                <w:rFonts w:hint="eastAsia"/>
                <w:b/>
                <w:bCs/>
                <w:color w:val="auto"/>
                <w:sz w:val="24"/>
                <w:highlight w:val="none"/>
              </w:rPr>
              <w:t>表</w:t>
            </w:r>
            <w:r>
              <w:rPr>
                <w:b/>
                <w:bCs/>
                <w:color w:val="auto"/>
                <w:sz w:val="24"/>
                <w:highlight w:val="none"/>
              </w:rPr>
              <w:t xml:space="preserve">3-2  </w:t>
            </w:r>
            <w:r>
              <w:rPr>
                <w:rFonts w:hint="eastAsia"/>
                <w:b/>
                <w:bCs/>
                <w:color w:val="auto"/>
                <w:sz w:val="24"/>
                <w:highlight w:val="none"/>
              </w:rPr>
              <w:t>声环境监测点位代表性分析</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3961"/>
              <w:gridCol w:w="737"/>
              <w:gridCol w:w="988"/>
              <w:gridCol w:w="14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78" w:type="pct"/>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点位</w:t>
                  </w:r>
                </w:p>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编号</w:t>
                  </w:r>
                </w:p>
              </w:tc>
              <w:tc>
                <w:tcPr>
                  <w:tcW w:w="2521" w:type="pct"/>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点位描述</w:t>
                  </w:r>
                </w:p>
              </w:tc>
              <w:tc>
                <w:tcPr>
                  <w:tcW w:w="1999" w:type="pct"/>
                  <w:gridSpan w:val="3"/>
                  <w:tcBorders>
                    <w:tl2br w:val="nil"/>
                    <w:tr2bl w:val="nil"/>
                  </w:tcBorders>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代表性分析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78" w:type="pct"/>
                  <w:vMerge w:val="continue"/>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p>
              </w:tc>
              <w:tc>
                <w:tcPr>
                  <w:tcW w:w="2521" w:type="pct"/>
                  <w:vMerge w:val="continue"/>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p>
              </w:tc>
              <w:tc>
                <w:tcPr>
                  <w:tcW w:w="469" w:type="pct"/>
                  <w:tcBorders>
                    <w:tl2br w:val="nil"/>
                    <w:tr2bl w:val="nil"/>
                  </w:tcBorders>
                  <w:vAlign w:val="center"/>
                </w:tcPr>
                <w:p>
                  <w:pPr>
                    <w:adjustRightInd w:val="0"/>
                    <w:snapToGrid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所在</w:t>
                  </w:r>
                </w:p>
                <w:p>
                  <w:pPr>
                    <w:adjustRightInd w:val="0"/>
                    <w:snapToGrid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位置</w:t>
                  </w:r>
                </w:p>
              </w:tc>
              <w:tc>
                <w:tcPr>
                  <w:tcW w:w="629"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包夹或跨越情况</w:t>
                  </w:r>
                </w:p>
              </w:tc>
              <w:tc>
                <w:tcPr>
                  <w:tcW w:w="90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78" w:type="pct"/>
                  <w:tcBorders>
                    <w:tl2br w:val="nil"/>
                    <w:tr2bl w:val="nil"/>
                  </w:tcBorders>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2521" w:type="pct"/>
                  <w:tcBorders>
                    <w:tl2br w:val="nil"/>
                    <w:tr2bl w:val="nil"/>
                  </w:tcBorders>
                  <w:vAlign w:val="center"/>
                </w:tcPr>
                <w:p>
                  <w:pPr>
                    <w:widowControl/>
                    <w:spacing w:line="240" w:lineRule="auto"/>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spacing w:val="-2"/>
                      <w:sz w:val="21"/>
                      <w:szCs w:val="21"/>
                      <w:highlight w:val="none"/>
                    </w:rPr>
                    <w:t>环境噪声监测点位于铜梁区二坪镇红庙村12社赵生玉家旁（国网全德220kV变电站南侧），距110kV德永南线边导线水平约26.2m，与近地导线高差约13.2m，距民房外墙1.0m，距变电站厂界约56.9m。</w:t>
                  </w:r>
                </w:p>
              </w:tc>
              <w:tc>
                <w:tcPr>
                  <w:tcW w:w="469" w:type="pct"/>
                  <w:tcBorders>
                    <w:tl2br w:val="nil"/>
                    <w:tr2bl w:val="nil"/>
                  </w:tcBorders>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二坪镇</w:t>
                  </w:r>
                </w:p>
              </w:tc>
              <w:tc>
                <w:tcPr>
                  <w:tcW w:w="629"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pacing w:val="-2"/>
                      <w:sz w:val="21"/>
                      <w:szCs w:val="21"/>
                      <w:highlight w:val="none"/>
                      <w:lang w:eastAsia="zh-CN"/>
                    </w:rPr>
                    <w:t>与</w:t>
                  </w:r>
                  <w:r>
                    <w:rPr>
                      <w:rFonts w:hint="default" w:ascii="Times New Roman" w:hAnsi="Times New Roman" w:cs="Times New Roman"/>
                      <w:color w:val="auto"/>
                      <w:spacing w:val="-2"/>
                      <w:sz w:val="21"/>
                      <w:szCs w:val="21"/>
                      <w:highlight w:val="none"/>
                    </w:rPr>
                    <w:t>110kV德永南线</w:t>
                  </w:r>
                  <w:r>
                    <w:rPr>
                      <w:rFonts w:hint="default" w:ascii="Times New Roman" w:hAnsi="Times New Roman" w:cs="Times New Roman"/>
                      <w:color w:val="auto"/>
                      <w:spacing w:val="-2"/>
                      <w:sz w:val="21"/>
                      <w:szCs w:val="21"/>
                      <w:highlight w:val="none"/>
                      <w:lang w:eastAsia="zh-CN"/>
                    </w:rPr>
                    <w:t>包夹</w:t>
                  </w:r>
                </w:p>
              </w:tc>
              <w:tc>
                <w:tcPr>
                  <w:tcW w:w="90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现状值</w:t>
                  </w:r>
                  <w:r>
                    <w:rPr>
                      <w:rFonts w:hint="default" w:ascii="Times New Roman" w:hAnsi="Times New Roman" w:cs="Times New Roman"/>
                      <w:color w:val="auto"/>
                      <w:sz w:val="21"/>
                      <w:szCs w:val="21"/>
                      <w:highlight w:val="none"/>
                    </w:rPr>
                    <w:t>（1类）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78" w:type="pct"/>
                  <w:tcBorders>
                    <w:tl2br w:val="nil"/>
                    <w:tr2bl w:val="nil"/>
                  </w:tcBorders>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w:t>
                  </w:r>
                </w:p>
              </w:tc>
              <w:tc>
                <w:tcPr>
                  <w:tcW w:w="2521" w:type="pct"/>
                  <w:tcBorders>
                    <w:tl2br w:val="nil"/>
                    <w:tr2bl w:val="nil"/>
                  </w:tcBorders>
                  <w:vAlign w:val="center"/>
                </w:tcPr>
                <w:p>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环境噪声监测点位于铜梁区</w:t>
                  </w:r>
                  <w:r>
                    <w:rPr>
                      <w:rFonts w:hint="eastAsia" w:cs="Times New Roman"/>
                      <w:color w:val="auto"/>
                      <w:sz w:val="21"/>
                      <w:szCs w:val="21"/>
                      <w:highlight w:val="none"/>
                      <w:lang w:eastAsia="zh-CN"/>
                    </w:rPr>
                    <w:t>东城街道</w:t>
                  </w:r>
                  <w:r>
                    <w:rPr>
                      <w:rFonts w:hint="default" w:ascii="Times New Roman" w:hAnsi="Times New Roman" w:cs="Times New Roman"/>
                      <w:color w:val="auto"/>
                      <w:sz w:val="21"/>
                      <w:szCs w:val="21"/>
                      <w:highlight w:val="none"/>
                    </w:rPr>
                    <w:t>飞凤村6社罗建金家旁，距民房外墙1.0m。</w:t>
                  </w:r>
                </w:p>
              </w:tc>
              <w:tc>
                <w:tcPr>
                  <w:tcW w:w="469" w:type="pct"/>
                  <w:tcBorders>
                    <w:tl2br w:val="nil"/>
                    <w:tr2bl w:val="nil"/>
                  </w:tcBorders>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东城街道</w:t>
                  </w:r>
                </w:p>
              </w:tc>
              <w:tc>
                <w:tcPr>
                  <w:tcW w:w="629"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90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背景值（1类）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78" w:type="pct"/>
                  <w:tcBorders>
                    <w:tl2br w:val="nil"/>
                    <w:tr2bl w:val="nil"/>
                  </w:tcBorders>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△3</w:t>
                  </w:r>
                </w:p>
              </w:tc>
              <w:tc>
                <w:tcPr>
                  <w:tcW w:w="2521" w:type="pct"/>
                  <w:tcBorders>
                    <w:tl2br w:val="nil"/>
                    <w:tr2bl w:val="nil"/>
                  </w:tcBorders>
                  <w:vAlign w:val="center"/>
                </w:tcPr>
                <w:p>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环境噪声监测点位于铜梁区蒲吕街道沙心村4组付显洪家旁，距民房外墙1.0m。</w:t>
                  </w:r>
                </w:p>
              </w:tc>
              <w:tc>
                <w:tcPr>
                  <w:tcW w:w="469" w:type="pct"/>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蒲吕街道</w:t>
                  </w:r>
                </w:p>
              </w:tc>
              <w:tc>
                <w:tcPr>
                  <w:tcW w:w="629" w:type="pct"/>
                  <w:tcBorders>
                    <w:tl2br w:val="nil"/>
                    <w:tr2bl w:val="nil"/>
                  </w:tcBorders>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90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背景值（1类）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78" w:type="pct"/>
                  <w:tcBorders>
                    <w:tl2br w:val="nil"/>
                    <w:tr2bl w:val="nil"/>
                  </w:tcBorders>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△4</w:t>
                  </w:r>
                </w:p>
              </w:tc>
              <w:tc>
                <w:tcPr>
                  <w:tcW w:w="2521" w:type="pct"/>
                  <w:tcBorders>
                    <w:tl2br w:val="nil"/>
                    <w:tr2bl w:val="nil"/>
                  </w:tcBorders>
                  <w:vAlign w:val="center"/>
                </w:tcPr>
                <w:p>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环境噪声监测点位于铜梁区蒲吕街道沙心村10组民房旁，距民房外墙1.0m。</w:t>
                  </w:r>
                </w:p>
              </w:tc>
              <w:tc>
                <w:tcPr>
                  <w:tcW w:w="469" w:type="pct"/>
                  <w:vMerge w:val="continue"/>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p>
              </w:tc>
              <w:tc>
                <w:tcPr>
                  <w:tcW w:w="629" w:type="pct"/>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90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背景值（</w:t>
                  </w:r>
                  <w:r>
                    <w:rPr>
                      <w:rFonts w:hint="default" w:ascii="Times New Roman" w:hAnsi="Times New Roman" w:cs="Times New Roman"/>
                      <w:color w:val="auto"/>
                      <w:sz w:val="21"/>
                      <w:szCs w:val="21"/>
                      <w:highlight w:val="none"/>
                      <w:lang w:val="en-US" w:eastAsia="zh-CN"/>
                    </w:rPr>
                    <w:t>4a</w:t>
                  </w:r>
                  <w:r>
                    <w:rPr>
                      <w:rFonts w:hint="default" w:ascii="Times New Roman" w:hAnsi="Times New Roman" w:cs="Times New Roman"/>
                      <w:color w:val="auto"/>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78" w:type="pct"/>
                  <w:tcBorders>
                    <w:tl2br w:val="nil"/>
                    <w:tr2bl w:val="nil"/>
                  </w:tcBorders>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△5</w:t>
                  </w:r>
                </w:p>
              </w:tc>
              <w:tc>
                <w:tcPr>
                  <w:tcW w:w="2521" w:type="pct"/>
                  <w:tcBorders>
                    <w:tl2br w:val="nil"/>
                    <w:tr2bl w:val="nil"/>
                  </w:tcBorders>
                  <w:vAlign w:val="center"/>
                </w:tcPr>
                <w:p>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环境噪声监测点位于铜梁区蒲吕街道沙心村5组陈云锋家旁，距民房外墙1.0m。</w:t>
                  </w:r>
                </w:p>
              </w:tc>
              <w:tc>
                <w:tcPr>
                  <w:tcW w:w="469" w:type="pct"/>
                  <w:vMerge w:val="continue"/>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p>
              </w:tc>
              <w:tc>
                <w:tcPr>
                  <w:tcW w:w="629" w:type="pct"/>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90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背景值（1类）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78" w:type="pct"/>
                  <w:tcBorders>
                    <w:tl2br w:val="nil"/>
                    <w:tr2bl w:val="nil"/>
                  </w:tcBorders>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△6</w:t>
                  </w:r>
                </w:p>
              </w:tc>
              <w:tc>
                <w:tcPr>
                  <w:tcW w:w="2521" w:type="pct"/>
                  <w:tcBorders>
                    <w:tl2br w:val="nil"/>
                    <w:tr2bl w:val="nil"/>
                  </w:tcBorders>
                  <w:vAlign w:val="center"/>
                </w:tcPr>
                <w:p>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环境噪声监测点位于铜梁区蒲吕街道沙心村吴春虎家旁，距活动板房1.0m。</w:t>
                  </w:r>
                </w:p>
              </w:tc>
              <w:tc>
                <w:tcPr>
                  <w:tcW w:w="469" w:type="pct"/>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p>
              </w:tc>
              <w:tc>
                <w:tcPr>
                  <w:tcW w:w="629" w:type="pct"/>
                  <w:tcBorders>
                    <w:tl2br w:val="nil"/>
                    <w:tr2bl w:val="nil"/>
                  </w:tcBorders>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90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背景值（</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78" w:type="pct"/>
                  <w:tcBorders>
                    <w:tl2br w:val="nil"/>
                    <w:tr2bl w:val="nil"/>
                  </w:tcBorders>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△7</w:t>
                  </w:r>
                </w:p>
              </w:tc>
              <w:tc>
                <w:tcPr>
                  <w:tcW w:w="2521" w:type="pct"/>
                  <w:tcBorders>
                    <w:tl2br w:val="nil"/>
                    <w:tr2bl w:val="nil"/>
                  </w:tcBorders>
                  <w:vAlign w:val="center"/>
                </w:tcPr>
                <w:p>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环境噪声监测点位于铜梁区蒲吕街道龙桥村13组李洪金家院坝，距民房外墙1.0m。</w:t>
                  </w:r>
                </w:p>
              </w:tc>
              <w:tc>
                <w:tcPr>
                  <w:tcW w:w="469" w:type="pct"/>
                  <w:vMerge w:val="continue"/>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p>
              </w:tc>
              <w:tc>
                <w:tcPr>
                  <w:tcW w:w="629" w:type="pct"/>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90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背景值（</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78" w:type="pct"/>
                  <w:tcBorders>
                    <w:tl2br w:val="nil"/>
                    <w:tr2bl w:val="nil"/>
                  </w:tcBorders>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△8</w:t>
                  </w:r>
                </w:p>
              </w:tc>
              <w:tc>
                <w:tcPr>
                  <w:tcW w:w="2521" w:type="pct"/>
                  <w:tcBorders>
                    <w:tl2br w:val="nil"/>
                    <w:tr2bl w:val="nil"/>
                  </w:tcBorders>
                  <w:vAlign w:val="center"/>
                </w:tcPr>
                <w:p>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环境噪声监测点位于铜梁区蒲吕街道沙心村何永明家院坝，距民房外墙1.0m。</w:t>
                  </w:r>
                </w:p>
              </w:tc>
              <w:tc>
                <w:tcPr>
                  <w:tcW w:w="469" w:type="pct"/>
                  <w:vMerge w:val="continue"/>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p>
              </w:tc>
              <w:tc>
                <w:tcPr>
                  <w:tcW w:w="629" w:type="pct"/>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90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背景值（</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78" w:type="pct"/>
                  <w:tcBorders>
                    <w:tl2br w:val="nil"/>
                    <w:tr2bl w:val="nil"/>
                  </w:tcBorders>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△9</w:t>
                  </w:r>
                </w:p>
              </w:tc>
              <w:tc>
                <w:tcPr>
                  <w:tcW w:w="2521" w:type="pct"/>
                  <w:tcBorders>
                    <w:tl2br w:val="nil"/>
                    <w:tr2bl w:val="nil"/>
                  </w:tcBorders>
                  <w:vAlign w:val="center"/>
                </w:tcPr>
                <w:p>
                  <w:pPr>
                    <w:widowControl/>
                    <w:spacing w:line="240" w:lineRule="auto"/>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spacing w:val="-2"/>
                      <w:sz w:val="21"/>
                      <w:szCs w:val="21"/>
                      <w:highlight w:val="none"/>
                    </w:rPr>
                    <w:t>环境噪声监测点位于拟建淮阳110kV变电站西南侧厂界。</w:t>
                  </w:r>
                </w:p>
              </w:tc>
              <w:tc>
                <w:tcPr>
                  <w:tcW w:w="469" w:type="pct"/>
                  <w:vMerge w:val="continue"/>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p>
              </w:tc>
              <w:tc>
                <w:tcPr>
                  <w:tcW w:w="629" w:type="pct"/>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90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背景值（</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78" w:type="pct"/>
                  <w:tcBorders>
                    <w:tl2br w:val="nil"/>
                    <w:tr2bl w:val="nil"/>
                  </w:tcBorders>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△10</w:t>
                  </w:r>
                </w:p>
              </w:tc>
              <w:tc>
                <w:tcPr>
                  <w:tcW w:w="2521" w:type="pct"/>
                  <w:tcBorders>
                    <w:tl2br w:val="nil"/>
                    <w:tr2bl w:val="nil"/>
                  </w:tcBorders>
                  <w:vAlign w:val="center"/>
                </w:tcPr>
                <w:p>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2"/>
                      <w:sz w:val="21"/>
                      <w:szCs w:val="21"/>
                      <w:highlight w:val="none"/>
                    </w:rPr>
                    <w:t>环境噪声监测点位于拟建淮阳110kV变电站东南侧厂界。</w:t>
                  </w:r>
                </w:p>
              </w:tc>
              <w:tc>
                <w:tcPr>
                  <w:tcW w:w="469" w:type="pct"/>
                  <w:vMerge w:val="continue"/>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p>
              </w:tc>
              <w:tc>
                <w:tcPr>
                  <w:tcW w:w="629" w:type="pct"/>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90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背景值（</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78" w:type="pct"/>
                  <w:tcBorders>
                    <w:tl2br w:val="nil"/>
                    <w:tr2bl w:val="nil"/>
                  </w:tcBorders>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△11</w:t>
                  </w:r>
                </w:p>
              </w:tc>
              <w:tc>
                <w:tcPr>
                  <w:tcW w:w="2521" w:type="pct"/>
                  <w:tcBorders>
                    <w:tl2br w:val="nil"/>
                    <w:tr2bl w:val="nil"/>
                  </w:tcBorders>
                  <w:vAlign w:val="center"/>
                </w:tcPr>
                <w:p>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2"/>
                      <w:sz w:val="21"/>
                      <w:szCs w:val="21"/>
                      <w:highlight w:val="none"/>
                    </w:rPr>
                    <w:t>环境噪声监测点位于拟建淮阳110kV变电站东北侧厂界。</w:t>
                  </w:r>
                </w:p>
              </w:tc>
              <w:tc>
                <w:tcPr>
                  <w:tcW w:w="469" w:type="pct"/>
                  <w:vMerge w:val="continue"/>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p>
              </w:tc>
              <w:tc>
                <w:tcPr>
                  <w:tcW w:w="629" w:type="pct"/>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90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背景值（</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78" w:type="pct"/>
                  <w:tcBorders>
                    <w:tl2br w:val="nil"/>
                    <w:tr2bl w:val="nil"/>
                  </w:tcBorders>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△12</w:t>
                  </w:r>
                </w:p>
              </w:tc>
              <w:tc>
                <w:tcPr>
                  <w:tcW w:w="2521" w:type="pct"/>
                  <w:tcBorders>
                    <w:tl2br w:val="nil"/>
                    <w:tr2bl w:val="nil"/>
                  </w:tcBorders>
                  <w:vAlign w:val="center"/>
                </w:tcPr>
                <w:p>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2"/>
                      <w:sz w:val="21"/>
                      <w:szCs w:val="21"/>
                      <w:highlight w:val="none"/>
                    </w:rPr>
                    <w:t>环境噪声监测点位于拟建淮阳110kV变电站西北侧厂界。</w:t>
                  </w:r>
                </w:p>
              </w:tc>
              <w:tc>
                <w:tcPr>
                  <w:tcW w:w="469" w:type="pct"/>
                  <w:vMerge w:val="continue"/>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p>
              </w:tc>
              <w:tc>
                <w:tcPr>
                  <w:tcW w:w="629" w:type="pct"/>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90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背景值（</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78" w:type="pct"/>
                  <w:tcBorders>
                    <w:tl2br w:val="nil"/>
                    <w:tr2bl w:val="nil"/>
                  </w:tcBorders>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△13</w:t>
                  </w:r>
                </w:p>
              </w:tc>
              <w:tc>
                <w:tcPr>
                  <w:tcW w:w="2521" w:type="pct"/>
                  <w:tcBorders>
                    <w:tl2br w:val="nil"/>
                    <w:tr2bl w:val="nil"/>
                  </w:tcBorders>
                  <w:vAlign w:val="center"/>
                </w:tcPr>
                <w:p>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环境噪声监测点位于铜梁区蒲吕街道沙心村张才贤家院坝，距民房外墙1.0m。</w:t>
                  </w:r>
                </w:p>
              </w:tc>
              <w:tc>
                <w:tcPr>
                  <w:tcW w:w="469" w:type="pct"/>
                  <w:vMerge w:val="continue"/>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p>
              </w:tc>
              <w:tc>
                <w:tcPr>
                  <w:tcW w:w="629" w:type="pct"/>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90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背景值（1类）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78" w:type="pct"/>
                  <w:tcBorders>
                    <w:tl2br w:val="nil"/>
                    <w:tr2bl w:val="nil"/>
                  </w:tcBorders>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521" w:type="pct"/>
                  <w:tcBorders>
                    <w:tl2br w:val="nil"/>
                    <w:tr2bl w:val="nil"/>
                  </w:tcBorders>
                  <w:vAlign w:val="center"/>
                </w:tcPr>
                <w:p>
                  <w:pPr>
                    <w:widowControl/>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厂界环境噪声监测点距</w:t>
                  </w:r>
                  <w:r>
                    <w:rPr>
                      <w:rFonts w:hint="default" w:ascii="Times New Roman" w:hAnsi="Times New Roman" w:cs="Times New Roman"/>
                      <w:color w:val="auto"/>
                      <w:sz w:val="21"/>
                      <w:szCs w:val="21"/>
                      <w:highlight w:val="none"/>
                      <w:lang w:val="en-US" w:eastAsia="zh-CN"/>
                    </w:rPr>
                    <w:t>220kV全德</w:t>
                  </w:r>
                  <w:r>
                    <w:rPr>
                      <w:rFonts w:hint="default" w:ascii="Times New Roman" w:hAnsi="Times New Roman" w:cs="Times New Roman"/>
                      <w:color w:val="auto"/>
                      <w:sz w:val="21"/>
                      <w:szCs w:val="21"/>
                      <w:highlight w:val="none"/>
                    </w:rPr>
                    <w:t>变电站</w:t>
                  </w:r>
                  <w:r>
                    <w:rPr>
                      <w:rFonts w:hint="default" w:ascii="Times New Roman" w:hAnsi="Times New Roman" w:cs="Times New Roman"/>
                      <w:color w:val="auto"/>
                      <w:sz w:val="21"/>
                      <w:szCs w:val="21"/>
                      <w:highlight w:val="none"/>
                      <w:lang w:eastAsia="zh-CN"/>
                    </w:rPr>
                    <w:t>南侧</w:t>
                  </w:r>
                  <w:r>
                    <w:rPr>
                      <w:rFonts w:hint="default" w:ascii="Times New Roman" w:hAnsi="Times New Roman" w:cs="Times New Roman"/>
                      <w:color w:val="auto"/>
                      <w:sz w:val="21"/>
                      <w:szCs w:val="21"/>
                      <w:highlight w:val="none"/>
                    </w:rPr>
                    <w:t>厂界1.0m，高于围墙0.5m。</w:t>
                  </w:r>
                </w:p>
              </w:tc>
              <w:tc>
                <w:tcPr>
                  <w:tcW w:w="469" w:type="pct"/>
                  <w:vMerge w:val="continue"/>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p>
              </w:tc>
              <w:tc>
                <w:tcPr>
                  <w:tcW w:w="629" w:type="pct"/>
                  <w:tcBorders>
                    <w:tl2br w:val="nil"/>
                    <w:tr2bl w:val="nil"/>
                  </w:tcBorders>
                  <w:vAlign w:val="center"/>
                </w:tcPr>
                <w:p>
                  <w:pPr>
                    <w:widowControl/>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90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厂界现状值（2类）</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1）变电站监测布点代表性分析</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①本次环评在拟建</w:t>
            </w:r>
            <w:r>
              <w:rPr>
                <w:rFonts w:hint="default"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0kV</w:t>
            </w:r>
            <w:r>
              <w:rPr>
                <w:rFonts w:hint="default" w:ascii="Times New Roman" w:hAnsi="Times New Roman" w:eastAsia="宋体" w:cs="Times New Roman"/>
                <w:color w:val="auto"/>
                <w:sz w:val="24"/>
                <w:szCs w:val="24"/>
                <w:highlight w:val="none"/>
                <w:lang w:eastAsia="zh-CN"/>
              </w:rPr>
              <w:t>淮阳</w:t>
            </w:r>
            <w:r>
              <w:rPr>
                <w:rFonts w:hint="default" w:ascii="Times New Roman" w:hAnsi="Times New Roman" w:eastAsia="宋体" w:cs="Times New Roman"/>
                <w:color w:val="auto"/>
                <w:sz w:val="24"/>
                <w:szCs w:val="24"/>
                <w:highlight w:val="none"/>
              </w:rPr>
              <w:t>变电站</w:t>
            </w:r>
            <w:r>
              <w:rPr>
                <w:rFonts w:hint="default" w:ascii="Times New Roman" w:hAnsi="Times New Roman" w:eastAsia="宋体" w:cs="Times New Roman"/>
                <w:color w:val="auto"/>
                <w:sz w:val="24"/>
                <w:szCs w:val="24"/>
                <w:highlight w:val="none"/>
                <w:lang w:eastAsia="zh-CN"/>
              </w:rPr>
              <w:t>厂界四周</w:t>
            </w:r>
            <w:r>
              <w:rPr>
                <w:rFonts w:hint="default" w:ascii="Times New Roman" w:hAnsi="Times New Roman" w:eastAsia="宋体" w:cs="Times New Roman"/>
                <w:color w:val="auto"/>
                <w:sz w:val="24"/>
                <w:szCs w:val="24"/>
                <w:highlight w:val="none"/>
              </w:rPr>
              <w:t>以及</w:t>
            </w:r>
            <w:r>
              <w:rPr>
                <w:rFonts w:hint="default" w:ascii="Times New Roman" w:hAnsi="Times New Roman" w:eastAsia="宋体" w:cs="Times New Roman"/>
                <w:color w:val="auto"/>
                <w:sz w:val="24"/>
                <w:szCs w:val="24"/>
                <w:highlight w:val="none"/>
                <w:lang w:eastAsia="zh-CN"/>
              </w:rPr>
              <w:t>各侧最近的声环境保护</w:t>
            </w:r>
            <w:r>
              <w:rPr>
                <w:rFonts w:hint="default" w:ascii="Times New Roman" w:hAnsi="Times New Roman" w:eastAsia="宋体" w:cs="Times New Roman"/>
                <w:color w:val="auto"/>
                <w:sz w:val="24"/>
                <w:szCs w:val="24"/>
                <w:highlight w:val="none"/>
              </w:rPr>
              <w:t>目标处（变电站200m评价范围内）均布置了监测点位</w:t>
            </w:r>
            <w:r>
              <w:rPr>
                <w:rFonts w:hint="default" w:ascii="Times New Roman" w:hAnsi="Times New Roman" w:eastAsia="宋体" w:cs="Times New Roman"/>
                <w:color w:val="auto"/>
                <w:sz w:val="24"/>
                <w:szCs w:val="24"/>
                <w:highlight w:val="none"/>
                <w:lang w:eastAsia="zh-CN"/>
              </w:rPr>
              <w:t>，共布置了</w:t>
            </w:r>
            <w:r>
              <w:rPr>
                <w:rFonts w:hint="default" w:ascii="Times New Roman" w:hAnsi="Times New Roman" w:eastAsia="宋体" w:cs="Times New Roman"/>
                <w:color w:val="auto"/>
                <w:sz w:val="24"/>
                <w:szCs w:val="24"/>
                <w:highlight w:val="none"/>
                <w:lang w:val="en-US" w:eastAsia="zh-CN"/>
              </w:rPr>
              <w:t>8个监测点位</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△6</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13，除</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13位于1类声功能区外，其余均位于3类声功能区）</w:t>
            </w:r>
            <w:r>
              <w:rPr>
                <w:rFonts w:hint="default" w:ascii="Times New Roman" w:hAnsi="Times New Roman" w:eastAsia="宋体" w:cs="Times New Roman"/>
                <w:color w:val="auto"/>
                <w:sz w:val="24"/>
                <w:szCs w:val="24"/>
                <w:highlight w:val="none"/>
                <w:lang w:val="en-US"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lang w:eastAsia="zh-CN"/>
              </w:rPr>
              <w:t>全德</w:t>
            </w:r>
            <w:r>
              <w:rPr>
                <w:rFonts w:hint="default" w:ascii="Times New Roman" w:hAnsi="Times New Roman" w:eastAsia="宋体" w:cs="Times New Roman"/>
                <w:color w:val="auto"/>
                <w:sz w:val="24"/>
                <w:szCs w:val="24"/>
                <w:highlight w:val="none"/>
              </w:rPr>
              <w:t>间隔扩建侧</w:t>
            </w:r>
            <w:r>
              <w:rPr>
                <w:rFonts w:hint="default" w:ascii="Times New Roman" w:hAnsi="Times New Roman" w:eastAsia="宋体" w:cs="Times New Roman"/>
                <w:color w:val="auto"/>
                <w:sz w:val="24"/>
                <w:szCs w:val="24"/>
                <w:highlight w:val="none"/>
                <w:lang w:eastAsia="zh-CN"/>
              </w:rPr>
              <w:t>（南侧）</w:t>
            </w:r>
            <w:r>
              <w:rPr>
                <w:rFonts w:hint="default" w:ascii="Times New Roman" w:hAnsi="Times New Roman" w:eastAsia="宋体" w:cs="Times New Roman"/>
                <w:color w:val="auto"/>
                <w:sz w:val="24"/>
                <w:szCs w:val="24"/>
                <w:highlight w:val="none"/>
              </w:rPr>
              <w:t>厂界设置了1个监测点位，</w:t>
            </w:r>
            <w:r>
              <w:rPr>
                <w:rFonts w:hint="default" w:ascii="Times New Roman" w:hAnsi="Times New Roman" w:eastAsia="宋体" w:cs="Times New Roman"/>
                <w:color w:val="auto"/>
                <w:sz w:val="24"/>
                <w:szCs w:val="24"/>
                <w:highlight w:val="none"/>
                <w:lang w:eastAsia="zh-CN"/>
              </w:rPr>
              <w:t>此外在南侧</w:t>
            </w:r>
            <w:r>
              <w:rPr>
                <w:rFonts w:hint="default" w:ascii="Times New Roman" w:hAnsi="Times New Roman" w:eastAsia="宋体" w:cs="Times New Roman"/>
                <w:color w:val="auto"/>
                <w:sz w:val="24"/>
                <w:szCs w:val="24"/>
                <w:highlight w:val="none"/>
              </w:rPr>
              <w:t>厂界外（变电站200m评价范围内）</w:t>
            </w:r>
            <w:r>
              <w:rPr>
                <w:rFonts w:hint="default" w:ascii="Times New Roman" w:hAnsi="Times New Roman" w:eastAsia="宋体" w:cs="Times New Roman"/>
                <w:color w:val="auto"/>
                <w:sz w:val="24"/>
                <w:szCs w:val="24"/>
                <w:highlight w:val="none"/>
                <w:lang w:eastAsia="zh-CN"/>
              </w:rPr>
              <w:t>最近处</w:t>
            </w:r>
            <w:r>
              <w:rPr>
                <w:rFonts w:hint="default" w:ascii="Times New Roman" w:hAnsi="Times New Roman" w:eastAsia="宋体" w:cs="Times New Roman"/>
                <w:color w:val="auto"/>
                <w:sz w:val="24"/>
                <w:szCs w:val="24"/>
                <w:highlight w:val="none"/>
              </w:rPr>
              <w:t>声环境</w:t>
            </w:r>
            <w:r>
              <w:rPr>
                <w:rFonts w:hint="default" w:ascii="Times New Roman" w:hAnsi="Times New Roman" w:eastAsia="宋体" w:cs="Times New Roman"/>
                <w:color w:val="auto"/>
                <w:sz w:val="24"/>
                <w:szCs w:val="24"/>
                <w:highlight w:val="none"/>
                <w:lang w:eastAsia="zh-CN"/>
              </w:rPr>
              <w:t>保护</w:t>
            </w:r>
            <w:r>
              <w:rPr>
                <w:rFonts w:hint="default" w:ascii="Times New Roman" w:hAnsi="Times New Roman" w:eastAsia="宋体" w:cs="Times New Roman"/>
                <w:color w:val="auto"/>
                <w:sz w:val="24"/>
                <w:szCs w:val="24"/>
                <w:highlight w:val="none"/>
              </w:rPr>
              <w:t>目标</w:t>
            </w:r>
            <w:r>
              <w:rPr>
                <w:rFonts w:hint="default" w:ascii="Times New Roman" w:hAnsi="Times New Roman" w:eastAsia="宋体" w:cs="Times New Roman"/>
                <w:color w:val="auto"/>
                <w:sz w:val="24"/>
                <w:szCs w:val="24"/>
                <w:highlight w:val="none"/>
                <w:lang w:eastAsia="zh-CN"/>
              </w:rPr>
              <w:t>处</w:t>
            </w:r>
            <w:r>
              <w:rPr>
                <w:rFonts w:hint="default" w:ascii="Times New Roman" w:hAnsi="Times New Roman" w:eastAsia="宋体" w:cs="Times New Roman"/>
                <w:color w:val="auto"/>
                <w:sz w:val="24"/>
                <w:szCs w:val="24"/>
                <w:highlight w:val="none"/>
              </w:rPr>
              <w:t>设置了1个监测点位</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▲1</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2）拟建线路监测布点代表性分析</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①本项目拟建线路涉及</w:t>
            </w:r>
            <w:r>
              <w:rPr>
                <w:rFonts w:hint="default" w:ascii="Times New Roman" w:hAnsi="Times New Roman" w:eastAsia="宋体" w:cs="Times New Roman"/>
                <w:color w:val="auto"/>
                <w:sz w:val="24"/>
                <w:szCs w:val="24"/>
                <w:highlight w:val="none"/>
                <w:lang w:eastAsia="zh-CN"/>
              </w:rPr>
              <w:t>铜梁区</w:t>
            </w:r>
            <w:r>
              <w:rPr>
                <w:rFonts w:hint="default" w:ascii="Times New Roman" w:hAnsi="Times New Roman" w:eastAsia="宋体" w:cs="Times New Roman"/>
                <w:b w:val="0"/>
                <w:bCs w:val="0"/>
                <w:color w:val="auto"/>
                <w:sz w:val="24"/>
                <w:szCs w:val="24"/>
                <w:highlight w:val="none"/>
                <w:lang w:val="en-US" w:eastAsia="zh-CN"/>
              </w:rPr>
              <w:t>二坪镇、</w:t>
            </w:r>
            <w:r>
              <w:rPr>
                <w:rFonts w:hint="default" w:ascii="Times New Roman" w:hAnsi="Times New Roman" w:eastAsia="宋体" w:cs="Times New Roman"/>
                <w:color w:val="auto"/>
                <w:sz w:val="24"/>
                <w:szCs w:val="24"/>
                <w:highlight w:val="none"/>
                <w:lang w:val="en-US" w:eastAsia="zh-CN"/>
              </w:rPr>
              <w:t>东城街道、蒲吕街道、</w:t>
            </w:r>
            <w:r>
              <w:rPr>
                <w:rFonts w:hint="default" w:ascii="Times New Roman" w:hAnsi="Times New Roman" w:cs="Times New Roman"/>
                <w:color w:val="auto"/>
                <w:sz w:val="24"/>
                <w:szCs w:val="24"/>
                <w:highlight w:val="none"/>
                <w:lang w:val="en-US" w:eastAsia="zh-CN"/>
              </w:rPr>
              <w:t>旧县街道</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各镇/街道范围内分别有1处、1处、</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处、0处声环境保护目标，故本次在</w:t>
            </w:r>
            <w:r>
              <w:rPr>
                <w:rFonts w:hint="default" w:ascii="Times New Roman" w:hAnsi="Times New Roman" w:eastAsia="宋体" w:cs="Times New Roman"/>
                <w:b w:val="0"/>
                <w:bCs w:val="0"/>
                <w:color w:val="auto"/>
                <w:sz w:val="24"/>
                <w:szCs w:val="24"/>
                <w:highlight w:val="none"/>
                <w:lang w:val="en-US" w:eastAsia="zh-CN"/>
              </w:rPr>
              <w:t>二坪镇、</w:t>
            </w:r>
            <w:r>
              <w:rPr>
                <w:rFonts w:hint="default" w:ascii="Times New Roman" w:hAnsi="Times New Roman" w:eastAsia="宋体" w:cs="Times New Roman"/>
                <w:color w:val="auto"/>
                <w:sz w:val="24"/>
                <w:szCs w:val="24"/>
                <w:highlight w:val="none"/>
                <w:lang w:val="en-US" w:eastAsia="zh-CN"/>
              </w:rPr>
              <w:t>东城街道、蒲吕街道分别布设了1个、1个、</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个监测点位；</w:t>
            </w:r>
            <w:r>
              <w:rPr>
                <w:rFonts w:hint="default" w:ascii="Times New Roman" w:hAnsi="Times New Roman" w:eastAsia="宋体" w:cs="Times New Roman"/>
                <w:color w:val="auto"/>
                <w:sz w:val="24"/>
                <w:szCs w:val="24"/>
                <w:highlight w:val="none"/>
                <w:lang w:eastAsia="zh-CN"/>
              </w:rPr>
              <w:t>由于线路跨</w:t>
            </w:r>
            <w:r>
              <w:rPr>
                <w:rFonts w:hint="default" w:ascii="Times New Roman" w:hAnsi="Times New Roman" w:cs="Times New Roman"/>
                <w:color w:val="auto"/>
                <w:sz w:val="24"/>
                <w:szCs w:val="24"/>
                <w:highlight w:val="none"/>
                <w:lang w:val="en-US" w:eastAsia="zh-CN"/>
              </w:rPr>
              <w:t>旧县街道</w:t>
            </w:r>
            <w:r>
              <w:rPr>
                <w:rFonts w:hint="default" w:ascii="Times New Roman" w:hAnsi="Times New Roman" w:eastAsia="宋体" w:cs="Times New Roman"/>
                <w:color w:val="auto"/>
                <w:sz w:val="24"/>
                <w:szCs w:val="24"/>
                <w:highlight w:val="none"/>
                <w:lang w:val="en-US" w:eastAsia="zh-CN"/>
              </w:rPr>
              <w:t>距离短（约180m），且跨越段为堰塘，无环境保护目标，因为未布置监测</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lang w:eastAsia="zh-CN"/>
              </w:rPr>
              <w:t>本项目与</w:t>
            </w:r>
            <w:r>
              <w:rPr>
                <w:rFonts w:hint="default" w:ascii="Times New Roman" w:hAnsi="Times New Roman" w:eastAsia="宋体" w:cs="Times New Roman"/>
                <w:color w:val="auto"/>
                <w:sz w:val="24"/>
                <w:szCs w:val="24"/>
                <w:highlight w:val="none"/>
                <w:lang w:val="en-US" w:eastAsia="zh-CN"/>
              </w:rPr>
              <w:t>110kV及以上等级的线路包夹环境保护目标只有1处（位于</w:t>
            </w:r>
            <w:r>
              <w:rPr>
                <w:rFonts w:hint="default" w:ascii="Times New Roman" w:hAnsi="Times New Roman" w:eastAsia="宋体" w:cs="Times New Roman"/>
                <w:b w:val="0"/>
                <w:bCs w:val="0"/>
                <w:color w:val="auto"/>
                <w:sz w:val="24"/>
                <w:szCs w:val="24"/>
                <w:highlight w:val="none"/>
                <w:lang w:val="en-US" w:eastAsia="zh-CN"/>
              </w:rPr>
              <w:t>二坪镇内</w:t>
            </w:r>
            <w:r>
              <w:rPr>
                <w:rFonts w:hint="default" w:ascii="Times New Roman" w:hAnsi="Times New Roman" w:eastAsia="宋体" w:cs="Times New Roman"/>
                <w:color w:val="auto"/>
                <w:sz w:val="24"/>
                <w:szCs w:val="24"/>
                <w:highlight w:val="none"/>
                <w:lang w:val="en-US" w:eastAsia="zh-CN"/>
              </w:rPr>
              <w:t>），本次在此处设置了1个监测点位（</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1）。本项目无正跨声环境保护目标。</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③</w:t>
            </w:r>
            <w:r>
              <w:rPr>
                <w:rFonts w:hint="eastAsia" w:ascii="Times New Roman" w:hAnsi="Times New Roman" w:eastAsia="宋体" w:cs="Times New Roman"/>
                <w:color w:val="auto"/>
                <w:sz w:val="24"/>
                <w:szCs w:val="24"/>
                <w:highlight w:val="none"/>
                <w:lang w:val="en-US" w:eastAsia="zh-CN"/>
              </w:rPr>
              <w:t>本项目跨在建</w:t>
            </w:r>
            <w:r>
              <w:rPr>
                <w:rFonts w:hint="eastAsia"/>
                <w:bCs/>
                <w:color w:val="auto"/>
                <w:sz w:val="24"/>
                <w:szCs w:val="24"/>
                <w:highlight w:val="none"/>
                <w:lang w:eastAsia="zh-CN"/>
              </w:rPr>
              <w:t>渝遂</w:t>
            </w:r>
            <w:r>
              <w:rPr>
                <w:rFonts w:hint="eastAsia"/>
                <w:bCs/>
                <w:color w:val="auto"/>
                <w:sz w:val="24"/>
                <w:szCs w:val="24"/>
                <w:highlight w:val="none"/>
                <w:lang w:val="en-US" w:eastAsia="zh-CN"/>
              </w:rPr>
              <w:t>高速两侧55m范围内无声环境保护目标；</w:t>
            </w:r>
            <w:r>
              <w:rPr>
                <w:rFonts w:hint="default" w:ascii="Times New Roman" w:hAnsi="Times New Roman" w:eastAsia="宋体" w:cs="Times New Roman"/>
                <w:color w:val="auto"/>
                <w:sz w:val="24"/>
                <w:szCs w:val="24"/>
                <w:highlight w:val="none"/>
                <w:lang w:val="en-US" w:eastAsia="zh-CN"/>
              </w:rPr>
              <w:t>跨207省道</w:t>
            </w:r>
            <w:r>
              <w:rPr>
                <w:rFonts w:hint="eastAsia" w:ascii="Times New Roman" w:hAnsi="Times New Roman" w:cs="Times New Roman"/>
                <w:color w:val="auto"/>
                <w:sz w:val="24"/>
                <w:szCs w:val="24"/>
                <w:highlight w:val="none"/>
                <w:lang w:val="en-US" w:eastAsia="zh-CN"/>
              </w:rPr>
              <w:t>45m范围内有</w:t>
            </w:r>
            <w:r>
              <w:rPr>
                <w:rFonts w:hint="default" w:ascii="Times New Roman" w:hAnsi="Times New Roman" w:eastAsia="宋体" w:cs="Times New Roman"/>
                <w:color w:val="auto"/>
                <w:sz w:val="24"/>
                <w:szCs w:val="24"/>
                <w:highlight w:val="none"/>
                <w:lang w:val="en-US" w:eastAsia="zh-CN"/>
              </w:rPr>
              <w:t>1处声环境保护目标，</w:t>
            </w:r>
            <w:r>
              <w:rPr>
                <w:rFonts w:hint="eastAsia" w:ascii="Times New Roman" w:hAnsi="Times New Roman" w:eastAsia="宋体" w:cs="Times New Roman"/>
                <w:color w:val="auto"/>
                <w:sz w:val="24"/>
                <w:szCs w:val="24"/>
                <w:highlight w:val="none"/>
                <w:lang w:val="en-US" w:eastAsia="zh-CN"/>
              </w:rPr>
              <w:t>本次在该声环境保护目标处</w:t>
            </w:r>
            <w:r>
              <w:rPr>
                <w:rFonts w:hint="default" w:ascii="Times New Roman" w:hAnsi="Times New Roman" w:eastAsia="宋体" w:cs="Times New Roman"/>
                <w:color w:val="auto"/>
                <w:sz w:val="24"/>
                <w:szCs w:val="24"/>
                <w:highlight w:val="none"/>
                <w:lang w:val="en-US" w:eastAsia="zh-CN"/>
              </w:rPr>
              <w:t>布设了</w:t>
            </w:r>
            <w:r>
              <w:rPr>
                <w:rFonts w:hint="eastAsia"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lang w:val="en-US" w:eastAsia="zh-CN"/>
              </w:rPr>
              <w:t>监测点位（</w:t>
            </w:r>
            <w:r>
              <w:rPr>
                <w:rFonts w:hint="default" w:ascii="Times New Roman" w:hAnsi="Times New Roman"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；沿</w:t>
            </w:r>
            <w:r>
              <w:rPr>
                <w:rFonts w:hint="default" w:ascii="Times New Roman" w:hAnsi="Times New Roman" w:eastAsia="宋体" w:cs="Times New Roman"/>
                <w:color w:val="auto"/>
                <w:sz w:val="24"/>
                <w:szCs w:val="24"/>
                <w:highlight w:val="none"/>
                <w:lang w:val="en-US" w:eastAsia="zh-CN"/>
              </w:rPr>
              <w:t>在建</w:t>
            </w:r>
            <w:r>
              <w:rPr>
                <w:rFonts w:hint="eastAsia" w:ascii="Times New Roman" w:hAnsi="Times New Roman" w:cs="Times New Roman"/>
                <w:color w:val="auto"/>
                <w:sz w:val="24"/>
                <w:szCs w:val="24"/>
                <w:highlight w:val="none"/>
                <w:lang w:val="en-US" w:eastAsia="zh-CN"/>
              </w:rPr>
              <w:t>铜安</w:t>
            </w:r>
            <w:r>
              <w:rPr>
                <w:rFonts w:hint="default" w:ascii="Times New Roman" w:hAnsi="Times New Roman" w:eastAsia="宋体" w:cs="Times New Roman"/>
                <w:color w:val="auto"/>
                <w:sz w:val="24"/>
                <w:szCs w:val="24"/>
                <w:highlight w:val="none"/>
                <w:lang w:val="en-US" w:eastAsia="zh-CN"/>
              </w:rPr>
              <w:t>高速</w:t>
            </w:r>
            <w:r>
              <w:rPr>
                <w:rFonts w:hint="eastAsia" w:ascii="Times New Roman" w:hAnsi="Times New Roman" w:cs="Times New Roman"/>
                <w:color w:val="auto"/>
                <w:sz w:val="24"/>
                <w:szCs w:val="24"/>
                <w:highlight w:val="none"/>
                <w:lang w:val="en-US" w:eastAsia="zh-CN"/>
              </w:rPr>
              <w:t>走线段55m范围内有1处声环境保护目标</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本次在该声环境保护目标处</w:t>
            </w:r>
            <w:r>
              <w:rPr>
                <w:rFonts w:hint="default" w:ascii="Times New Roman" w:hAnsi="Times New Roman" w:eastAsia="宋体" w:cs="Times New Roman"/>
                <w:color w:val="auto"/>
                <w:sz w:val="24"/>
                <w:szCs w:val="24"/>
                <w:highlight w:val="none"/>
                <w:lang w:val="en-US" w:eastAsia="zh-CN"/>
              </w:rPr>
              <w:t>布设了</w:t>
            </w:r>
            <w:r>
              <w:rPr>
                <w:rFonts w:hint="eastAsia"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lang w:val="en-US" w:eastAsia="zh-CN"/>
              </w:rPr>
              <w:t>监测点位（</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④</w:t>
            </w:r>
            <w:r>
              <w:rPr>
                <w:rFonts w:hint="default" w:ascii="Times New Roman" w:hAnsi="Times New Roman" w:eastAsia="宋体" w:cs="Times New Roman"/>
                <w:color w:val="auto"/>
                <w:sz w:val="24"/>
                <w:szCs w:val="24"/>
                <w:highlight w:val="none"/>
                <w:lang w:eastAsia="zh-CN"/>
              </w:rPr>
              <w:t>本项目单回段线路位于</w:t>
            </w:r>
            <w:r>
              <w:rPr>
                <w:rFonts w:hint="default" w:ascii="Times New Roman" w:hAnsi="Times New Roman" w:eastAsia="宋体" w:cs="Times New Roman"/>
                <w:color w:val="auto"/>
                <w:sz w:val="24"/>
                <w:szCs w:val="24"/>
                <w:highlight w:val="none"/>
                <w:lang w:val="en-US" w:eastAsia="zh-CN"/>
              </w:rPr>
              <w:t>蒲吕街道，且有1处声环境保护目标，位于3类声环境功能区，本次在此处布置了一个监测点位（</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）。本项目双回段无环境保护目标位于工业园区内。</w:t>
            </w:r>
          </w:p>
          <w:p>
            <w:pPr>
              <w:pStyle w:val="90"/>
              <w:keepNext w:val="0"/>
              <w:keepLines w:val="0"/>
              <w:pageBreakBefore w:val="0"/>
              <w:widowControl w:val="0"/>
              <w:tabs>
                <w:tab w:val="left" w:pos="309"/>
                <w:tab w:val="left" w:pos="5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⑤</w:t>
            </w:r>
            <w:r>
              <w:rPr>
                <w:rFonts w:hint="default" w:ascii="Times New Roman" w:hAnsi="Times New Roman" w:eastAsia="宋体" w:cs="Times New Roman"/>
                <w:color w:val="auto"/>
                <w:sz w:val="24"/>
                <w:highlight w:val="none"/>
                <w:lang w:eastAsia="zh-CN"/>
              </w:rPr>
              <w:t>本项目声环境保护目标无</w:t>
            </w:r>
            <w:r>
              <w:rPr>
                <w:rFonts w:hint="default" w:ascii="Times New Roman" w:hAnsi="Times New Roman" w:eastAsia="宋体" w:cs="Times New Roman"/>
                <w:color w:val="auto"/>
                <w:sz w:val="24"/>
                <w:highlight w:val="none"/>
                <w:lang w:val="en-US" w:eastAsia="zh-CN"/>
              </w:rPr>
              <w:t>3层及以上，未布置断面监测。</w:t>
            </w:r>
          </w:p>
          <w:p>
            <w:pPr>
              <w:pStyle w:val="90"/>
              <w:keepNext w:val="0"/>
              <w:keepLines w:val="0"/>
              <w:pageBreakBefore w:val="0"/>
              <w:widowControl w:val="0"/>
              <w:tabs>
                <w:tab w:val="left" w:pos="309"/>
                <w:tab w:val="left" w:pos="5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综上所述，</w:t>
            </w:r>
            <w:bookmarkEnd w:id="10"/>
            <w:r>
              <w:rPr>
                <w:rFonts w:hint="default" w:ascii="Times New Roman" w:hAnsi="Times New Roman" w:eastAsia="宋体" w:cs="Times New Roman"/>
                <w:color w:val="auto"/>
                <w:sz w:val="24"/>
                <w:highlight w:val="none"/>
              </w:rPr>
              <w:t>监测点位从</w:t>
            </w:r>
            <w:r>
              <w:rPr>
                <w:rFonts w:hint="default" w:ascii="Times New Roman" w:hAnsi="Times New Roman" w:eastAsia="宋体" w:cs="Times New Roman"/>
                <w:color w:val="auto"/>
                <w:sz w:val="24"/>
                <w:highlight w:val="none"/>
                <w:lang w:eastAsia="zh-CN"/>
              </w:rPr>
              <w:t>涉及的乡镇、声环境功能区划、</w:t>
            </w:r>
            <w:r>
              <w:rPr>
                <w:rFonts w:hint="default" w:ascii="Times New Roman" w:hAnsi="Times New Roman" w:eastAsia="宋体" w:cs="Times New Roman"/>
                <w:color w:val="auto"/>
                <w:sz w:val="24"/>
                <w:highlight w:val="none"/>
              </w:rPr>
              <w:t>线路包夹、与敏感点水平距离、敏感点环境特征等情况考虑，主要在包夹敏感点、与距离线路较近且分布民房相对较多的位置</w:t>
            </w:r>
            <w:r>
              <w:rPr>
                <w:rFonts w:hint="default" w:ascii="Times New Roman" w:hAnsi="Times New Roman" w:eastAsia="宋体" w:cs="Times New Roman"/>
                <w:color w:val="auto"/>
                <w:sz w:val="24"/>
                <w:highlight w:val="none"/>
                <w:lang w:eastAsia="zh-CN"/>
              </w:rPr>
              <w:t>、各声环境功能区划</w:t>
            </w:r>
            <w:r>
              <w:rPr>
                <w:rFonts w:hint="default" w:ascii="Times New Roman" w:hAnsi="Times New Roman" w:eastAsia="宋体" w:cs="Times New Roman"/>
                <w:color w:val="auto"/>
                <w:sz w:val="24"/>
                <w:highlight w:val="none"/>
              </w:rPr>
              <w:t>均匀布点。本次环评布设的声环境监测点位满足点位布设原则，能够代表拟建工程声环境质量现状。</w:t>
            </w:r>
          </w:p>
          <w:p>
            <w:pPr>
              <w:adjustRightInd w:val="0"/>
              <w:snapToGrid w:val="0"/>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（3）监测因子、监测频次、监测仪器</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监测因子为等效连续A声级，监测时间与电磁环境现状监测同步，每个监测点昼、夜各监测一次，监测仪器见表3-3。</w:t>
            </w:r>
          </w:p>
          <w:p>
            <w:pPr>
              <w:adjustRightInd w:val="0"/>
              <w:snapToGrid w:val="0"/>
              <w:jc w:val="center"/>
              <w:rPr>
                <w:b/>
                <w:bCs/>
                <w:color w:val="auto"/>
                <w:sz w:val="24"/>
                <w:highlight w:val="none"/>
              </w:rPr>
            </w:pPr>
            <w:r>
              <w:rPr>
                <w:rFonts w:hint="eastAsia"/>
                <w:b/>
                <w:bCs/>
                <w:color w:val="auto"/>
                <w:sz w:val="24"/>
                <w:highlight w:val="none"/>
              </w:rPr>
              <w:t>表</w:t>
            </w:r>
            <w:r>
              <w:rPr>
                <w:b/>
                <w:bCs/>
                <w:color w:val="auto"/>
                <w:sz w:val="24"/>
                <w:highlight w:val="none"/>
              </w:rPr>
              <w:t xml:space="preserve">3-3  </w:t>
            </w:r>
            <w:r>
              <w:rPr>
                <w:rFonts w:hint="eastAsia"/>
                <w:b/>
                <w:bCs/>
                <w:color w:val="auto"/>
                <w:sz w:val="24"/>
                <w:highlight w:val="none"/>
              </w:rPr>
              <w:t>监测仪器一览表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2090"/>
              <w:gridCol w:w="1260"/>
              <w:gridCol w:w="2083"/>
              <w:gridCol w:w="13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06" w:type="pct"/>
                  <w:tcBorders>
                    <w:top w:val="single" w:color="auto" w:sz="12" w:space="0"/>
                    <w:left w:val="nil"/>
                    <w:bottom w:val="single" w:color="auto" w:sz="4" w:space="0"/>
                    <w:right w:val="single" w:color="auto" w:sz="4" w:space="0"/>
                  </w:tcBorders>
                  <w:vAlign w:val="center"/>
                </w:tcPr>
                <w:p>
                  <w:pPr>
                    <w:adjustRightInd w:val="0"/>
                    <w:snapToGrid w:val="0"/>
                    <w:jc w:val="center"/>
                    <w:rPr>
                      <w:color w:val="auto"/>
                      <w:sz w:val="21"/>
                      <w:szCs w:val="21"/>
                      <w:highlight w:val="none"/>
                    </w:rPr>
                  </w:pPr>
                  <w:bookmarkStart w:id="11" w:name="_Toc65613489"/>
                  <w:r>
                    <w:rPr>
                      <w:rFonts w:hint="eastAsia"/>
                      <w:color w:val="auto"/>
                      <w:sz w:val="21"/>
                      <w:szCs w:val="21"/>
                      <w:highlight w:val="none"/>
                    </w:rPr>
                    <w:t>监测项目</w:t>
                  </w:r>
                  <w:bookmarkEnd w:id="11"/>
                </w:p>
              </w:tc>
              <w:tc>
                <w:tcPr>
                  <w:tcW w:w="1330"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bookmarkStart w:id="12" w:name="_Toc65613490"/>
                  <w:r>
                    <w:rPr>
                      <w:rFonts w:hint="eastAsia"/>
                      <w:color w:val="auto"/>
                      <w:sz w:val="21"/>
                      <w:szCs w:val="21"/>
                      <w:highlight w:val="none"/>
                    </w:rPr>
                    <w:t>仪器名称及型号</w:t>
                  </w:r>
                  <w:bookmarkEnd w:id="12"/>
                </w:p>
              </w:tc>
              <w:tc>
                <w:tcPr>
                  <w:tcW w:w="802"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bookmarkStart w:id="13" w:name="_Toc65613491"/>
                  <w:r>
                    <w:rPr>
                      <w:rFonts w:hint="eastAsia"/>
                      <w:color w:val="auto"/>
                      <w:sz w:val="21"/>
                      <w:szCs w:val="21"/>
                      <w:highlight w:val="none"/>
                    </w:rPr>
                    <w:t>仪器编号</w:t>
                  </w:r>
                  <w:bookmarkEnd w:id="13"/>
                </w:p>
              </w:tc>
              <w:tc>
                <w:tcPr>
                  <w:tcW w:w="1326"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bookmarkStart w:id="14" w:name="_Toc65613492"/>
                  <w:r>
                    <w:rPr>
                      <w:rFonts w:hint="eastAsia"/>
                      <w:color w:val="auto"/>
                      <w:sz w:val="21"/>
                      <w:szCs w:val="21"/>
                      <w:highlight w:val="none"/>
                    </w:rPr>
                    <w:t>计量检定证书编号</w:t>
                  </w:r>
                  <w:bookmarkEnd w:id="14"/>
                </w:p>
              </w:tc>
              <w:tc>
                <w:tcPr>
                  <w:tcW w:w="834" w:type="pct"/>
                  <w:tcBorders>
                    <w:top w:val="single" w:color="auto" w:sz="12" w:space="0"/>
                    <w:left w:val="single" w:color="auto" w:sz="4" w:space="0"/>
                    <w:bottom w:val="single" w:color="auto" w:sz="4" w:space="0"/>
                    <w:right w:val="nil"/>
                  </w:tcBorders>
                  <w:vAlign w:val="center"/>
                </w:tcPr>
                <w:p>
                  <w:pPr>
                    <w:adjustRightInd w:val="0"/>
                    <w:snapToGrid w:val="0"/>
                    <w:jc w:val="center"/>
                    <w:rPr>
                      <w:color w:val="auto"/>
                      <w:sz w:val="21"/>
                      <w:szCs w:val="21"/>
                      <w:highlight w:val="none"/>
                    </w:rPr>
                  </w:pPr>
                  <w:bookmarkStart w:id="15" w:name="_Toc65613493"/>
                  <w:r>
                    <w:rPr>
                      <w:rFonts w:hint="eastAsia"/>
                      <w:color w:val="auto"/>
                      <w:sz w:val="21"/>
                      <w:szCs w:val="21"/>
                      <w:highlight w:val="none"/>
                    </w:rPr>
                    <w:t>有效期至</w:t>
                  </w:r>
                  <w:bookmarkEnd w:id="15"/>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06" w:type="pct"/>
                  <w:vMerge w:val="restart"/>
                  <w:tcBorders>
                    <w:top w:val="single" w:color="auto" w:sz="4" w:space="0"/>
                    <w:left w:val="nil"/>
                    <w:bottom w:val="single" w:color="auto" w:sz="12"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环境噪声</w:t>
                  </w:r>
                </w:p>
              </w:tc>
              <w:tc>
                <w:tcPr>
                  <w:tcW w:w="1330" w:type="pct"/>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color w:val="auto"/>
                      <w:kern w:val="2"/>
                      <w:sz w:val="21"/>
                      <w:szCs w:val="21"/>
                      <w:highlight w:val="none"/>
                    </w:rPr>
                  </w:pPr>
                  <w:r>
                    <w:rPr>
                      <w:rFonts w:hint="eastAsia"/>
                      <w:color w:val="auto"/>
                      <w:spacing w:val="-14"/>
                      <w:sz w:val="21"/>
                      <w:szCs w:val="21"/>
                      <w:highlight w:val="none"/>
                    </w:rPr>
                    <w:t>声级计</w:t>
                  </w:r>
                  <w:r>
                    <w:rPr>
                      <w:color w:val="auto"/>
                      <w:spacing w:val="-14"/>
                      <w:sz w:val="21"/>
                      <w:szCs w:val="21"/>
                      <w:highlight w:val="none"/>
                    </w:rPr>
                    <w:t>AWA6228</w:t>
                  </w:r>
                  <w:r>
                    <w:rPr>
                      <w:color w:val="auto"/>
                      <w:spacing w:val="-14"/>
                      <w:sz w:val="21"/>
                      <w:szCs w:val="21"/>
                      <w:highlight w:val="none"/>
                      <w:vertAlign w:val="superscript"/>
                    </w:rPr>
                    <w:t>+</w:t>
                  </w:r>
                </w:p>
              </w:tc>
              <w:tc>
                <w:tcPr>
                  <w:tcW w:w="802" w:type="pct"/>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color w:val="auto"/>
                      <w:sz w:val="21"/>
                      <w:szCs w:val="21"/>
                      <w:highlight w:val="none"/>
                    </w:rPr>
                  </w:pPr>
                  <w:r>
                    <w:rPr>
                      <w:color w:val="auto"/>
                      <w:spacing w:val="-14"/>
                      <w:sz w:val="21"/>
                      <w:szCs w:val="21"/>
                      <w:highlight w:val="none"/>
                    </w:rPr>
                    <w:t>00316367</w:t>
                  </w:r>
                </w:p>
              </w:tc>
              <w:tc>
                <w:tcPr>
                  <w:tcW w:w="1326" w:type="pct"/>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color w:val="auto"/>
                      <w:sz w:val="21"/>
                      <w:szCs w:val="21"/>
                      <w:highlight w:val="none"/>
                    </w:rPr>
                  </w:pPr>
                  <w:r>
                    <w:rPr>
                      <w:color w:val="auto"/>
                      <w:spacing w:val="-14"/>
                      <w:sz w:val="21"/>
                      <w:szCs w:val="21"/>
                      <w:highlight w:val="none"/>
                    </w:rPr>
                    <w:t>2022120612766</w:t>
                  </w:r>
                </w:p>
              </w:tc>
              <w:tc>
                <w:tcPr>
                  <w:tcW w:w="834" w:type="pct"/>
                  <w:tcBorders>
                    <w:top w:val="single" w:color="auto" w:sz="4" w:space="0"/>
                    <w:left w:val="single" w:color="auto" w:sz="4" w:space="0"/>
                    <w:bottom w:val="single" w:color="auto" w:sz="4" w:space="0"/>
                    <w:right w:val="nil"/>
                  </w:tcBorders>
                  <w:vAlign w:val="center"/>
                </w:tcPr>
                <w:p>
                  <w:pPr>
                    <w:widowControl/>
                    <w:spacing w:line="360" w:lineRule="exact"/>
                    <w:jc w:val="center"/>
                    <w:rPr>
                      <w:color w:val="auto"/>
                      <w:sz w:val="21"/>
                      <w:szCs w:val="21"/>
                      <w:highlight w:val="none"/>
                    </w:rPr>
                  </w:pPr>
                  <w:r>
                    <w:rPr>
                      <w:color w:val="auto"/>
                      <w:spacing w:val="-14"/>
                      <w:sz w:val="21"/>
                      <w:szCs w:val="21"/>
                      <w:highlight w:val="none"/>
                    </w:rPr>
                    <w:t>2023.12.08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06" w:type="pct"/>
                  <w:vMerge w:val="continue"/>
                  <w:tcBorders>
                    <w:top w:val="single" w:color="auto" w:sz="4" w:space="0"/>
                    <w:left w:val="nil"/>
                    <w:bottom w:val="single" w:color="auto" w:sz="12" w:space="0"/>
                    <w:right w:val="single" w:color="auto" w:sz="4" w:space="0"/>
                  </w:tcBorders>
                  <w:vAlign w:val="center"/>
                </w:tcPr>
                <w:p>
                  <w:pPr>
                    <w:widowControl/>
                    <w:jc w:val="left"/>
                    <w:rPr>
                      <w:color w:val="auto"/>
                      <w:sz w:val="21"/>
                      <w:szCs w:val="21"/>
                      <w:highlight w:val="none"/>
                    </w:rPr>
                  </w:pPr>
                </w:p>
              </w:tc>
              <w:tc>
                <w:tcPr>
                  <w:tcW w:w="1330" w:type="pct"/>
                  <w:tcBorders>
                    <w:top w:val="single" w:color="auto" w:sz="4" w:space="0"/>
                    <w:left w:val="single" w:color="auto" w:sz="4" w:space="0"/>
                    <w:bottom w:val="single" w:color="auto" w:sz="12" w:space="0"/>
                    <w:right w:val="single" w:color="auto" w:sz="4" w:space="0"/>
                  </w:tcBorders>
                  <w:vAlign w:val="center"/>
                </w:tcPr>
                <w:p>
                  <w:pPr>
                    <w:widowControl/>
                    <w:spacing w:line="360" w:lineRule="exact"/>
                    <w:jc w:val="center"/>
                    <w:rPr>
                      <w:color w:val="auto"/>
                      <w:kern w:val="2"/>
                      <w:sz w:val="21"/>
                      <w:szCs w:val="21"/>
                      <w:highlight w:val="none"/>
                    </w:rPr>
                  </w:pPr>
                  <w:r>
                    <w:rPr>
                      <w:rFonts w:hint="eastAsia"/>
                      <w:color w:val="auto"/>
                      <w:spacing w:val="-14"/>
                      <w:sz w:val="21"/>
                      <w:szCs w:val="21"/>
                      <w:highlight w:val="none"/>
                    </w:rPr>
                    <w:t>声校准器</w:t>
                  </w:r>
                  <w:r>
                    <w:rPr>
                      <w:color w:val="auto"/>
                      <w:spacing w:val="-14"/>
                      <w:sz w:val="21"/>
                      <w:szCs w:val="21"/>
                      <w:highlight w:val="none"/>
                    </w:rPr>
                    <w:t>AWA6021A</w:t>
                  </w:r>
                </w:p>
              </w:tc>
              <w:tc>
                <w:tcPr>
                  <w:tcW w:w="802" w:type="pct"/>
                  <w:tcBorders>
                    <w:top w:val="single" w:color="auto" w:sz="4" w:space="0"/>
                    <w:left w:val="single" w:color="auto" w:sz="4" w:space="0"/>
                    <w:bottom w:val="single" w:color="auto" w:sz="12" w:space="0"/>
                    <w:right w:val="single" w:color="auto" w:sz="4" w:space="0"/>
                  </w:tcBorders>
                  <w:vAlign w:val="center"/>
                </w:tcPr>
                <w:p>
                  <w:pPr>
                    <w:widowControl/>
                    <w:spacing w:line="360" w:lineRule="exact"/>
                    <w:jc w:val="center"/>
                    <w:rPr>
                      <w:color w:val="auto"/>
                      <w:sz w:val="21"/>
                      <w:szCs w:val="21"/>
                      <w:highlight w:val="none"/>
                    </w:rPr>
                  </w:pPr>
                  <w:r>
                    <w:rPr>
                      <w:color w:val="auto"/>
                      <w:spacing w:val="-14"/>
                      <w:sz w:val="21"/>
                      <w:szCs w:val="21"/>
                      <w:highlight w:val="none"/>
                    </w:rPr>
                    <w:t>1009650</w:t>
                  </w:r>
                </w:p>
              </w:tc>
              <w:tc>
                <w:tcPr>
                  <w:tcW w:w="1326" w:type="pct"/>
                  <w:tcBorders>
                    <w:top w:val="single" w:color="auto" w:sz="4" w:space="0"/>
                    <w:left w:val="single" w:color="auto" w:sz="4" w:space="0"/>
                    <w:bottom w:val="single" w:color="auto" w:sz="12" w:space="0"/>
                    <w:right w:val="single" w:color="auto" w:sz="4" w:space="0"/>
                  </w:tcBorders>
                  <w:vAlign w:val="center"/>
                </w:tcPr>
                <w:p>
                  <w:pPr>
                    <w:spacing w:line="360" w:lineRule="exact"/>
                    <w:jc w:val="center"/>
                    <w:rPr>
                      <w:color w:val="auto"/>
                      <w:sz w:val="21"/>
                      <w:szCs w:val="21"/>
                      <w:highlight w:val="none"/>
                    </w:rPr>
                  </w:pPr>
                  <w:r>
                    <w:rPr>
                      <w:color w:val="auto"/>
                      <w:spacing w:val="-14"/>
                      <w:sz w:val="21"/>
                      <w:szCs w:val="21"/>
                      <w:highlight w:val="none"/>
                    </w:rPr>
                    <w:t>2022120612768</w:t>
                  </w:r>
                </w:p>
              </w:tc>
              <w:tc>
                <w:tcPr>
                  <w:tcW w:w="834" w:type="pct"/>
                  <w:tcBorders>
                    <w:top w:val="single" w:color="auto" w:sz="4" w:space="0"/>
                    <w:left w:val="single" w:color="auto" w:sz="4" w:space="0"/>
                    <w:bottom w:val="single" w:color="auto" w:sz="12" w:space="0"/>
                    <w:right w:val="nil"/>
                  </w:tcBorders>
                  <w:vAlign w:val="center"/>
                </w:tcPr>
                <w:p>
                  <w:pPr>
                    <w:spacing w:line="360" w:lineRule="exact"/>
                    <w:jc w:val="center"/>
                    <w:rPr>
                      <w:color w:val="auto"/>
                      <w:sz w:val="21"/>
                      <w:szCs w:val="21"/>
                      <w:highlight w:val="none"/>
                    </w:rPr>
                  </w:pPr>
                  <w:r>
                    <w:rPr>
                      <w:color w:val="auto"/>
                      <w:spacing w:val="-14"/>
                      <w:sz w:val="21"/>
                      <w:szCs w:val="21"/>
                      <w:highlight w:val="none"/>
                    </w:rPr>
                    <w:t>2023.12.08</w:t>
                  </w:r>
                </w:p>
              </w:tc>
            </w:tr>
          </w:tbl>
          <w:p>
            <w:pPr>
              <w:pStyle w:val="90"/>
              <w:tabs>
                <w:tab w:val="left" w:pos="309"/>
                <w:tab w:val="left" w:pos="515"/>
              </w:tabs>
              <w:adjustRightInd w:val="0"/>
              <w:snapToGrid w:val="0"/>
              <w:spacing w:before="120" w:beforeLines="50" w:line="360" w:lineRule="auto"/>
              <w:ind w:firstLine="482" w:firstLineChars="200"/>
              <w:jc w:val="left"/>
              <w:rPr>
                <w:rFonts w:ascii="Times New Roman" w:hAnsi="Times New Roman" w:cs="Times New Roman" w:eastAsiaTheme="minorEastAsia"/>
                <w:b/>
                <w:color w:val="auto"/>
                <w:sz w:val="24"/>
                <w:highlight w:val="none"/>
              </w:rPr>
            </w:pPr>
            <w:r>
              <w:rPr>
                <w:rFonts w:hint="eastAsia" w:ascii="Times New Roman" w:hAnsi="Times New Roman" w:cs="Times New Roman" w:eastAsiaTheme="minorEastAsia"/>
                <w:b/>
                <w:color w:val="auto"/>
                <w:sz w:val="24"/>
                <w:highlight w:val="none"/>
              </w:rPr>
              <w:t>（</w:t>
            </w:r>
            <w:r>
              <w:rPr>
                <w:rFonts w:ascii="Times New Roman" w:hAnsi="Times New Roman" w:cs="Times New Roman" w:eastAsiaTheme="minorEastAsia"/>
                <w:b/>
                <w:color w:val="auto"/>
                <w:sz w:val="24"/>
                <w:highlight w:val="none"/>
              </w:rPr>
              <w:t>4</w:t>
            </w:r>
            <w:r>
              <w:rPr>
                <w:rFonts w:hint="eastAsia" w:ascii="Times New Roman" w:hAnsi="Times New Roman" w:cs="Times New Roman" w:eastAsiaTheme="minorEastAsia"/>
                <w:b/>
                <w:color w:val="auto"/>
                <w:sz w:val="24"/>
                <w:highlight w:val="none"/>
              </w:rPr>
              <w:t>）</w:t>
            </w:r>
            <w:r>
              <w:rPr>
                <w:rFonts w:hint="eastAsia" w:ascii="Times New Roman" w:hAnsi="Times New Roman" w:cs="Times New Roman" w:eastAsiaTheme="minorEastAsia"/>
                <w:b/>
                <w:color w:val="auto"/>
                <w:spacing w:val="-2"/>
                <w:sz w:val="24"/>
                <w:highlight w:val="none"/>
              </w:rPr>
              <w:t>监测结果及评价分析</w:t>
            </w:r>
          </w:p>
          <w:p>
            <w:pPr>
              <w:pStyle w:val="90"/>
              <w:tabs>
                <w:tab w:val="left" w:pos="309"/>
                <w:tab w:val="left" w:pos="515"/>
              </w:tabs>
              <w:adjustRightInd w:val="0"/>
              <w:snapToGrid w:val="0"/>
              <w:spacing w:line="360" w:lineRule="auto"/>
              <w:ind w:firstLine="480" w:firstLineChars="200"/>
              <w:jc w:val="left"/>
              <w:rPr>
                <w:rFonts w:ascii="Times New Roman" w:hAnsi="Times New Roman" w:cs="Times New Roman" w:eastAsiaTheme="minorEastAsia"/>
                <w:bCs/>
                <w:color w:val="auto"/>
                <w:sz w:val="24"/>
                <w:highlight w:val="none"/>
              </w:rPr>
            </w:pPr>
            <w:r>
              <w:rPr>
                <w:rFonts w:hint="eastAsia" w:ascii="Times New Roman" w:hAnsi="Times New Roman" w:cs="Times New Roman" w:eastAsiaTheme="minorEastAsia"/>
                <w:bCs/>
                <w:color w:val="auto"/>
                <w:sz w:val="24"/>
                <w:highlight w:val="none"/>
              </w:rPr>
              <w:t>监测结果分析见表</w:t>
            </w:r>
            <w:r>
              <w:rPr>
                <w:rFonts w:ascii="Times New Roman" w:hAnsi="Times New Roman" w:cs="Times New Roman" w:eastAsiaTheme="minorEastAsia"/>
                <w:bCs/>
                <w:color w:val="auto"/>
                <w:sz w:val="24"/>
                <w:highlight w:val="none"/>
              </w:rPr>
              <w:t>3-4</w:t>
            </w:r>
            <w:r>
              <w:rPr>
                <w:rFonts w:hint="eastAsia" w:ascii="Times New Roman" w:hAnsi="Times New Roman" w:cs="Times New Roman" w:eastAsiaTheme="minorEastAsia"/>
                <w:bCs/>
                <w:color w:val="auto"/>
                <w:sz w:val="24"/>
                <w:highlight w:val="none"/>
              </w:rPr>
              <w:t>和3</w:t>
            </w:r>
            <w:r>
              <w:rPr>
                <w:rFonts w:ascii="Times New Roman" w:hAnsi="Times New Roman" w:cs="Times New Roman" w:eastAsiaTheme="minorEastAsia"/>
                <w:bCs/>
                <w:color w:val="auto"/>
                <w:sz w:val="24"/>
                <w:highlight w:val="none"/>
              </w:rPr>
              <w:t>-5</w:t>
            </w:r>
            <w:r>
              <w:rPr>
                <w:rFonts w:hint="eastAsia" w:ascii="Times New Roman" w:hAnsi="Times New Roman" w:cs="Times New Roman" w:eastAsiaTheme="minorEastAsia"/>
                <w:bCs/>
                <w:color w:val="auto"/>
                <w:sz w:val="24"/>
                <w:highlight w:val="none"/>
              </w:rPr>
              <w:t>。</w:t>
            </w:r>
          </w:p>
          <w:p>
            <w:pPr>
              <w:pStyle w:val="90"/>
              <w:tabs>
                <w:tab w:val="left" w:pos="309"/>
                <w:tab w:val="left" w:pos="515"/>
              </w:tabs>
              <w:adjustRightInd w:val="0"/>
              <w:snapToGrid w:val="0"/>
              <w:ind w:firstLine="0"/>
              <w:jc w:val="center"/>
              <w:rPr>
                <w:rFonts w:ascii="Times New Roman" w:hAnsi="Times New Roman" w:cs="Times New Roman" w:eastAsiaTheme="minorEastAsia"/>
                <w:b/>
                <w:color w:val="auto"/>
                <w:sz w:val="24"/>
                <w:highlight w:val="none"/>
              </w:rPr>
            </w:pPr>
            <w:r>
              <w:rPr>
                <w:rFonts w:hint="eastAsia" w:ascii="Times New Roman" w:hAnsi="Times New Roman" w:cs="Times New Roman" w:eastAsiaTheme="minorEastAsia"/>
                <w:b/>
                <w:color w:val="auto"/>
                <w:sz w:val="24"/>
                <w:highlight w:val="none"/>
              </w:rPr>
              <w:t>表</w:t>
            </w:r>
            <w:r>
              <w:rPr>
                <w:rFonts w:ascii="Times New Roman" w:hAnsi="Times New Roman" w:cs="Times New Roman" w:eastAsiaTheme="minorEastAsia"/>
                <w:b/>
                <w:color w:val="auto"/>
                <w:sz w:val="24"/>
                <w:highlight w:val="none"/>
              </w:rPr>
              <w:t xml:space="preserve">3-4  </w:t>
            </w:r>
            <w:r>
              <w:rPr>
                <w:rFonts w:hint="eastAsia" w:ascii="Times New Roman" w:hAnsi="Times New Roman" w:cs="Times New Roman" w:eastAsiaTheme="minorEastAsia"/>
                <w:b/>
                <w:color w:val="auto"/>
                <w:sz w:val="24"/>
                <w:highlight w:val="none"/>
              </w:rPr>
              <w:t>声环境监测结果</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1136"/>
              <w:gridCol w:w="1147"/>
              <w:gridCol w:w="1408"/>
              <w:gridCol w:w="1117"/>
              <w:gridCol w:w="14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vMerge w:val="restart"/>
                  <w:tcBorders>
                    <w:top w:val="single" w:color="auto" w:sz="12" w:space="0"/>
                    <w:left w:val="nil"/>
                    <w:bottom w:val="single" w:color="auto" w:sz="4" w:space="0"/>
                    <w:right w:val="single" w:color="auto" w:sz="4" w:space="0"/>
                  </w:tcBorders>
                  <w:vAlign w:val="center"/>
                </w:tcPr>
                <w:p>
                  <w:pPr>
                    <w:adjustRightInd w:val="0"/>
                    <w:snapToGrid w:val="0"/>
                    <w:jc w:val="center"/>
                    <w:rPr>
                      <w:rFonts w:eastAsiaTheme="minorEastAsia"/>
                      <w:color w:val="auto"/>
                      <w:sz w:val="21"/>
                      <w:szCs w:val="21"/>
                      <w:highlight w:val="none"/>
                    </w:rPr>
                  </w:pPr>
                  <w:r>
                    <w:rPr>
                      <w:rFonts w:hint="eastAsia"/>
                      <w:color w:val="auto"/>
                      <w:sz w:val="21"/>
                      <w:szCs w:val="21"/>
                      <w:highlight w:val="none"/>
                    </w:rPr>
                    <w:t>监测点位编号</w:t>
                  </w:r>
                </w:p>
              </w:tc>
              <w:tc>
                <w:tcPr>
                  <w:tcW w:w="1453" w:type="pct"/>
                  <w:gridSpan w:val="2"/>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监测结果</w:t>
                  </w:r>
                  <w:r>
                    <w:rPr>
                      <w:color w:val="auto"/>
                      <w:sz w:val="21"/>
                      <w:szCs w:val="21"/>
                      <w:highlight w:val="none"/>
                    </w:rPr>
                    <w:t>dB</w:t>
                  </w:r>
                  <w:r>
                    <w:rPr>
                      <w:rFonts w:hint="eastAsia"/>
                      <w:color w:val="auto"/>
                      <w:sz w:val="21"/>
                      <w:szCs w:val="21"/>
                      <w:highlight w:val="none"/>
                    </w:rPr>
                    <w:t>（</w:t>
                  </w:r>
                  <w:r>
                    <w:rPr>
                      <w:color w:val="auto"/>
                      <w:sz w:val="21"/>
                      <w:szCs w:val="21"/>
                      <w:highlight w:val="none"/>
                    </w:rPr>
                    <w:t>A</w:t>
                  </w:r>
                  <w:r>
                    <w:rPr>
                      <w:rFonts w:hint="eastAsia"/>
                      <w:color w:val="auto"/>
                      <w:sz w:val="21"/>
                      <w:szCs w:val="21"/>
                      <w:highlight w:val="none"/>
                    </w:rPr>
                    <w:t>）</w:t>
                  </w:r>
                </w:p>
              </w:tc>
              <w:tc>
                <w:tcPr>
                  <w:tcW w:w="1607" w:type="pct"/>
                  <w:gridSpan w:val="2"/>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标准值</w:t>
                  </w:r>
                  <w:r>
                    <w:rPr>
                      <w:color w:val="auto"/>
                      <w:sz w:val="21"/>
                      <w:szCs w:val="21"/>
                      <w:highlight w:val="none"/>
                    </w:rPr>
                    <w:t>dB</w:t>
                  </w:r>
                  <w:r>
                    <w:rPr>
                      <w:rFonts w:hint="eastAsia"/>
                      <w:color w:val="auto"/>
                      <w:sz w:val="21"/>
                      <w:szCs w:val="21"/>
                      <w:highlight w:val="none"/>
                    </w:rPr>
                    <w:t>（</w:t>
                  </w:r>
                  <w:r>
                    <w:rPr>
                      <w:color w:val="auto"/>
                      <w:sz w:val="21"/>
                      <w:szCs w:val="21"/>
                      <w:highlight w:val="none"/>
                    </w:rPr>
                    <w:t>A</w:t>
                  </w:r>
                  <w:r>
                    <w:rPr>
                      <w:rFonts w:hint="eastAsia"/>
                      <w:color w:val="auto"/>
                      <w:sz w:val="21"/>
                      <w:szCs w:val="21"/>
                      <w:highlight w:val="none"/>
                    </w:rPr>
                    <w:t>）</w:t>
                  </w:r>
                </w:p>
              </w:tc>
              <w:tc>
                <w:tcPr>
                  <w:tcW w:w="910" w:type="pct"/>
                  <w:vMerge w:val="restart"/>
                  <w:tcBorders>
                    <w:top w:val="single" w:color="auto" w:sz="12" w:space="0"/>
                    <w:left w:val="single" w:color="auto" w:sz="4" w:space="0"/>
                    <w:bottom w:val="single" w:color="auto" w:sz="4" w:space="0"/>
                    <w:right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vMerge w:val="continue"/>
                  <w:tcBorders>
                    <w:top w:val="single" w:color="auto" w:sz="12" w:space="0"/>
                    <w:left w:val="nil"/>
                    <w:bottom w:val="single" w:color="auto" w:sz="4" w:space="0"/>
                    <w:right w:val="single" w:color="auto" w:sz="4" w:space="0"/>
                  </w:tcBorders>
                  <w:vAlign w:val="center"/>
                </w:tcPr>
                <w:p>
                  <w:pPr>
                    <w:widowControl/>
                    <w:jc w:val="left"/>
                    <w:rPr>
                      <w:rFonts w:eastAsiaTheme="minorEastAsia"/>
                      <w:color w:val="auto"/>
                      <w:sz w:val="21"/>
                      <w:szCs w:val="21"/>
                      <w:highlight w:val="none"/>
                    </w:rPr>
                  </w:pPr>
                </w:p>
              </w:tc>
              <w:tc>
                <w:tcPr>
                  <w:tcW w:w="7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昼间</w:t>
                  </w:r>
                </w:p>
              </w:tc>
              <w:tc>
                <w:tcPr>
                  <w:tcW w:w="73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夜间</w:t>
                  </w:r>
                </w:p>
              </w:tc>
              <w:tc>
                <w:tcPr>
                  <w:tcW w:w="8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昼间</w:t>
                  </w:r>
                </w:p>
              </w:tc>
              <w:tc>
                <w:tcPr>
                  <w:tcW w:w="7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夜间</w:t>
                  </w:r>
                </w:p>
              </w:tc>
              <w:tc>
                <w:tcPr>
                  <w:tcW w:w="910" w:type="pct"/>
                  <w:vMerge w:val="continue"/>
                  <w:tcBorders>
                    <w:top w:val="single" w:color="auto" w:sz="12" w:space="0"/>
                    <w:left w:val="single" w:color="auto" w:sz="4" w:space="0"/>
                    <w:bottom w:val="single" w:color="auto" w:sz="4" w:space="0"/>
                    <w:right w:val="nil"/>
                  </w:tcBorders>
                  <w:vAlign w:val="center"/>
                </w:tcPr>
                <w:p>
                  <w:pPr>
                    <w:widowControl/>
                    <w:jc w:val="left"/>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tcBorders>
                    <w:top w:val="single" w:color="auto" w:sz="4" w:space="0"/>
                    <w:left w:val="nil"/>
                    <w:bottom w:val="single" w:color="auto" w:sz="4" w:space="0"/>
                    <w:right w:val="single" w:color="auto" w:sz="4" w:space="0"/>
                  </w:tcBorders>
                  <w:vAlign w:val="center"/>
                </w:tcPr>
                <w:p>
                  <w:pPr>
                    <w:spacing w:line="360" w:lineRule="exact"/>
                    <w:ind w:left="-105" w:leftChars="-50" w:right="-105" w:rightChars="-50"/>
                    <w:jc w:val="center"/>
                    <w:rPr>
                      <w:rFonts w:ascii="Times New Roman" w:hAnsi="Times New Roman" w:eastAsia="宋体" w:cs="Times New Roman"/>
                      <w:color w:val="auto"/>
                      <w:kern w:val="2"/>
                      <w:sz w:val="21"/>
                      <w:szCs w:val="21"/>
                      <w:highlight w:val="none"/>
                      <w:lang w:val="en-US" w:eastAsia="zh-CN" w:bidi="ar-SA"/>
                    </w:rPr>
                  </w:pPr>
                  <w:bookmarkStart w:id="16" w:name="_Hlk85560191"/>
                  <w:r>
                    <w:rPr>
                      <w:rFonts w:hint="eastAsia" w:ascii="宋体" w:hAnsi="宋体"/>
                      <w:color w:val="auto"/>
                      <w:sz w:val="21"/>
                      <w:szCs w:val="21"/>
                      <w:highlight w:val="none"/>
                    </w:rPr>
                    <w:t>△</w:t>
                  </w:r>
                  <w:r>
                    <w:rPr>
                      <w:rFonts w:hint="eastAsia"/>
                      <w:color w:val="auto"/>
                      <w:sz w:val="21"/>
                      <w:szCs w:val="21"/>
                      <w:highlight w:val="none"/>
                    </w:rPr>
                    <w:t>1</w:t>
                  </w:r>
                </w:p>
              </w:tc>
              <w:tc>
                <w:tcPr>
                  <w:tcW w:w="72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7</w:t>
                  </w:r>
                </w:p>
              </w:tc>
              <w:tc>
                <w:tcPr>
                  <w:tcW w:w="73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41</w:t>
                  </w:r>
                </w:p>
              </w:tc>
              <w:tc>
                <w:tcPr>
                  <w:tcW w:w="8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5</w:t>
                  </w:r>
                  <w:r>
                    <w:rPr>
                      <w:color w:val="auto"/>
                      <w:sz w:val="21"/>
                      <w:szCs w:val="21"/>
                      <w:highlight w:val="none"/>
                    </w:rPr>
                    <w:t>5</w:t>
                  </w:r>
                </w:p>
              </w:tc>
              <w:tc>
                <w:tcPr>
                  <w:tcW w:w="7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4</w:t>
                  </w:r>
                  <w:r>
                    <w:rPr>
                      <w:color w:val="auto"/>
                      <w:sz w:val="21"/>
                      <w:szCs w:val="21"/>
                      <w:highlight w:val="none"/>
                    </w:rPr>
                    <w:t>5</w:t>
                  </w:r>
                </w:p>
              </w:tc>
              <w:tc>
                <w:tcPr>
                  <w:tcW w:w="910" w:type="pct"/>
                  <w:tcBorders>
                    <w:top w:val="single" w:color="auto" w:sz="4" w:space="0"/>
                    <w:left w:val="single" w:color="auto" w:sz="4" w:space="0"/>
                    <w:bottom w:val="single" w:color="auto" w:sz="4" w:space="0"/>
                    <w:right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是</w:t>
                  </w:r>
                </w:p>
                <w:bookmarkEnd w:id="16"/>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tcBorders>
                    <w:top w:val="single" w:color="auto" w:sz="4" w:space="0"/>
                    <w:left w:val="nil"/>
                    <w:bottom w:val="single" w:color="auto" w:sz="4" w:space="0"/>
                    <w:right w:val="single" w:color="auto" w:sz="4" w:space="0"/>
                  </w:tcBorders>
                  <w:vAlign w:val="center"/>
                </w:tcPr>
                <w:p>
                  <w:pPr>
                    <w:spacing w:line="360" w:lineRule="exact"/>
                    <w:ind w:left="-105" w:leftChars="-50" w:right="-105" w:rightChars="-5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△2</w:t>
                  </w:r>
                </w:p>
              </w:tc>
              <w:tc>
                <w:tcPr>
                  <w:tcW w:w="72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6</w:t>
                  </w:r>
                </w:p>
              </w:tc>
              <w:tc>
                <w:tcPr>
                  <w:tcW w:w="73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40</w:t>
                  </w:r>
                </w:p>
              </w:tc>
              <w:tc>
                <w:tcPr>
                  <w:tcW w:w="8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5</w:t>
                  </w:r>
                  <w:r>
                    <w:rPr>
                      <w:color w:val="auto"/>
                      <w:sz w:val="21"/>
                      <w:szCs w:val="21"/>
                      <w:highlight w:val="none"/>
                    </w:rPr>
                    <w:t>5</w:t>
                  </w:r>
                </w:p>
              </w:tc>
              <w:tc>
                <w:tcPr>
                  <w:tcW w:w="7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4</w:t>
                  </w:r>
                  <w:r>
                    <w:rPr>
                      <w:color w:val="auto"/>
                      <w:sz w:val="21"/>
                      <w:szCs w:val="21"/>
                      <w:highlight w:val="none"/>
                    </w:rPr>
                    <w:t>5</w:t>
                  </w:r>
                </w:p>
              </w:tc>
              <w:tc>
                <w:tcPr>
                  <w:tcW w:w="910" w:type="pct"/>
                  <w:tcBorders>
                    <w:top w:val="single" w:color="auto" w:sz="4" w:space="0"/>
                    <w:left w:val="single" w:color="auto" w:sz="4" w:space="0"/>
                    <w:bottom w:val="single" w:color="auto" w:sz="4" w:space="0"/>
                    <w:right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tcBorders>
                    <w:top w:val="single" w:color="auto" w:sz="4" w:space="0"/>
                    <w:left w:val="nil"/>
                    <w:bottom w:val="single" w:color="auto" w:sz="4" w:space="0"/>
                    <w:right w:val="single" w:color="auto" w:sz="4" w:space="0"/>
                  </w:tcBorders>
                  <w:vAlign w:val="center"/>
                </w:tcPr>
                <w:p>
                  <w:pPr>
                    <w:spacing w:line="360" w:lineRule="exact"/>
                    <w:ind w:left="-105" w:leftChars="-50" w:right="-105" w:rightChars="-5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△3</w:t>
                  </w:r>
                </w:p>
              </w:tc>
              <w:tc>
                <w:tcPr>
                  <w:tcW w:w="72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7</w:t>
                  </w:r>
                </w:p>
              </w:tc>
              <w:tc>
                <w:tcPr>
                  <w:tcW w:w="73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41</w:t>
                  </w:r>
                </w:p>
              </w:tc>
              <w:tc>
                <w:tcPr>
                  <w:tcW w:w="8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5</w:t>
                  </w:r>
                  <w:r>
                    <w:rPr>
                      <w:color w:val="auto"/>
                      <w:sz w:val="21"/>
                      <w:szCs w:val="21"/>
                      <w:highlight w:val="none"/>
                    </w:rPr>
                    <w:t>5</w:t>
                  </w:r>
                </w:p>
              </w:tc>
              <w:tc>
                <w:tcPr>
                  <w:tcW w:w="7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4</w:t>
                  </w:r>
                  <w:r>
                    <w:rPr>
                      <w:color w:val="auto"/>
                      <w:sz w:val="21"/>
                      <w:szCs w:val="21"/>
                      <w:highlight w:val="none"/>
                    </w:rPr>
                    <w:t>5</w:t>
                  </w:r>
                </w:p>
              </w:tc>
              <w:tc>
                <w:tcPr>
                  <w:tcW w:w="910" w:type="pct"/>
                  <w:tcBorders>
                    <w:top w:val="single" w:color="auto" w:sz="4" w:space="0"/>
                    <w:left w:val="single" w:color="auto" w:sz="4" w:space="0"/>
                    <w:bottom w:val="single" w:color="auto" w:sz="4" w:space="0"/>
                    <w:right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tcBorders>
                    <w:top w:val="single" w:color="auto" w:sz="4" w:space="0"/>
                    <w:left w:val="nil"/>
                    <w:bottom w:val="single" w:color="auto" w:sz="4" w:space="0"/>
                    <w:right w:val="single" w:color="auto" w:sz="4" w:space="0"/>
                  </w:tcBorders>
                  <w:vAlign w:val="center"/>
                </w:tcPr>
                <w:p>
                  <w:pPr>
                    <w:spacing w:line="360" w:lineRule="exact"/>
                    <w:ind w:left="-105" w:leftChars="-50" w:right="-105" w:rightChars="-5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△4</w:t>
                  </w:r>
                </w:p>
              </w:tc>
              <w:tc>
                <w:tcPr>
                  <w:tcW w:w="72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6</w:t>
                  </w:r>
                  <w:r>
                    <w:rPr>
                      <w:color w:val="auto"/>
                      <w:sz w:val="21"/>
                      <w:szCs w:val="21"/>
                      <w:highlight w:val="none"/>
                    </w:rPr>
                    <w:t>5</w:t>
                  </w:r>
                </w:p>
              </w:tc>
              <w:tc>
                <w:tcPr>
                  <w:tcW w:w="73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8</w:t>
                  </w:r>
                </w:p>
              </w:tc>
              <w:tc>
                <w:tcPr>
                  <w:tcW w:w="8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b/>
                      <w:bCs/>
                      <w:color w:val="auto"/>
                      <w:sz w:val="21"/>
                      <w:szCs w:val="21"/>
                      <w:highlight w:val="none"/>
                      <w:lang w:val="en-US" w:eastAsia="zh-CN"/>
                    </w:rPr>
                    <w:t>70</w:t>
                  </w:r>
                </w:p>
              </w:tc>
              <w:tc>
                <w:tcPr>
                  <w:tcW w:w="7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b/>
                      <w:bCs/>
                      <w:color w:val="auto"/>
                      <w:sz w:val="21"/>
                      <w:szCs w:val="21"/>
                      <w:highlight w:val="none"/>
                      <w:lang w:val="en-US" w:eastAsia="zh-CN"/>
                    </w:rPr>
                    <w:t>55</w:t>
                  </w:r>
                </w:p>
              </w:tc>
              <w:tc>
                <w:tcPr>
                  <w:tcW w:w="910" w:type="pct"/>
                  <w:tcBorders>
                    <w:top w:val="single" w:color="auto" w:sz="4" w:space="0"/>
                    <w:left w:val="single" w:color="auto" w:sz="4" w:space="0"/>
                    <w:bottom w:val="single" w:color="auto" w:sz="4" w:space="0"/>
                    <w:right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tcBorders>
                    <w:top w:val="single" w:color="auto" w:sz="4" w:space="0"/>
                    <w:left w:val="nil"/>
                    <w:bottom w:val="single" w:color="auto" w:sz="4" w:space="0"/>
                    <w:right w:val="single" w:color="auto" w:sz="4" w:space="0"/>
                  </w:tcBorders>
                  <w:vAlign w:val="center"/>
                </w:tcPr>
                <w:p>
                  <w:pPr>
                    <w:spacing w:line="360" w:lineRule="exact"/>
                    <w:ind w:left="-105" w:leftChars="-50" w:right="-105" w:rightChars="-5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△5</w:t>
                  </w:r>
                </w:p>
              </w:tc>
              <w:tc>
                <w:tcPr>
                  <w:tcW w:w="72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5</w:t>
                  </w:r>
                  <w:r>
                    <w:rPr>
                      <w:color w:val="auto"/>
                      <w:sz w:val="21"/>
                      <w:szCs w:val="21"/>
                      <w:highlight w:val="none"/>
                    </w:rPr>
                    <w:t>2</w:t>
                  </w:r>
                </w:p>
              </w:tc>
              <w:tc>
                <w:tcPr>
                  <w:tcW w:w="73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40</w:t>
                  </w:r>
                </w:p>
              </w:tc>
              <w:tc>
                <w:tcPr>
                  <w:tcW w:w="8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b/>
                      <w:bCs/>
                      <w:color w:val="auto"/>
                      <w:sz w:val="21"/>
                      <w:szCs w:val="21"/>
                      <w:highlight w:val="none"/>
                      <w:lang w:val="en-US" w:eastAsia="zh-CN"/>
                    </w:rPr>
                  </w:pPr>
                  <w:r>
                    <w:rPr>
                      <w:rFonts w:hint="eastAsia"/>
                      <w:color w:val="auto"/>
                      <w:sz w:val="21"/>
                      <w:szCs w:val="21"/>
                      <w:highlight w:val="none"/>
                    </w:rPr>
                    <w:t>5</w:t>
                  </w:r>
                  <w:r>
                    <w:rPr>
                      <w:color w:val="auto"/>
                      <w:sz w:val="21"/>
                      <w:szCs w:val="21"/>
                      <w:highlight w:val="none"/>
                    </w:rPr>
                    <w:t>5</w:t>
                  </w:r>
                </w:p>
              </w:tc>
              <w:tc>
                <w:tcPr>
                  <w:tcW w:w="7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b/>
                      <w:bCs/>
                      <w:color w:val="auto"/>
                      <w:sz w:val="21"/>
                      <w:szCs w:val="21"/>
                      <w:highlight w:val="none"/>
                      <w:lang w:val="en-US" w:eastAsia="zh-CN"/>
                    </w:rPr>
                  </w:pPr>
                  <w:r>
                    <w:rPr>
                      <w:rFonts w:hint="eastAsia"/>
                      <w:color w:val="auto"/>
                      <w:sz w:val="21"/>
                      <w:szCs w:val="21"/>
                      <w:highlight w:val="none"/>
                    </w:rPr>
                    <w:t>4</w:t>
                  </w:r>
                  <w:r>
                    <w:rPr>
                      <w:color w:val="auto"/>
                      <w:sz w:val="21"/>
                      <w:szCs w:val="21"/>
                      <w:highlight w:val="none"/>
                    </w:rPr>
                    <w:t>5</w:t>
                  </w:r>
                </w:p>
              </w:tc>
              <w:tc>
                <w:tcPr>
                  <w:tcW w:w="910" w:type="pct"/>
                  <w:tcBorders>
                    <w:top w:val="single" w:color="auto" w:sz="4" w:space="0"/>
                    <w:left w:val="single" w:color="auto" w:sz="4" w:space="0"/>
                    <w:bottom w:val="single" w:color="auto" w:sz="4" w:space="0"/>
                    <w:right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tcBorders>
                    <w:top w:val="single" w:color="auto" w:sz="4" w:space="0"/>
                    <w:left w:val="nil"/>
                    <w:bottom w:val="single" w:color="auto" w:sz="4" w:space="0"/>
                    <w:right w:val="single" w:color="auto" w:sz="4" w:space="0"/>
                  </w:tcBorders>
                  <w:vAlign w:val="center"/>
                </w:tcPr>
                <w:p>
                  <w:pPr>
                    <w:spacing w:line="360" w:lineRule="exact"/>
                    <w:ind w:left="-105" w:leftChars="-50" w:right="-105" w:rightChars="-5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△6</w:t>
                  </w:r>
                </w:p>
              </w:tc>
              <w:tc>
                <w:tcPr>
                  <w:tcW w:w="72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8</w:t>
                  </w:r>
                </w:p>
              </w:tc>
              <w:tc>
                <w:tcPr>
                  <w:tcW w:w="73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1</w:t>
                  </w:r>
                </w:p>
              </w:tc>
              <w:tc>
                <w:tcPr>
                  <w:tcW w:w="8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b/>
                      <w:bCs/>
                      <w:color w:val="auto"/>
                      <w:sz w:val="21"/>
                      <w:szCs w:val="21"/>
                      <w:highlight w:val="none"/>
                      <w:lang w:val="en-US" w:eastAsia="zh-CN"/>
                    </w:rPr>
                    <w:t>65</w:t>
                  </w:r>
                </w:p>
              </w:tc>
              <w:tc>
                <w:tcPr>
                  <w:tcW w:w="7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b/>
                      <w:bCs/>
                      <w:color w:val="auto"/>
                      <w:sz w:val="21"/>
                      <w:szCs w:val="21"/>
                      <w:highlight w:val="none"/>
                      <w:lang w:val="en-US" w:eastAsia="zh-CN"/>
                    </w:rPr>
                    <w:t>55</w:t>
                  </w:r>
                </w:p>
              </w:tc>
              <w:tc>
                <w:tcPr>
                  <w:tcW w:w="910" w:type="pct"/>
                  <w:tcBorders>
                    <w:top w:val="single" w:color="auto" w:sz="4" w:space="0"/>
                    <w:left w:val="single" w:color="auto" w:sz="4" w:space="0"/>
                    <w:bottom w:val="single" w:color="auto" w:sz="4" w:space="0"/>
                    <w:right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tcBorders>
                    <w:top w:val="single" w:color="auto" w:sz="4" w:space="0"/>
                    <w:left w:val="nil"/>
                    <w:bottom w:val="single" w:color="auto" w:sz="4" w:space="0"/>
                    <w:right w:val="single" w:color="auto" w:sz="4" w:space="0"/>
                  </w:tcBorders>
                  <w:vAlign w:val="center"/>
                </w:tcPr>
                <w:p>
                  <w:pPr>
                    <w:spacing w:line="360" w:lineRule="exact"/>
                    <w:ind w:left="-105" w:leftChars="-50" w:right="-105" w:rightChars="-5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△7</w:t>
                  </w:r>
                </w:p>
              </w:tc>
              <w:tc>
                <w:tcPr>
                  <w:tcW w:w="72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9</w:t>
                  </w:r>
                </w:p>
              </w:tc>
              <w:tc>
                <w:tcPr>
                  <w:tcW w:w="73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1</w:t>
                  </w:r>
                </w:p>
              </w:tc>
              <w:tc>
                <w:tcPr>
                  <w:tcW w:w="8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65</w:t>
                  </w:r>
                </w:p>
              </w:tc>
              <w:tc>
                <w:tcPr>
                  <w:tcW w:w="7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55</w:t>
                  </w:r>
                </w:p>
              </w:tc>
              <w:tc>
                <w:tcPr>
                  <w:tcW w:w="910" w:type="pct"/>
                  <w:tcBorders>
                    <w:top w:val="single" w:color="auto" w:sz="4" w:space="0"/>
                    <w:left w:val="single" w:color="auto" w:sz="4" w:space="0"/>
                    <w:bottom w:val="single" w:color="auto" w:sz="4" w:space="0"/>
                    <w:right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vAlign w:val="center"/>
                </w:tcPr>
                <w:p>
                  <w:pPr>
                    <w:spacing w:line="360" w:lineRule="exact"/>
                    <w:ind w:left="-105" w:leftChars="-50" w:right="-105" w:rightChars="-5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△8</w:t>
                  </w:r>
                </w:p>
              </w:tc>
              <w:tc>
                <w:tcPr>
                  <w:tcW w:w="723" w:type="pct"/>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8</w:t>
                  </w:r>
                </w:p>
              </w:tc>
              <w:tc>
                <w:tcPr>
                  <w:tcW w:w="730" w:type="pct"/>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1</w:t>
                  </w:r>
                </w:p>
              </w:tc>
              <w:tc>
                <w:tcPr>
                  <w:tcW w:w="896" w:type="pct"/>
                  <w:vAlign w:val="center"/>
                </w:tcPr>
                <w:p>
                  <w:pPr>
                    <w:adjustRightInd w:val="0"/>
                    <w:snapToGrid w:val="0"/>
                    <w:jc w:val="center"/>
                    <w:rPr>
                      <w:color w:val="auto"/>
                      <w:sz w:val="21"/>
                      <w:szCs w:val="21"/>
                      <w:highlight w:val="none"/>
                    </w:rPr>
                  </w:pPr>
                  <w:r>
                    <w:rPr>
                      <w:rFonts w:hint="eastAsia"/>
                      <w:b/>
                      <w:bCs/>
                      <w:color w:val="auto"/>
                      <w:sz w:val="21"/>
                      <w:szCs w:val="21"/>
                      <w:highlight w:val="none"/>
                      <w:lang w:val="en-US" w:eastAsia="zh-CN"/>
                    </w:rPr>
                    <w:t>65</w:t>
                  </w:r>
                </w:p>
              </w:tc>
              <w:tc>
                <w:tcPr>
                  <w:tcW w:w="710" w:type="pct"/>
                  <w:vAlign w:val="center"/>
                </w:tcPr>
                <w:p>
                  <w:pPr>
                    <w:adjustRightInd w:val="0"/>
                    <w:snapToGrid w:val="0"/>
                    <w:jc w:val="center"/>
                    <w:rPr>
                      <w:color w:val="auto"/>
                      <w:sz w:val="21"/>
                      <w:szCs w:val="21"/>
                      <w:highlight w:val="none"/>
                    </w:rPr>
                  </w:pPr>
                  <w:r>
                    <w:rPr>
                      <w:rFonts w:hint="eastAsia"/>
                      <w:b/>
                      <w:bCs/>
                      <w:color w:val="auto"/>
                      <w:sz w:val="21"/>
                      <w:szCs w:val="21"/>
                      <w:highlight w:val="none"/>
                      <w:lang w:val="en-US" w:eastAsia="zh-CN"/>
                    </w:rPr>
                    <w:t>55</w:t>
                  </w:r>
                </w:p>
              </w:tc>
              <w:tc>
                <w:tcPr>
                  <w:tcW w:w="910" w:type="pct"/>
                </w:tcPr>
                <w:p>
                  <w:pPr>
                    <w:adjustRightInd w:val="0"/>
                    <w:snapToGrid w:val="0"/>
                    <w:jc w:val="center"/>
                    <w:rPr>
                      <w:color w:val="auto"/>
                      <w:sz w:val="21"/>
                      <w:szCs w:val="21"/>
                      <w:highlight w:val="none"/>
                    </w:rPr>
                  </w:pPr>
                  <w:r>
                    <w:rPr>
                      <w:rFonts w:hint="eastAsia"/>
                      <w:color w:val="auto"/>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vAlign w:val="center"/>
                </w:tcPr>
                <w:p>
                  <w:pPr>
                    <w:spacing w:line="360" w:lineRule="exact"/>
                    <w:ind w:left="-105" w:leftChars="-50" w:right="-105" w:rightChars="-5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△9</w:t>
                  </w:r>
                </w:p>
              </w:tc>
              <w:tc>
                <w:tcPr>
                  <w:tcW w:w="723" w:type="pct"/>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8</w:t>
                  </w:r>
                </w:p>
              </w:tc>
              <w:tc>
                <w:tcPr>
                  <w:tcW w:w="730" w:type="pct"/>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1</w:t>
                  </w:r>
                </w:p>
              </w:tc>
              <w:tc>
                <w:tcPr>
                  <w:tcW w:w="896" w:type="pct"/>
                  <w:vAlign w:val="center"/>
                </w:tcPr>
                <w:p>
                  <w:pPr>
                    <w:adjustRightInd w:val="0"/>
                    <w:snapToGrid w:val="0"/>
                    <w:jc w:val="center"/>
                    <w:rPr>
                      <w:color w:val="auto"/>
                      <w:sz w:val="21"/>
                      <w:szCs w:val="21"/>
                      <w:highlight w:val="none"/>
                    </w:rPr>
                  </w:pPr>
                  <w:r>
                    <w:rPr>
                      <w:rFonts w:hint="eastAsia"/>
                      <w:b/>
                      <w:bCs/>
                      <w:color w:val="auto"/>
                      <w:sz w:val="21"/>
                      <w:szCs w:val="21"/>
                      <w:highlight w:val="none"/>
                      <w:lang w:val="en-US" w:eastAsia="zh-CN"/>
                    </w:rPr>
                    <w:t>65</w:t>
                  </w:r>
                </w:p>
              </w:tc>
              <w:tc>
                <w:tcPr>
                  <w:tcW w:w="710" w:type="pct"/>
                  <w:vAlign w:val="center"/>
                </w:tcPr>
                <w:p>
                  <w:pPr>
                    <w:adjustRightInd w:val="0"/>
                    <w:snapToGrid w:val="0"/>
                    <w:jc w:val="center"/>
                    <w:rPr>
                      <w:color w:val="auto"/>
                      <w:sz w:val="21"/>
                      <w:szCs w:val="21"/>
                      <w:highlight w:val="none"/>
                    </w:rPr>
                  </w:pPr>
                  <w:r>
                    <w:rPr>
                      <w:rFonts w:hint="eastAsia"/>
                      <w:b/>
                      <w:bCs/>
                      <w:color w:val="auto"/>
                      <w:sz w:val="21"/>
                      <w:szCs w:val="21"/>
                      <w:highlight w:val="none"/>
                      <w:lang w:val="en-US" w:eastAsia="zh-CN"/>
                    </w:rPr>
                    <w:t>55</w:t>
                  </w:r>
                </w:p>
              </w:tc>
              <w:tc>
                <w:tcPr>
                  <w:tcW w:w="910" w:type="pct"/>
                </w:tcPr>
                <w:p>
                  <w:pPr>
                    <w:adjustRightInd w:val="0"/>
                    <w:snapToGrid w:val="0"/>
                    <w:jc w:val="center"/>
                    <w:rPr>
                      <w:color w:val="auto"/>
                      <w:sz w:val="21"/>
                      <w:szCs w:val="21"/>
                      <w:highlight w:val="none"/>
                    </w:rPr>
                  </w:pPr>
                  <w:r>
                    <w:rPr>
                      <w:rFonts w:hint="eastAsia"/>
                      <w:color w:val="auto"/>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vAlign w:val="center"/>
                </w:tcPr>
                <w:p>
                  <w:pPr>
                    <w:spacing w:line="360" w:lineRule="exact"/>
                    <w:ind w:left="-105" w:leftChars="-50" w:right="-105" w:rightChars="-5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△1</w:t>
                  </w:r>
                  <w:r>
                    <w:rPr>
                      <w:rFonts w:ascii="宋体" w:hAnsi="宋体"/>
                      <w:color w:val="auto"/>
                      <w:sz w:val="21"/>
                      <w:szCs w:val="21"/>
                      <w:highlight w:val="none"/>
                    </w:rPr>
                    <w:t>0</w:t>
                  </w:r>
                </w:p>
              </w:tc>
              <w:tc>
                <w:tcPr>
                  <w:tcW w:w="723" w:type="pct"/>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9</w:t>
                  </w:r>
                </w:p>
              </w:tc>
              <w:tc>
                <w:tcPr>
                  <w:tcW w:w="730" w:type="pct"/>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2</w:t>
                  </w:r>
                </w:p>
              </w:tc>
              <w:tc>
                <w:tcPr>
                  <w:tcW w:w="896" w:type="pct"/>
                  <w:vAlign w:val="center"/>
                </w:tcPr>
                <w:p>
                  <w:pPr>
                    <w:adjustRightInd w:val="0"/>
                    <w:snapToGrid w:val="0"/>
                    <w:jc w:val="center"/>
                    <w:rPr>
                      <w:color w:val="auto"/>
                      <w:sz w:val="21"/>
                      <w:szCs w:val="21"/>
                      <w:highlight w:val="none"/>
                    </w:rPr>
                  </w:pPr>
                  <w:r>
                    <w:rPr>
                      <w:rFonts w:hint="eastAsia"/>
                      <w:b/>
                      <w:bCs/>
                      <w:color w:val="auto"/>
                      <w:sz w:val="21"/>
                      <w:szCs w:val="21"/>
                      <w:highlight w:val="none"/>
                      <w:lang w:val="en-US" w:eastAsia="zh-CN"/>
                    </w:rPr>
                    <w:t>65</w:t>
                  </w:r>
                </w:p>
              </w:tc>
              <w:tc>
                <w:tcPr>
                  <w:tcW w:w="710" w:type="pct"/>
                  <w:vAlign w:val="center"/>
                </w:tcPr>
                <w:p>
                  <w:pPr>
                    <w:adjustRightInd w:val="0"/>
                    <w:snapToGrid w:val="0"/>
                    <w:jc w:val="center"/>
                    <w:rPr>
                      <w:color w:val="auto"/>
                      <w:sz w:val="21"/>
                      <w:szCs w:val="21"/>
                      <w:highlight w:val="none"/>
                    </w:rPr>
                  </w:pPr>
                  <w:r>
                    <w:rPr>
                      <w:rFonts w:hint="eastAsia"/>
                      <w:b/>
                      <w:bCs/>
                      <w:color w:val="auto"/>
                      <w:sz w:val="21"/>
                      <w:szCs w:val="21"/>
                      <w:highlight w:val="none"/>
                      <w:lang w:val="en-US" w:eastAsia="zh-CN"/>
                    </w:rPr>
                    <w:t>55</w:t>
                  </w:r>
                </w:p>
              </w:tc>
              <w:tc>
                <w:tcPr>
                  <w:tcW w:w="910" w:type="pct"/>
                </w:tcPr>
                <w:p>
                  <w:pPr>
                    <w:adjustRightInd w:val="0"/>
                    <w:snapToGrid w:val="0"/>
                    <w:jc w:val="center"/>
                    <w:rPr>
                      <w:color w:val="auto"/>
                      <w:sz w:val="21"/>
                      <w:szCs w:val="21"/>
                      <w:highlight w:val="none"/>
                    </w:rPr>
                  </w:pPr>
                  <w:r>
                    <w:rPr>
                      <w:rFonts w:hint="eastAsia"/>
                      <w:color w:val="auto"/>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vAlign w:val="center"/>
                </w:tcPr>
                <w:p>
                  <w:pPr>
                    <w:spacing w:line="360" w:lineRule="exact"/>
                    <w:ind w:left="-105" w:leftChars="-50" w:right="-105" w:rightChars="-5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△1</w:t>
                  </w:r>
                  <w:r>
                    <w:rPr>
                      <w:rFonts w:ascii="宋体" w:hAnsi="宋体"/>
                      <w:color w:val="auto"/>
                      <w:sz w:val="21"/>
                      <w:szCs w:val="21"/>
                      <w:highlight w:val="none"/>
                    </w:rPr>
                    <w:t>1</w:t>
                  </w:r>
                </w:p>
              </w:tc>
              <w:tc>
                <w:tcPr>
                  <w:tcW w:w="723" w:type="pct"/>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8</w:t>
                  </w:r>
                </w:p>
              </w:tc>
              <w:tc>
                <w:tcPr>
                  <w:tcW w:w="730" w:type="pct"/>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2</w:t>
                  </w:r>
                </w:p>
              </w:tc>
              <w:tc>
                <w:tcPr>
                  <w:tcW w:w="896" w:type="pct"/>
                  <w:vAlign w:val="center"/>
                </w:tcPr>
                <w:p>
                  <w:pPr>
                    <w:adjustRightInd w:val="0"/>
                    <w:snapToGrid w:val="0"/>
                    <w:jc w:val="center"/>
                    <w:rPr>
                      <w:color w:val="auto"/>
                      <w:sz w:val="21"/>
                      <w:szCs w:val="21"/>
                      <w:highlight w:val="none"/>
                    </w:rPr>
                  </w:pPr>
                  <w:r>
                    <w:rPr>
                      <w:rFonts w:hint="eastAsia"/>
                      <w:b/>
                      <w:bCs/>
                      <w:color w:val="auto"/>
                      <w:sz w:val="21"/>
                      <w:szCs w:val="21"/>
                      <w:highlight w:val="none"/>
                      <w:lang w:val="en-US" w:eastAsia="zh-CN"/>
                    </w:rPr>
                    <w:t>65</w:t>
                  </w:r>
                </w:p>
              </w:tc>
              <w:tc>
                <w:tcPr>
                  <w:tcW w:w="710" w:type="pct"/>
                  <w:vAlign w:val="center"/>
                </w:tcPr>
                <w:p>
                  <w:pPr>
                    <w:adjustRightInd w:val="0"/>
                    <w:snapToGrid w:val="0"/>
                    <w:jc w:val="center"/>
                    <w:rPr>
                      <w:color w:val="auto"/>
                      <w:sz w:val="21"/>
                      <w:szCs w:val="21"/>
                      <w:highlight w:val="none"/>
                    </w:rPr>
                  </w:pPr>
                  <w:r>
                    <w:rPr>
                      <w:rFonts w:hint="eastAsia"/>
                      <w:b/>
                      <w:bCs/>
                      <w:color w:val="auto"/>
                      <w:sz w:val="21"/>
                      <w:szCs w:val="21"/>
                      <w:highlight w:val="none"/>
                      <w:lang w:val="en-US" w:eastAsia="zh-CN"/>
                    </w:rPr>
                    <w:t>55</w:t>
                  </w:r>
                </w:p>
              </w:tc>
              <w:tc>
                <w:tcPr>
                  <w:tcW w:w="910" w:type="pct"/>
                </w:tcPr>
                <w:p>
                  <w:pPr>
                    <w:adjustRightInd w:val="0"/>
                    <w:snapToGrid w:val="0"/>
                    <w:jc w:val="center"/>
                    <w:rPr>
                      <w:color w:val="auto"/>
                      <w:sz w:val="21"/>
                      <w:szCs w:val="21"/>
                      <w:highlight w:val="none"/>
                    </w:rPr>
                  </w:pPr>
                  <w:r>
                    <w:rPr>
                      <w:rFonts w:hint="eastAsia"/>
                      <w:color w:val="auto"/>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8" w:type="pct"/>
                  <w:vAlign w:val="center"/>
                </w:tcPr>
                <w:p>
                  <w:pPr>
                    <w:spacing w:line="360" w:lineRule="exact"/>
                    <w:ind w:left="-105" w:leftChars="-50" w:right="-105" w:rightChars="-5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△1</w:t>
                  </w:r>
                  <w:r>
                    <w:rPr>
                      <w:rFonts w:ascii="宋体" w:hAnsi="宋体"/>
                      <w:color w:val="auto"/>
                      <w:sz w:val="21"/>
                      <w:szCs w:val="21"/>
                      <w:highlight w:val="none"/>
                    </w:rPr>
                    <w:t>2</w:t>
                  </w:r>
                </w:p>
              </w:tc>
              <w:tc>
                <w:tcPr>
                  <w:tcW w:w="723" w:type="pct"/>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9</w:t>
                  </w:r>
                </w:p>
              </w:tc>
              <w:tc>
                <w:tcPr>
                  <w:tcW w:w="730" w:type="pct"/>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1</w:t>
                  </w:r>
                </w:p>
              </w:tc>
              <w:tc>
                <w:tcPr>
                  <w:tcW w:w="896" w:type="pct"/>
                  <w:vAlign w:val="center"/>
                </w:tcPr>
                <w:p>
                  <w:pPr>
                    <w:adjustRightInd w:val="0"/>
                    <w:snapToGrid w:val="0"/>
                    <w:jc w:val="center"/>
                    <w:rPr>
                      <w:color w:val="auto"/>
                      <w:sz w:val="21"/>
                      <w:szCs w:val="21"/>
                      <w:highlight w:val="none"/>
                    </w:rPr>
                  </w:pPr>
                  <w:r>
                    <w:rPr>
                      <w:rFonts w:hint="eastAsia"/>
                      <w:b/>
                      <w:bCs/>
                      <w:color w:val="auto"/>
                      <w:sz w:val="21"/>
                      <w:szCs w:val="21"/>
                      <w:highlight w:val="none"/>
                      <w:lang w:val="en-US" w:eastAsia="zh-CN"/>
                    </w:rPr>
                    <w:t>65</w:t>
                  </w:r>
                </w:p>
              </w:tc>
              <w:tc>
                <w:tcPr>
                  <w:tcW w:w="710" w:type="pct"/>
                  <w:vAlign w:val="center"/>
                </w:tcPr>
                <w:p>
                  <w:pPr>
                    <w:adjustRightInd w:val="0"/>
                    <w:snapToGrid w:val="0"/>
                    <w:jc w:val="center"/>
                    <w:rPr>
                      <w:color w:val="auto"/>
                      <w:sz w:val="21"/>
                      <w:szCs w:val="21"/>
                      <w:highlight w:val="none"/>
                    </w:rPr>
                  </w:pPr>
                  <w:r>
                    <w:rPr>
                      <w:rFonts w:hint="eastAsia"/>
                      <w:b/>
                      <w:bCs/>
                      <w:color w:val="auto"/>
                      <w:sz w:val="21"/>
                      <w:szCs w:val="21"/>
                      <w:highlight w:val="none"/>
                      <w:lang w:val="en-US" w:eastAsia="zh-CN"/>
                    </w:rPr>
                    <w:t>55</w:t>
                  </w:r>
                </w:p>
              </w:tc>
              <w:tc>
                <w:tcPr>
                  <w:tcW w:w="910" w:type="pct"/>
                </w:tcPr>
                <w:p>
                  <w:pPr>
                    <w:adjustRightInd w:val="0"/>
                    <w:snapToGrid w:val="0"/>
                    <w:jc w:val="center"/>
                    <w:rPr>
                      <w:color w:val="auto"/>
                      <w:sz w:val="21"/>
                      <w:szCs w:val="21"/>
                      <w:highlight w:val="none"/>
                    </w:rPr>
                  </w:pPr>
                  <w:r>
                    <w:rPr>
                      <w:rFonts w:hint="eastAsia"/>
                      <w:color w:val="auto"/>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vAlign w:val="center"/>
                </w:tcPr>
                <w:p>
                  <w:pPr>
                    <w:spacing w:line="360" w:lineRule="exact"/>
                    <w:ind w:left="-105" w:leftChars="-50" w:right="-105" w:rightChars="-5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△1</w:t>
                  </w:r>
                  <w:r>
                    <w:rPr>
                      <w:rFonts w:ascii="宋体" w:hAnsi="宋体"/>
                      <w:color w:val="auto"/>
                      <w:sz w:val="21"/>
                      <w:szCs w:val="21"/>
                      <w:highlight w:val="none"/>
                    </w:rPr>
                    <w:t>3</w:t>
                  </w:r>
                </w:p>
              </w:tc>
              <w:tc>
                <w:tcPr>
                  <w:tcW w:w="723" w:type="pct"/>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8</w:t>
                  </w:r>
                </w:p>
              </w:tc>
              <w:tc>
                <w:tcPr>
                  <w:tcW w:w="730" w:type="pct"/>
                  <w:vAlign w:val="center"/>
                </w:tcPr>
                <w:p>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0</w:t>
                  </w:r>
                </w:p>
              </w:tc>
              <w:tc>
                <w:tcPr>
                  <w:tcW w:w="896" w:type="pct"/>
                  <w:vAlign w:val="center"/>
                </w:tcPr>
                <w:p>
                  <w:pPr>
                    <w:adjustRightInd w:val="0"/>
                    <w:snapToGrid w:val="0"/>
                    <w:jc w:val="center"/>
                    <w:rPr>
                      <w:color w:val="auto"/>
                      <w:sz w:val="21"/>
                      <w:szCs w:val="21"/>
                      <w:highlight w:val="none"/>
                    </w:rPr>
                  </w:pPr>
                  <w:r>
                    <w:rPr>
                      <w:rFonts w:hint="eastAsia"/>
                      <w:color w:val="auto"/>
                      <w:sz w:val="21"/>
                      <w:szCs w:val="21"/>
                      <w:highlight w:val="none"/>
                    </w:rPr>
                    <w:t>5</w:t>
                  </w:r>
                  <w:r>
                    <w:rPr>
                      <w:color w:val="auto"/>
                      <w:sz w:val="21"/>
                      <w:szCs w:val="21"/>
                      <w:highlight w:val="none"/>
                    </w:rPr>
                    <w:t>5</w:t>
                  </w:r>
                </w:p>
              </w:tc>
              <w:tc>
                <w:tcPr>
                  <w:tcW w:w="710" w:type="pct"/>
                  <w:vAlign w:val="center"/>
                </w:tcPr>
                <w:p>
                  <w:pPr>
                    <w:adjustRightInd w:val="0"/>
                    <w:snapToGrid w:val="0"/>
                    <w:jc w:val="center"/>
                    <w:rPr>
                      <w:color w:val="auto"/>
                      <w:sz w:val="21"/>
                      <w:szCs w:val="21"/>
                      <w:highlight w:val="none"/>
                    </w:rPr>
                  </w:pPr>
                  <w:r>
                    <w:rPr>
                      <w:rFonts w:hint="eastAsia"/>
                      <w:color w:val="auto"/>
                      <w:sz w:val="21"/>
                      <w:szCs w:val="21"/>
                      <w:highlight w:val="none"/>
                    </w:rPr>
                    <w:t>4</w:t>
                  </w:r>
                  <w:r>
                    <w:rPr>
                      <w:color w:val="auto"/>
                      <w:sz w:val="21"/>
                      <w:szCs w:val="21"/>
                      <w:highlight w:val="none"/>
                    </w:rPr>
                    <w:t>5</w:t>
                  </w:r>
                </w:p>
              </w:tc>
              <w:tc>
                <w:tcPr>
                  <w:tcW w:w="910" w:type="pct"/>
                </w:tcPr>
                <w:p>
                  <w:pPr>
                    <w:adjustRightInd w:val="0"/>
                    <w:snapToGrid w:val="0"/>
                    <w:jc w:val="center"/>
                    <w:rPr>
                      <w:color w:val="auto"/>
                      <w:sz w:val="21"/>
                      <w:szCs w:val="21"/>
                      <w:highlight w:val="none"/>
                    </w:rPr>
                  </w:pPr>
                  <w:r>
                    <w:rPr>
                      <w:rFonts w:hint="eastAsia"/>
                      <w:color w:val="auto"/>
                      <w:sz w:val="21"/>
                      <w:szCs w:val="21"/>
                      <w:highlight w:val="none"/>
                    </w:rPr>
                    <w:t>是</w:t>
                  </w:r>
                </w:p>
              </w:tc>
            </w:tr>
          </w:tbl>
          <w:p>
            <w:pPr>
              <w:pStyle w:val="90"/>
              <w:tabs>
                <w:tab w:val="left" w:pos="309"/>
                <w:tab w:val="left" w:pos="515"/>
              </w:tabs>
              <w:adjustRightInd w:val="0"/>
              <w:snapToGrid w:val="0"/>
              <w:spacing w:before="120" w:beforeLines="50"/>
              <w:ind w:firstLine="0"/>
              <w:jc w:val="center"/>
              <w:rPr>
                <w:rFonts w:ascii="Times New Roman" w:hAnsi="Times New Roman" w:cs="Times New Roman" w:eastAsiaTheme="minorEastAsia"/>
                <w:b/>
                <w:color w:val="auto"/>
                <w:sz w:val="24"/>
                <w:highlight w:val="none"/>
              </w:rPr>
            </w:pPr>
            <w:r>
              <w:rPr>
                <w:rFonts w:hint="eastAsia" w:ascii="Times New Roman" w:hAnsi="Times New Roman" w:cs="Times New Roman" w:eastAsiaTheme="minorEastAsia"/>
                <w:b/>
                <w:color w:val="auto"/>
                <w:sz w:val="24"/>
                <w:highlight w:val="none"/>
              </w:rPr>
              <w:t>表</w:t>
            </w:r>
            <w:r>
              <w:rPr>
                <w:rFonts w:ascii="Times New Roman" w:hAnsi="Times New Roman" w:cs="Times New Roman" w:eastAsiaTheme="minorEastAsia"/>
                <w:b/>
                <w:color w:val="auto"/>
                <w:sz w:val="24"/>
                <w:highlight w:val="none"/>
              </w:rPr>
              <w:t xml:space="preserve">3-5  </w:t>
            </w:r>
            <w:r>
              <w:rPr>
                <w:rFonts w:hint="eastAsia" w:ascii="Times New Roman" w:hAnsi="Times New Roman" w:cs="Times New Roman" w:eastAsiaTheme="minorEastAsia"/>
                <w:b/>
                <w:color w:val="auto"/>
                <w:sz w:val="24"/>
                <w:highlight w:val="none"/>
                <w:lang w:eastAsia="zh-CN"/>
              </w:rPr>
              <w:t>220kV全德变电站</w:t>
            </w:r>
            <w:r>
              <w:rPr>
                <w:rFonts w:hint="eastAsia" w:ascii="Times New Roman" w:hAnsi="Times New Roman" w:cs="Times New Roman" w:eastAsiaTheme="minorEastAsia"/>
                <w:b/>
                <w:color w:val="auto"/>
                <w:sz w:val="24"/>
                <w:highlight w:val="none"/>
              </w:rPr>
              <w:t>间隔扩建侧厂界噪声监测结果</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1136"/>
              <w:gridCol w:w="1147"/>
              <w:gridCol w:w="1408"/>
              <w:gridCol w:w="1116"/>
              <w:gridCol w:w="14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029" w:type="pct"/>
                  <w:vMerge w:val="restart"/>
                  <w:tcBorders>
                    <w:tl2br w:val="nil"/>
                    <w:tr2bl w:val="nil"/>
                  </w:tcBorders>
                  <w:vAlign w:val="center"/>
                </w:tcPr>
                <w:p>
                  <w:pPr>
                    <w:adjustRightInd w:val="0"/>
                    <w:snapToGrid w:val="0"/>
                    <w:jc w:val="center"/>
                    <w:rPr>
                      <w:rFonts w:eastAsiaTheme="minorEastAsia"/>
                      <w:color w:val="auto"/>
                      <w:szCs w:val="21"/>
                      <w:highlight w:val="none"/>
                    </w:rPr>
                  </w:pPr>
                  <w:r>
                    <w:rPr>
                      <w:rFonts w:hint="eastAsia"/>
                      <w:color w:val="auto"/>
                      <w:szCs w:val="21"/>
                      <w:highlight w:val="none"/>
                    </w:rPr>
                    <w:t>监测点位编号</w:t>
                  </w:r>
                </w:p>
              </w:tc>
              <w:tc>
                <w:tcPr>
                  <w:tcW w:w="1453" w:type="pct"/>
                  <w:gridSpan w:val="2"/>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监测结果</w:t>
                  </w:r>
                  <w:r>
                    <w:rPr>
                      <w:color w:val="auto"/>
                      <w:szCs w:val="21"/>
                      <w:highlight w:val="none"/>
                    </w:rPr>
                    <w:t>dB</w:t>
                  </w:r>
                  <w:r>
                    <w:rPr>
                      <w:rFonts w:hint="eastAsia"/>
                      <w:color w:val="auto"/>
                      <w:szCs w:val="21"/>
                      <w:highlight w:val="none"/>
                    </w:rPr>
                    <w:t>（</w:t>
                  </w:r>
                  <w:r>
                    <w:rPr>
                      <w:color w:val="auto"/>
                      <w:szCs w:val="21"/>
                      <w:highlight w:val="none"/>
                    </w:rPr>
                    <w:t>A</w:t>
                  </w:r>
                  <w:r>
                    <w:rPr>
                      <w:rFonts w:hint="eastAsia"/>
                      <w:color w:val="auto"/>
                      <w:szCs w:val="21"/>
                      <w:highlight w:val="none"/>
                    </w:rPr>
                    <w:t>）</w:t>
                  </w:r>
                </w:p>
              </w:tc>
              <w:tc>
                <w:tcPr>
                  <w:tcW w:w="1606" w:type="pct"/>
                  <w:gridSpan w:val="2"/>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标准值</w:t>
                  </w:r>
                  <w:r>
                    <w:rPr>
                      <w:color w:val="auto"/>
                      <w:szCs w:val="21"/>
                      <w:highlight w:val="none"/>
                    </w:rPr>
                    <w:t>dB</w:t>
                  </w:r>
                  <w:r>
                    <w:rPr>
                      <w:rFonts w:hint="eastAsia"/>
                      <w:color w:val="auto"/>
                      <w:szCs w:val="21"/>
                      <w:highlight w:val="none"/>
                    </w:rPr>
                    <w:t>（</w:t>
                  </w:r>
                  <w:r>
                    <w:rPr>
                      <w:color w:val="auto"/>
                      <w:szCs w:val="21"/>
                      <w:highlight w:val="none"/>
                    </w:rPr>
                    <w:t>A</w:t>
                  </w:r>
                  <w:r>
                    <w:rPr>
                      <w:rFonts w:hint="eastAsia"/>
                      <w:color w:val="auto"/>
                      <w:szCs w:val="21"/>
                      <w:highlight w:val="none"/>
                    </w:rPr>
                    <w:t>）</w:t>
                  </w:r>
                </w:p>
              </w:tc>
              <w:tc>
                <w:tcPr>
                  <w:tcW w:w="910" w:type="pct"/>
                  <w:vMerge w:val="restart"/>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29" w:type="pct"/>
                  <w:vMerge w:val="continue"/>
                  <w:tcBorders>
                    <w:tl2br w:val="nil"/>
                    <w:tr2bl w:val="nil"/>
                  </w:tcBorders>
                  <w:vAlign w:val="center"/>
                </w:tcPr>
                <w:p>
                  <w:pPr>
                    <w:widowControl/>
                    <w:jc w:val="left"/>
                    <w:rPr>
                      <w:rFonts w:eastAsiaTheme="minorEastAsia"/>
                      <w:color w:val="auto"/>
                      <w:szCs w:val="21"/>
                      <w:highlight w:val="none"/>
                    </w:rPr>
                  </w:pPr>
                </w:p>
              </w:tc>
              <w:tc>
                <w:tcPr>
                  <w:tcW w:w="723" w:type="pct"/>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昼间</w:t>
                  </w:r>
                </w:p>
              </w:tc>
              <w:tc>
                <w:tcPr>
                  <w:tcW w:w="730" w:type="pct"/>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夜间</w:t>
                  </w:r>
                </w:p>
              </w:tc>
              <w:tc>
                <w:tcPr>
                  <w:tcW w:w="896" w:type="pct"/>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昼间</w:t>
                  </w:r>
                </w:p>
              </w:tc>
              <w:tc>
                <w:tcPr>
                  <w:tcW w:w="709" w:type="pct"/>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夜间</w:t>
                  </w:r>
                </w:p>
              </w:tc>
              <w:tc>
                <w:tcPr>
                  <w:tcW w:w="910" w:type="pct"/>
                  <w:vMerge w:val="continue"/>
                  <w:tcBorders>
                    <w:tl2br w:val="nil"/>
                    <w:tr2bl w:val="nil"/>
                  </w:tcBorders>
                  <w:vAlign w:val="center"/>
                </w:tcPr>
                <w:p>
                  <w:pPr>
                    <w:widowControl/>
                    <w:jc w:val="left"/>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29" w:type="pct"/>
                  <w:tcBorders>
                    <w:tl2br w:val="nil"/>
                    <w:tr2bl w:val="nil"/>
                  </w:tcBorders>
                  <w:vAlign w:val="center"/>
                </w:tcPr>
                <w:p>
                  <w:pPr>
                    <w:adjustRightInd w:val="0"/>
                    <w:snapToGrid w:val="0"/>
                    <w:jc w:val="center"/>
                    <w:rPr>
                      <w:color w:val="auto"/>
                      <w:szCs w:val="21"/>
                      <w:highlight w:val="none"/>
                    </w:rPr>
                  </w:pPr>
                  <w:r>
                    <w:rPr>
                      <w:rFonts w:hint="eastAsia" w:ascii="宋体" w:hAnsi="宋体" w:cs="宋体"/>
                      <w:color w:val="auto"/>
                      <w:szCs w:val="21"/>
                      <w:highlight w:val="none"/>
                    </w:rPr>
                    <w:t>▲</w:t>
                  </w:r>
                  <w:r>
                    <w:rPr>
                      <w:color w:val="auto"/>
                      <w:szCs w:val="21"/>
                      <w:highlight w:val="none"/>
                    </w:rPr>
                    <w:t>1</w:t>
                  </w:r>
                </w:p>
              </w:tc>
              <w:tc>
                <w:tcPr>
                  <w:tcW w:w="723" w:type="pct"/>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47</w:t>
                  </w:r>
                </w:p>
              </w:tc>
              <w:tc>
                <w:tcPr>
                  <w:tcW w:w="730" w:type="pct"/>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44</w:t>
                  </w:r>
                </w:p>
              </w:tc>
              <w:tc>
                <w:tcPr>
                  <w:tcW w:w="896" w:type="pct"/>
                  <w:tcBorders>
                    <w:tl2br w:val="nil"/>
                    <w:tr2bl w:val="nil"/>
                  </w:tcBorders>
                  <w:vAlign w:val="center"/>
                </w:tcPr>
                <w:p>
                  <w:pPr>
                    <w:adjustRightInd w:val="0"/>
                    <w:snapToGrid w:val="0"/>
                    <w:jc w:val="center"/>
                    <w:rPr>
                      <w:color w:val="auto"/>
                      <w:szCs w:val="21"/>
                      <w:highlight w:val="none"/>
                    </w:rPr>
                  </w:pPr>
                  <w:r>
                    <w:rPr>
                      <w:color w:val="auto"/>
                      <w:szCs w:val="21"/>
                      <w:highlight w:val="none"/>
                    </w:rPr>
                    <w:t>60</w:t>
                  </w:r>
                </w:p>
              </w:tc>
              <w:tc>
                <w:tcPr>
                  <w:tcW w:w="709" w:type="pct"/>
                  <w:tcBorders>
                    <w:tl2br w:val="nil"/>
                    <w:tr2bl w:val="nil"/>
                  </w:tcBorders>
                  <w:vAlign w:val="center"/>
                </w:tcPr>
                <w:p>
                  <w:pPr>
                    <w:adjustRightInd w:val="0"/>
                    <w:snapToGrid w:val="0"/>
                    <w:jc w:val="center"/>
                    <w:rPr>
                      <w:color w:val="auto"/>
                      <w:szCs w:val="21"/>
                      <w:highlight w:val="none"/>
                    </w:rPr>
                  </w:pPr>
                  <w:r>
                    <w:rPr>
                      <w:color w:val="auto"/>
                      <w:szCs w:val="21"/>
                      <w:highlight w:val="none"/>
                    </w:rPr>
                    <w:t>50</w:t>
                  </w:r>
                </w:p>
              </w:tc>
              <w:tc>
                <w:tcPr>
                  <w:tcW w:w="910" w:type="pct"/>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是</w:t>
                  </w:r>
                </w:p>
              </w:tc>
            </w:tr>
          </w:tbl>
          <w:p>
            <w:pPr>
              <w:pStyle w:val="35"/>
              <w:ind w:firstLine="480" w:firstLineChars="200"/>
              <w:rPr>
                <w:rFonts w:ascii="Times New Roman" w:hAnsi="Times New Roman" w:cs="Times New Roman"/>
                <w:bCs/>
                <w:color w:val="auto"/>
                <w:highlight w:val="none"/>
              </w:rPr>
            </w:pPr>
          </w:p>
          <w:p>
            <w:pPr>
              <w:pStyle w:val="35"/>
              <w:ind w:firstLine="480" w:firstLineChars="200"/>
              <w:rPr>
                <w:color w:val="auto"/>
                <w:sz w:val="24"/>
                <w:highlight w:val="yellow"/>
              </w:rPr>
            </w:pPr>
            <w:r>
              <w:rPr>
                <w:rFonts w:ascii="Times New Roman" w:hAnsi="Times New Roman" w:cs="Times New Roman"/>
                <w:bCs/>
                <w:color w:val="auto"/>
                <w:highlight w:val="none"/>
              </w:rPr>
              <w:t>由表3-4</w:t>
            </w:r>
            <w:r>
              <w:rPr>
                <w:rFonts w:hint="eastAsia" w:ascii="Times New Roman" w:hAnsi="Times New Roman" w:cs="Times New Roman"/>
                <w:bCs/>
                <w:color w:val="auto"/>
                <w:highlight w:val="none"/>
              </w:rPr>
              <w:t>和3</w:t>
            </w:r>
            <w:r>
              <w:rPr>
                <w:rFonts w:ascii="Times New Roman" w:hAnsi="Times New Roman" w:cs="Times New Roman"/>
                <w:bCs/>
                <w:color w:val="auto"/>
                <w:highlight w:val="none"/>
              </w:rPr>
              <w:t>-5可见，各监测点的昼、夜间声环境监测结果均满足《声环境质量标准》（GB3096-2008）中相应标准要求</w:t>
            </w:r>
            <w:r>
              <w:rPr>
                <w:rFonts w:hint="eastAsia" w:ascii="Times New Roman" w:hAnsi="Times New Roman" w:cs="Times New Roman"/>
                <w:bCs/>
                <w:color w:val="auto"/>
                <w:highlight w:val="none"/>
              </w:rPr>
              <w:t>，</w:t>
            </w:r>
            <w:r>
              <w:rPr>
                <w:rFonts w:hint="eastAsia" w:ascii="Times New Roman" w:hAnsi="Times New Roman" w:cs="Times New Roman"/>
                <w:bCs/>
                <w:color w:val="auto"/>
                <w:highlight w:val="none"/>
                <w:lang w:eastAsia="zh-CN"/>
              </w:rPr>
              <w:t>220kV全德变电站</w:t>
            </w:r>
            <w:r>
              <w:rPr>
                <w:rFonts w:hint="eastAsia" w:ascii="Times New Roman" w:hAnsi="Times New Roman" w:cs="Times New Roman"/>
                <w:bCs/>
                <w:color w:val="auto"/>
                <w:highlight w:val="none"/>
              </w:rPr>
              <w:t>厂界噪声满足《工业企业厂界环境噪声排放标准》（GB12348-2008）2类标准</w:t>
            </w:r>
            <w:r>
              <w:rPr>
                <w:rFonts w:ascii="Times New Roman" w:hAnsi="Times New Roman" w:cs="Times New Roman"/>
                <w:bCs/>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75" w:type="pct"/>
            <w:vAlign w:val="center"/>
          </w:tcPr>
          <w:p>
            <w:pPr>
              <w:adjustRightInd w:val="0"/>
              <w:snapToGrid w:val="0"/>
              <w:jc w:val="center"/>
              <w:rPr>
                <w:rFonts w:cs="宋体"/>
                <w:color w:val="auto"/>
                <w:kern w:val="0"/>
                <w:sz w:val="24"/>
                <w:highlight w:val="none"/>
              </w:rPr>
            </w:pPr>
            <w:r>
              <w:rPr>
                <w:rFonts w:hint="eastAsia"/>
                <w:bCs/>
                <w:color w:val="auto"/>
                <w:sz w:val="24"/>
                <w:highlight w:val="none"/>
              </w:rPr>
              <w:t>与项目有关的原有环境污染和生态破坏问题</w:t>
            </w:r>
          </w:p>
        </w:tc>
        <w:tc>
          <w:tcPr>
            <w:tcW w:w="4725" w:type="pct"/>
            <w:vAlign w:val="center"/>
          </w:tcPr>
          <w:p>
            <w:pPr>
              <w:numPr>
                <w:ilvl w:val="0"/>
                <w:numId w:val="2"/>
              </w:numPr>
              <w:adjustRightInd w:val="0"/>
              <w:snapToGrid w:val="0"/>
              <w:spacing w:line="360" w:lineRule="auto"/>
              <w:ind w:firstLine="480" w:firstLineChars="200"/>
              <w:rPr>
                <w:rFonts w:ascii="Times New Roman" w:hAnsi="Times New Roman"/>
                <w:color w:val="auto"/>
                <w:sz w:val="24"/>
              </w:rPr>
            </w:pPr>
            <w:r>
              <w:rPr>
                <w:rFonts w:hint="eastAsia" w:hAnsi="宋体"/>
                <w:color w:val="auto"/>
                <w:kern w:val="0"/>
                <w:sz w:val="24"/>
                <w:highlight w:val="none"/>
              </w:rPr>
              <w:t>经调查并查阅相关资料，</w:t>
            </w:r>
            <w:r>
              <w:rPr>
                <w:rFonts w:hint="eastAsia"/>
                <w:bCs/>
                <w:color w:val="auto"/>
                <w:sz w:val="24"/>
                <w:highlight w:val="none"/>
              </w:rPr>
              <w:t>220kV全德</w:t>
            </w:r>
            <w:r>
              <w:rPr>
                <w:bCs/>
                <w:color w:val="auto"/>
                <w:sz w:val="24"/>
                <w:highlight w:val="none"/>
              </w:rPr>
              <w:t>变电站位于</w:t>
            </w:r>
            <w:r>
              <w:rPr>
                <w:rFonts w:hint="eastAsia"/>
                <w:bCs/>
                <w:color w:val="auto"/>
                <w:sz w:val="24"/>
                <w:highlight w:val="none"/>
              </w:rPr>
              <w:t>铜梁区</w:t>
            </w:r>
            <w:r>
              <w:rPr>
                <w:bCs/>
                <w:color w:val="auto"/>
                <w:sz w:val="24"/>
                <w:highlight w:val="none"/>
              </w:rPr>
              <w:t>二坪镇三房村</w:t>
            </w:r>
            <w:r>
              <w:rPr>
                <w:rFonts w:hint="eastAsia"/>
                <w:bCs/>
                <w:color w:val="auto"/>
                <w:sz w:val="24"/>
                <w:highlight w:val="none"/>
              </w:rPr>
              <w:t>12组，</w:t>
            </w:r>
            <w:r>
              <w:rPr>
                <w:rFonts w:hint="eastAsia" w:hAnsi="宋体"/>
                <w:bCs/>
                <w:color w:val="auto"/>
                <w:sz w:val="24"/>
                <w:highlight w:val="none"/>
              </w:rPr>
              <w:t>站区总占地面积约</w:t>
            </w:r>
            <w:r>
              <w:rPr>
                <w:rFonts w:hint="eastAsia"/>
                <w:color w:val="auto"/>
                <w:sz w:val="24"/>
                <w:highlight w:val="none"/>
              </w:rPr>
              <w:t>21179</w:t>
            </w:r>
            <w:r>
              <w:rPr>
                <w:color w:val="auto"/>
                <w:sz w:val="24"/>
                <w:highlight w:val="none"/>
              </w:rPr>
              <w:t>m</w:t>
            </w:r>
            <w:r>
              <w:rPr>
                <w:rFonts w:hint="eastAsia"/>
                <w:color w:val="auto"/>
                <w:sz w:val="24"/>
                <w:highlight w:val="none"/>
                <w:vertAlign w:val="superscript"/>
              </w:rPr>
              <w:t>2</w:t>
            </w:r>
            <w:r>
              <w:rPr>
                <w:rFonts w:hint="eastAsia"/>
                <w:color w:val="auto"/>
                <w:sz w:val="24"/>
                <w:highlight w:val="none"/>
              </w:rPr>
              <w:t>，</w:t>
            </w:r>
            <w:r>
              <w:rPr>
                <w:rFonts w:hint="eastAsia" w:hAnsi="宋体"/>
                <w:bCs/>
                <w:color w:val="auto"/>
                <w:sz w:val="24"/>
                <w:highlight w:val="none"/>
              </w:rPr>
              <w:t>主变容量</w:t>
            </w:r>
            <w:r>
              <w:rPr>
                <w:bCs/>
                <w:color w:val="auto"/>
                <w:sz w:val="24"/>
                <w:highlight w:val="none"/>
              </w:rPr>
              <w:t>2×</w:t>
            </w:r>
            <w:r>
              <w:rPr>
                <w:rFonts w:hint="eastAsia"/>
                <w:bCs/>
                <w:color w:val="auto"/>
                <w:sz w:val="24"/>
                <w:highlight w:val="none"/>
              </w:rPr>
              <w:t>180</w:t>
            </w:r>
            <w:r>
              <w:rPr>
                <w:bCs/>
                <w:color w:val="auto"/>
                <w:sz w:val="24"/>
                <w:highlight w:val="none"/>
              </w:rPr>
              <w:t>MVA</w:t>
            </w:r>
            <w:r>
              <w:rPr>
                <w:rFonts w:hint="eastAsia" w:hAnsi="宋体"/>
                <w:bCs/>
                <w:color w:val="auto"/>
                <w:sz w:val="24"/>
                <w:highlight w:val="none"/>
              </w:rPr>
              <w:t>。于2015年5月</w:t>
            </w:r>
            <w:r>
              <w:rPr>
                <w:rFonts w:hAnsi="宋体"/>
                <w:bCs/>
                <w:color w:val="auto"/>
                <w:sz w:val="24"/>
                <w:highlight w:val="none"/>
              </w:rPr>
              <w:t>取得原重庆市环境保护局</w:t>
            </w:r>
            <w:r>
              <w:rPr>
                <w:rFonts w:hint="eastAsia" w:hAnsi="宋体"/>
                <w:bCs/>
                <w:color w:val="auto"/>
                <w:sz w:val="24"/>
                <w:highlight w:val="none"/>
              </w:rPr>
              <w:t>（现重庆市生态环境局）</w:t>
            </w:r>
            <w:r>
              <w:rPr>
                <w:rFonts w:hAnsi="宋体"/>
                <w:bCs/>
                <w:color w:val="auto"/>
                <w:sz w:val="24"/>
                <w:highlight w:val="none"/>
              </w:rPr>
              <w:t>核发的</w:t>
            </w:r>
            <w:r>
              <w:rPr>
                <w:rFonts w:hAnsi="宋体"/>
                <w:color w:val="auto"/>
                <w:sz w:val="24"/>
                <w:highlight w:val="none"/>
              </w:rPr>
              <w:t>《重庆市建设项目环境保护批准书》（</w:t>
            </w:r>
            <w:r>
              <w:rPr>
                <w:rFonts w:hAnsi="宋体"/>
                <w:bCs/>
                <w:color w:val="auto"/>
                <w:sz w:val="24"/>
                <w:highlight w:val="none"/>
              </w:rPr>
              <w:t>渝（辐）环准</w:t>
            </w:r>
            <w:r>
              <w:rPr>
                <w:rFonts w:ascii="宋体" w:hAnsi="宋体"/>
                <w:bCs/>
                <w:color w:val="auto"/>
                <w:sz w:val="24"/>
                <w:highlight w:val="none"/>
              </w:rPr>
              <w:t>[</w:t>
            </w:r>
            <w:r>
              <w:rPr>
                <w:bCs/>
                <w:color w:val="auto"/>
                <w:sz w:val="24"/>
                <w:highlight w:val="none"/>
              </w:rPr>
              <w:t>20</w:t>
            </w:r>
            <w:r>
              <w:rPr>
                <w:rFonts w:hint="eastAsia"/>
                <w:bCs/>
                <w:color w:val="auto"/>
                <w:sz w:val="24"/>
                <w:highlight w:val="none"/>
              </w:rPr>
              <w:t>15</w:t>
            </w:r>
            <w:r>
              <w:rPr>
                <w:rFonts w:ascii="宋体" w:hAnsi="宋体"/>
                <w:bCs/>
                <w:color w:val="auto"/>
                <w:sz w:val="24"/>
                <w:highlight w:val="none"/>
              </w:rPr>
              <w:t>]</w:t>
            </w:r>
            <w:r>
              <w:rPr>
                <w:rFonts w:hint="eastAsia"/>
                <w:bCs/>
                <w:color w:val="auto"/>
                <w:sz w:val="24"/>
                <w:highlight w:val="none"/>
              </w:rPr>
              <w:t>18</w:t>
            </w:r>
            <w:r>
              <w:rPr>
                <w:rFonts w:hAnsi="宋体"/>
                <w:bCs/>
                <w:color w:val="auto"/>
                <w:sz w:val="24"/>
                <w:highlight w:val="none"/>
              </w:rPr>
              <w:t>号</w:t>
            </w:r>
            <w:r>
              <w:rPr>
                <w:rFonts w:hAnsi="宋体"/>
                <w:color w:val="auto"/>
                <w:sz w:val="24"/>
                <w:highlight w:val="none"/>
              </w:rPr>
              <w:t>）</w:t>
            </w:r>
            <w:r>
              <w:rPr>
                <w:rFonts w:hint="eastAsia" w:hAnsi="宋体"/>
                <w:bCs/>
                <w:color w:val="auto"/>
                <w:sz w:val="24"/>
                <w:highlight w:val="none"/>
              </w:rPr>
              <w:t>，于2019年8月通过竣工环保</w:t>
            </w:r>
            <w:r>
              <w:rPr>
                <w:rFonts w:hAnsi="宋体"/>
                <w:bCs/>
                <w:color w:val="auto"/>
                <w:sz w:val="24"/>
                <w:highlight w:val="none"/>
              </w:rPr>
              <w:t>验收组验收</w:t>
            </w:r>
            <w:r>
              <w:rPr>
                <w:rFonts w:hint="eastAsia" w:hAnsi="宋体"/>
                <w:color w:val="auto"/>
                <w:sz w:val="24"/>
                <w:highlight w:val="none"/>
              </w:rPr>
              <w:t>，环评及验收批复详见附件</w:t>
            </w:r>
            <w:r>
              <w:rPr>
                <w:rFonts w:hint="eastAsia" w:hAnsi="宋体"/>
                <w:color w:val="auto"/>
                <w:sz w:val="24"/>
                <w:highlight w:val="none"/>
                <w:lang w:val="en-US" w:eastAsia="zh-CN"/>
              </w:rPr>
              <w:t>3</w:t>
            </w:r>
            <w:r>
              <w:rPr>
                <w:rFonts w:hAnsi="宋体"/>
                <w:bCs/>
                <w:color w:val="auto"/>
                <w:sz w:val="24"/>
                <w:highlight w:val="none"/>
              </w:rPr>
              <w:t>。</w:t>
            </w:r>
            <w:r>
              <w:rPr>
                <w:rFonts w:hint="eastAsia"/>
                <w:bCs/>
                <w:color w:val="auto"/>
                <w:sz w:val="24"/>
                <w:highlight w:val="none"/>
              </w:rPr>
              <w:t>全德</w:t>
            </w:r>
            <w:r>
              <w:rPr>
                <w:bCs/>
                <w:color w:val="auto"/>
                <w:sz w:val="24"/>
                <w:highlight w:val="none"/>
              </w:rPr>
              <w:t>变电站</w:t>
            </w:r>
            <w:r>
              <w:rPr>
                <w:rFonts w:ascii="Times New Roman" w:hAnsi="Times New Roman"/>
                <w:color w:val="auto"/>
                <w:sz w:val="24"/>
              </w:rPr>
              <w:t>站内生活垃圾交环卫部门处理。站内检修产生的废铅蓄电池、含油手套、含油检修废渣等危险废物交有相应资质的危险废物单位收集和处置，站内不暂存。变电站运行至今未发生过漏油事故，事故池</w:t>
            </w:r>
            <w:r>
              <w:rPr>
                <w:rFonts w:hint="eastAsia" w:ascii="Times New Roman" w:hAnsi="Times New Roman"/>
                <w:color w:val="auto"/>
                <w:sz w:val="24"/>
                <w:lang w:val="en-US" w:eastAsia="zh-CN"/>
              </w:rPr>
              <w:t>内有少量洁净水用于养护</w:t>
            </w:r>
            <w:r>
              <w:rPr>
                <w:rFonts w:ascii="Times New Roman" w:hAnsi="Times New Roman"/>
                <w:color w:val="auto"/>
                <w:sz w:val="24"/>
              </w:rPr>
              <w:t>。</w:t>
            </w:r>
            <w:r>
              <w:rPr>
                <w:rFonts w:hAnsi="宋体"/>
                <w:bCs/>
                <w:color w:val="auto"/>
                <w:sz w:val="24"/>
                <w:highlight w:val="none"/>
              </w:rPr>
              <w:t>经</w:t>
            </w:r>
            <w:r>
              <w:rPr>
                <w:rFonts w:hint="eastAsia" w:hAnsi="宋体"/>
                <w:bCs/>
                <w:color w:val="auto"/>
                <w:sz w:val="24"/>
                <w:highlight w:val="none"/>
              </w:rPr>
              <w:t>向铜梁区</w:t>
            </w:r>
            <w:r>
              <w:rPr>
                <w:rFonts w:hAnsi="宋体"/>
                <w:bCs/>
                <w:color w:val="auto"/>
                <w:sz w:val="24"/>
                <w:highlight w:val="none"/>
              </w:rPr>
              <w:t>生态环境</w:t>
            </w:r>
            <w:r>
              <w:rPr>
                <w:rFonts w:hint="eastAsia" w:hAnsi="宋体"/>
                <w:bCs/>
                <w:color w:val="auto"/>
                <w:sz w:val="24"/>
                <w:highlight w:val="none"/>
              </w:rPr>
              <w:t>局</w:t>
            </w:r>
            <w:r>
              <w:rPr>
                <w:rFonts w:hAnsi="宋体"/>
                <w:bCs/>
                <w:color w:val="auto"/>
                <w:sz w:val="24"/>
                <w:highlight w:val="none"/>
              </w:rPr>
              <w:t>相关部门咨询，</w:t>
            </w:r>
            <w:r>
              <w:rPr>
                <w:rFonts w:hint="eastAsia"/>
                <w:bCs/>
                <w:color w:val="auto"/>
                <w:sz w:val="24"/>
                <w:highlight w:val="none"/>
              </w:rPr>
              <w:t>220kV全德</w:t>
            </w:r>
            <w:r>
              <w:rPr>
                <w:bCs/>
                <w:color w:val="auto"/>
                <w:sz w:val="24"/>
                <w:highlight w:val="none"/>
              </w:rPr>
              <w:t>变电站</w:t>
            </w:r>
            <w:r>
              <w:rPr>
                <w:rFonts w:hAnsi="宋体"/>
                <w:bCs/>
                <w:color w:val="auto"/>
                <w:sz w:val="24"/>
                <w:highlight w:val="none"/>
              </w:rPr>
              <w:t>建设</w:t>
            </w:r>
            <w:r>
              <w:rPr>
                <w:rFonts w:hint="eastAsia" w:hAnsi="宋体"/>
                <w:bCs/>
                <w:color w:val="auto"/>
                <w:sz w:val="24"/>
                <w:highlight w:val="none"/>
              </w:rPr>
              <w:t>至今</w:t>
            </w:r>
            <w:r>
              <w:rPr>
                <w:rFonts w:hAnsi="宋体"/>
                <w:bCs/>
                <w:color w:val="auto"/>
                <w:sz w:val="24"/>
                <w:highlight w:val="none"/>
              </w:rPr>
              <w:t>未收到环保投诉</w:t>
            </w:r>
            <w:r>
              <w:rPr>
                <w:rFonts w:hint="eastAsia" w:hAnsi="宋体"/>
                <w:bCs/>
                <w:color w:val="auto"/>
                <w:sz w:val="24"/>
                <w:highlight w:val="none"/>
              </w:rPr>
              <w:t>，</w:t>
            </w:r>
            <w:r>
              <w:rPr>
                <w:rFonts w:hAnsi="宋体"/>
                <w:bCs/>
                <w:color w:val="auto"/>
                <w:sz w:val="24"/>
                <w:highlight w:val="none"/>
              </w:rPr>
              <w:t>未发生环境污染事件</w:t>
            </w:r>
            <w:r>
              <w:rPr>
                <w:rFonts w:hint="eastAsia" w:hAnsi="宋体"/>
                <w:bCs/>
                <w:color w:val="auto"/>
                <w:sz w:val="24"/>
                <w:highlight w:val="none"/>
              </w:rPr>
              <w:t>。</w:t>
            </w:r>
            <w:r>
              <w:rPr>
                <w:rFonts w:ascii="Times New Roman" w:hAnsi="Times New Roman"/>
                <w:color w:val="auto"/>
                <w:sz w:val="24"/>
              </w:rPr>
              <w:t>变电站生活污水经化粪池收集后用作农肥，不外排。</w:t>
            </w:r>
          </w:p>
          <w:p>
            <w:pPr>
              <w:spacing w:line="360" w:lineRule="auto"/>
              <w:ind w:firstLine="480" w:firstLineChars="200"/>
              <w:rPr>
                <w:rFonts w:hint="eastAsia" w:hAnsi="宋体"/>
                <w:color w:val="auto"/>
                <w:kern w:val="0"/>
                <w:sz w:val="24"/>
                <w:highlight w:val="none"/>
              </w:rPr>
            </w:pPr>
            <w:r>
              <w:rPr>
                <w:rFonts w:ascii="Times New Roman" w:hAnsi="Times New Roman"/>
                <w:color w:val="auto"/>
                <w:sz w:val="24"/>
              </w:rPr>
              <w:t>根据现状调查及监测结果，</w:t>
            </w:r>
            <w:r>
              <w:rPr>
                <w:rFonts w:hint="eastAsia"/>
                <w:bCs/>
                <w:color w:val="auto"/>
                <w:sz w:val="24"/>
                <w:highlight w:val="none"/>
              </w:rPr>
              <w:t>全德</w:t>
            </w:r>
            <w:r>
              <w:rPr>
                <w:bCs/>
                <w:color w:val="auto"/>
                <w:sz w:val="24"/>
                <w:highlight w:val="none"/>
              </w:rPr>
              <w:t>变电站</w:t>
            </w:r>
            <w:r>
              <w:rPr>
                <w:rFonts w:hint="eastAsia" w:ascii="Times New Roman" w:hAnsi="Times New Roman"/>
                <w:color w:val="auto"/>
                <w:sz w:val="24"/>
                <w:lang w:eastAsia="zh-CN"/>
              </w:rPr>
              <w:t>南</w:t>
            </w:r>
            <w:r>
              <w:rPr>
                <w:rFonts w:ascii="Times New Roman" w:hAnsi="Times New Roman"/>
                <w:color w:val="auto"/>
                <w:sz w:val="24"/>
              </w:rPr>
              <w:t>侧厂界噪声排放满足《工业企业厂界环境噪声排放标准》（GB12348-2008）2类标准限值要求，厂界电磁环境低于《电磁环境控制限值》（GB8702-2014）限值要求。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lang w:val="zh-CN"/>
              </w:rPr>
            </w:pPr>
            <w:r>
              <w:rPr>
                <w:rFonts w:hint="eastAsia"/>
                <w:color w:val="auto"/>
                <w:sz w:val="24"/>
                <w:highlight w:val="none"/>
              </w:rPr>
              <w:t>（</w:t>
            </w:r>
            <w:r>
              <w:rPr>
                <w:rFonts w:hint="eastAsia"/>
                <w:color w:val="auto"/>
                <w:sz w:val="24"/>
                <w:highlight w:val="none"/>
                <w:lang w:val="en-US" w:eastAsia="zh-CN"/>
              </w:rPr>
              <w:t>2</w:t>
            </w:r>
            <w:r>
              <w:rPr>
                <w:rFonts w:hint="eastAsia"/>
                <w:color w:val="auto"/>
                <w:sz w:val="24"/>
                <w:highlight w:val="none"/>
              </w:rPr>
              <w:t>）本项目</w:t>
            </w:r>
            <w:r>
              <w:rPr>
                <w:rFonts w:hint="eastAsia"/>
                <w:color w:val="auto"/>
                <w:sz w:val="24"/>
                <w:highlight w:val="none"/>
                <w:lang w:eastAsia="zh-CN"/>
              </w:rPr>
              <w:t>拟建线路和淮阳变电站</w:t>
            </w:r>
            <w:r>
              <w:rPr>
                <w:rFonts w:hint="eastAsia"/>
                <w:color w:val="auto"/>
                <w:sz w:val="24"/>
                <w:highlight w:val="none"/>
              </w:rPr>
              <w:t>位于铜梁区二坪镇、东城街道、</w:t>
            </w:r>
            <w:r>
              <w:rPr>
                <w:rFonts w:hint="eastAsia"/>
                <w:color w:val="auto"/>
                <w:sz w:val="24"/>
                <w:highlight w:val="none"/>
                <w:lang w:eastAsia="zh-CN"/>
              </w:rPr>
              <w:t>旧县街道、</w:t>
            </w:r>
            <w:r>
              <w:rPr>
                <w:rFonts w:hint="eastAsia"/>
                <w:color w:val="auto"/>
                <w:sz w:val="24"/>
                <w:highlight w:val="none"/>
              </w:rPr>
              <w:t>蒲吕街道，根据现状监测，项目所在区域的声环境和电磁环境现状质量</w:t>
            </w:r>
            <w:r>
              <w:rPr>
                <w:rFonts w:hint="eastAsia"/>
                <w:color w:val="auto"/>
                <w:sz w:val="24"/>
                <w:highlight w:val="none"/>
                <w:lang w:eastAsia="zh-CN"/>
              </w:rPr>
              <w:t>满足标准要求</w:t>
            </w:r>
            <w:r>
              <w:rPr>
                <w:rFonts w:hint="eastAsia"/>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8" w:hRule="atLeast"/>
          <w:jc w:val="center"/>
        </w:trPr>
        <w:tc>
          <w:tcPr>
            <w:tcW w:w="275" w:type="pct"/>
            <w:vAlign w:val="center"/>
          </w:tcPr>
          <w:p>
            <w:pPr>
              <w:adjustRightInd w:val="0"/>
              <w:snapToGrid w:val="0"/>
              <w:jc w:val="center"/>
              <w:rPr>
                <w:rFonts w:cs="宋体"/>
                <w:color w:val="auto"/>
                <w:kern w:val="0"/>
                <w:sz w:val="24"/>
                <w:highlight w:val="yellow"/>
              </w:rPr>
            </w:pPr>
            <w:r>
              <w:rPr>
                <w:rFonts w:hint="eastAsia" w:cs="宋体"/>
                <w:color w:val="auto"/>
                <w:kern w:val="0"/>
                <w:sz w:val="24"/>
                <w:highlight w:val="none"/>
              </w:rPr>
              <w:t>生态环境保护目标</w:t>
            </w:r>
          </w:p>
        </w:tc>
        <w:tc>
          <w:tcPr>
            <w:tcW w:w="4725" w:type="pct"/>
            <w:vAlign w:val="center"/>
          </w:tcPr>
          <w:p>
            <w:pPr>
              <w:adjustRightInd w:val="0"/>
              <w:snapToGrid w:val="0"/>
              <w:spacing w:line="360" w:lineRule="auto"/>
              <w:rPr>
                <w:b/>
                <w:bCs/>
                <w:color w:val="auto"/>
                <w:kern w:val="0"/>
                <w:sz w:val="24"/>
                <w:highlight w:val="none"/>
              </w:rPr>
            </w:pPr>
            <w:r>
              <w:rPr>
                <w:b/>
                <w:bCs/>
                <w:color w:val="auto"/>
                <w:kern w:val="0"/>
                <w:sz w:val="24"/>
                <w:highlight w:val="none"/>
              </w:rPr>
              <w:t>3.4</w:t>
            </w:r>
            <w:r>
              <w:rPr>
                <w:rFonts w:hint="eastAsia"/>
                <w:b/>
                <w:bCs/>
                <w:color w:val="auto"/>
                <w:kern w:val="0"/>
                <w:sz w:val="24"/>
                <w:highlight w:val="none"/>
              </w:rPr>
              <w:t>环境保护目标</w:t>
            </w:r>
          </w:p>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（1）生态保护目标</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根据现场调查、比对自然资源部质检通过的“三区三线”划定成果可知，本工程</w:t>
            </w:r>
            <w:r>
              <w:rPr>
                <w:rFonts w:hint="eastAsia" w:ascii="Times New Roman" w:hAnsi="Times New Roman"/>
                <w:color w:val="auto"/>
                <w:sz w:val="24"/>
                <w:lang w:eastAsia="zh-CN"/>
              </w:rPr>
              <w:t>拟建淮阳变电站四周</w:t>
            </w:r>
            <w:r>
              <w:rPr>
                <w:rFonts w:hint="eastAsia" w:ascii="Times New Roman" w:hAnsi="Times New Roman"/>
                <w:color w:val="auto"/>
                <w:sz w:val="24"/>
                <w:lang w:val="en-US" w:eastAsia="zh-CN"/>
              </w:rPr>
              <w:t>500m、</w:t>
            </w:r>
            <w:r>
              <w:rPr>
                <w:rFonts w:ascii="Times New Roman" w:hAnsi="Times New Roman"/>
                <w:color w:val="auto"/>
                <w:sz w:val="24"/>
              </w:rPr>
              <w:t>线路</w:t>
            </w:r>
            <w:r>
              <w:rPr>
                <w:rFonts w:hint="eastAsia" w:ascii="Times New Roman" w:hAnsi="Times New Roman"/>
                <w:color w:val="auto"/>
                <w:sz w:val="24"/>
                <w:lang w:eastAsia="zh-CN"/>
              </w:rPr>
              <w:t>两侧</w:t>
            </w:r>
            <w:r>
              <w:rPr>
                <w:rFonts w:hint="eastAsia" w:ascii="Times New Roman" w:hAnsi="Times New Roman"/>
                <w:color w:val="auto"/>
                <w:sz w:val="24"/>
                <w:lang w:val="en-US" w:eastAsia="zh-CN"/>
              </w:rPr>
              <w:t>300m</w:t>
            </w:r>
            <w:r>
              <w:rPr>
                <w:rFonts w:ascii="Times New Roman" w:hAnsi="Times New Roman"/>
                <w:color w:val="auto"/>
                <w:sz w:val="24"/>
              </w:rPr>
              <w:t>不涉及自然保护区、风景名胜区、世界文化和自然遗产地、生态保护红线、国家公园等生态敏感区等。</w:t>
            </w:r>
          </w:p>
          <w:p>
            <w:pPr>
              <w:adjustRightInd w:val="0"/>
              <w:snapToGrid w:val="0"/>
              <w:spacing w:line="360" w:lineRule="auto"/>
              <w:ind w:firstLine="480" w:firstLineChars="200"/>
              <w:rPr>
                <w:color w:val="auto"/>
                <w:sz w:val="24"/>
                <w:highlight w:val="yellow"/>
              </w:rPr>
            </w:pPr>
            <w:r>
              <w:rPr>
                <w:rFonts w:ascii="Times New Roman" w:hAnsi="Times New Roman"/>
                <w:color w:val="auto"/>
                <w:sz w:val="24"/>
              </w:rPr>
              <w:t>本工程与</w:t>
            </w:r>
            <w:r>
              <w:rPr>
                <w:rFonts w:hint="eastAsia" w:ascii="Times New Roman" w:hAnsi="Times New Roman"/>
                <w:color w:val="auto"/>
                <w:sz w:val="24"/>
                <w:lang w:eastAsia="zh-CN"/>
              </w:rPr>
              <w:t>铜梁区</w:t>
            </w:r>
            <w:r>
              <w:rPr>
                <w:rFonts w:ascii="Times New Roman" w:hAnsi="Times New Roman"/>
                <w:color w:val="auto"/>
                <w:sz w:val="24"/>
              </w:rPr>
              <w:t>生态红线位置关系图见附图</w:t>
            </w:r>
            <w:r>
              <w:rPr>
                <w:rFonts w:hint="eastAsia"/>
                <w:color w:val="auto"/>
                <w:sz w:val="24"/>
                <w:lang w:val="en-US" w:eastAsia="zh-CN"/>
              </w:rPr>
              <w:t>11</w:t>
            </w:r>
            <w:r>
              <w:rPr>
                <w:rFonts w:ascii="Times New Roman" w:hAnsi="Times New Roman"/>
                <w:color w:val="auto"/>
                <w:sz w:val="24"/>
              </w:rPr>
              <w:t>。</w:t>
            </w:r>
          </w:p>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w:t>
            </w:r>
            <w:r>
              <w:rPr>
                <w:b/>
                <w:bCs/>
                <w:color w:val="auto"/>
                <w:sz w:val="24"/>
                <w:highlight w:val="none"/>
              </w:rPr>
              <w:t>2</w:t>
            </w:r>
            <w:r>
              <w:rPr>
                <w:rFonts w:hint="eastAsia"/>
                <w:b/>
                <w:bCs/>
                <w:color w:val="auto"/>
                <w:sz w:val="24"/>
                <w:highlight w:val="none"/>
              </w:rPr>
              <w:t>）水环境保护目标</w:t>
            </w:r>
          </w:p>
          <w:p>
            <w:pPr>
              <w:spacing w:line="360" w:lineRule="auto"/>
              <w:ind w:firstLine="480" w:firstLineChars="200"/>
              <w:rPr>
                <w:rFonts w:hint="eastAsia" w:cs="宋体"/>
                <w:color w:val="auto"/>
                <w:kern w:val="0"/>
                <w:sz w:val="24"/>
                <w:szCs w:val="21"/>
                <w:highlight w:val="none"/>
              </w:rPr>
            </w:pPr>
            <w:r>
              <w:rPr>
                <w:rFonts w:hint="eastAsia"/>
                <w:color w:val="auto"/>
                <w:sz w:val="24"/>
                <w:highlight w:val="none"/>
              </w:rPr>
              <w:t>经调查，拟建线路沿线未跨越集中式饮用水水源地保护区。</w:t>
            </w:r>
            <w:r>
              <w:rPr>
                <w:rFonts w:hint="eastAsia" w:hAnsi="宋体"/>
                <w:color w:val="auto"/>
                <w:kern w:val="0"/>
                <w:sz w:val="24"/>
                <w:highlight w:val="none"/>
              </w:rPr>
              <w:t>根据设计资料及现场调查，本项目跨越</w:t>
            </w:r>
            <w:r>
              <w:rPr>
                <w:rFonts w:hint="eastAsia" w:hAnsi="宋体"/>
                <w:color w:val="auto"/>
                <w:kern w:val="0"/>
                <w:sz w:val="24"/>
                <w:highlight w:val="none"/>
                <w:lang w:eastAsia="zh-CN"/>
              </w:rPr>
              <w:t>淮远河</w:t>
            </w:r>
            <w:r>
              <w:rPr>
                <w:rFonts w:hint="eastAsia" w:hAnsi="宋体"/>
                <w:color w:val="auto"/>
                <w:kern w:val="0"/>
                <w:sz w:val="24"/>
                <w:highlight w:val="none"/>
              </w:rPr>
              <w:t>一次，</w:t>
            </w:r>
            <w:r>
              <w:rPr>
                <w:rFonts w:hint="eastAsia" w:cs="宋体"/>
                <w:color w:val="auto"/>
                <w:kern w:val="0"/>
                <w:sz w:val="24"/>
                <w:szCs w:val="21"/>
                <w:highlight w:val="none"/>
              </w:rPr>
              <w:t>为一档跨越，不在水体中立塔，项目跨越的水环境保护目标情况见表</w:t>
            </w:r>
            <w:r>
              <w:rPr>
                <w:rFonts w:cs="宋体"/>
                <w:color w:val="auto"/>
                <w:kern w:val="0"/>
                <w:sz w:val="24"/>
                <w:szCs w:val="21"/>
                <w:highlight w:val="none"/>
              </w:rPr>
              <w:t>3-</w:t>
            </w:r>
            <w:r>
              <w:rPr>
                <w:rFonts w:hint="eastAsia" w:cs="宋体"/>
                <w:color w:val="auto"/>
                <w:kern w:val="0"/>
                <w:sz w:val="24"/>
                <w:szCs w:val="21"/>
                <w:highlight w:val="none"/>
                <w:lang w:val="en-US" w:eastAsia="zh-CN"/>
              </w:rPr>
              <w:t>6</w:t>
            </w:r>
            <w:r>
              <w:rPr>
                <w:rFonts w:hint="eastAsia" w:cs="宋体"/>
                <w:color w:val="auto"/>
                <w:kern w:val="0"/>
                <w:sz w:val="24"/>
                <w:szCs w:val="21"/>
                <w:highlight w:val="none"/>
              </w:rPr>
              <w:t>。</w:t>
            </w:r>
          </w:p>
          <w:p>
            <w:pPr>
              <w:jc w:val="center"/>
              <w:rPr>
                <w:b/>
                <w:color w:val="auto"/>
                <w:kern w:val="0"/>
                <w:sz w:val="24"/>
                <w:highlight w:val="none"/>
              </w:rPr>
            </w:pPr>
            <w:r>
              <w:rPr>
                <w:rFonts w:hint="eastAsia"/>
                <w:b/>
                <w:color w:val="auto"/>
                <w:kern w:val="0"/>
                <w:sz w:val="24"/>
                <w:highlight w:val="none"/>
              </w:rPr>
              <w:t>表</w:t>
            </w:r>
            <w:r>
              <w:rPr>
                <w:b/>
                <w:color w:val="auto"/>
                <w:kern w:val="0"/>
                <w:sz w:val="24"/>
                <w:highlight w:val="none"/>
              </w:rPr>
              <w:t>3-</w:t>
            </w:r>
            <w:r>
              <w:rPr>
                <w:rFonts w:hint="eastAsia"/>
                <w:b/>
                <w:color w:val="auto"/>
                <w:kern w:val="0"/>
                <w:sz w:val="24"/>
                <w:highlight w:val="none"/>
                <w:lang w:val="en-US" w:eastAsia="zh-CN"/>
              </w:rPr>
              <w:t>6</w:t>
            </w:r>
            <w:r>
              <w:rPr>
                <w:b/>
                <w:color w:val="auto"/>
                <w:kern w:val="0"/>
                <w:sz w:val="24"/>
                <w:highlight w:val="none"/>
              </w:rPr>
              <w:t xml:space="preserve"> </w:t>
            </w:r>
            <w:r>
              <w:rPr>
                <w:rFonts w:hint="eastAsia"/>
                <w:b/>
                <w:color w:val="auto"/>
                <w:kern w:val="0"/>
                <w:sz w:val="24"/>
                <w:highlight w:val="none"/>
              </w:rPr>
              <w:t>本工程拟跨越主要水环境保护目标</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1035"/>
              <w:gridCol w:w="3105"/>
              <w:gridCol w:w="31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0" w:type="pct"/>
                  <w:tcBorders>
                    <w:tl2br w:val="nil"/>
                    <w:tr2bl w:val="nil"/>
                  </w:tcBorders>
                  <w:vAlign w:val="center"/>
                </w:tcPr>
                <w:p>
                  <w:pPr>
                    <w:jc w:val="center"/>
                    <w:rPr>
                      <w:b/>
                      <w:color w:val="auto"/>
                      <w:kern w:val="0"/>
                      <w:szCs w:val="21"/>
                      <w:highlight w:val="none"/>
                    </w:rPr>
                  </w:pPr>
                  <w:r>
                    <w:rPr>
                      <w:rFonts w:hint="eastAsia"/>
                      <w:b/>
                      <w:color w:val="auto"/>
                      <w:kern w:val="0"/>
                      <w:szCs w:val="21"/>
                      <w:highlight w:val="none"/>
                    </w:rPr>
                    <w:t>序号</w:t>
                  </w:r>
                </w:p>
              </w:tc>
              <w:tc>
                <w:tcPr>
                  <w:tcW w:w="659" w:type="pct"/>
                  <w:tcBorders>
                    <w:tl2br w:val="nil"/>
                    <w:tr2bl w:val="nil"/>
                  </w:tcBorders>
                  <w:vAlign w:val="center"/>
                </w:tcPr>
                <w:p>
                  <w:pPr>
                    <w:jc w:val="center"/>
                    <w:rPr>
                      <w:b/>
                      <w:color w:val="auto"/>
                      <w:kern w:val="0"/>
                      <w:szCs w:val="21"/>
                      <w:highlight w:val="none"/>
                    </w:rPr>
                  </w:pPr>
                  <w:r>
                    <w:rPr>
                      <w:rFonts w:hint="eastAsia"/>
                      <w:b/>
                      <w:color w:val="auto"/>
                      <w:kern w:val="0"/>
                      <w:szCs w:val="21"/>
                      <w:highlight w:val="none"/>
                    </w:rPr>
                    <w:t>名称</w:t>
                  </w:r>
                </w:p>
              </w:tc>
              <w:tc>
                <w:tcPr>
                  <w:tcW w:w="1976" w:type="pct"/>
                  <w:tcBorders>
                    <w:tl2br w:val="nil"/>
                    <w:tr2bl w:val="nil"/>
                  </w:tcBorders>
                  <w:vAlign w:val="center"/>
                </w:tcPr>
                <w:p>
                  <w:pPr>
                    <w:jc w:val="center"/>
                    <w:rPr>
                      <w:b/>
                      <w:color w:val="auto"/>
                      <w:kern w:val="0"/>
                      <w:szCs w:val="21"/>
                      <w:highlight w:val="none"/>
                    </w:rPr>
                  </w:pPr>
                  <w:r>
                    <w:rPr>
                      <w:rFonts w:hint="eastAsia"/>
                      <w:b/>
                      <w:color w:val="auto"/>
                      <w:kern w:val="0"/>
                      <w:szCs w:val="21"/>
                      <w:highlight w:val="none"/>
                    </w:rPr>
                    <w:t>相对位置关系</w:t>
                  </w:r>
                </w:p>
              </w:tc>
              <w:tc>
                <w:tcPr>
                  <w:tcW w:w="1973" w:type="pct"/>
                  <w:tcBorders>
                    <w:tl2br w:val="nil"/>
                    <w:tr2bl w:val="nil"/>
                  </w:tcBorders>
                  <w:vAlign w:val="center"/>
                </w:tcPr>
                <w:p>
                  <w:pPr>
                    <w:jc w:val="center"/>
                    <w:rPr>
                      <w:b/>
                      <w:color w:val="auto"/>
                      <w:kern w:val="0"/>
                      <w:szCs w:val="21"/>
                      <w:highlight w:val="none"/>
                    </w:rPr>
                  </w:pPr>
                  <w:r>
                    <w:rPr>
                      <w:rFonts w:hint="eastAsia"/>
                      <w:b/>
                      <w:color w:val="auto"/>
                      <w:kern w:val="0"/>
                      <w:szCs w:val="21"/>
                      <w:highlight w:val="none"/>
                    </w:rPr>
                    <w:t>跨越段环境特征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0" w:type="pct"/>
                  <w:tcBorders>
                    <w:tl2br w:val="nil"/>
                    <w:tr2bl w:val="nil"/>
                  </w:tcBorders>
                  <w:vAlign w:val="center"/>
                </w:tcPr>
                <w:p>
                  <w:pPr>
                    <w:jc w:val="center"/>
                    <w:rPr>
                      <w:color w:val="auto"/>
                      <w:kern w:val="0"/>
                      <w:szCs w:val="21"/>
                      <w:highlight w:val="none"/>
                    </w:rPr>
                  </w:pPr>
                  <w:r>
                    <w:rPr>
                      <w:color w:val="auto"/>
                      <w:kern w:val="0"/>
                      <w:szCs w:val="21"/>
                      <w:highlight w:val="none"/>
                    </w:rPr>
                    <w:t>1</w:t>
                  </w:r>
                </w:p>
              </w:tc>
              <w:tc>
                <w:tcPr>
                  <w:tcW w:w="659" w:type="pct"/>
                  <w:tcBorders>
                    <w:tl2br w:val="nil"/>
                    <w:tr2bl w:val="nil"/>
                  </w:tcBorders>
                  <w:vAlign w:val="center"/>
                </w:tcPr>
                <w:p>
                  <w:pPr>
                    <w:jc w:val="center"/>
                    <w:rPr>
                      <w:color w:val="auto"/>
                      <w:kern w:val="0"/>
                      <w:szCs w:val="21"/>
                      <w:highlight w:val="none"/>
                    </w:rPr>
                  </w:pPr>
                  <w:r>
                    <w:rPr>
                      <w:rFonts w:hint="eastAsia"/>
                      <w:color w:val="auto"/>
                      <w:kern w:val="0"/>
                      <w:szCs w:val="21"/>
                      <w:highlight w:val="none"/>
                    </w:rPr>
                    <w:t>淮远河</w:t>
                  </w:r>
                </w:p>
              </w:tc>
              <w:tc>
                <w:tcPr>
                  <w:tcW w:w="1976" w:type="pct"/>
                  <w:tcBorders>
                    <w:tl2br w:val="nil"/>
                    <w:tr2bl w:val="nil"/>
                  </w:tcBorders>
                  <w:vAlign w:val="center"/>
                </w:tcPr>
                <w:p>
                  <w:pPr>
                    <w:jc w:val="center"/>
                    <w:rPr>
                      <w:color w:val="auto"/>
                      <w:kern w:val="0"/>
                      <w:szCs w:val="21"/>
                      <w:highlight w:val="none"/>
                    </w:rPr>
                  </w:pPr>
                  <w:r>
                    <w:rPr>
                      <w:rFonts w:hint="eastAsia"/>
                      <w:color w:val="auto"/>
                      <w:kern w:val="0"/>
                      <w:szCs w:val="21"/>
                      <w:highlight w:val="none"/>
                    </w:rPr>
                    <w:t>在拟建</w:t>
                  </w:r>
                  <w:r>
                    <w:rPr>
                      <w:rFonts w:hint="eastAsia" w:cs="Times New Roman"/>
                      <w:color w:val="auto"/>
                      <w:sz w:val="21"/>
                      <w:szCs w:val="21"/>
                      <w:highlight w:val="none"/>
                      <w:lang w:val="en-US" w:eastAsia="zh-CN"/>
                    </w:rPr>
                    <w:t>G</w:t>
                  </w:r>
                  <w:r>
                    <w:rPr>
                      <w:rFonts w:hint="eastAsia"/>
                      <w:color w:val="auto"/>
                      <w:kern w:val="0"/>
                      <w:sz w:val="21"/>
                      <w:szCs w:val="21"/>
                      <w:highlight w:val="none"/>
                      <w:lang w:val="en-US" w:eastAsia="zh-CN"/>
                    </w:rPr>
                    <w:t>2</w:t>
                  </w:r>
                  <w:r>
                    <w:rPr>
                      <w:color w:val="auto"/>
                      <w:kern w:val="0"/>
                      <w:sz w:val="21"/>
                      <w:szCs w:val="21"/>
                      <w:highlight w:val="none"/>
                    </w:rPr>
                    <w:t>#-</w:t>
                  </w:r>
                  <w:r>
                    <w:rPr>
                      <w:rFonts w:hint="eastAsia" w:cs="Times New Roman"/>
                      <w:color w:val="auto"/>
                      <w:sz w:val="21"/>
                      <w:szCs w:val="21"/>
                      <w:highlight w:val="none"/>
                      <w:lang w:val="en-US" w:eastAsia="zh-CN"/>
                    </w:rPr>
                    <w:t>G</w:t>
                  </w:r>
                  <w:r>
                    <w:rPr>
                      <w:rFonts w:hint="eastAsia"/>
                      <w:color w:val="auto"/>
                      <w:kern w:val="0"/>
                      <w:sz w:val="21"/>
                      <w:szCs w:val="21"/>
                      <w:highlight w:val="none"/>
                      <w:lang w:val="en-US" w:eastAsia="zh-CN"/>
                    </w:rPr>
                    <w:t>3</w:t>
                  </w:r>
                  <w:r>
                    <w:rPr>
                      <w:color w:val="auto"/>
                      <w:kern w:val="0"/>
                      <w:sz w:val="21"/>
                      <w:szCs w:val="21"/>
                      <w:highlight w:val="none"/>
                    </w:rPr>
                    <w:t>#</w:t>
                  </w:r>
                  <w:r>
                    <w:rPr>
                      <w:rFonts w:hint="eastAsia"/>
                      <w:color w:val="auto"/>
                      <w:kern w:val="0"/>
                      <w:szCs w:val="21"/>
                      <w:highlight w:val="none"/>
                    </w:rPr>
                    <w:t>塔段一档跨越，档距约</w:t>
                  </w:r>
                  <w:r>
                    <w:rPr>
                      <w:rFonts w:hint="eastAsia"/>
                      <w:color w:val="auto"/>
                      <w:kern w:val="0"/>
                      <w:szCs w:val="21"/>
                      <w:highlight w:val="none"/>
                      <w:lang w:val="en-US" w:eastAsia="zh-CN"/>
                    </w:rPr>
                    <w:t>330</w:t>
                  </w:r>
                  <w:r>
                    <w:rPr>
                      <w:color w:val="auto"/>
                      <w:kern w:val="0"/>
                      <w:szCs w:val="21"/>
                      <w:highlight w:val="none"/>
                    </w:rPr>
                    <w:t>m</w:t>
                  </w:r>
                  <w:r>
                    <w:rPr>
                      <w:rFonts w:hint="eastAsia"/>
                      <w:color w:val="auto"/>
                      <w:kern w:val="0"/>
                      <w:szCs w:val="21"/>
                      <w:highlight w:val="none"/>
                    </w:rPr>
                    <w:t>，新建G2#、G3#杆塔距河流分别约60m、200m，高差大于</w:t>
                  </w:r>
                  <w:r>
                    <w:rPr>
                      <w:rFonts w:hint="eastAsia"/>
                      <w:color w:val="auto"/>
                      <w:kern w:val="0"/>
                      <w:szCs w:val="21"/>
                      <w:highlight w:val="none"/>
                      <w:lang w:val="en-US" w:eastAsia="zh-CN"/>
                    </w:rPr>
                    <w:t>30</w:t>
                  </w:r>
                  <w:r>
                    <w:rPr>
                      <w:color w:val="auto"/>
                      <w:kern w:val="0"/>
                      <w:szCs w:val="21"/>
                      <w:highlight w:val="none"/>
                    </w:rPr>
                    <w:t>m</w:t>
                  </w:r>
                </w:p>
              </w:tc>
              <w:tc>
                <w:tcPr>
                  <w:tcW w:w="1973" w:type="pct"/>
                  <w:tcBorders>
                    <w:tl2br w:val="nil"/>
                    <w:tr2bl w:val="nil"/>
                  </w:tcBorders>
                  <w:vAlign w:val="center"/>
                </w:tcPr>
                <w:p>
                  <w:pPr>
                    <w:jc w:val="center"/>
                    <w:rPr>
                      <w:color w:val="auto"/>
                      <w:kern w:val="0"/>
                      <w:szCs w:val="21"/>
                      <w:highlight w:val="none"/>
                    </w:rPr>
                  </w:pPr>
                  <w:r>
                    <w:rPr>
                      <w:rFonts w:hint="eastAsia"/>
                      <w:color w:val="auto"/>
                      <w:kern w:val="0"/>
                      <w:szCs w:val="21"/>
                      <w:highlight w:val="none"/>
                      <w:lang w:eastAsia="zh-CN"/>
                    </w:rPr>
                    <w:t>不</w:t>
                  </w:r>
                  <w:r>
                    <w:rPr>
                      <w:rFonts w:hint="eastAsia"/>
                      <w:color w:val="auto"/>
                      <w:kern w:val="0"/>
                      <w:szCs w:val="21"/>
                      <w:highlight w:val="none"/>
                    </w:rPr>
                    <w:t>通航</w:t>
                  </w:r>
                  <w:r>
                    <w:rPr>
                      <w:color w:val="auto"/>
                      <w:kern w:val="0"/>
                      <w:szCs w:val="21"/>
                      <w:highlight w:val="none"/>
                    </w:rPr>
                    <w:t>，</w:t>
                  </w:r>
                  <w:r>
                    <w:rPr>
                      <w:rFonts w:hint="eastAsia"/>
                      <w:color w:val="auto"/>
                      <w:kern w:val="0"/>
                      <w:szCs w:val="21"/>
                      <w:highlight w:val="none"/>
                    </w:rPr>
                    <w:t>Ⅳ类水域</w:t>
                  </w:r>
                  <w:r>
                    <w:rPr>
                      <w:rFonts w:hint="eastAsia"/>
                      <w:color w:val="auto"/>
                      <w:kern w:val="0"/>
                      <w:szCs w:val="21"/>
                      <w:highlight w:val="none"/>
                      <w:lang w:eastAsia="zh-CN"/>
                    </w:rPr>
                    <w:t>，</w:t>
                  </w:r>
                  <w:r>
                    <w:rPr>
                      <w:rFonts w:hint="eastAsia"/>
                      <w:color w:val="auto"/>
                      <w:kern w:val="0"/>
                      <w:szCs w:val="21"/>
                      <w:highlight w:val="none"/>
                    </w:rPr>
                    <w:t>不涉及饮用水源保护区，跨越处河宽约</w:t>
                  </w:r>
                  <w:r>
                    <w:rPr>
                      <w:rFonts w:hint="eastAsia"/>
                      <w:color w:val="auto"/>
                      <w:kern w:val="0"/>
                      <w:szCs w:val="21"/>
                      <w:highlight w:val="none"/>
                      <w:lang w:val="en-US" w:eastAsia="zh-CN"/>
                    </w:rPr>
                    <w:t>60</w:t>
                  </w:r>
                  <w:r>
                    <w:rPr>
                      <w:color w:val="auto"/>
                      <w:kern w:val="0"/>
                      <w:szCs w:val="21"/>
                      <w:highlight w:val="none"/>
                    </w:rPr>
                    <w:t>m</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b/>
                <w:bCs/>
                <w:color w:val="auto"/>
                <w:sz w:val="24"/>
                <w:highlight w:val="none"/>
              </w:rPr>
            </w:pPr>
            <w:r>
              <w:rPr>
                <w:rFonts w:hint="eastAsia"/>
                <w:b/>
                <w:bCs/>
                <w:color w:val="auto"/>
                <w:sz w:val="24"/>
                <w:highlight w:val="none"/>
              </w:rPr>
              <w:t>（</w:t>
            </w:r>
            <w:r>
              <w:rPr>
                <w:b/>
                <w:bCs/>
                <w:color w:val="auto"/>
                <w:sz w:val="24"/>
                <w:highlight w:val="none"/>
              </w:rPr>
              <w:t>3</w:t>
            </w:r>
            <w:r>
              <w:rPr>
                <w:rFonts w:hint="eastAsia"/>
                <w:b/>
                <w:bCs/>
                <w:color w:val="auto"/>
                <w:sz w:val="24"/>
                <w:highlight w:val="none"/>
              </w:rPr>
              <w:t>）电磁环境及声环境敏感目标</w:t>
            </w:r>
          </w:p>
          <w:p>
            <w:pPr>
              <w:adjustRightInd w:val="0"/>
              <w:snapToGrid w:val="0"/>
              <w:spacing w:line="360" w:lineRule="auto"/>
              <w:ind w:firstLine="480" w:firstLineChars="200"/>
              <w:rPr>
                <w:rFonts w:hint="eastAsia"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1）变电站</w:t>
            </w:r>
          </w:p>
          <w:p>
            <w:pPr>
              <w:adjustRightInd w:val="0"/>
              <w:snapToGrid w:val="0"/>
              <w:spacing w:line="360" w:lineRule="auto"/>
              <w:ind w:firstLine="480" w:firstLineChars="200"/>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eastAsia="zh-CN"/>
              </w:rPr>
              <w:t>拟建</w:t>
            </w:r>
            <w:r>
              <w:rPr>
                <w:rFonts w:hint="eastAsia" w:ascii="Times New Roman" w:hAnsi="Times New Roman"/>
                <w:color w:val="auto"/>
                <w:sz w:val="24"/>
                <w:highlight w:val="none"/>
                <w:lang w:val="en-US" w:eastAsia="zh-CN"/>
              </w:rPr>
              <w:t>11</w:t>
            </w:r>
            <w:r>
              <w:rPr>
                <w:rFonts w:ascii="Times New Roman" w:hAnsi="Times New Roman"/>
                <w:color w:val="auto"/>
                <w:sz w:val="24"/>
                <w:highlight w:val="none"/>
              </w:rPr>
              <w:t>0kV</w:t>
            </w:r>
            <w:r>
              <w:rPr>
                <w:rFonts w:hint="eastAsia" w:ascii="Times New Roman" w:hAnsi="Times New Roman"/>
                <w:color w:val="auto"/>
                <w:sz w:val="24"/>
                <w:highlight w:val="none"/>
                <w:lang w:eastAsia="zh-CN"/>
              </w:rPr>
              <w:t>淮阳变电站厂界外</w:t>
            </w:r>
            <w:r>
              <w:rPr>
                <w:rFonts w:hint="eastAsia" w:ascii="Times New Roman" w:hAnsi="Times New Roman"/>
                <w:color w:val="auto"/>
                <w:sz w:val="24"/>
                <w:highlight w:val="none"/>
                <w:lang w:val="en-US" w:eastAsia="zh-CN"/>
              </w:rPr>
              <w:t>30m内的电磁环境保护目标为西南侧民房，声环境保护目标为厂界外200m内的民房。</w:t>
            </w:r>
          </w:p>
          <w:p>
            <w:pPr>
              <w:adjustRightInd w:val="0"/>
              <w:snapToGrid w:val="0"/>
              <w:spacing w:line="360" w:lineRule="auto"/>
              <w:ind w:firstLine="480" w:firstLineChars="200"/>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eastAsia="zh-CN"/>
              </w:rPr>
              <w:t>全德</w:t>
            </w:r>
            <w:r>
              <w:rPr>
                <w:rFonts w:ascii="Times New Roman" w:hAnsi="Times New Roman"/>
                <w:color w:val="auto"/>
                <w:sz w:val="24"/>
                <w:highlight w:val="none"/>
              </w:rPr>
              <w:t>220kV变电站间隔扩建，不涉及主变等建设内容，因此变电站环境评价范围内涉及电磁仅考虑间隔扩建侧，即</w:t>
            </w:r>
            <w:r>
              <w:rPr>
                <w:rFonts w:hint="eastAsia" w:ascii="Times New Roman" w:hAnsi="Times New Roman"/>
                <w:color w:val="auto"/>
                <w:sz w:val="24"/>
                <w:highlight w:val="none"/>
                <w:lang w:eastAsia="zh-CN"/>
              </w:rPr>
              <w:t>全德</w:t>
            </w:r>
            <w:r>
              <w:rPr>
                <w:rFonts w:ascii="Times New Roman" w:hAnsi="Times New Roman"/>
                <w:color w:val="auto"/>
                <w:sz w:val="24"/>
                <w:highlight w:val="none"/>
              </w:rPr>
              <w:t>220kV变电站</w:t>
            </w:r>
            <w:r>
              <w:rPr>
                <w:rFonts w:hint="eastAsia" w:ascii="Times New Roman" w:hAnsi="Times New Roman"/>
                <w:color w:val="auto"/>
                <w:sz w:val="24"/>
                <w:highlight w:val="none"/>
                <w:lang w:eastAsia="zh-CN"/>
              </w:rPr>
              <w:t>南</w:t>
            </w:r>
            <w:r>
              <w:rPr>
                <w:rFonts w:ascii="Times New Roman" w:hAnsi="Times New Roman"/>
                <w:color w:val="auto"/>
                <w:sz w:val="24"/>
                <w:highlight w:val="none"/>
              </w:rPr>
              <w:t>侧。</w:t>
            </w:r>
            <w:r>
              <w:rPr>
                <w:rFonts w:hint="eastAsia" w:ascii="Times New Roman" w:hAnsi="Times New Roman"/>
                <w:color w:val="auto"/>
                <w:sz w:val="24"/>
                <w:highlight w:val="none"/>
                <w:lang w:eastAsia="zh-CN"/>
              </w:rPr>
              <w:t>其南侧</w:t>
            </w:r>
            <w:r>
              <w:rPr>
                <w:rFonts w:hint="eastAsia" w:ascii="Times New Roman" w:hAnsi="Times New Roman"/>
                <w:color w:val="auto"/>
                <w:sz w:val="24"/>
                <w:highlight w:val="none"/>
                <w:lang w:val="en-US" w:eastAsia="zh-CN"/>
              </w:rPr>
              <w:t>40m范围内无电磁环境保护目标，声环境保护目标为200m范围内的民房。</w:t>
            </w:r>
          </w:p>
          <w:p>
            <w:pPr>
              <w:spacing w:line="360" w:lineRule="auto"/>
              <w:ind w:firstLine="480" w:firstLineChars="200"/>
              <w:rPr>
                <w:rFonts w:hint="eastAsia" w:eastAsia="宋体"/>
                <w:bCs/>
                <w:color w:val="auto"/>
                <w:kern w:val="0"/>
                <w:sz w:val="24"/>
                <w:highlight w:val="none"/>
                <w:lang w:val="en-US" w:eastAsia="zh-CN"/>
              </w:rPr>
            </w:pPr>
            <w:r>
              <w:rPr>
                <w:rFonts w:hint="eastAsia"/>
                <w:bCs/>
                <w:color w:val="auto"/>
                <w:kern w:val="0"/>
                <w:sz w:val="24"/>
                <w:highlight w:val="none"/>
                <w:lang w:val="en-US" w:eastAsia="zh-CN"/>
              </w:rPr>
              <w:t>2）线路</w:t>
            </w:r>
          </w:p>
          <w:p>
            <w:pPr>
              <w:spacing w:line="360" w:lineRule="auto"/>
              <w:ind w:firstLine="480" w:firstLineChars="200"/>
              <w:rPr>
                <w:rFonts w:hint="eastAsia"/>
                <w:bCs/>
                <w:color w:val="auto"/>
                <w:kern w:val="0"/>
                <w:sz w:val="24"/>
                <w:highlight w:val="none"/>
              </w:rPr>
            </w:pPr>
            <w:r>
              <w:rPr>
                <w:rFonts w:hint="eastAsia"/>
                <w:bCs/>
                <w:color w:val="auto"/>
                <w:kern w:val="0"/>
                <w:sz w:val="24"/>
                <w:highlight w:val="none"/>
              </w:rPr>
              <w:t>本项目</w:t>
            </w:r>
            <w:r>
              <w:rPr>
                <w:rFonts w:hint="eastAsia"/>
                <w:bCs/>
                <w:color w:val="auto"/>
                <w:kern w:val="0"/>
                <w:sz w:val="24"/>
                <w:highlight w:val="none"/>
                <w:lang w:eastAsia="zh-CN"/>
              </w:rPr>
              <w:t>拟建</w:t>
            </w:r>
            <w:r>
              <w:rPr>
                <w:rFonts w:hint="eastAsia"/>
                <w:bCs/>
                <w:color w:val="auto"/>
                <w:kern w:val="0"/>
                <w:sz w:val="24"/>
                <w:highlight w:val="none"/>
              </w:rPr>
              <w:t>线路边导线水平距离</w:t>
            </w:r>
            <w:r>
              <w:rPr>
                <w:rFonts w:hint="eastAsia"/>
                <w:bCs/>
                <w:color w:val="auto"/>
                <w:kern w:val="0"/>
                <w:sz w:val="24"/>
                <w:highlight w:val="none"/>
                <w:lang w:val="en-US" w:eastAsia="zh-CN"/>
              </w:rPr>
              <w:t>3</w:t>
            </w:r>
            <w:r>
              <w:rPr>
                <w:bCs/>
                <w:color w:val="auto"/>
                <w:kern w:val="0"/>
                <w:sz w:val="24"/>
                <w:highlight w:val="none"/>
              </w:rPr>
              <w:t>0m</w:t>
            </w:r>
            <w:r>
              <w:rPr>
                <w:rFonts w:hint="eastAsia"/>
                <w:bCs/>
                <w:color w:val="auto"/>
                <w:kern w:val="0"/>
                <w:sz w:val="24"/>
                <w:highlight w:val="none"/>
              </w:rPr>
              <w:t>范围内的声环境、电磁环境保护目标主要为沿线民房。</w:t>
            </w:r>
          </w:p>
          <w:p>
            <w:pPr>
              <w:spacing w:line="360" w:lineRule="auto"/>
              <w:ind w:firstLine="480" w:firstLineChars="200"/>
              <w:rPr>
                <w:rFonts w:hint="eastAsia"/>
                <w:bCs/>
                <w:color w:val="auto"/>
                <w:kern w:val="0"/>
                <w:sz w:val="24"/>
                <w:highlight w:val="none"/>
              </w:rPr>
            </w:pPr>
            <w:r>
              <w:rPr>
                <w:rFonts w:hint="eastAsia"/>
                <w:bCs/>
                <w:color w:val="auto"/>
                <w:kern w:val="0"/>
                <w:sz w:val="24"/>
                <w:highlight w:val="none"/>
              </w:rPr>
              <w:t>本项目</w:t>
            </w:r>
            <w:r>
              <w:rPr>
                <w:rFonts w:hint="eastAsia"/>
                <w:bCs/>
                <w:color w:val="auto"/>
                <w:kern w:val="0"/>
                <w:sz w:val="24"/>
                <w:highlight w:val="none"/>
                <w:lang w:eastAsia="zh-CN"/>
              </w:rPr>
              <w:t>变电站及线路的</w:t>
            </w:r>
            <w:r>
              <w:rPr>
                <w:rFonts w:hint="eastAsia"/>
                <w:bCs/>
                <w:color w:val="auto"/>
                <w:kern w:val="0"/>
                <w:sz w:val="24"/>
                <w:highlight w:val="none"/>
              </w:rPr>
              <w:t>电磁环境</w:t>
            </w:r>
            <w:r>
              <w:rPr>
                <w:rFonts w:hint="eastAsia"/>
                <w:bCs/>
                <w:color w:val="auto"/>
                <w:kern w:val="0"/>
                <w:sz w:val="24"/>
                <w:highlight w:val="none"/>
                <w:lang w:eastAsia="zh-CN"/>
              </w:rPr>
              <w:t>、</w:t>
            </w:r>
            <w:r>
              <w:rPr>
                <w:rFonts w:hint="eastAsia"/>
                <w:bCs/>
                <w:color w:val="auto"/>
                <w:kern w:val="0"/>
                <w:sz w:val="24"/>
                <w:highlight w:val="none"/>
              </w:rPr>
              <w:t>声环境敏感目标</w:t>
            </w:r>
            <w:r>
              <w:rPr>
                <w:rFonts w:hint="eastAsia"/>
                <w:bCs/>
                <w:color w:val="auto"/>
                <w:kern w:val="0"/>
                <w:sz w:val="24"/>
                <w:highlight w:val="none"/>
                <w:lang w:eastAsia="zh-CN"/>
              </w:rPr>
              <w:t>分别</w:t>
            </w:r>
            <w:r>
              <w:rPr>
                <w:rFonts w:hint="eastAsia"/>
                <w:bCs/>
                <w:color w:val="auto"/>
                <w:kern w:val="0"/>
                <w:sz w:val="24"/>
                <w:highlight w:val="none"/>
              </w:rPr>
              <w:t>见表3</w:t>
            </w:r>
            <w:r>
              <w:rPr>
                <w:bCs/>
                <w:color w:val="auto"/>
                <w:kern w:val="0"/>
                <w:sz w:val="24"/>
                <w:highlight w:val="none"/>
              </w:rPr>
              <w:t>-</w:t>
            </w:r>
            <w:r>
              <w:rPr>
                <w:rFonts w:hint="eastAsia"/>
                <w:bCs/>
                <w:color w:val="auto"/>
                <w:kern w:val="0"/>
                <w:sz w:val="24"/>
                <w:highlight w:val="none"/>
                <w:lang w:val="en-US" w:eastAsia="zh-CN"/>
              </w:rPr>
              <w:t>7</w:t>
            </w:r>
            <w:r>
              <w:rPr>
                <w:rFonts w:hint="eastAsia"/>
                <w:bCs/>
                <w:color w:val="auto"/>
                <w:kern w:val="0"/>
                <w:sz w:val="24"/>
                <w:highlight w:val="none"/>
              </w:rPr>
              <w:t>和3</w:t>
            </w:r>
            <w:r>
              <w:rPr>
                <w:bCs/>
                <w:color w:val="auto"/>
                <w:kern w:val="0"/>
                <w:sz w:val="24"/>
                <w:highlight w:val="none"/>
              </w:rPr>
              <w:t>-</w:t>
            </w:r>
            <w:r>
              <w:rPr>
                <w:rFonts w:hint="eastAsia"/>
                <w:bCs/>
                <w:color w:val="auto"/>
                <w:kern w:val="0"/>
                <w:sz w:val="24"/>
                <w:highlight w:val="none"/>
                <w:lang w:val="en-US" w:eastAsia="zh-CN"/>
              </w:rPr>
              <w:t>8</w:t>
            </w:r>
            <w:r>
              <w:rPr>
                <w:rFonts w:hint="eastAsia"/>
                <w:bCs/>
                <w:color w:val="auto"/>
                <w:kern w:val="0"/>
                <w:sz w:val="24"/>
                <w:highlight w:val="none"/>
              </w:rPr>
              <w:t>。</w:t>
            </w:r>
          </w:p>
          <w:p>
            <w:pPr>
              <w:spacing w:line="360" w:lineRule="auto"/>
              <w:ind w:firstLine="480" w:firstLineChars="200"/>
              <w:rPr>
                <w:rFonts w:hint="eastAsia"/>
                <w:bCs/>
                <w:color w:val="auto"/>
                <w:kern w:val="0"/>
                <w:sz w:val="24"/>
                <w:highlight w:val="none"/>
              </w:rPr>
            </w:pPr>
          </w:p>
          <w:p>
            <w:pPr>
              <w:spacing w:line="360" w:lineRule="auto"/>
              <w:ind w:firstLine="480" w:firstLineChars="200"/>
              <w:rPr>
                <w:rFonts w:hint="eastAsia"/>
                <w:bCs/>
                <w:color w:val="auto"/>
                <w:kern w:val="0"/>
                <w:sz w:val="24"/>
                <w:highlight w:val="none"/>
              </w:rPr>
            </w:pPr>
          </w:p>
          <w:p>
            <w:pPr>
              <w:spacing w:line="360" w:lineRule="auto"/>
              <w:rPr>
                <w:rFonts w:hint="eastAsia"/>
                <w:bCs/>
                <w:color w:val="auto"/>
                <w:kern w:val="0"/>
                <w:sz w:val="24"/>
                <w:highlight w:val="none"/>
              </w:rPr>
            </w:pPr>
          </w:p>
        </w:tc>
      </w:tr>
    </w:tbl>
    <w:p>
      <w:pPr>
        <w:pStyle w:val="35"/>
        <w:rPr>
          <w:color w:val="auto"/>
          <w:highlight w:val="yellow"/>
        </w:rPr>
      </w:pPr>
    </w:p>
    <w:p>
      <w:pPr>
        <w:pStyle w:val="35"/>
        <w:rPr>
          <w:color w:val="auto"/>
          <w:highlight w:val="yellow"/>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pPr>
        <w:adjustRightInd w:val="0"/>
        <w:snapToGrid w:val="0"/>
        <w:jc w:val="center"/>
        <w:rPr>
          <w:b/>
          <w:bCs/>
          <w:color w:val="auto"/>
          <w:sz w:val="24"/>
          <w:highlight w:val="none"/>
        </w:rPr>
      </w:pPr>
      <w:bookmarkStart w:id="17" w:name="_Hlk116494500"/>
      <w:r>
        <w:rPr>
          <w:rFonts w:hint="eastAsia"/>
          <w:b/>
          <w:bCs/>
          <w:color w:val="auto"/>
          <w:sz w:val="24"/>
          <w:highlight w:val="none"/>
        </w:rPr>
        <w:t>表</w:t>
      </w:r>
      <w:r>
        <w:rPr>
          <w:b/>
          <w:bCs/>
          <w:color w:val="auto"/>
          <w:sz w:val="24"/>
          <w:highlight w:val="none"/>
        </w:rPr>
        <w:t>3-</w:t>
      </w:r>
      <w:r>
        <w:rPr>
          <w:rFonts w:hint="eastAsia"/>
          <w:b/>
          <w:bCs/>
          <w:color w:val="auto"/>
          <w:sz w:val="24"/>
          <w:highlight w:val="none"/>
          <w:lang w:val="en-US" w:eastAsia="zh-CN"/>
        </w:rPr>
        <w:t>7</w:t>
      </w:r>
      <w:r>
        <w:rPr>
          <w:b/>
          <w:bCs/>
          <w:color w:val="auto"/>
          <w:sz w:val="24"/>
          <w:highlight w:val="none"/>
        </w:rPr>
        <w:t xml:space="preserve">  </w:t>
      </w:r>
      <w:r>
        <w:rPr>
          <w:rFonts w:hint="eastAsia"/>
          <w:b/>
          <w:bCs/>
          <w:color w:val="auto"/>
          <w:sz w:val="24"/>
          <w:highlight w:val="none"/>
        </w:rPr>
        <w:t>变电站四周电磁、声环境保护目标一览表</w:t>
      </w:r>
    </w:p>
    <w:tbl>
      <w:tblPr>
        <w:tblStyle w:val="28"/>
        <w:tblW w:w="4996"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19"/>
        <w:gridCol w:w="1321"/>
        <w:gridCol w:w="2257"/>
        <w:gridCol w:w="2523"/>
        <w:gridCol w:w="3059"/>
        <w:gridCol w:w="1094"/>
        <w:gridCol w:w="1174"/>
        <w:gridCol w:w="1108"/>
        <w:gridCol w:w="110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atLeast"/>
        </w:trPr>
        <w:tc>
          <w:tcPr>
            <w:tcW w:w="183" w:type="pct"/>
            <w:tcBorders>
              <w:tl2br w:val="nil"/>
              <w:tr2bl w:val="nil"/>
            </w:tcBorders>
            <w:vAlign w:val="center"/>
          </w:tcPr>
          <w:p>
            <w:pPr>
              <w:adjustRightInd w:val="0"/>
              <w:jc w:val="center"/>
              <w:rPr>
                <w:b/>
                <w:color w:val="auto"/>
                <w:sz w:val="18"/>
                <w:szCs w:val="18"/>
                <w:highlight w:val="none"/>
              </w:rPr>
            </w:pPr>
            <w:r>
              <w:rPr>
                <w:rFonts w:hint="eastAsia"/>
                <w:b/>
                <w:color w:val="auto"/>
                <w:sz w:val="18"/>
                <w:szCs w:val="18"/>
                <w:highlight w:val="none"/>
              </w:rPr>
              <w:t>序号</w:t>
            </w:r>
          </w:p>
        </w:tc>
        <w:tc>
          <w:tcPr>
            <w:tcW w:w="466" w:type="pct"/>
            <w:tcBorders>
              <w:tl2br w:val="nil"/>
              <w:tr2bl w:val="nil"/>
            </w:tcBorders>
            <w:vAlign w:val="center"/>
          </w:tcPr>
          <w:p>
            <w:pPr>
              <w:adjustRightInd w:val="0"/>
              <w:jc w:val="center"/>
              <w:rPr>
                <w:b/>
                <w:color w:val="auto"/>
                <w:sz w:val="18"/>
                <w:szCs w:val="18"/>
                <w:highlight w:val="none"/>
              </w:rPr>
            </w:pPr>
            <w:r>
              <w:rPr>
                <w:rFonts w:hint="eastAsia"/>
                <w:b/>
                <w:color w:val="auto"/>
                <w:sz w:val="18"/>
                <w:szCs w:val="18"/>
                <w:highlight w:val="none"/>
              </w:rPr>
              <w:t>变电站名称</w:t>
            </w:r>
          </w:p>
        </w:tc>
        <w:tc>
          <w:tcPr>
            <w:tcW w:w="796" w:type="pct"/>
            <w:tcBorders>
              <w:tl2br w:val="nil"/>
              <w:tr2bl w:val="nil"/>
            </w:tcBorders>
            <w:vAlign w:val="center"/>
          </w:tcPr>
          <w:p>
            <w:pPr>
              <w:adjustRightInd w:val="0"/>
              <w:jc w:val="center"/>
              <w:rPr>
                <w:b/>
                <w:color w:val="auto"/>
                <w:sz w:val="18"/>
                <w:szCs w:val="18"/>
                <w:highlight w:val="none"/>
              </w:rPr>
            </w:pPr>
            <w:r>
              <w:rPr>
                <w:rFonts w:hint="eastAsia"/>
                <w:b/>
                <w:color w:val="auto"/>
                <w:sz w:val="18"/>
                <w:szCs w:val="18"/>
                <w:highlight w:val="none"/>
              </w:rPr>
              <w:t>敏感目标名称</w:t>
            </w:r>
          </w:p>
        </w:tc>
        <w:tc>
          <w:tcPr>
            <w:tcW w:w="890" w:type="pct"/>
            <w:tcBorders>
              <w:tl2br w:val="nil"/>
              <w:tr2bl w:val="nil"/>
            </w:tcBorders>
            <w:vAlign w:val="center"/>
          </w:tcPr>
          <w:p>
            <w:pPr>
              <w:adjustRightInd w:val="0"/>
              <w:jc w:val="center"/>
              <w:rPr>
                <w:b/>
                <w:color w:val="auto"/>
                <w:sz w:val="18"/>
                <w:szCs w:val="18"/>
                <w:highlight w:val="none"/>
              </w:rPr>
            </w:pPr>
            <w:r>
              <w:rPr>
                <w:rFonts w:hint="eastAsia"/>
                <w:b/>
                <w:color w:val="auto"/>
                <w:sz w:val="18"/>
                <w:szCs w:val="18"/>
                <w:highlight w:val="none"/>
              </w:rPr>
              <w:t>敏感目标特征</w:t>
            </w:r>
          </w:p>
        </w:tc>
        <w:tc>
          <w:tcPr>
            <w:tcW w:w="1079" w:type="pct"/>
            <w:tcBorders>
              <w:tl2br w:val="nil"/>
              <w:tr2bl w:val="nil"/>
            </w:tcBorders>
            <w:vAlign w:val="center"/>
          </w:tcPr>
          <w:p>
            <w:pPr>
              <w:adjustRightInd w:val="0"/>
              <w:jc w:val="center"/>
              <w:rPr>
                <w:b/>
                <w:color w:val="auto"/>
                <w:sz w:val="18"/>
                <w:szCs w:val="18"/>
                <w:highlight w:val="none"/>
              </w:rPr>
            </w:pPr>
            <w:r>
              <w:rPr>
                <w:rFonts w:hint="eastAsia"/>
                <w:b/>
                <w:color w:val="auto"/>
                <w:sz w:val="18"/>
                <w:szCs w:val="18"/>
                <w:highlight w:val="none"/>
              </w:rPr>
              <w:t>与变电站位置关系</w:t>
            </w:r>
          </w:p>
        </w:tc>
        <w:tc>
          <w:tcPr>
            <w:tcW w:w="386" w:type="pct"/>
            <w:tcBorders>
              <w:tl2br w:val="nil"/>
              <w:tr2bl w:val="nil"/>
            </w:tcBorders>
            <w:vAlign w:val="center"/>
          </w:tcPr>
          <w:p>
            <w:pPr>
              <w:adjustRightInd w:val="0"/>
              <w:jc w:val="center"/>
              <w:rPr>
                <w:b/>
                <w:color w:val="auto"/>
                <w:sz w:val="18"/>
                <w:szCs w:val="18"/>
                <w:highlight w:val="none"/>
              </w:rPr>
            </w:pPr>
            <w:r>
              <w:rPr>
                <w:rFonts w:hint="eastAsia"/>
                <w:b/>
                <w:color w:val="auto"/>
                <w:sz w:val="18"/>
                <w:szCs w:val="18"/>
                <w:highlight w:val="none"/>
              </w:rPr>
              <w:t>影响因子</w:t>
            </w:r>
          </w:p>
        </w:tc>
        <w:tc>
          <w:tcPr>
            <w:tcW w:w="414" w:type="pct"/>
            <w:tcBorders>
              <w:tl2br w:val="nil"/>
              <w:tr2bl w:val="nil"/>
            </w:tcBorders>
            <w:vAlign w:val="center"/>
          </w:tcPr>
          <w:p>
            <w:pPr>
              <w:adjustRightInd w:val="0"/>
              <w:jc w:val="center"/>
              <w:rPr>
                <w:b/>
                <w:color w:val="auto"/>
                <w:sz w:val="18"/>
                <w:szCs w:val="18"/>
                <w:highlight w:val="none"/>
              </w:rPr>
            </w:pPr>
            <w:r>
              <w:rPr>
                <w:rFonts w:hint="eastAsia"/>
                <w:b/>
                <w:color w:val="auto"/>
                <w:sz w:val="18"/>
                <w:szCs w:val="18"/>
                <w:highlight w:val="none"/>
              </w:rPr>
              <w:t>声环境功能区</w:t>
            </w:r>
          </w:p>
        </w:tc>
        <w:tc>
          <w:tcPr>
            <w:tcW w:w="391" w:type="pct"/>
            <w:tcBorders>
              <w:tl2br w:val="nil"/>
              <w:tr2bl w:val="nil"/>
            </w:tcBorders>
            <w:vAlign w:val="center"/>
          </w:tcPr>
          <w:p>
            <w:pPr>
              <w:adjustRightInd w:val="0"/>
              <w:jc w:val="center"/>
              <w:rPr>
                <w:b/>
                <w:color w:val="auto"/>
                <w:sz w:val="18"/>
                <w:szCs w:val="18"/>
                <w:highlight w:val="none"/>
              </w:rPr>
            </w:pPr>
            <w:r>
              <w:rPr>
                <w:rFonts w:hint="eastAsia"/>
                <w:b/>
                <w:color w:val="auto"/>
                <w:sz w:val="18"/>
                <w:szCs w:val="18"/>
                <w:highlight w:val="none"/>
              </w:rPr>
              <w:t>监测点位</w:t>
            </w:r>
          </w:p>
        </w:tc>
        <w:tc>
          <w:tcPr>
            <w:tcW w:w="391" w:type="pct"/>
            <w:tcBorders>
              <w:tl2br w:val="nil"/>
              <w:tr2bl w:val="nil"/>
            </w:tcBorders>
            <w:vAlign w:val="center"/>
          </w:tcPr>
          <w:p>
            <w:pPr>
              <w:adjustRightInd w:val="0"/>
              <w:jc w:val="center"/>
              <w:rPr>
                <w:rFonts w:hint="eastAsia"/>
                <w:b/>
                <w:color w:val="auto"/>
                <w:sz w:val="18"/>
                <w:szCs w:val="18"/>
                <w:highlight w:val="none"/>
              </w:rPr>
            </w:pPr>
            <w:r>
              <w:rPr>
                <w:rFonts w:hint="eastAsia"/>
                <w:b/>
                <w:color w:val="auto"/>
                <w:sz w:val="18"/>
                <w:szCs w:val="18"/>
                <w:highlight w:val="none"/>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atLeast"/>
        </w:trPr>
        <w:tc>
          <w:tcPr>
            <w:tcW w:w="183" w:type="pct"/>
            <w:tcBorders>
              <w:tl2br w:val="nil"/>
              <w:tr2bl w:val="nil"/>
            </w:tcBorders>
            <w:vAlign w:val="center"/>
          </w:tcPr>
          <w:p>
            <w:pPr>
              <w:adjustRightInd w:val="0"/>
              <w:jc w:val="center"/>
              <w:rPr>
                <w:rFonts w:hint="eastAsia" w:eastAsia="宋体"/>
                <w:b/>
                <w:color w:val="auto"/>
                <w:sz w:val="18"/>
                <w:szCs w:val="18"/>
                <w:highlight w:val="none"/>
                <w:lang w:val="en-US" w:eastAsia="zh-CN"/>
              </w:rPr>
            </w:pPr>
            <w:r>
              <w:rPr>
                <w:rFonts w:hint="eastAsia"/>
                <w:b/>
                <w:color w:val="auto"/>
                <w:sz w:val="18"/>
                <w:szCs w:val="18"/>
                <w:highlight w:val="none"/>
                <w:lang w:val="en-US" w:eastAsia="zh-CN"/>
              </w:rPr>
              <w:t>1</w:t>
            </w:r>
          </w:p>
        </w:tc>
        <w:tc>
          <w:tcPr>
            <w:tcW w:w="466" w:type="pct"/>
            <w:vMerge w:val="restart"/>
            <w:tcBorders>
              <w:tl2br w:val="nil"/>
              <w:tr2bl w:val="nil"/>
            </w:tcBorders>
            <w:vAlign w:val="center"/>
          </w:tcPr>
          <w:p>
            <w:pPr>
              <w:adjustRightInd w:val="0"/>
              <w:jc w:val="center"/>
              <w:rPr>
                <w:rFonts w:hint="eastAsia"/>
                <w:b/>
                <w:color w:val="auto"/>
                <w:sz w:val="18"/>
                <w:szCs w:val="18"/>
                <w:highlight w:val="none"/>
              </w:rPr>
            </w:pPr>
            <w:r>
              <w:rPr>
                <w:rFonts w:hint="eastAsia"/>
                <w:bCs/>
                <w:color w:val="auto"/>
                <w:sz w:val="18"/>
                <w:szCs w:val="18"/>
                <w:highlight w:val="none"/>
              </w:rPr>
              <w:t>拟建</w:t>
            </w:r>
            <w:r>
              <w:rPr>
                <w:rFonts w:hint="eastAsia"/>
                <w:bCs/>
                <w:color w:val="auto"/>
                <w:sz w:val="18"/>
                <w:szCs w:val="18"/>
                <w:highlight w:val="none"/>
                <w:lang w:val="en-US" w:eastAsia="zh-CN"/>
              </w:rPr>
              <w:t>11</w:t>
            </w:r>
            <w:r>
              <w:rPr>
                <w:bCs/>
                <w:color w:val="auto"/>
                <w:sz w:val="18"/>
                <w:szCs w:val="18"/>
                <w:highlight w:val="none"/>
              </w:rPr>
              <w:t>0kV</w:t>
            </w:r>
            <w:r>
              <w:rPr>
                <w:rFonts w:hint="eastAsia"/>
                <w:bCs/>
                <w:color w:val="auto"/>
                <w:sz w:val="18"/>
                <w:szCs w:val="18"/>
                <w:highlight w:val="none"/>
                <w:lang w:eastAsia="zh-CN"/>
              </w:rPr>
              <w:t>淮阳变电站</w:t>
            </w:r>
          </w:p>
        </w:tc>
        <w:tc>
          <w:tcPr>
            <w:tcW w:w="796" w:type="pct"/>
            <w:tcBorders>
              <w:tl2br w:val="nil"/>
              <w:tr2bl w:val="nil"/>
            </w:tcBorders>
            <w:vAlign w:val="center"/>
          </w:tcPr>
          <w:p>
            <w:pPr>
              <w:adjustRightInd w:val="0"/>
              <w:jc w:val="center"/>
              <w:rPr>
                <w:rFonts w:hint="eastAsia"/>
                <w:b/>
                <w:color w:val="auto"/>
                <w:sz w:val="18"/>
                <w:szCs w:val="18"/>
                <w:highlight w:val="none"/>
              </w:rPr>
            </w:pPr>
            <w:r>
              <w:rPr>
                <w:rFonts w:hint="eastAsia"/>
                <w:bCs/>
                <w:color w:val="auto"/>
                <w:sz w:val="18"/>
                <w:szCs w:val="18"/>
                <w:highlight w:val="none"/>
                <w:lang w:eastAsia="zh-CN"/>
              </w:rPr>
              <w:t>蒲吕街道沙心村民房</w:t>
            </w:r>
            <w:r>
              <w:rPr>
                <w:rFonts w:hint="eastAsia"/>
                <w:bCs/>
                <w:color w:val="auto"/>
                <w:sz w:val="18"/>
                <w:szCs w:val="18"/>
                <w:highlight w:val="none"/>
                <w:lang w:val="en-US" w:eastAsia="zh-CN"/>
              </w:rPr>
              <w:t>1</w:t>
            </w:r>
          </w:p>
        </w:tc>
        <w:tc>
          <w:tcPr>
            <w:tcW w:w="890" w:type="pct"/>
            <w:tcBorders>
              <w:tl2br w:val="nil"/>
              <w:tr2bl w:val="nil"/>
            </w:tcBorders>
            <w:vAlign w:val="center"/>
          </w:tcPr>
          <w:p>
            <w:pPr>
              <w:adjustRightInd w:val="0"/>
              <w:jc w:val="center"/>
              <w:rPr>
                <w:rFonts w:hint="eastAsia"/>
                <w:b/>
                <w:color w:val="auto"/>
                <w:sz w:val="18"/>
                <w:szCs w:val="18"/>
                <w:highlight w:val="none"/>
              </w:rPr>
            </w:pPr>
            <w:r>
              <w:rPr>
                <w:rFonts w:hint="eastAsia"/>
                <w:bCs/>
                <w:color w:val="auto"/>
                <w:sz w:val="18"/>
                <w:szCs w:val="18"/>
                <w:highlight w:val="none"/>
                <w:lang w:val="en-US" w:eastAsia="zh-CN"/>
              </w:rPr>
              <w:t>1~2</w:t>
            </w:r>
            <w:r>
              <w:rPr>
                <w:bCs/>
                <w:color w:val="auto"/>
                <w:sz w:val="18"/>
                <w:szCs w:val="18"/>
                <w:highlight w:val="none"/>
              </w:rPr>
              <w:t>F</w:t>
            </w:r>
            <w:r>
              <w:rPr>
                <w:rFonts w:hint="eastAsia"/>
                <w:bCs/>
                <w:color w:val="auto"/>
                <w:sz w:val="18"/>
                <w:szCs w:val="18"/>
                <w:highlight w:val="none"/>
              </w:rPr>
              <w:t>民房</w:t>
            </w:r>
            <w:r>
              <w:rPr>
                <w:rFonts w:hint="eastAsia"/>
                <w:bCs/>
                <w:color w:val="auto"/>
                <w:sz w:val="18"/>
                <w:szCs w:val="18"/>
                <w:highlight w:val="none"/>
                <w:lang w:val="en-US" w:eastAsia="zh-CN"/>
              </w:rPr>
              <w:t>5</w:t>
            </w:r>
            <w:r>
              <w:rPr>
                <w:rFonts w:hint="eastAsia"/>
                <w:bCs/>
                <w:color w:val="auto"/>
                <w:sz w:val="18"/>
                <w:szCs w:val="18"/>
                <w:highlight w:val="none"/>
              </w:rPr>
              <w:t>户，高约</w:t>
            </w:r>
            <w:r>
              <w:rPr>
                <w:rFonts w:hint="eastAsia"/>
                <w:bCs/>
                <w:color w:val="auto"/>
                <w:sz w:val="18"/>
                <w:szCs w:val="18"/>
                <w:highlight w:val="none"/>
                <w:lang w:val="en-US" w:eastAsia="zh-CN"/>
              </w:rPr>
              <w:t>3~6</w:t>
            </w:r>
            <w:r>
              <w:rPr>
                <w:bCs/>
                <w:color w:val="auto"/>
                <w:sz w:val="18"/>
                <w:szCs w:val="18"/>
                <w:highlight w:val="none"/>
              </w:rPr>
              <w:t>m</w:t>
            </w:r>
            <w:r>
              <w:rPr>
                <w:rFonts w:hint="eastAsia"/>
                <w:bCs/>
                <w:color w:val="auto"/>
                <w:sz w:val="18"/>
                <w:szCs w:val="18"/>
                <w:highlight w:val="none"/>
              </w:rPr>
              <w:t>，平顶</w:t>
            </w:r>
            <w:r>
              <w:rPr>
                <w:rFonts w:hint="eastAsia"/>
                <w:bCs/>
                <w:color w:val="auto"/>
                <w:sz w:val="18"/>
                <w:szCs w:val="18"/>
                <w:highlight w:val="none"/>
                <w:lang w:val="en-US" w:eastAsia="zh-CN"/>
              </w:rPr>
              <w:t>/坡顶</w:t>
            </w:r>
          </w:p>
        </w:tc>
        <w:tc>
          <w:tcPr>
            <w:tcW w:w="1079" w:type="pct"/>
            <w:tcBorders>
              <w:tl2br w:val="nil"/>
              <w:tr2bl w:val="nil"/>
            </w:tcBorders>
            <w:vAlign w:val="center"/>
          </w:tcPr>
          <w:p>
            <w:pPr>
              <w:adjustRightInd w:val="0"/>
              <w:jc w:val="center"/>
              <w:rPr>
                <w:rFonts w:hint="default" w:eastAsia="宋体"/>
                <w:b w:val="0"/>
                <w:bCs/>
                <w:color w:val="auto"/>
                <w:sz w:val="18"/>
                <w:szCs w:val="18"/>
                <w:highlight w:val="none"/>
                <w:lang w:val="en-US" w:eastAsia="zh-CN"/>
              </w:rPr>
            </w:pPr>
            <w:r>
              <w:rPr>
                <w:rFonts w:hint="eastAsia"/>
                <w:b w:val="0"/>
                <w:bCs/>
                <w:color w:val="auto"/>
                <w:sz w:val="18"/>
                <w:szCs w:val="18"/>
                <w:highlight w:val="none"/>
                <w:lang w:eastAsia="zh-CN"/>
              </w:rPr>
              <w:t>变电站西南侧约</w:t>
            </w:r>
            <w:r>
              <w:rPr>
                <w:rFonts w:hint="eastAsia"/>
                <w:b w:val="0"/>
                <w:bCs/>
                <w:color w:val="auto"/>
                <w:sz w:val="18"/>
                <w:szCs w:val="18"/>
                <w:highlight w:val="none"/>
                <w:lang w:val="en-US" w:eastAsia="zh-CN"/>
              </w:rPr>
              <w:t>10m，高于变电站地面约2m</w:t>
            </w:r>
          </w:p>
        </w:tc>
        <w:tc>
          <w:tcPr>
            <w:tcW w:w="386" w:type="pct"/>
            <w:tcBorders>
              <w:tl2br w:val="nil"/>
              <w:tr2bl w:val="nil"/>
            </w:tcBorders>
            <w:vAlign w:val="center"/>
          </w:tcPr>
          <w:p>
            <w:pPr>
              <w:adjustRightInd w:val="0"/>
              <w:jc w:val="center"/>
              <w:rPr>
                <w:rFonts w:hint="eastAsia"/>
                <w:b/>
                <w:color w:val="auto"/>
                <w:sz w:val="18"/>
                <w:szCs w:val="18"/>
                <w:highlight w:val="none"/>
              </w:rPr>
            </w:pPr>
            <w:r>
              <w:rPr>
                <w:rFonts w:hint="eastAsia"/>
                <w:color w:val="auto"/>
                <w:sz w:val="18"/>
                <w:szCs w:val="18"/>
                <w:highlight w:val="none"/>
                <w:lang w:val="en-US" w:eastAsia="zh-CN"/>
              </w:rPr>
              <w:t>E、B、</w:t>
            </w:r>
            <w:r>
              <w:rPr>
                <w:color w:val="auto"/>
                <w:sz w:val="18"/>
                <w:szCs w:val="18"/>
                <w:highlight w:val="none"/>
              </w:rPr>
              <w:t>N</w:t>
            </w:r>
          </w:p>
        </w:tc>
        <w:tc>
          <w:tcPr>
            <w:tcW w:w="414" w:type="pct"/>
            <w:vMerge w:val="restart"/>
            <w:tcBorders>
              <w:tl2br w:val="nil"/>
              <w:tr2bl w:val="nil"/>
            </w:tcBorders>
            <w:vAlign w:val="center"/>
          </w:tcPr>
          <w:p>
            <w:pPr>
              <w:adjustRightInd w:val="0"/>
              <w:jc w:val="center"/>
              <w:rPr>
                <w:rFonts w:hint="eastAsia" w:eastAsia="宋体"/>
                <w:b/>
                <w:color w:val="auto"/>
                <w:sz w:val="18"/>
                <w:szCs w:val="18"/>
                <w:highlight w:val="none"/>
                <w:lang w:val="en-US" w:eastAsia="zh-CN"/>
              </w:rPr>
            </w:pPr>
            <w:r>
              <w:rPr>
                <w:rFonts w:hint="eastAsia"/>
                <w:b w:val="0"/>
                <w:bCs/>
                <w:color w:val="auto"/>
                <w:sz w:val="18"/>
                <w:szCs w:val="18"/>
                <w:highlight w:val="none"/>
                <w:lang w:val="en-US" w:eastAsia="zh-CN"/>
              </w:rPr>
              <w:t>3类</w:t>
            </w:r>
          </w:p>
        </w:tc>
        <w:tc>
          <w:tcPr>
            <w:tcW w:w="391" w:type="pct"/>
            <w:tcBorders>
              <w:tl2br w:val="nil"/>
              <w:tr2bl w:val="nil"/>
            </w:tcBorders>
            <w:vAlign w:val="center"/>
          </w:tcPr>
          <w:p>
            <w:pPr>
              <w:adjustRightInd w:val="0"/>
              <w:jc w:val="center"/>
              <w:rPr>
                <w:rFonts w:hint="eastAsia" w:eastAsia="宋体"/>
                <w:b/>
                <w:color w:val="auto"/>
                <w:sz w:val="18"/>
                <w:szCs w:val="18"/>
                <w:highlight w:val="none"/>
                <w:lang w:val="en-US" w:eastAsia="zh-CN"/>
              </w:rPr>
            </w:pPr>
            <w:r>
              <w:rPr>
                <w:rFonts w:hint="eastAsia"/>
                <w:bCs/>
                <w:color w:val="auto"/>
                <w:sz w:val="18"/>
                <w:szCs w:val="18"/>
                <w:highlight w:val="none"/>
              </w:rPr>
              <w:t>☆</w:t>
            </w:r>
            <w:r>
              <w:rPr>
                <w:rFonts w:hint="eastAsia"/>
                <w:bCs/>
                <w:color w:val="auto"/>
                <w:sz w:val="18"/>
                <w:szCs w:val="18"/>
                <w:highlight w:val="none"/>
                <w:lang w:val="en-US" w:eastAsia="zh-CN"/>
              </w:rPr>
              <w:t>8</w:t>
            </w:r>
            <w:r>
              <w:rPr>
                <w:rFonts w:hint="eastAsia"/>
                <w:bCs/>
                <w:color w:val="auto"/>
                <w:sz w:val="18"/>
                <w:szCs w:val="18"/>
                <w:highlight w:val="none"/>
              </w:rPr>
              <w:t>△</w:t>
            </w:r>
            <w:r>
              <w:rPr>
                <w:rFonts w:hint="eastAsia"/>
                <w:bCs/>
                <w:color w:val="auto"/>
                <w:sz w:val="18"/>
                <w:szCs w:val="18"/>
                <w:highlight w:val="none"/>
                <w:lang w:val="en-US" w:eastAsia="zh-CN"/>
              </w:rPr>
              <w:t>8</w:t>
            </w:r>
          </w:p>
        </w:tc>
        <w:tc>
          <w:tcPr>
            <w:tcW w:w="391" w:type="pct"/>
            <w:tcBorders>
              <w:tl2br w:val="nil"/>
              <w:tr2bl w:val="nil"/>
            </w:tcBorders>
            <w:vAlign w:val="center"/>
          </w:tcPr>
          <w:p>
            <w:pPr>
              <w:adjustRightInd w:val="0"/>
              <w:jc w:val="center"/>
              <w:rPr>
                <w:rFonts w:hint="eastAsia" w:eastAsia="宋体"/>
                <w:bCs/>
                <w:color w:val="auto"/>
                <w:sz w:val="18"/>
                <w:szCs w:val="18"/>
                <w:highlight w:val="none"/>
                <w:lang w:eastAsia="zh-CN"/>
              </w:rPr>
            </w:pPr>
            <w:r>
              <w:rPr>
                <w:rFonts w:hint="eastAsia"/>
                <w:bCs/>
                <w:color w:val="auto"/>
                <w:sz w:val="18"/>
                <w:szCs w:val="18"/>
                <w:highlight w:val="none"/>
                <w:lang w:eastAsia="zh-CN"/>
              </w:rPr>
              <w:t>对应附图8-1：</w:t>
            </w:r>
            <w:r>
              <w:rPr>
                <w:rFonts w:hint="default" w:ascii="Calibri" w:hAnsi="Calibri" w:cs="Calibri"/>
                <w:bCs/>
                <w:color w:val="auto"/>
                <w:sz w:val="18"/>
                <w:szCs w:val="18"/>
                <w:highlight w:val="none"/>
                <w:lang w:eastAsia="zh-CN"/>
              </w:rPr>
              <w:t>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atLeast"/>
        </w:trPr>
        <w:tc>
          <w:tcPr>
            <w:tcW w:w="183" w:type="pct"/>
            <w:tcBorders>
              <w:tl2br w:val="nil"/>
              <w:tr2bl w:val="nil"/>
            </w:tcBorders>
            <w:vAlign w:val="center"/>
          </w:tcPr>
          <w:p>
            <w:pPr>
              <w:adjustRightInd w:val="0"/>
              <w:jc w:val="center"/>
              <w:rPr>
                <w:rFonts w:hint="eastAsia" w:eastAsia="宋体"/>
                <w:b/>
                <w:color w:val="auto"/>
                <w:sz w:val="18"/>
                <w:szCs w:val="18"/>
                <w:highlight w:val="none"/>
                <w:lang w:val="en-US" w:eastAsia="zh-CN"/>
              </w:rPr>
            </w:pPr>
            <w:r>
              <w:rPr>
                <w:rFonts w:hint="eastAsia"/>
                <w:b/>
                <w:color w:val="auto"/>
                <w:sz w:val="18"/>
                <w:szCs w:val="18"/>
                <w:highlight w:val="none"/>
                <w:lang w:val="en-US" w:eastAsia="zh-CN"/>
              </w:rPr>
              <w:t>2</w:t>
            </w:r>
          </w:p>
        </w:tc>
        <w:tc>
          <w:tcPr>
            <w:tcW w:w="466" w:type="pct"/>
            <w:vMerge w:val="continue"/>
            <w:tcBorders>
              <w:tl2br w:val="nil"/>
              <w:tr2bl w:val="nil"/>
            </w:tcBorders>
            <w:vAlign w:val="center"/>
          </w:tcPr>
          <w:p>
            <w:pPr>
              <w:adjustRightInd w:val="0"/>
              <w:jc w:val="center"/>
              <w:rPr>
                <w:rFonts w:hint="eastAsia"/>
                <w:b/>
                <w:color w:val="auto"/>
                <w:sz w:val="18"/>
                <w:szCs w:val="18"/>
                <w:highlight w:val="none"/>
              </w:rPr>
            </w:pPr>
          </w:p>
        </w:tc>
        <w:tc>
          <w:tcPr>
            <w:tcW w:w="796"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eastAsia="zh-CN"/>
              </w:rPr>
              <w:t>蒲吕街道沙心村民房</w:t>
            </w:r>
            <w:r>
              <w:rPr>
                <w:rFonts w:hint="eastAsia"/>
                <w:bCs/>
                <w:color w:val="auto"/>
                <w:sz w:val="18"/>
                <w:szCs w:val="18"/>
                <w:highlight w:val="none"/>
                <w:lang w:val="en-US" w:eastAsia="zh-CN"/>
              </w:rPr>
              <w:t>2</w:t>
            </w:r>
          </w:p>
        </w:tc>
        <w:tc>
          <w:tcPr>
            <w:tcW w:w="890" w:type="pct"/>
            <w:tcBorders>
              <w:tl2br w:val="nil"/>
              <w:tr2bl w:val="nil"/>
            </w:tcBorders>
            <w:vAlign w:val="center"/>
          </w:tcPr>
          <w:p>
            <w:pPr>
              <w:adjustRightInd w:val="0"/>
              <w:jc w:val="center"/>
              <w:rPr>
                <w:rFonts w:hint="eastAsia" w:ascii="Times New Roman" w:hAnsi="Times New Roman" w:eastAsia="宋体" w:cs="Times New Roman"/>
                <w:b/>
                <w:color w:val="auto"/>
                <w:kern w:val="2"/>
                <w:sz w:val="18"/>
                <w:szCs w:val="18"/>
                <w:highlight w:val="none"/>
                <w:lang w:val="en-US" w:eastAsia="zh-CN" w:bidi="ar-SA"/>
              </w:rPr>
            </w:pPr>
            <w:r>
              <w:rPr>
                <w:rFonts w:hint="eastAsia"/>
                <w:bCs/>
                <w:color w:val="auto"/>
                <w:sz w:val="18"/>
                <w:szCs w:val="18"/>
                <w:highlight w:val="none"/>
                <w:lang w:val="en-US" w:eastAsia="zh-CN"/>
              </w:rPr>
              <w:t>1F民房5户，</w:t>
            </w:r>
            <w:r>
              <w:rPr>
                <w:rFonts w:hint="eastAsia"/>
                <w:bCs/>
                <w:color w:val="auto"/>
                <w:sz w:val="18"/>
                <w:szCs w:val="18"/>
                <w:highlight w:val="none"/>
              </w:rPr>
              <w:t>高约</w:t>
            </w:r>
            <w:r>
              <w:rPr>
                <w:rFonts w:hint="eastAsia"/>
                <w:bCs/>
                <w:color w:val="auto"/>
                <w:sz w:val="18"/>
                <w:szCs w:val="18"/>
                <w:highlight w:val="none"/>
                <w:lang w:val="en-US" w:eastAsia="zh-CN"/>
              </w:rPr>
              <w:t>3~6</w:t>
            </w:r>
            <w:r>
              <w:rPr>
                <w:bCs/>
                <w:color w:val="auto"/>
                <w:sz w:val="18"/>
                <w:szCs w:val="18"/>
                <w:highlight w:val="none"/>
              </w:rPr>
              <w:t>m</w:t>
            </w:r>
            <w:r>
              <w:rPr>
                <w:rFonts w:hint="eastAsia"/>
                <w:bCs/>
                <w:color w:val="auto"/>
                <w:sz w:val="18"/>
                <w:szCs w:val="18"/>
                <w:highlight w:val="none"/>
              </w:rPr>
              <w:t>，平顶</w:t>
            </w:r>
            <w:r>
              <w:rPr>
                <w:rFonts w:hint="eastAsia"/>
                <w:bCs/>
                <w:color w:val="auto"/>
                <w:sz w:val="18"/>
                <w:szCs w:val="18"/>
                <w:highlight w:val="none"/>
                <w:lang w:val="en-US" w:eastAsia="zh-CN"/>
              </w:rPr>
              <w:t>/坡顶</w:t>
            </w:r>
          </w:p>
        </w:tc>
        <w:tc>
          <w:tcPr>
            <w:tcW w:w="1079" w:type="pct"/>
            <w:tcBorders>
              <w:tl2br w:val="nil"/>
              <w:tr2bl w:val="nil"/>
            </w:tcBorders>
            <w:vAlign w:val="center"/>
          </w:tcPr>
          <w:p>
            <w:pPr>
              <w:adjustRightInd w:val="0"/>
              <w:jc w:val="center"/>
              <w:rPr>
                <w:rFonts w:hint="eastAsia" w:ascii="Times New Roman" w:hAnsi="Times New Roman" w:eastAsia="宋体" w:cs="Times New Roman"/>
                <w:b w:val="0"/>
                <w:bCs/>
                <w:color w:val="auto"/>
                <w:kern w:val="2"/>
                <w:sz w:val="18"/>
                <w:szCs w:val="18"/>
                <w:highlight w:val="none"/>
                <w:lang w:val="en-US" w:eastAsia="zh-CN" w:bidi="ar-SA"/>
              </w:rPr>
            </w:pPr>
            <w:r>
              <w:rPr>
                <w:rFonts w:hint="eastAsia"/>
                <w:b w:val="0"/>
                <w:bCs/>
                <w:color w:val="auto"/>
                <w:sz w:val="18"/>
                <w:szCs w:val="18"/>
                <w:highlight w:val="none"/>
                <w:lang w:eastAsia="zh-CN"/>
              </w:rPr>
              <w:t>变电站西北侧约</w:t>
            </w:r>
            <w:r>
              <w:rPr>
                <w:rFonts w:hint="eastAsia"/>
                <w:b w:val="0"/>
                <w:bCs/>
                <w:color w:val="auto"/>
                <w:sz w:val="18"/>
                <w:szCs w:val="18"/>
                <w:highlight w:val="none"/>
                <w:lang w:val="en-US" w:eastAsia="zh-CN"/>
              </w:rPr>
              <w:t>75m，高于变电站地面约3m</w:t>
            </w:r>
          </w:p>
        </w:tc>
        <w:tc>
          <w:tcPr>
            <w:tcW w:w="386" w:type="pct"/>
            <w:tcBorders>
              <w:tl2br w:val="nil"/>
              <w:tr2bl w:val="nil"/>
            </w:tcBorders>
            <w:vAlign w:val="center"/>
          </w:tcPr>
          <w:p>
            <w:pPr>
              <w:adjustRightInd w:val="0"/>
              <w:jc w:val="center"/>
              <w:rPr>
                <w:rFonts w:hint="eastAsia" w:ascii="Times New Roman" w:hAnsi="Times New Roman" w:eastAsia="宋体" w:cs="Times New Roman"/>
                <w:b/>
                <w:color w:val="auto"/>
                <w:kern w:val="2"/>
                <w:sz w:val="18"/>
                <w:szCs w:val="18"/>
                <w:highlight w:val="none"/>
                <w:lang w:val="en-US" w:eastAsia="zh-CN" w:bidi="ar-SA"/>
              </w:rPr>
            </w:pPr>
            <w:r>
              <w:rPr>
                <w:color w:val="auto"/>
                <w:sz w:val="18"/>
                <w:szCs w:val="18"/>
                <w:highlight w:val="none"/>
              </w:rPr>
              <w:t>N</w:t>
            </w:r>
          </w:p>
        </w:tc>
        <w:tc>
          <w:tcPr>
            <w:tcW w:w="414" w:type="pct"/>
            <w:vMerge w:val="continue"/>
            <w:tcBorders>
              <w:tl2br w:val="nil"/>
              <w:tr2bl w:val="nil"/>
            </w:tcBorders>
            <w:vAlign w:val="center"/>
          </w:tcPr>
          <w:p>
            <w:pPr>
              <w:adjustRightInd w:val="0"/>
              <w:jc w:val="center"/>
              <w:rPr>
                <w:rFonts w:hint="eastAsia"/>
                <w:b/>
                <w:color w:val="auto"/>
                <w:sz w:val="18"/>
                <w:szCs w:val="18"/>
                <w:highlight w:val="none"/>
              </w:rPr>
            </w:pPr>
          </w:p>
        </w:tc>
        <w:tc>
          <w:tcPr>
            <w:tcW w:w="391" w:type="pct"/>
            <w:tcBorders>
              <w:tl2br w:val="nil"/>
              <w:tr2bl w:val="nil"/>
            </w:tcBorders>
            <w:vAlign w:val="center"/>
          </w:tcPr>
          <w:p>
            <w:pPr>
              <w:adjustRightInd w:val="0"/>
              <w:jc w:val="center"/>
              <w:rPr>
                <w:rFonts w:hint="eastAsia" w:eastAsia="宋体"/>
                <w:b/>
                <w:color w:val="auto"/>
                <w:sz w:val="18"/>
                <w:szCs w:val="18"/>
                <w:highlight w:val="none"/>
                <w:lang w:val="en-US" w:eastAsia="zh-CN"/>
              </w:rPr>
            </w:pPr>
            <w:r>
              <w:rPr>
                <w:rFonts w:hint="eastAsia"/>
                <w:bCs/>
                <w:color w:val="auto"/>
                <w:sz w:val="18"/>
                <w:szCs w:val="18"/>
                <w:highlight w:val="none"/>
              </w:rPr>
              <w:t>△</w:t>
            </w:r>
            <w:r>
              <w:rPr>
                <w:rFonts w:hint="eastAsia"/>
                <w:bCs/>
                <w:color w:val="auto"/>
                <w:sz w:val="18"/>
                <w:szCs w:val="18"/>
                <w:highlight w:val="none"/>
                <w:lang w:val="en-US" w:eastAsia="zh-CN"/>
              </w:rPr>
              <w:t>6</w:t>
            </w:r>
          </w:p>
        </w:tc>
        <w:tc>
          <w:tcPr>
            <w:tcW w:w="391" w:type="pct"/>
            <w:tcBorders>
              <w:tl2br w:val="nil"/>
              <w:tr2bl w:val="nil"/>
            </w:tcBorders>
            <w:vAlign w:val="center"/>
          </w:tcPr>
          <w:p>
            <w:pPr>
              <w:adjustRightInd w:val="0"/>
              <w:jc w:val="center"/>
              <w:rPr>
                <w:rFonts w:hint="eastAsia"/>
                <w:bCs/>
                <w:color w:val="auto"/>
                <w:sz w:val="18"/>
                <w:szCs w:val="18"/>
                <w:highlight w:val="none"/>
              </w:rPr>
            </w:pPr>
            <w:r>
              <w:rPr>
                <w:rFonts w:hint="eastAsia"/>
                <w:bCs/>
                <w:color w:val="auto"/>
                <w:sz w:val="18"/>
                <w:szCs w:val="18"/>
                <w:highlight w:val="none"/>
                <w:lang w:eastAsia="zh-CN"/>
              </w:rPr>
              <w:t>对应附图8-1：</w:t>
            </w:r>
            <w:r>
              <w:rPr>
                <w:rFonts w:hint="default" w:ascii="Calibri" w:hAnsi="Calibri" w:cs="Calibri"/>
                <w:bCs/>
                <w:color w:val="auto"/>
                <w:sz w:val="18"/>
                <w:szCs w:val="18"/>
                <w:highlight w:val="none"/>
                <w:lang w:eastAsia="zh-CN"/>
              </w:rPr>
              <w:t>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atLeast"/>
        </w:trPr>
        <w:tc>
          <w:tcPr>
            <w:tcW w:w="183" w:type="pct"/>
            <w:tcBorders>
              <w:tl2br w:val="nil"/>
              <w:tr2bl w:val="nil"/>
            </w:tcBorders>
            <w:vAlign w:val="center"/>
          </w:tcPr>
          <w:p>
            <w:pPr>
              <w:adjustRightInd w:val="0"/>
              <w:jc w:val="center"/>
              <w:rPr>
                <w:rFonts w:hint="default"/>
                <w:b/>
                <w:color w:val="auto"/>
                <w:sz w:val="18"/>
                <w:szCs w:val="18"/>
                <w:highlight w:val="none"/>
                <w:lang w:val="en-US" w:eastAsia="zh-CN"/>
              </w:rPr>
            </w:pPr>
            <w:r>
              <w:rPr>
                <w:rFonts w:hint="eastAsia"/>
                <w:b/>
                <w:color w:val="auto"/>
                <w:sz w:val="18"/>
                <w:szCs w:val="18"/>
                <w:highlight w:val="none"/>
                <w:lang w:val="en-US" w:eastAsia="zh-CN"/>
              </w:rPr>
              <w:t>3</w:t>
            </w:r>
          </w:p>
        </w:tc>
        <w:tc>
          <w:tcPr>
            <w:tcW w:w="466" w:type="pct"/>
            <w:vMerge w:val="continue"/>
            <w:tcBorders>
              <w:tl2br w:val="nil"/>
              <w:tr2bl w:val="nil"/>
            </w:tcBorders>
            <w:vAlign w:val="center"/>
          </w:tcPr>
          <w:p>
            <w:pPr>
              <w:adjustRightInd w:val="0"/>
              <w:jc w:val="center"/>
              <w:rPr>
                <w:rFonts w:hint="eastAsia"/>
                <w:b/>
                <w:color w:val="auto"/>
                <w:sz w:val="18"/>
                <w:szCs w:val="18"/>
                <w:highlight w:val="none"/>
              </w:rPr>
            </w:pPr>
          </w:p>
        </w:tc>
        <w:tc>
          <w:tcPr>
            <w:tcW w:w="796" w:type="pct"/>
            <w:tcBorders>
              <w:tl2br w:val="nil"/>
              <w:tr2bl w:val="nil"/>
            </w:tcBorders>
            <w:vAlign w:val="center"/>
          </w:tcPr>
          <w:p>
            <w:pPr>
              <w:adjustRightInd w:val="0"/>
              <w:jc w:val="center"/>
              <w:rPr>
                <w:rFonts w:hint="default"/>
                <w:bCs/>
                <w:color w:val="auto"/>
                <w:sz w:val="18"/>
                <w:szCs w:val="18"/>
                <w:highlight w:val="none"/>
                <w:lang w:val="en-US" w:eastAsia="zh-CN"/>
              </w:rPr>
            </w:pPr>
            <w:r>
              <w:rPr>
                <w:rFonts w:hint="eastAsia"/>
                <w:bCs/>
                <w:color w:val="auto"/>
                <w:sz w:val="18"/>
                <w:szCs w:val="18"/>
                <w:highlight w:val="none"/>
                <w:lang w:eastAsia="zh-CN"/>
              </w:rPr>
              <w:t>蒲吕街道沙心村民房</w:t>
            </w:r>
            <w:r>
              <w:rPr>
                <w:rFonts w:hint="eastAsia"/>
                <w:bCs/>
                <w:color w:val="auto"/>
                <w:sz w:val="18"/>
                <w:szCs w:val="18"/>
                <w:highlight w:val="none"/>
                <w:lang w:val="en-US" w:eastAsia="zh-CN"/>
              </w:rPr>
              <w:t>3</w:t>
            </w:r>
          </w:p>
        </w:tc>
        <w:tc>
          <w:tcPr>
            <w:tcW w:w="890" w:type="pct"/>
            <w:tcBorders>
              <w:tl2br w:val="nil"/>
              <w:tr2bl w:val="nil"/>
            </w:tcBorders>
            <w:vAlign w:val="center"/>
          </w:tcPr>
          <w:p>
            <w:pPr>
              <w:adjustRightInd w:val="0"/>
              <w:jc w:val="center"/>
              <w:rPr>
                <w:rFonts w:hint="eastAsia" w:ascii="Times New Roman" w:hAnsi="Times New Roman" w:eastAsia="宋体" w:cs="Times New Roman"/>
                <w:b/>
                <w:color w:val="auto"/>
                <w:kern w:val="2"/>
                <w:sz w:val="18"/>
                <w:szCs w:val="18"/>
                <w:highlight w:val="none"/>
                <w:lang w:val="en-US" w:eastAsia="zh-CN" w:bidi="ar-SA"/>
              </w:rPr>
            </w:pPr>
            <w:r>
              <w:rPr>
                <w:rFonts w:hint="eastAsia"/>
                <w:bCs/>
                <w:color w:val="auto"/>
                <w:sz w:val="18"/>
                <w:szCs w:val="18"/>
                <w:highlight w:val="none"/>
                <w:lang w:val="en-US" w:eastAsia="zh-CN"/>
              </w:rPr>
              <w:t>1F民房2户，高约3m，坡顶</w:t>
            </w:r>
          </w:p>
        </w:tc>
        <w:tc>
          <w:tcPr>
            <w:tcW w:w="1079" w:type="pct"/>
            <w:tcBorders>
              <w:tl2br w:val="nil"/>
              <w:tr2bl w:val="nil"/>
            </w:tcBorders>
            <w:vAlign w:val="center"/>
          </w:tcPr>
          <w:p>
            <w:pPr>
              <w:adjustRightInd w:val="0"/>
              <w:jc w:val="center"/>
              <w:rPr>
                <w:rFonts w:hint="eastAsia" w:ascii="Times New Roman" w:hAnsi="Times New Roman" w:eastAsia="宋体" w:cs="Times New Roman"/>
                <w:b w:val="0"/>
                <w:bCs/>
                <w:color w:val="auto"/>
                <w:kern w:val="2"/>
                <w:sz w:val="18"/>
                <w:szCs w:val="18"/>
                <w:highlight w:val="none"/>
                <w:lang w:val="en-US" w:eastAsia="zh-CN" w:bidi="ar-SA"/>
              </w:rPr>
            </w:pPr>
            <w:r>
              <w:rPr>
                <w:rFonts w:hint="eastAsia"/>
                <w:b w:val="0"/>
                <w:bCs/>
                <w:color w:val="auto"/>
                <w:sz w:val="18"/>
                <w:szCs w:val="18"/>
                <w:highlight w:val="none"/>
                <w:lang w:eastAsia="zh-CN"/>
              </w:rPr>
              <w:t>变电站东北侧约</w:t>
            </w:r>
            <w:r>
              <w:rPr>
                <w:rFonts w:hint="eastAsia"/>
                <w:b w:val="0"/>
                <w:bCs/>
                <w:color w:val="auto"/>
                <w:sz w:val="18"/>
                <w:szCs w:val="18"/>
                <w:highlight w:val="none"/>
                <w:lang w:val="en-US" w:eastAsia="zh-CN"/>
              </w:rPr>
              <w:t>70m，高于变电站地面约3m</w:t>
            </w:r>
          </w:p>
        </w:tc>
        <w:tc>
          <w:tcPr>
            <w:tcW w:w="386" w:type="pct"/>
            <w:tcBorders>
              <w:tl2br w:val="nil"/>
              <w:tr2bl w:val="nil"/>
            </w:tcBorders>
            <w:vAlign w:val="center"/>
          </w:tcPr>
          <w:p>
            <w:pPr>
              <w:adjustRightInd w:val="0"/>
              <w:jc w:val="center"/>
              <w:rPr>
                <w:rFonts w:hint="eastAsia" w:ascii="Times New Roman" w:hAnsi="Times New Roman" w:eastAsia="宋体" w:cs="Times New Roman"/>
                <w:b/>
                <w:color w:val="auto"/>
                <w:kern w:val="2"/>
                <w:sz w:val="18"/>
                <w:szCs w:val="18"/>
                <w:highlight w:val="none"/>
                <w:lang w:val="en-US" w:eastAsia="zh-CN" w:bidi="ar-SA"/>
              </w:rPr>
            </w:pPr>
            <w:r>
              <w:rPr>
                <w:color w:val="auto"/>
                <w:sz w:val="18"/>
                <w:szCs w:val="18"/>
                <w:highlight w:val="none"/>
              </w:rPr>
              <w:t>N</w:t>
            </w:r>
          </w:p>
        </w:tc>
        <w:tc>
          <w:tcPr>
            <w:tcW w:w="414" w:type="pct"/>
            <w:vMerge w:val="continue"/>
            <w:tcBorders>
              <w:tl2br w:val="nil"/>
              <w:tr2bl w:val="nil"/>
            </w:tcBorders>
            <w:vAlign w:val="center"/>
          </w:tcPr>
          <w:p>
            <w:pPr>
              <w:adjustRightInd w:val="0"/>
              <w:jc w:val="center"/>
              <w:rPr>
                <w:rFonts w:hint="eastAsia"/>
                <w:b/>
                <w:color w:val="auto"/>
                <w:sz w:val="18"/>
                <w:szCs w:val="18"/>
                <w:highlight w:val="none"/>
              </w:rPr>
            </w:pPr>
          </w:p>
        </w:tc>
        <w:tc>
          <w:tcPr>
            <w:tcW w:w="391" w:type="pct"/>
            <w:tcBorders>
              <w:tl2br w:val="nil"/>
              <w:tr2bl w:val="nil"/>
            </w:tcBorders>
            <w:vAlign w:val="center"/>
          </w:tcPr>
          <w:p>
            <w:pPr>
              <w:adjustRightInd w:val="0"/>
              <w:jc w:val="center"/>
              <w:rPr>
                <w:rFonts w:hint="eastAsia"/>
                <w:bCs/>
                <w:color w:val="auto"/>
                <w:sz w:val="18"/>
                <w:szCs w:val="18"/>
                <w:highlight w:val="none"/>
              </w:rPr>
            </w:pPr>
            <w:r>
              <w:rPr>
                <w:rFonts w:hint="eastAsia"/>
                <w:bCs/>
                <w:color w:val="auto"/>
                <w:sz w:val="18"/>
                <w:szCs w:val="18"/>
                <w:highlight w:val="none"/>
              </w:rPr>
              <w:t>△</w:t>
            </w:r>
            <w:r>
              <w:rPr>
                <w:rFonts w:hint="eastAsia"/>
                <w:bCs/>
                <w:color w:val="auto"/>
                <w:sz w:val="18"/>
                <w:szCs w:val="18"/>
                <w:highlight w:val="none"/>
                <w:lang w:val="en-US" w:eastAsia="zh-CN"/>
              </w:rPr>
              <w:t>7</w:t>
            </w:r>
          </w:p>
        </w:tc>
        <w:tc>
          <w:tcPr>
            <w:tcW w:w="391" w:type="pct"/>
            <w:tcBorders>
              <w:tl2br w:val="nil"/>
              <w:tr2bl w:val="nil"/>
            </w:tcBorders>
            <w:vAlign w:val="center"/>
          </w:tcPr>
          <w:p>
            <w:pPr>
              <w:adjustRightInd w:val="0"/>
              <w:jc w:val="center"/>
              <w:rPr>
                <w:rFonts w:hint="eastAsia"/>
                <w:bCs/>
                <w:color w:val="auto"/>
                <w:sz w:val="18"/>
                <w:szCs w:val="18"/>
                <w:highlight w:val="none"/>
              </w:rPr>
            </w:pPr>
            <w:r>
              <w:rPr>
                <w:rFonts w:hint="eastAsia"/>
                <w:bCs/>
                <w:color w:val="auto"/>
                <w:sz w:val="18"/>
                <w:szCs w:val="18"/>
                <w:highlight w:val="none"/>
                <w:lang w:eastAsia="zh-CN"/>
              </w:rPr>
              <w:t>对应附图8-1：</w:t>
            </w:r>
            <w:r>
              <w:rPr>
                <w:rFonts w:hint="default" w:ascii="Calibri" w:hAnsi="Calibri" w:cs="Calibri"/>
                <w:bCs/>
                <w:color w:val="auto"/>
                <w:sz w:val="18"/>
                <w:szCs w:val="18"/>
                <w:highlight w:val="none"/>
                <w:lang w:eastAsia="zh-CN"/>
              </w:rPr>
              <w:t>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atLeast"/>
        </w:trPr>
        <w:tc>
          <w:tcPr>
            <w:tcW w:w="183" w:type="pct"/>
            <w:tcBorders>
              <w:tl2br w:val="nil"/>
              <w:tr2bl w:val="nil"/>
            </w:tcBorders>
            <w:vAlign w:val="center"/>
          </w:tcPr>
          <w:p>
            <w:pPr>
              <w:adjustRightInd w:val="0"/>
              <w:jc w:val="center"/>
              <w:rPr>
                <w:rFonts w:hint="default"/>
                <w:b/>
                <w:color w:val="auto"/>
                <w:sz w:val="18"/>
                <w:szCs w:val="18"/>
                <w:highlight w:val="none"/>
                <w:lang w:val="en-US" w:eastAsia="zh-CN"/>
              </w:rPr>
            </w:pPr>
            <w:r>
              <w:rPr>
                <w:rFonts w:hint="eastAsia"/>
                <w:b/>
                <w:color w:val="auto"/>
                <w:sz w:val="18"/>
                <w:szCs w:val="18"/>
                <w:highlight w:val="none"/>
                <w:lang w:val="en-US" w:eastAsia="zh-CN"/>
              </w:rPr>
              <w:t>4</w:t>
            </w:r>
          </w:p>
        </w:tc>
        <w:tc>
          <w:tcPr>
            <w:tcW w:w="466" w:type="pct"/>
            <w:vMerge w:val="continue"/>
            <w:tcBorders>
              <w:tl2br w:val="nil"/>
              <w:tr2bl w:val="nil"/>
            </w:tcBorders>
            <w:vAlign w:val="center"/>
          </w:tcPr>
          <w:p>
            <w:pPr>
              <w:adjustRightInd w:val="0"/>
              <w:jc w:val="center"/>
              <w:rPr>
                <w:rFonts w:hint="eastAsia"/>
                <w:b/>
                <w:color w:val="auto"/>
                <w:sz w:val="18"/>
                <w:szCs w:val="18"/>
                <w:highlight w:val="none"/>
              </w:rPr>
            </w:pPr>
          </w:p>
        </w:tc>
        <w:tc>
          <w:tcPr>
            <w:tcW w:w="796" w:type="pct"/>
            <w:tcBorders>
              <w:tl2br w:val="nil"/>
              <w:tr2bl w:val="nil"/>
            </w:tcBorders>
            <w:vAlign w:val="center"/>
          </w:tcPr>
          <w:p>
            <w:pPr>
              <w:adjustRightInd w:val="0"/>
              <w:jc w:val="center"/>
              <w:rPr>
                <w:rFonts w:hint="eastAsia" w:ascii="Times New Roman" w:hAnsi="Times New Roman" w:eastAsia="宋体" w:cs="Times New Roman"/>
                <w:b/>
                <w:color w:val="auto"/>
                <w:kern w:val="2"/>
                <w:sz w:val="18"/>
                <w:szCs w:val="18"/>
                <w:highlight w:val="none"/>
                <w:lang w:val="en-US" w:eastAsia="zh-CN" w:bidi="ar-SA"/>
              </w:rPr>
            </w:pPr>
            <w:r>
              <w:rPr>
                <w:rFonts w:hint="eastAsia"/>
                <w:bCs/>
                <w:color w:val="auto"/>
                <w:sz w:val="18"/>
                <w:szCs w:val="18"/>
                <w:highlight w:val="none"/>
                <w:lang w:eastAsia="zh-CN"/>
              </w:rPr>
              <w:t>蒲吕街道沙心村民房</w:t>
            </w:r>
            <w:r>
              <w:rPr>
                <w:rFonts w:hint="eastAsia"/>
                <w:bCs/>
                <w:color w:val="auto"/>
                <w:sz w:val="18"/>
                <w:szCs w:val="18"/>
                <w:highlight w:val="none"/>
                <w:lang w:val="en-US" w:eastAsia="zh-CN"/>
              </w:rPr>
              <w:t>4</w:t>
            </w:r>
          </w:p>
        </w:tc>
        <w:tc>
          <w:tcPr>
            <w:tcW w:w="890" w:type="pct"/>
            <w:tcBorders>
              <w:tl2br w:val="nil"/>
              <w:tr2bl w:val="nil"/>
            </w:tcBorders>
            <w:vAlign w:val="center"/>
          </w:tcPr>
          <w:p>
            <w:pPr>
              <w:adjustRightInd w:val="0"/>
              <w:jc w:val="center"/>
              <w:rPr>
                <w:rFonts w:hint="eastAsia" w:ascii="Times New Roman" w:hAnsi="Times New Roman" w:eastAsia="宋体" w:cs="Times New Roman"/>
                <w:b/>
                <w:color w:val="auto"/>
                <w:kern w:val="2"/>
                <w:sz w:val="18"/>
                <w:szCs w:val="18"/>
                <w:highlight w:val="none"/>
                <w:lang w:val="en-US" w:eastAsia="zh-CN" w:bidi="ar-SA"/>
              </w:rPr>
            </w:pPr>
            <w:r>
              <w:rPr>
                <w:rFonts w:hint="eastAsia"/>
                <w:bCs/>
                <w:color w:val="auto"/>
                <w:sz w:val="18"/>
                <w:szCs w:val="18"/>
                <w:highlight w:val="none"/>
                <w:lang w:val="en-US" w:eastAsia="zh-CN"/>
              </w:rPr>
              <w:t>1~2</w:t>
            </w:r>
            <w:r>
              <w:rPr>
                <w:bCs/>
                <w:color w:val="auto"/>
                <w:sz w:val="18"/>
                <w:szCs w:val="18"/>
                <w:highlight w:val="none"/>
              </w:rPr>
              <w:t>F</w:t>
            </w:r>
            <w:r>
              <w:rPr>
                <w:rFonts w:hint="eastAsia"/>
                <w:bCs/>
                <w:color w:val="auto"/>
                <w:sz w:val="18"/>
                <w:szCs w:val="18"/>
                <w:highlight w:val="none"/>
              </w:rPr>
              <w:t>民房</w:t>
            </w:r>
            <w:r>
              <w:rPr>
                <w:rFonts w:hint="eastAsia"/>
                <w:bCs/>
                <w:color w:val="auto"/>
                <w:sz w:val="18"/>
                <w:szCs w:val="18"/>
                <w:highlight w:val="none"/>
                <w:lang w:val="en-US" w:eastAsia="zh-CN"/>
              </w:rPr>
              <w:t>5</w:t>
            </w:r>
            <w:r>
              <w:rPr>
                <w:rFonts w:hint="eastAsia"/>
                <w:bCs/>
                <w:color w:val="auto"/>
                <w:sz w:val="18"/>
                <w:szCs w:val="18"/>
                <w:highlight w:val="none"/>
              </w:rPr>
              <w:t>户，高约</w:t>
            </w:r>
            <w:r>
              <w:rPr>
                <w:rFonts w:hint="eastAsia"/>
                <w:bCs/>
                <w:color w:val="auto"/>
                <w:sz w:val="18"/>
                <w:szCs w:val="18"/>
                <w:highlight w:val="none"/>
                <w:lang w:val="en-US" w:eastAsia="zh-CN"/>
              </w:rPr>
              <w:t>3~6</w:t>
            </w:r>
            <w:r>
              <w:rPr>
                <w:bCs/>
                <w:color w:val="auto"/>
                <w:sz w:val="18"/>
                <w:szCs w:val="18"/>
                <w:highlight w:val="none"/>
              </w:rPr>
              <w:t>m</w:t>
            </w:r>
            <w:r>
              <w:rPr>
                <w:rFonts w:hint="eastAsia"/>
                <w:bCs/>
                <w:color w:val="auto"/>
                <w:sz w:val="18"/>
                <w:szCs w:val="18"/>
                <w:highlight w:val="none"/>
              </w:rPr>
              <w:t>，平顶</w:t>
            </w:r>
            <w:r>
              <w:rPr>
                <w:rFonts w:hint="eastAsia"/>
                <w:bCs/>
                <w:color w:val="auto"/>
                <w:sz w:val="18"/>
                <w:szCs w:val="18"/>
                <w:highlight w:val="none"/>
                <w:lang w:val="en-US" w:eastAsia="zh-CN"/>
              </w:rPr>
              <w:t>/坡顶</w:t>
            </w:r>
          </w:p>
        </w:tc>
        <w:tc>
          <w:tcPr>
            <w:tcW w:w="1079" w:type="pct"/>
            <w:tcBorders>
              <w:tl2br w:val="nil"/>
              <w:tr2bl w:val="nil"/>
            </w:tcBorders>
            <w:vAlign w:val="center"/>
          </w:tcPr>
          <w:p>
            <w:pPr>
              <w:adjustRightInd w:val="0"/>
              <w:jc w:val="center"/>
              <w:rPr>
                <w:rFonts w:hint="eastAsia" w:ascii="Times New Roman" w:hAnsi="Times New Roman" w:eastAsia="宋体" w:cs="Times New Roman"/>
                <w:b w:val="0"/>
                <w:bCs/>
                <w:color w:val="auto"/>
                <w:kern w:val="2"/>
                <w:sz w:val="18"/>
                <w:szCs w:val="18"/>
                <w:highlight w:val="none"/>
                <w:lang w:val="en-US" w:eastAsia="zh-CN" w:bidi="ar-SA"/>
              </w:rPr>
            </w:pPr>
            <w:r>
              <w:rPr>
                <w:rFonts w:hint="eastAsia"/>
                <w:b w:val="0"/>
                <w:bCs/>
                <w:color w:val="auto"/>
                <w:sz w:val="18"/>
                <w:szCs w:val="18"/>
                <w:highlight w:val="none"/>
                <w:lang w:eastAsia="zh-CN"/>
              </w:rPr>
              <w:t>变电站东南侧约</w:t>
            </w:r>
            <w:r>
              <w:rPr>
                <w:rFonts w:hint="eastAsia"/>
                <w:b w:val="0"/>
                <w:bCs/>
                <w:color w:val="auto"/>
                <w:sz w:val="18"/>
                <w:szCs w:val="18"/>
                <w:highlight w:val="none"/>
                <w:lang w:val="en-US" w:eastAsia="zh-CN"/>
              </w:rPr>
              <w:t>130m，高于变电站地面约3m</w:t>
            </w:r>
          </w:p>
        </w:tc>
        <w:tc>
          <w:tcPr>
            <w:tcW w:w="386" w:type="pct"/>
            <w:tcBorders>
              <w:tl2br w:val="nil"/>
              <w:tr2bl w:val="nil"/>
            </w:tcBorders>
            <w:vAlign w:val="center"/>
          </w:tcPr>
          <w:p>
            <w:pPr>
              <w:adjustRightInd w:val="0"/>
              <w:jc w:val="center"/>
              <w:rPr>
                <w:rFonts w:hint="eastAsia" w:ascii="Times New Roman" w:hAnsi="Times New Roman" w:eastAsia="宋体" w:cs="Times New Roman"/>
                <w:b/>
                <w:color w:val="auto"/>
                <w:kern w:val="2"/>
                <w:sz w:val="18"/>
                <w:szCs w:val="18"/>
                <w:highlight w:val="none"/>
                <w:lang w:val="en-US" w:eastAsia="zh-CN" w:bidi="ar-SA"/>
              </w:rPr>
            </w:pPr>
            <w:r>
              <w:rPr>
                <w:color w:val="auto"/>
                <w:sz w:val="18"/>
                <w:szCs w:val="18"/>
                <w:highlight w:val="none"/>
              </w:rPr>
              <w:t>N</w:t>
            </w:r>
          </w:p>
        </w:tc>
        <w:tc>
          <w:tcPr>
            <w:tcW w:w="414" w:type="pct"/>
            <w:tcBorders>
              <w:tl2br w:val="nil"/>
              <w:tr2bl w:val="nil"/>
            </w:tcBorders>
            <w:vAlign w:val="center"/>
          </w:tcPr>
          <w:p>
            <w:pPr>
              <w:adjustRightInd w:val="0"/>
              <w:jc w:val="center"/>
              <w:rPr>
                <w:rFonts w:hint="eastAsia"/>
                <w:b/>
                <w:color w:val="auto"/>
                <w:sz w:val="18"/>
                <w:szCs w:val="18"/>
                <w:highlight w:val="none"/>
              </w:rPr>
            </w:pPr>
            <w:r>
              <w:rPr>
                <w:bCs/>
                <w:color w:val="auto"/>
                <w:sz w:val="18"/>
                <w:szCs w:val="18"/>
                <w:highlight w:val="none"/>
              </w:rPr>
              <w:t>1</w:t>
            </w:r>
            <w:r>
              <w:rPr>
                <w:rFonts w:hint="eastAsia"/>
                <w:bCs/>
                <w:color w:val="auto"/>
                <w:sz w:val="18"/>
                <w:szCs w:val="18"/>
                <w:highlight w:val="none"/>
              </w:rPr>
              <w:t>类</w:t>
            </w:r>
          </w:p>
        </w:tc>
        <w:tc>
          <w:tcPr>
            <w:tcW w:w="391" w:type="pct"/>
            <w:tcBorders>
              <w:tl2br w:val="nil"/>
              <w:tr2bl w:val="nil"/>
            </w:tcBorders>
            <w:vAlign w:val="center"/>
          </w:tcPr>
          <w:p>
            <w:pPr>
              <w:pStyle w:val="8"/>
              <w:jc w:val="center"/>
              <w:rPr>
                <w:rFonts w:hint="eastAsia"/>
                <w:bCs/>
                <w:color w:val="auto"/>
                <w:sz w:val="18"/>
                <w:szCs w:val="18"/>
                <w:highlight w:val="none"/>
              </w:rPr>
            </w:pPr>
            <w:r>
              <w:rPr>
                <w:rFonts w:hint="eastAsia"/>
                <w:bCs/>
                <w:color w:val="auto"/>
                <w:sz w:val="18"/>
                <w:szCs w:val="18"/>
                <w:highlight w:val="none"/>
              </w:rPr>
              <w:t>△</w:t>
            </w:r>
            <w:r>
              <w:rPr>
                <w:rFonts w:hint="eastAsia"/>
                <w:bCs/>
                <w:color w:val="auto"/>
                <w:sz w:val="18"/>
                <w:szCs w:val="18"/>
                <w:highlight w:val="none"/>
                <w:lang w:val="en-US" w:eastAsia="zh-CN"/>
              </w:rPr>
              <w:t>13</w:t>
            </w:r>
          </w:p>
        </w:tc>
        <w:tc>
          <w:tcPr>
            <w:tcW w:w="391" w:type="pct"/>
            <w:tcBorders>
              <w:tl2br w:val="nil"/>
              <w:tr2bl w:val="nil"/>
            </w:tcBorders>
            <w:vAlign w:val="center"/>
          </w:tcPr>
          <w:p>
            <w:pPr>
              <w:jc w:val="center"/>
              <w:rPr>
                <w:rFonts w:hint="eastAsia"/>
                <w:bCs/>
                <w:color w:val="auto"/>
                <w:sz w:val="18"/>
                <w:szCs w:val="18"/>
                <w:highlight w:val="none"/>
              </w:rPr>
            </w:pPr>
            <w:r>
              <w:rPr>
                <w:rFonts w:hint="eastAsia"/>
                <w:bCs/>
                <w:color w:val="auto"/>
                <w:sz w:val="18"/>
                <w:szCs w:val="18"/>
                <w:highlight w:val="none"/>
                <w:lang w:eastAsia="zh-CN"/>
              </w:rPr>
              <w:t>对应附图8-1：</w:t>
            </w:r>
            <w:r>
              <w:rPr>
                <w:rFonts w:hint="eastAsia" w:ascii="宋体" w:hAnsi="宋体" w:eastAsia="宋体" w:cs="宋体"/>
                <w:bCs/>
                <w:color w:val="auto"/>
                <w:sz w:val="18"/>
                <w:szCs w:val="18"/>
                <w:highlight w:val="none"/>
                <w:lang w:eastAsia="zh-CN"/>
              </w:rPr>
              <w:t>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atLeast"/>
        </w:trPr>
        <w:tc>
          <w:tcPr>
            <w:tcW w:w="183" w:type="pct"/>
            <w:tcBorders>
              <w:tl2br w:val="nil"/>
              <w:tr2bl w:val="nil"/>
            </w:tcBorders>
            <w:vAlign w:val="center"/>
          </w:tcPr>
          <w:p>
            <w:pPr>
              <w:adjustRightInd w:val="0"/>
              <w:jc w:val="center"/>
              <w:rPr>
                <w:rFonts w:hint="eastAsia" w:eastAsia="宋体"/>
                <w:b/>
                <w:color w:val="auto"/>
                <w:sz w:val="18"/>
                <w:szCs w:val="18"/>
                <w:highlight w:val="none"/>
                <w:lang w:val="en-US" w:eastAsia="zh-CN"/>
              </w:rPr>
            </w:pPr>
            <w:r>
              <w:rPr>
                <w:rFonts w:hint="eastAsia"/>
                <w:b/>
                <w:color w:val="auto"/>
                <w:sz w:val="18"/>
                <w:szCs w:val="18"/>
                <w:highlight w:val="none"/>
                <w:lang w:val="en-US" w:eastAsia="zh-CN"/>
              </w:rPr>
              <w:t>5</w:t>
            </w:r>
          </w:p>
        </w:tc>
        <w:tc>
          <w:tcPr>
            <w:tcW w:w="466" w:type="pct"/>
            <w:vMerge w:val="restart"/>
            <w:tcBorders>
              <w:tl2br w:val="nil"/>
              <w:tr2bl w:val="nil"/>
            </w:tcBorders>
            <w:vAlign w:val="center"/>
          </w:tcPr>
          <w:p>
            <w:pPr>
              <w:adjustRightInd w:val="0"/>
              <w:jc w:val="center"/>
              <w:rPr>
                <w:rFonts w:hint="eastAsia"/>
                <w:b/>
                <w:color w:val="auto"/>
                <w:sz w:val="18"/>
                <w:szCs w:val="18"/>
                <w:highlight w:val="none"/>
              </w:rPr>
            </w:pPr>
            <w:r>
              <w:rPr>
                <w:rFonts w:hint="eastAsia"/>
                <w:bCs/>
                <w:color w:val="auto"/>
                <w:sz w:val="18"/>
                <w:szCs w:val="18"/>
                <w:highlight w:val="none"/>
                <w:lang w:val="en-US" w:eastAsia="zh-CN"/>
              </w:rPr>
              <w:t>22</w:t>
            </w:r>
            <w:r>
              <w:rPr>
                <w:bCs/>
                <w:color w:val="auto"/>
                <w:sz w:val="18"/>
                <w:szCs w:val="18"/>
                <w:highlight w:val="none"/>
              </w:rPr>
              <w:t>0kV</w:t>
            </w:r>
            <w:r>
              <w:rPr>
                <w:rFonts w:hint="eastAsia"/>
                <w:bCs/>
                <w:color w:val="auto"/>
                <w:sz w:val="18"/>
                <w:szCs w:val="18"/>
                <w:highlight w:val="none"/>
                <w:lang w:eastAsia="zh-CN"/>
              </w:rPr>
              <w:t>全德</w:t>
            </w:r>
            <w:r>
              <w:rPr>
                <w:rFonts w:hint="eastAsia"/>
                <w:bCs/>
                <w:color w:val="auto"/>
                <w:sz w:val="18"/>
                <w:szCs w:val="18"/>
                <w:highlight w:val="none"/>
              </w:rPr>
              <w:t>变电站间隔扩建</w:t>
            </w:r>
          </w:p>
        </w:tc>
        <w:tc>
          <w:tcPr>
            <w:tcW w:w="796" w:type="pct"/>
            <w:tcBorders>
              <w:tl2br w:val="nil"/>
              <w:tr2bl w:val="nil"/>
            </w:tcBorders>
            <w:vAlign w:val="center"/>
          </w:tcPr>
          <w:p>
            <w:pPr>
              <w:adjustRightInd w:val="0"/>
              <w:jc w:val="center"/>
              <w:rPr>
                <w:rFonts w:hint="default" w:ascii="Times New Roman" w:hAnsi="Times New Roman" w:eastAsia="宋体" w:cs="Times New Roman"/>
                <w:b/>
                <w:color w:val="auto"/>
                <w:kern w:val="2"/>
                <w:sz w:val="18"/>
                <w:szCs w:val="18"/>
                <w:highlight w:val="none"/>
                <w:lang w:val="en-US" w:eastAsia="zh-CN" w:bidi="ar-SA"/>
              </w:rPr>
            </w:pPr>
            <w:r>
              <w:rPr>
                <w:rFonts w:hint="eastAsia"/>
                <w:bCs/>
                <w:color w:val="auto"/>
                <w:sz w:val="18"/>
                <w:szCs w:val="18"/>
                <w:highlight w:val="none"/>
                <w:lang w:eastAsia="zh-CN"/>
              </w:rPr>
              <w:t>二坪镇红庙村民房</w:t>
            </w:r>
            <w:r>
              <w:rPr>
                <w:rFonts w:hint="eastAsia"/>
                <w:bCs/>
                <w:color w:val="auto"/>
                <w:sz w:val="18"/>
                <w:szCs w:val="18"/>
                <w:highlight w:val="none"/>
                <w:lang w:val="en-US" w:eastAsia="zh-CN"/>
              </w:rPr>
              <w:t>1</w:t>
            </w:r>
          </w:p>
        </w:tc>
        <w:tc>
          <w:tcPr>
            <w:tcW w:w="890" w:type="pct"/>
            <w:tcBorders>
              <w:tl2br w:val="nil"/>
              <w:tr2bl w:val="nil"/>
            </w:tcBorders>
            <w:vAlign w:val="center"/>
          </w:tcPr>
          <w:p>
            <w:pPr>
              <w:adjustRightInd w:val="0"/>
              <w:jc w:val="center"/>
              <w:rPr>
                <w:rFonts w:hint="eastAsia" w:ascii="Times New Roman" w:hAnsi="Times New Roman" w:eastAsia="宋体" w:cs="Times New Roman"/>
                <w:b/>
                <w:color w:val="auto"/>
                <w:kern w:val="2"/>
                <w:sz w:val="18"/>
                <w:szCs w:val="18"/>
                <w:highlight w:val="none"/>
                <w:lang w:val="en-US" w:eastAsia="zh-CN" w:bidi="ar-SA"/>
              </w:rPr>
            </w:pPr>
            <w:r>
              <w:rPr>
                <w:rFonts w:hint="eastAsia"/>
                <w:bCs/>
                <w:color w:val="auto"/>
                <w:sz w:val="18"/>
                <w:szCs w:val="18"/>
                <w:highlight w:val="none"/>
                <w:lang w:val="en-US" w:eastAsia="zh-CN"/>
              </w:rPr>
              <w:t>1~2</w:t>
            </w:r>
            <w:r>
              <w:rPr>
                <w:bCs/>
                <w:color w:val="auto"/>
                <w:sz w:val="18"/>
                <w:szCs w:val="18"/>
                <w:highlight w:val="none"/>
              </w:rPr>
              <w:t>F</w:t>
            </w:r>
            <w:r>
              <w:rPr>
                <w:rFonts w:hint="eastAsia"/>
                <w:bCs/>
                <w:color w:val="auto"/>
                <w:sz w:val="18"/>
                <w:szCs w:val="18"/>
                <w:highlight w:val="none"/>
              </w:rPr>
              <w:t>民房</w:t>
            </w:r>
            <w:r>
              <w:rPr>
                <w:rFonts w:hint="eastAsia"/>
                <w:bCs/>
                <w:color w:val="auto"/>
                <w:sz w:val="18"/>
                <w:szCs w:val="18"/>
                <w:highlight w:val="none"/>
                <w:lang w:val="en-US" w:eastAsia="zh-CN"/>
              </w:rPr>
              <w:t>3</w:t>
            </w:r>
            <w:r>
              <w:rPr>
                <w:rFonts w:hint="eastAsia"/>
                <w:bCs/>
                <w:color w:val="auto"/>
                <w:sz w:val="18"/>
                <w:szCs w:val="18"/>
                <w:highlight w:val="none"/>
              </w:rPr>
              <w:t>户，高约</w:t>
            </w:r>
            <w:r>
              <w:rPr>
                <w:rFonts w:hint="eastAsia"/>
                <w:bCs/>
                <w:color w:val="auto"/>
                <w:sz w:val="18"/>
                <w:szCs w:val="18"/>
                <w:highlight w:val="none"/>
                <w:lang w:val="en-US" w:eastAsia="zh-CN"/>
              </w:rPr>
              <w:t>3~6</w:t>
            </w:r>
            <w:r>
              <w:rPr>
                <w:bCs/>
                <w:color w:val="auto"/>
                <w:sz w:val="18"/>
                <w:szCs w:val="18"/>
                <w:highlight w:val="none"/>
              </w:rPr>
              <w:t>m</w:t>
            </w:r>
            <w:r>
              <w:rPr>
                <w:rFonts w:hint="eastAsia"/>
                <w:bCs/>
                <w:color w:val="auto"/>
                <w:sz w:val="18"/>
                <w:szCs w:val="18"/>
                <w:highlight w:val="none"/>
              </w:rPr>
              <w:t>，平顶</w:t>
            </w:r>
            <w:r>
              <w:rPr>
                <w:rFonts w:hint="eastAsia"/>
                <w:bCs/>
                <w:color w:val="auto"/>
                <w:sz w:val="18"/>
                <w:szCs w:val="18"/>
                <w:highlight w:val="none"/>
                <w:lang w:val="en-US" w:eastAsia="zh-CN"/>
              </w:rPr>
              <w:t>坡顶</w:t>
            </w:r>
          </w:p>
        </w:tc>
        <w:tc>
          <w:tcPr>
            <w:tcW w:w="1079" w:type="pct"/>
            <w:tcBorders>
              <w:tl2br w:val="nil"/>
              <w:tr2bl w:val="nil"/>
            </w:tcBorders>
            <w:vAlign w:val="center"/>
          </w:tcPr>
          <w:p>
            <w:pPr>
              <w:adjustRightInd w:val="0"/>
              <w:jc w:val="center"/>
              <w:rPr>
                <w:rFonts w:hint="eastAsia" w:ascii="Times New Roman" w:hAnsi="Times New Roman" w:eastAsia="宋体" w:cs="Times New Roman"/>
                <w:b w:val="0"/>
                <w:bCs/>
                <w:color w:val="auto"/>
                <w:kern w:val="2"/>
                <w:sz w:val="18"/>
                <w:szCs w:val="18"/>
                <w:highlight w:val="none"/>
                <w:lang w:val="en-US" w:eastAsia="zh-CN" w:bidi="ar-SA"/>
              </w:rPr>
            </w:pPr>
            <w:r>
              <w:rPr>
                <w:rFonts w:hint="eastAsia"/>
                <w:b w:val="0"/>
                <w:bCs/>
                <w:color w:val="auto"/>
                <w:sz w:val="18"/>
                <w:szCs w:val="18"/>
                <w:highlight w:val="none"/>
                <w:lang w:eastAsia="zh-CN"/>
              </w:rPr>
              <w:t>变电站南侧最近约</w:t>
            </w:r>
            <w:r>
              <w:rPr>
                <w:rFonts w:hint="eastAsia"/>
                <w:b w:val="0"/>
                <w:bCs/>
                <w:color w:val="auto"/>
                <w:sz w:val="18"/>
                <w:szCs w:val="18"/>
                <w:highlight w:val="none"/>
                <w:lang w:val="en-US" w:eastAsia="zh-CN"/>
              </w:rPr>
              <w:t>53m，与变电站地面基本齐平</w:t>
            </w:r>
          </w:p>
        </w:tc>
        <w:tc>
          <w:tcPr>
            <w:tcW w:w="386" w:type="pct"/>
            <w:tcBorders>
              <w:tl2br w:val="nil"/>
              <w:tr2bl w:val="nil"/>
            </w:tcBorders>
            <w:vAlign w:val="center"/>
          </w:tcPr>
          <w:p>
            <w:pPr>
              <w:adjustRightInd w:val="0"/>
              <w:jc w:val="center"/>
              <w:rPr>
                <w:rFonts w:hint="eastAsia" w:ascii="Times New Roman" w:hAnsi="Times New Roman" w:eastAsia="宋体" w:cs="Times New Roman"/>
                <w:b/>
                <w:color w:val="auto"/>
                <w:kern w:val="2"/>
                <w:sz w:val="18"/>
                <w:szCs w:val="18"/>
                <w:highlight w:val="none"/>
                <w:lang w:val="en-US" w:eastAsia="zh-CN" w:bidi="ar-SA"/>
              </w:rPr>
            </w:pPr>
            <w:r>
              <w:rPr>
                <w:color w:val="auto"/>
                <w:sz w:val="18"/>
                <w:szCs w:val="18"/>
                <w:highlight w:val="none"/>
              </w:rPr>
              <w:t>N</w:t>
            </w:r>
          </w:p>
        </w:tc>
        <w:tc>
          <w:tcPr>
            <w:tcW w:w="414" w:type="pct"/>
            <w:tcBorders>
              <w:tl2br w:val="nil"/>
              <w:tr2bl w:val="nil"/>
            </w:tcBorders>
            <w:vAlign w:val="center"/>
          </w:tcPr>
          <w:p>
            <w:pPr>
              <w:adjustRightInd w:val="0"/>
              <w:jc w:val="center"/>
              <w:rPr>
                <w:rFonts w:hint="eastAsia" w:ascii="Times New Roman" w:hAnsi="Times New Roman" w:eastAsia="宋体" w:cs="Times New Roman"/>
                <w:b/>
                <w:color w:val="auto"/>
                <w:kern w:val="2"/>
                <w:sz w:val="18"/>
                <w:szCs w:val="18"/>
                <w:highlight w:val="none"/>
                <w:lang w:val="en-US" w:eastAsia="zh-CN" w:bidi="ar-SA"/>
              </w:rPr>
            </w:pPr>
            <w:r>
              <w:rPr>
                <w:bCs/>
                <w:color w:val="auto"/>
                <w:sz w:val="18"/>
                <w:szCs w:val="18"/>
                <w:highlight w:val="none"/>
              </w:rPr>
              <w:t>1</w:t>
            </w:r>
            <w:r>
              <w:rPr>
                <w:rFonts w:hint="eastAsia"/>
                <w:bCs/>
                <w:color w:val="auto"/>
                <w:sz w:val="18"/>
                <w:szCs w:val="18"/>
                <w:highlight w:val="none"/>
              </w:rPr>
              <w:t>类</w:t>
            </w:r>
          </w:p>
        </w:tc>
        <w:tc>
          <w:tcPr>
            <w:tcW w:w="391" w:type="pct"/>
            <w:tcBorders>
              <w:tl2br w:val="nil"/>
              <w:tr2bl w:val="nil"/>
            </w:tcBorders>
            <w:vAlign w:val="center"/>
          </w:tcPr>
          <w:p>
            <w:pPr>
              <w:adjustRightInd w:val="0"/>
              <w:jc w:val="center"/>
              <w:rPr>
                <w:rFonts w:hint="eastAsia" w:ascii="Times New Roman" w:hAnsi="Times New Roman" w:eastAsia="宋体" w:cs="Times New Roman"/>
                <w:b/>
                <w:color w:val="auto"/>
                <w:kern w:val="2"/>
                <w:sz w:val="18"/>
                <w:szCs w:val="18"/>
                <w:highlight w:val="none"/>
                <w:lang w:val="en-US" w:eastAsia="zh-CN" w:bidi="ar-SA"/>
              </w:rPr>
            </w:pPr>
            <w:r>
              <w:rPr>
                <w:rFonts w:hint="eastAsia"/>
                <w:bCs/>
                <w:color w:val="auto"/>
                <w:sz w:val="18"/>
                <w:szCs w:val="18"/>
                <w:highlight w:val="none"/>
              </w:rPr>
              <w:t>△</w:t>
            </w:r>
            <w:r>
              <w:rPr>
                <w:rFonts w:hint="eastAsia"/>
                <w:bCs/>
                <w:color w:val="auto"/>
                <w:sz w:val="18"/>
                <w:szCs w:val="18"/>
                <w:highlight w:val="none"/>
                <w:lang w:val="en-US" w:eastAsia="zh-CN"/>
              </w:rPr>
              <w:t>1</w:t>
            </w:r>
          </w:p>
        </w:tc>
        <w:tc>
          <w:tcPr>
            <w:tcW w:w="391"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eastAsia="zh-CN"/>
              </w:rPr>
              <w:t>对应附图8-</w:t>
            </w:r>
            <w:r>
              <w:rPr>
                <w:rFonts w:hint="eastAsia"/>
                <w:bCs/>
                <w:color w:val="auto"/>
                <w:sz w:val="18"/>
                <w:szCs w:val="18"/>
                <w:highlight w:val="none"/>
                <w:lang w:val="en-US" w:eastAsia="zh-CN"/>
              </w:rPr>
              <w:t>2</w:t>
            </w:r>
            <w:r>
              <w:rPr>
                <w:rFonts w:hint="eastAsia"/>
                <w:bCs/>
                <w:color w:val="auto"/>
                <w:sz w:val="18"/>
                <w:szCs w:val="18"/>
                <w:highlight w:val="none"/>
                <w:lang w:eastAsia="zh-CN"/>
              </w:rPr>
              <w:t>：</w:t>
            </w:r>
            <w:r>
              <w:rPr>
                <w:rFonts w:hint="default" w:ascii="Calibri" w:hAnsi="Calibri" w:cs="Calibri"/>
                <w:bCs/>
                <w:color w:val="auto"/>
                <w:sz w:val="18"/>
                <w:szCs w:val="18"/>
                <w:highlight w:val="none"/>
                <w:lang w:eastAsia="zh-CN"/>
              </w:rPr>
              <w:t>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atLeast"/>
        </w:trPr>
        <w:tc>
          <w:tcPr>
            <w:tcW w:w="183" w:type="pct"/>
            <w:tcBorders>
              <w:tl2br w:val="nil"/>
              <w:tr2bl w:val="nil"/>
            </w:tcBorders>
            <w:vAlign w:val="center"/>
          </w:tcPr>
          <w:p>
            <w:pPr>
              <w:adjustRightInd w:val="0"/>
              <w:jc w:val="center"/>
              <w:rPr>
                <w:rFonts w:hint="eastAsia"/>
                <w:b/>
                <w:color w:val="auto"/>
                <w:sz w:val="18"/>
                <w:szCs w:val="18"/>
                <w:highlight w:val="none"/>
                <w:lang w:val="en-US" w:eastAsia="zh-CN"/>
              </w:rPr>
            </w:pPr>
            <w:r>
              <w:rPr>
                <w:rFonts w:hint="eastAsia" w:cs="Times New Roman"/>
                <w:b/>
                <w:color w:val="auto"/>
                <w:kern w:val="2"/>
                <w:sz w:val="18"/>
                <w:szCs w:val="18"/>
                <w:highlight w:val="none"/>
                <w:lang w:val="en-US" w:eastAsia="zh-CN" w:bidi="ar-SA"/>
              </w:rPr>
              <w:t>6</w:t>
            </w:r>
          </w:p>
        </w:tc>
        <w:tc>
          <w:tcPr>
            <w:tcW w:w="466" w:type="pct"/>
            <w:vMerge w:val="continue"/>
            <w:tcBorders>
              <w:tl2br w:val="nil"/>
              <w:tr2bl w:val="nil"/>
            </w:tcBorders>
            <w:vAlign w:val="center"/>
          </w:tcPr>
          <w:p>
            <w:pPr>
              <w:adjustRightInd w:val="0"/>
              <w:jc w:val="center"/>
              <w:rPr>
                <w:rFonts w:hint="eastAsia"/>
                <w:bCs/>
                <w:color w:val="auto"/>
                <w:sz w:val="18"/>
                <w:szCs w:val="18"/>
                <w:highlight w:val="none"/>
                <w:lang w:val="en-US" w:eastAsia="zh-CN"/>
              </w:rPr>
            </w:pPr>
          </w:p>
        </w:tc>
        <w:tc>
          <w:tcPr>
            <w:tcW w:w="796" w:type="pct"/>
            <w:tcBorders>
              <w:tl2br w:val="nil"/>
              <w:tr2bl w:val="nil"/>
            </w:tcBorders>
            <w:vAlign w:val="center"/>
          </w:tcPr>
          <w:p>
            <w:pPr>
              <w:adjustRightInd w:val="0"/>
              <w:jc w:val="center"/>
              <w:rPr>
                <w:rFonts w:hint="eastAsia" w:ascii="Times New Roman" w:hAnsi="Times New Roman" w:eastAsia="宋体" w:cs="Times New Roman"/>
                <w:b/>
                <w:color w:val="auto"/>
                <w:kern w:val="2"/>
                <w:sz w:val="18"/>
                <w:szCs w:val="18"/>
                <w:highlight w:val="none"/>
                <w:lang w:val="en-US" w:eastAsia="zh-CN" w:bidi="ar-SA"/>
              </w:rPr>
            </w:pPr>
            <w:r>
              <w:rPr>
                <w:rFonts w:hint="eastAsia"/>
                <w:bCs/>
                <w:color w:val="auto"/>
                <w:sz w:val="18"/>
                <w:szCs w:val="18"/>
                <w:highlight w:val="none"/>
                <w:lang w:eastAsia="zh-CN"/>
              </w:rPr>
              <w:t>二坪镇红庙村民房</w:t>
            </w:r>
            <w:r>
              <w:rPr>
                <w:rFonts w:hint="eastAsia"/>
                <w:bCs/>
                <w:color w:val="auto"/>
                <w:sz w:val="18"/>
                <w:szCs w:val="18"/>
                <w:highlight w:val="none"/>
                <w:lang w:val="en-US" w:eastAsia="zh-CN"/>
              </w:rPr>
              <w:t>2</w:t>
            </w:r>
          </w:p>
        </w:tc>
        <w:tc>
          <w:tcPr>
            <w:tcW w:w="890" w:type="pct"/>
            <w:tcBorders>
              <w:tl2br w:val="nil"/>
              <w:tr2bl w:val="nil"/>
            </w:tcBorders>
            <w:vAlign w:val="center"/>
          </w:tcPr>
          <w:p>
            <w:pPr>
              <w:adjustRightInd w:val="0"/>
              <w:jc w:val="center"/>
              <w:rPr>
                <w:rFonts w:hint="eastAsia" w:ascii="Times New Roman" w:hAnsi="Times New Roman" w:eastAsia="宋体" w:cs="Times New Roman"/>
                <w:b/>
                <w:color w:val="auto"/>
                <w:kern w:val="2"/>
                <w:sz w:val="18"/>
                <w:szCs w:val="18"/>
                <w:highlight w:val="none"/>
                <w:lang w:val="en-US" w:eastAsia="zh-CN" w:bidi="ar-SA"/>
              </w:rPr>
            </w:pPr>
            <w:r>
              <w:rPr>
                <w:rFonts w:hint="eastAsia"/>
                <w:bCs/>
                <w:color w:val="auto"/>
                <w:sz w:val="18"/>
                <w:szCs w:val="18"/>
                <w:highlight w:val="none"/>
                <w:lang w:val="en-US" w:eastAsia="zh-CN"/>
              </w:rPr>
              <w:t>1~2</w:t>
            </w:r>
            <w:r>
              <w:rPr>
                <w:bCs/>
                <w:color w:val="auto"/>
                <w:sz w:val="18"/>
                <w:szCs w:val="18"/>
                <w:highlight w:val="none"/>
              </w:rPr>
              <w:t>F</w:t>
            </w:r>
            <w:r>
              <w:rPr>
                <w:rFonts w:hint="eastAsia"/>
                <w:bCs/>
                <w:color w:val="auto"/>
                <w:sz w:val="18"/>
                <w:szCs w:val="18"/>
                <w:highlight w:val="none"/>
              </w:rPr>
              <w:t>民房</w:t>
            </w:r>
            <w:r>
              <w:rPr>
                <w:rFonts w:hint="eastAsia"/>
                <w:bCs/>
                <w:color w:val="auto"/>
                <w:sz w:val="18"/>
                <w:szCs w:val="18"/>
                <w:highlight w:val="none"/>
                <w:lang w:val="en-US" w:eastAsia="zh-CN"/>
              </w:rPr>
              <w:t>24</w:t>
            </w:r>
            <w:r>
              <w:rPr>
                <w:rFonts w:hint="eastAsia"/>
                <w:bCs/>
                <w:color w:val="auto"/>
                <w:sz w:val="18"/>
                <w:szCs w:val="18"/>
                <w:highlight w:val="none"/>
              </w:rPr>
              <w:t>户，高约</w:t>
            </w:r>
            <w:r>
              <w:rPr>
                <w:rFonts w:hint="eastAsia"/>
                <w:bCs/>
                <w:color w:val="auto"/>
                <w:sz w:val="18"/>
                <w:szCs w:val="18"/>
                <w:highlight w:val="none"/>
                <w:lang w:val="en-US" w:eastAsia="zh-CN"/>
              </w:rPr>
              <w:t>3~6</w:t>
            </w:r>
            <w:r>
              <w:rPr>
                <w:bCs/>
                <w:color w:val="auto"/>
                <w:sz w:val="18"/>
                <w:szCs w:val="18"/>
                <w:highlight w:val="none"/>
              </w:rPr>
              <w:t>m</w:t>
            </w:r>
            <w:r>
              <w:rPr>
                <w:rFonts w:hint="eastAsia"/>
                <w:bCs/>
                <w:color w:val="auto"/>
                <w:sz w:val="18"/>
                <w:szCs w:val="18"/>
                <w:highlight w:val="none"/>
              </w:rPr>
              <w:t>，平顶</w:t>
            </w:r>
            <w:r>
              <w:rPr>
                <w:rFonts w:hint="eastAsia"/>
                <w:bCs/>
                <w:color w:val="auto"/>
                <w:sz w:val="18"/>
                <w:szCs w:val="18"/>
                <w:highlight w:val="none"/>
                <w:lang w:val="en-US" w:eastAsia="zh-CN"/>
              </w:rPr>
              <w:t>/坡顶</w:t>
            </w:r>
          </w:p>
        </w:tc>
        <w:tc>
          <w:tcPr>
            <w:tcW w:w="1079" w:type="pct"/>
            <w:tcBorders>
              <w:tl2br w:val="nil"/>
              <w:tr2bl w:val="nil"/>
            </w:tcBorders>
            <w:vAlign w:val="center"/>
          </w:tcPr>
          <w:p>
            <w:pPr>
              <w:adjustRightInd w:val="0"/>
              <w:jc w:val="center"/>
              <w:rPr>
                <w:rFonts w:hint="eastAsia" w:ascii="Times New Roman" w:hAnsi="Times New Roman" w:eastAsia="宋体" w:cs="Times New Roman"/>
                <w:b w:val="0"/>
                <w:bCs/>
                <w:color w:val="auto"/>
                <w:kern w:val="2"/>
                <w:sz w:val="18"/>
                <w:szCs w:val="18"/>
                <w:highlight w:val="none"/>
                <w:lang w:val="en-US" w:eastAsia="zh-CN" w:bidi="ar-SA"/>
              </w:rPr>
            </w:pPr>
            <w:r>
              <w:rPr>
                <w:rFonts w:hint="eastAsia"/>
                <w:b w:val="0"/>
                <w:bCs/>
                <w:color w:val="auto"/>
                <w:sz w:val="18"/>
                <w:szCs w:val="18"/>
                <w:highlight w:val="none"/>
                <w:lang w:eastAsia="zh-CN"/>
              </w:rPr>
              <w:t>变电站南侧最近约</w:t>
            </w:r>
            <w:r>
              <w:rPr>
                <w:rFonts w:hint="eastAsia"/>
                <w:b w:val="0"/>
                <w:bCs/>
                <w:color w:val="auto"/>
                <w:sz w:val="18"/>
                <w:szCs w:val="18"/>
                <w:highlight w:val="none"/>
                <w:lang w:val="en-US" w:eastAsia="zh-CN"/>
              </w:rPr>
              <w:t>53m，与变电站地面基本齐平</w:t>
            </w:r>
          </w:p>
        </w:tc>
        <w:tc>
          <w:tcPr>
            <w:tcW w:w="386" w:type="pct"/>
            <w:tcBorders>
              <w:tl2br w:val="nil"/>
              <w:tr2bl w:val="nil"/>
            </w:tcBorders>
            <w:vAlign w:val="center"/>
          </w:tcPr>
          <w:p>
            <w:pPr>
              <w:adjustRightInd w:val="0"/>
              <w:jc w:val="center"/>
              <w:rPr>
                <w:rFonts w:hint="eastAsia" w:ascii="Times New Roman" w:hAnsi="Times New Roman" w:eastAsia="宋体" w:cs="Times New Roman"/>
                <w:b/>
                <w:color w:val="auto"/>
                <w:kern w:val="2"/>
                <w:sz w:val="18"/>
                <w:szCs w:val="18"/>
                <w:highlight w:val="none"/>
                <w:lang w:val="en-US" w:eastAsia="zh-CN" w:bidi="ar-SA"/>
              </w:rPr>
            </w:pPr>
            <w:r>
              <w:rPr>
                <w:color w:val="auto"/>
                <w:sz w:val="18"/>
                <w:szCs w:val="18"/>
                <w:highlight w:val="none"/>
              </w:rPr>
              <w:t>N</w:t>
            </w:r>
          </w:p>
        </w:tc>
        <w:tc>
          <w:tcPr>
            <w:tcW w:w="414" w:type="pct"/>
            <w:tcBorders>
              <w:tl2br w:val="nil"/>
              <w:tr2bl w:val="nil"/>
            </w:tcBorders>
            <w:vAlign w:val="center"/>
          </w:tcPr>
          <w:p>
            <w:pPr>
              <w:adjustRightInd w:val="0"/>
              <w:jc w:val="center"/>
              <w:rPr>
                <w:rFonts w:hint="eastAsia" w:ascii="Times New Roman" w:hAnsi="Times New Roman" w:eastAsia="宋体" w:cs="Times New Roman"/>
                <w:b/>
                <w:color w:val="auto"/>
                <w:kern w:val="2"/>
                <w:sz w:val="18"/>
                <w:szCs w:val="18"/>
                <w:highlight w:val="none"/>
                <w:lang w:val="en-US" w:eastAsia="zh-CN" w:bidi="ar-SA"/>
              </w:rPr>
            </w:pPr>
            <w:r>
              <w:rPr>
                <w:bCs/>
                <w:color w:val="auto"/>
                <w:sz w:val="18"/>
                <w:szCs w:val="18"/>
                <w:highlight w:val="none"/>
              </w:rPr>
              <w:t>1</w:t>
            </w:r>
            <w:r>
              <w:rPr>
                <w:rFonts w:hint="eastAsia"/>
                <w:bCs/>
                <w:color w:val="auto"/>
                <w:sz w:val="18"/>
                <w:szCs w:val="18"/>
                <w:highlight w:val="none"/>
              </w:rPr>
              <w:t>类</w:t>
            </w:r>
          </w:p>
        </w:tc>
        <w:tc>
          <w:tcPr>
            <w:tcW w:w="391" w:type="pct"/>
            <w:tcBorders>
              <w:tl2br w:val="nil"/>
              <w:tr2bl w:val="nil"/>
            </w:tcBorders>
            <w:vAlign w:val="center"/>
          </w:tcPr>
          <w:p>
            <w:pPr>
              <w:adjustRightInd w:val="0"/>
              <w:jc w:val="center"/>
              <w:rPr>
                <w:rFonts w:hint="eastAsia" w:ascii="Times New Roman" w:hAnsi="Times New Roman" w:eastAsia="宋体" w:cs="Times New Roman"/>
                <w:b/>
                <w:color w:val="auto"/>
                <w:kern w:val="2"/>
                <w:sz w:val="18"/>
                <w:szCs w:val="18"/>
                <w:highlight w:val="none"/>
                <w:lang w:val="en-US" w:eastAsia="zh-CN" w:bidi="ar-SA"/>
              </w:rPr>
            </w:pPr>
            <w:r>
              <w:rPr>
                <w:rFonts w:hint="eastAsia"/>
                <w:bCs/>
                <w:color w:val="auto"/>
                <w:sz w:val="18"/>
                <w:szCs w:val="18"/>
                <w:highlight w:val="none"/>
                <w:lang w:val="en-US" w:eastAsia="zh-CN"/>
              </w:rPr>
              <w:t>/</w:t>
            </w:r>
          </w:p>
        </w:tc>
        <w:tc>
          <w:tcPr>
            <w:tcW w:w="391"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eastAsia="zh-CN"/>
              </w:rPr>
              <w:t>对应附图8-</w:t>
            </w:r>
            <w:r>
              <w:rPr>
                <w:rFonts w:hint="eastAsia"/>
                <w:bCs/>
                <w:color w:val="auto"/>
                <w:sz w:val="18"/>
                <w:szCs w:val="18"/>
                <w:highlight w:val="none"/>
                <w:lang w:val="en-US" w:eastAsia="zh-CN"/>
              </w:rPr>
              <w:t>2</w:t>
            </w:r>
            <w:r>
              <w:rPr>
                <w:rFonts w:hint="eastAsia"/>
                <w:bCs/>
                <w:color w:val="auto"/>
                <w:sz w:val="18"/>
                <w:szCs w:val="18"/>
                <w:highlight w:val="none"/>
                <w:lang w:eastAsia="zh-CN"/>
              </w:rPr>
              <w:t>：</w:t>
            </w:r>
            <w:r>
              <w:rPr>
                <w:rFonts w:hint="default" w:ascii="Calibri" w:hAnsi="Calibri" w:cs="Calibri"/>
                <w:bCs/>
                <w:color w:val="auto"/>
                <w:sz w:val="18"/>
                <w:szCs w:val="18"/>
                <w:highlight w:val="none"/>
                <w:lang w:eastAsia="zh-CN"/>
              </w:rPr>
              <w:t>②</w:t>
            </w:r>
          </w:p>
        </w:tc>
      </w:tr>
    </w:tbl>
    <w:p>
      <w:pPr>
        <w:adjustRightInd w:val="0"/>
        <w:snapToGrid w:val="0"/>
        <w:spacing w:line="360" w:lineRule="auto"/>
        <w:rPr>
          <w:rFonts w:hint="eastAsia" w:eastAsia="宋体"/>
          <w:b/>
          <w:bCs/>
          <w:color w:val="auto"/>
          <w:sz w:val="24"/>
          <w:highlight w:val="none"/>
          <w:lang w:eastAsia="zh-CN"/>
        </w:rPr>
      </w:pPr>
      <w:r>
        <w:rPr>
          <w:rFonts w:hint="eastAsia"/>
          <w:color w:val="auto"/>
          <w:kern w:val="0"/>
          <w:szCs w:val="21"/>
          <w:highlight w:val="none"/>
        </w:rPr>
        <w:t>备注：</w:t>
      </w:r>
      <w:r>
        <w:rPr>
          <w:rFonts w:ascii="Times New Roman" w:hAnsi="Times New Roman" w:cs="Times New Roman"/>
          <w:color w:val="auto"/>
          <w:kern w:val="0"/>
          <w:sz w:val="21"/>
          <w:szCs w:val="21"/>
          <w:highlight w:val="none"/>
        </w:rPr>
        <w:t>E—工频电场强度、B—磁感应强度、N—噪声</w:t>
      </w:r>
      <w:r>
        <w:rPr>
          <w:rFonts w:hint="eastAsia" w:ascii="Times New Roman" w:hAnsi="Times New Roman" w:cs="Times New Roman"/>
          <w:color w:val="auto"/>
          <w:kern w:val="0"/>
          <w:sz w:val="21"/>
          <w:szCs w:val="21"/>
          <w:highlight w:val="none"/>
        </w:rPr>
        <w:t>、</w:t>
      </w:r>
      <w:r>
        <w:rPr>
          <w:rFonts w:hint="eastAsia" w:ascii="宋体" w:hAnsi="宋体" w:cs="Times New Roman"/>
          <w:color w:val="auto"/>
          <w:kern w:val="0"/>
          <w:sz w:val="21"/>
          <w:szCs w:val="21"/>
          <w:highlight w:val="none"/>
        </w:rPr>
        <w:t>☆</w:t>
      </w:r>
      <w:r>
        <w:rPr>
          <w:rFonts w:ascii="Times New Roman" w:hAnsi="Times New Roman" w:cs="Times New Roman"/>
          <w:color w:val="auto"/>
          <w:kern w:val="0"/>
          <w:sz w:val="21"/>
          <w:szCs w:val="21"/>
          <w:highlight w:val="none"/>
        </w:rPr>
        <w:t>—</w:t>
      </w:r>
      <w:r>
        <w:rPr>
          <w:rFonts w:hint="eastAsia" w:ascii="宋体" w:hAnsi="宋体" w:cs="Times New Roman"/>
          <w:color w:val="auto"/>
          <w:kern w:val="0"/>
          <w:sz w:val="21"/>
          <w:szCs w:val="21"/>
          <w:highlight w:val="none"/>
        </w:rPr>
        <w:t>电磁环境监测点位、△</w:t>
      </w:r>
      <w:r>
        <w:rPr>
          <w:rFonts w:ascii="Times New Roman" w:hAnsi="Times New Roman" w:cs="Times New Roman"/>
          <w:color w:val="auto"/>
          <w:kern w:val="0"/>
          <w:sz w:val="21"/>
          <w:szCs w:val="21"/>
          <w:highlight w:val="none"/>
        </w:rPr>
        <w:t>—</w:t>
      </w:r>
      <w:r>
        <w:rPr>
          <w:rFonts w:hint="eastAsia" w:ascii="宋体" w:hAnsi="宋体" w:cs="Times New Roman"/>
          <w:color w:val="auto"/>
          <w:kern w:val="0"/>
          <w:sz w:val="21"/>
          <w:szCs w:val="21"/>
          <w:highlight w:val="none"/>
        </w:rPr>
        <w:t>声环境监测点位</w:t>
      </w:r>
    </w:p>
    <w:p>
      <w:pPr>
        <w:adjustRightInd w:val="0"/>
        <w:snapToGrid w:val="0"/>
        <w:jc w:val="center"/>
        <w:rPr>
          <w:rFonts w:hint="eastAsia"/>
          <w:b/>
          <w:bCs/>
          <w:color w:val="auto"/>
          <w:sz w:val="24"/>
          <w:highlight w:val="none"/>
        </w:rPr>
        <w:sectPr>
          <w:pgSz w:w="16838" w:h="11906" w:orient="landscape"/>
          <w:pgMar w:top="1800" w:right="1440" w:bottom="1800" w:left="1440" w:header="851" w:footer="1077" w:gutter="0"/>
          <w:pgBorders>
            <w:top w:val="none" w:sz="0" w:space="0"/>
            <w:left w:val="none" w:sz="0" w:space="0"/>
            <w:bottom w:val="none" w:sz="0" w:space="0"/>
            <w:right w:val="none" w:sz="0" w:space="0"/>
          </w:pgBorders>
          <w:cols w:space="720" w:num="1"/>
          <w:docGrid w:linePitch="312" w:charSpace="0"/>
        </w:sectPr>
      </w:pPr>
    </w:p>
    <w:bookmarkEnd w:id="17"/>
    <w:p>
      <w:pPr>
        <w:adjustRightInd w:val="0"/>
        <w:snapToGrid w:val="0"/>
        <w:jc w:val="center"/>
        <w:rPr>
          <w:rFonts w:hint="eastAsia"/>
          <w:b/>
          <w:bCs/>
          <w:color w:val="auto"/>
          <w:sz w:val="24"/>
          <w:highlight w:val="none"/>
        </w:rPr>
      </w:pPr>
    </w:p>
    <w:p>
      <w:pPr>
        <w:adjustRightInd w:val="0"/>
        <w:snapToGrid w:val="0"/>
        <w:jc w:val="center"/>
        <w:rPr>
          <w:b/>
          <w:bCs/>
          <w:color w:val="auto"/>
          <w:sz w:val="24"/>
          <w:highlight w:val="none"/>
        </w:rPr>
      </w:pPr>
      <w:r>
        <w:rPr>
          <w:rFonts w:hint="eastAsia"/>
          <w:b/>
          <w:bCs/>
          <w:color w:val="auto"/>
          <w:sz w:val="24"/>
          <w:highlight w:val="none"/>
        </w:rPr>
        <w:t>表</w:t>
      </w:r>
      <w:r>
        <w:rPr>
          <w:b/>
          <w:bCs/>
          <w:color w:val="auto"/>
          <w:sz w:val="24"/>
          <w:highlight w:val="none"/>
        </w:rPr>
        <w:t>3-</w:t>
      </w:r>
      <w:r>
        <w:rPr>
          <w:rFonts w:hint="eastAsia"/>
          <w:b/>
          <w:bCs/>
          <w:color w:val="auto"/>
          <w:sz w:val="24"/>
          <w:highlight w:val="none"/>
          <w:lang w:val="en-US" w:eastAsia="zh-CN"/>
        </w:rPr>
        <w:t>8</w:t>
      </w:r>
      <w:r>
        <w:rPr>
          <w:b/>
          <w:bCs/>
          <w:color w:val="auto"/>
          <w:sz w:val="24"/>
          <w:highlight w:val="none"/>
        </w:rPr>
        <w:t xml:space="preserve">  </w:t>
      </w:r>
      <w:r>
        <w:rPr>
          <w:rFonts w:hint="eastAsia"/>
          <w:b/>
          <w:bCs/>
          <w:color w:val="auto"/>
          <w:sz w:val="24"/>
          <w:highlight w:val="none"/>
        </w:rPr>
        <w:t>拟建架空线路沿线电磁环境及声环境敏感目标</w:t>
      </w:r>
    </w:p>
    <w:tbl>
      <w:tblPr>
        <w:tblStyle w:val="28"/>
        <w:tblW w:w="4996"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196"/>
        <w:gridCol w:w="1894"/>
        <w:gridCol w:w="1242"/>
        <w:gridCol w:w="927"/>
        <w:gridCol w:w="1673"/>
        <w:gridCol w:w="1060"/>
        <w:gridCol w:w="1210"/>
        <w:gridCol w:w="1327"/>
        <w:gridCol w:w="1707"/>
        <w:gridCol w:w="139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88" w:type="pct"/>
            <w:tcBorders>
              <w:tl2br w:val="nil"/>
              <w:tr2bl w:val="nil"/>
            </w:tcBorders>
            <w:vAlign w:val="center"/>
          </w:tcPr>
          <w:p>
            <w:pPr>
              <w:adjustRightInd w:val="0"/>
              <w:ind w:left="-105" w:leftChars="-50" w:right="-105" w:rightChars="-50"/>
              <w:jc w:val="center"/>
              <w:rPr>
                <w:b/>
                <w:color w:val="auto"/>
                <w:sz w:val="18"/>
                <w:szCs w:val="18"/>
                <w:highlight w:val="none"/>
              </w:rPr>
            </w:pPr>
            <w:r>
              <w:rPr>
                <w:rFonts w:hint="eastAsia"/>
                <w:b/>
                <w:color w:val="auto"/>
                <w:sz w:val="18"/>
                <w:szCs w:val="18"/>
                <w:highlight w:val="none"/>
              </w:rPr>
              <w:t>序号</w:t>
            </w:r>
          </w:p>
        </w:tc>
        <w:tc>
          <w:tcPr>
            <w:tcW w:w="422" w:type="pct"/>
            <w:tcBorders>
              <w:tl2br w:val="nil"/>
              <w:tr2bl w:val="nil"/>
            </w:tcBorders>
            <w:vAlign w:val="center"/>
          </w:tcPr>
          <w:p>
            <w:pPr>
              <w:adjustRightInd w:val="0"/>
              <w:ind w:left="-105" w:leftChars="-50" w:right="-105" w:rightChars="-50"/>
              <w:jc w:val="center"/>
              <w:rPr>
                <w:rFonts w:hint="eastAsia"/>
                <w:b/>
                <w:color w:val="auto"/>
                <w:sz w:val="18"/>
                <w:szCs w:val="18"/>
                <w:highlight w:val="none"/>
              </w:rPr>
            </w:pPr>
            <w:r>
              <w:rPr>
                <w:rFonts w:hint="eastAsia"/>
                <w:b/>
                <w:color w:val="auto"/>
                <w:sz w:val="18"/>
                <w:szCs w:val="18"/>
                <w:highlight w:val="none"/>
              </w:rPr>
              <w:t>敏感目标名称</w:t>
            </w:r>
          </w:p>
        </w:tc>
        <w:tc>
          <w:tcPr>
            <w:tcW w:w="668" w:type="pct"/>
            <w:tcBorders>
              <w:tl2br w:val="nil"/>
              <w:tr2bl w:val="nil"/>
            </w:tcBorders>
            <w:vAlign w:val="center"/>
          </w:tcPr>
          <w:p>
            <w:pPr>
              <w:adjustRightInd w:val="0"/>
              <w:ind w:left="-105" w:leftChars="-50" w:right="-105" w:rightChars="-50"/>
              <w:jc w:val="center"/>
              <w:rPr>
                <w:b/>
                <w:color w:val="auto"/>
                <w:sz w:val="18"/>
                <w:szCs w:val="18"/>
                <w:highlight w:val="none"/>
              </w:rPr>
            </w:pPr>
            <w:r>
              <w:rPr>
                <w:rFonts w:hint="eastAsia"/>
                <w:b/>
                <w:color w:val="auto"/>
                <w:sz w:val="18"/>
                <w:szCs w:val="18"/>
                <w:highlight w:val="none"/>
              </w:rPr>
              <w:t>敏感目标特征</w:t>
            </w:r>
          </w:p>
        </w:tc>
        <w:tc>
          <w:tcPr>
            <w:tcW w:w="438" w:type="pct"/>
            <w:tcBorders>
              <w:tl2br w:val="nil"/>
              <w:tr2bl w:val="nil"/>
            </w:tcBorders>
            <w:vAlign w:val="center"/>
          </w:tcPr>
          <w:p>
            <w:pPr>
              <w:adjustRightInd w:val="0"/>
              <w:ind w:left="-105" w:leftChars="-50" w:right="-105" w:rightChars="-50"/>
              <w:jc w:val="center"/>
              <w:rPr>
                <w:b/>
                <w:color w:val="auto"/>
                <w:sz w:val="18"/>
                <w:szCs w:val="18"/>
                <w:highlight w:val="none"/>
              </w:rPr>
            </w:pPr>
            <w:r>
              <w:rPr>
                <w:rFonts w:hint="eastAsia"/>
                <w:b/>
                <w:color w:val="auto"/>
                <w:sz w:val="18"/>
                <w:szCs w:val="18"/>
                <w:highlight w:val="none"/>
              </w:rPr>
              <w:t>与线路边导线位置关系</w:t>
            </w:r>
          </w:p>
        </w:tc>
        <w:tc>
          <w:tcPr>
            <w:tcW w:w="327" w:type="pct"/>
            <w:tcBorders>
              <w:tl2br w:val="nil"/>
              <w:tr2bl w:val="nil"/>
            </w:tcBorders>
            <w:vAlign w:val="center"/>
          </w:tcPr>
          <w:p>
            <w:pPr>
              <w:adjustRightInd w:val="0"/>
              <w:ind w:left="-105" w:leftChars="-50" w:right="-105" w:rightChars="-50"/>
              <w:jc w:val="center"/>
              <w:rPr>
                <w:rFonts w:hint="eastAsia" w:eastAsia="宋体"/>
                <w:b/>
                <w:color w:val="auto"/>
                <w:sz w:val="18"/>
                <w:szCs w:val="18"/>
                <w:highlight w:val="none"/>
                <w:lang w:eastAsia="zh-CN"/>
              </w:rPr>
            </w:pPr>
            <w:r>
              <w:rPr>
                <w:rFonts w:hint="eastAsia"/>
                <w:b/>
                <w:color w:val="auto"/>
                <w:sz w:val="18"/>
                <w:szCs w:val="18"/>
                <w:highlight w:val="none"/>
                <w:lang w:eastAsia="zh-CN"/>
              </w:rPr>
              <w:t>近地导线高度</w:t>
            </w:r>
          </w:p>
        </w:tc>
        <w:tc>
          <w:tcPr>
            <w:tcW w:w="590" w:type="pct"/>
            <w:tcBorders>
              <w:tl2br w:val="nil"/>
              <w:tr2bl w:val="nil"/>
            </w:tcBorders>
            <w:vAlign w:val="center"/>
          </w:tcPr>
          <w:p>
            <w:pPr>
              <w:adjustRightInd w:val="0"/>
              <w:ind w:left="-105" w:leftChars="-50" w:right="-105" w:rightChars="-50"/>
              <w:jc w:val="center"/>
              <w:rPr>
                <w:b/>
                <w:color w:val="auto"/>
                <w:sz w:val="18"/>
                <w:szCs w:val="18"/>
                <w:highlight w:val="none"/>
              </w:rPr>
            </w:pPr>
            <w:r>
              <w:rPr>
                <w:rFonts w:hint="eastAsia"/>
                <w:b/>
                <w:color w:val="auto"/>
                <w:sz w:val="18"/>
                <w:szCs w:val="18"/>
                <w:highlight w:val="none"/>
              </w:rPr>
              <w:t>与其他线路包夹、并行及其他备注情况</w:t>
            </w:r>
          </w:p>
        </w:tc>
        <w:tc>
          <w:tcPr>
            <w:tcW w:w="374" w:type="pct"/>
            <w:tcBorders>
              <w:tl2br w:val="nil"/>
              <w:tr2bl w:val="nil"/>
            </w:tcBorders>
            <w:vAlign w:val="center"/>
          </w:tcPr>
          <w:p>
            <w:pPr>
              <w:adjustRightInd w:val="0"/>
              <w:ind w:left="-105" w:leftChars="-50" w:right="-105" w:rightChars="-50"/>
              <w:jc w:val="center"/>
              <w:rPr>
                <w:b/>
                <w:color w:val="auto"/>
                <w:sz w:val="18"/>
                <w:szCs w:val="18"/>
                <w:highlight w:val="none"/>
              </w:rPr>
            </w:pPr>
            <w:r>
              <w:rPr>
                <w:rFonts w:hint="eastAsia"/>
                <w:b/>
                <w:color w:val="auto"/>
                <w:sz w:val="18"/>
                <w:szCs w:val="18"/>
                <w:highlight w:val="none"/>
              </w:rPr>
              <w:t>影响因子</w:t>
            </w:r>
          </w:p>
        </w:tc>
        <w:tc>
          <w:tcPr>
            <w:tcW w:w="427" w:type="pct"/>
            <w:tcBorders>
              <w:tl2br w:val="nil"/>
              <w:tr2bl w:val="nil"/>
            </w:tcBorders>
            <w:vAlign w:val="center"/>
          </w:tcPr>
          <w:p>
            <w:pPr>
              <w:adjustRightInd w:val="0"/>
              <w:ind w:left="-105" w:leftChars="-50" w:right="-105" w:rightChars="-50"/>
              <w:jc w:val="center"/>
              <w:rPr>
                <w:b/>
                <w:color w:val="auto"/>
                <w:sz w:val="18"/>
                <w:szCs w:val="18"/>
                <w:highlight w:val="none"/>
              </w:rPr>
            </w:pPr>
            <w:r>
              <w:rPr>
                <w:rFonts w:hint="eastAsia"/>
                <w:b/>
                <w:color w:val="auto"/>
                <w:sz w:val="18"/>
                <w:szCs w:val="18"/>
                <w:highlight w:val="none"/>
              </w:rPr>
              <w:t>声环境功能区</w:t>
            </w:r>
          </w:p>
        </w:tc>
        <w:tc>
          <w:tcPr>
            <w:tcW w:w="468" w:type="pct"/>
            <w:tcBorders>
              <w:tl2br w:val="nil"/>
              <w:tr2bl w:val="nil"/>
            </w:tcBorders>
            <w:vAlign w:val="center"/>
          </w:tcPr>
          <w:p>
            <w:pPr>
              <w:adjustRightInd w:val="0"/>
              <w:ind w:left="-105" w:leftChars="-50" w:right="-105" w:rightChars="-50"/>
              <w:jc w:val="center"/>
              <w:rPr>
                <w:b/>
                <w:color w:val="auto"/>
                <w:sz w:val="18"/>
                <w:szCs w:val="18"/>
                <w:highlight w:val="none"/>
              </w:rPr>
            </w:pPr>
            <w:r>
              <w:rPr>
                <w:rFonts w:hint="eastAsia"/>
                <w:b/>
                <w:color w:val="auto"/>
                <w:sz w:val="18"/>
                <w:szCs w:val="18"/>
                <w:highlight w:val="none"/>
              </w:rPr>
              <w:t>监测点位</w:t>
            </w:r>
          </w:p>
        </w:tc>
        <w:tc>
          <w:tcPr>
            <w:tcW w:w="1094" w:type="pct"/>
            <w:gridSpan w:val="2"/>
            <w:tcBorders>
              <w:tl2br w:val="nil"/>
              <w:tr2bl w:val="nil"/>
            </w:tcBorders>
            <w:vAlign w:val="center"/>
          </w:tcPr>
          <w:p>
            <w:pPr>
              <w:adjustRightInd w:val="0"/>
              <w:ind w:left="-105" w:leftChars="-50" w:right="-105" w:rightChars="-50"/>
              <w:jc w:val="center"/>
              <w:rPr>
                <w:rFonts w:hint="eastAsia"/>
                <w:b/>
                <w:color w:val="auto"/>
                <w:sz w:val="18"/>
                <w:szCs w:val="18"/>
                <w:highlight w:val="none"/>
                <w:lang w:eastAsia="zh-CN"/>
              </w:rPr>
            </w:pPr>
            <w:r>
              <w:rPr>
                <w:rFonts w:hint="eastAsia"/>
                <w:b/>
                <w:color w:val="auto"/>
                <w:sz w:val="18"/>
                <w:szCs w:val="18"/>
                <w:highlight w:val="none"/>
                <w:lang w:eastAsia="zh-CN"/>
              </w:rPr>
              <w:t>备注</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88" w:type="pct"/>
            <w:tcBorders>
              <w:tl2br w:val="nil"/>
              <w:tr2bl w:val="nil"/>
            </w:tcBorders>
            <w:vAlign w:val="center"/>
          </w:tcPr>
          <w:p>
            <w:pPr>
              <w:adjustRightInd w:val="0"/>
              <w:jc w:val="center"/>
              <w:rPr>
                <w:bCs/>
                <w:color w:val="auto"/>
                <w:sz w:val="18"/>
                <w:szCs w:val="18"/>
                <w:highlight w:val="none"/>
              </w:rPr>
            </w:pPr>
            <w:r>
              <w:rPr>
                <w:bCs/>
                <w:color w:val="auto"/>
                <w:sz w:val="18"/>
                <w:szCs w:val="18"/>
                <w:highlight w:val="none"/>
              </w:rPr>
              <w:t>1</w:t>
            </w:r>
          </w:p>
        </w:tc>
        <w:tc>
          <w:tcPr>
            <w:tcW w:w="422" w:type="pct"/>
            <w:tcBorders>
              <w:tl2br w:val="nil"/>
              <w:tr2bl w:val="nil"/>
            </w:tcBorders>
            <w:vAlign w:val="center"/>
          </w:tcPr>
          <w:p>
            <w:pPr>
              <w:adjustRightInd w:val="0"/>
              <w:jc w:val="center"/>
              <w:rPr>
                <w:rFonts w:hint="default" w:eastAsia="宋体"/>
                <w:bCs/>
                <w:color w:val="auto"/>
                <w:sz w:val="18"/>
                <w:szCs w:val="18"/>
                <w:highlight w:val="none"/>
                <w:lang w:val="en-US" w:eastAsia="zh-CN"/>
              </w:rPr>
            </w:pPr>
            <w:r>
              <w:rPr>
                <w:rFonts w:hint="eastAsia"/>
                <w:bCs/>
                <w:color w:val="auto"/>
                <w:sz w:val="18"/>
                <w:szCs w:val="18"/>
                <w:highlight w:val="none"/>
                <w:lang w:eastAsia="zh-CN"/>
              </w:rPr>
              <w:t>二坪镇红庙村民房</w:t>
            </w:r>
            <w:r>
              <w:rPr>
                <w:rFonts w:hint="eastAsia"/>
                <w:bCs/>
                <w:color w:val="auto"/>
                <w:sz w:val="18"/>
                <w:szCs w:val="18"/>
                <w:highlight w:val="none"/>
                <w:lang w:val="en-US" w:eastAsia="zh-CN"/>
              </w:rPr>
              <w:t>2</w:t>
            </w:r>
          </w:p>
        </w:tc>
        <w:tc>
          <w:tcPr>
            <w:tcW w:w="668" w:type="pct"/>
            <w:tcBorders>
              <w:tl2br w:val="nil"/>
              <w:tr2bl w:val="nil"/>
            </w:tcBorders>
            <w:vAlign w:val="center"/>
          </w:tcPr>
          <w:p>
            <w:pPr>
              <w:adjustRightInd w:val="0"/>
              <w:jc w:val="center"/>
              <w:rPr>
                <w:rFonts w:hint="eastAsia" w:eastAsia="宋体"/>
                <w:bCs/>
                <w:color w:val="auto"/>
                <w:sz w:val="18"/>
                <w:szCs w:val="18"/>
                <w:highlight w:val="none"/>
                <w:lang w:val="en-US" w:eastAsia="zh-CN"/>
              </w:rPr>
            </w:pPr>
            <w:r>
              <w:rPr>
                <w:rFonts w:hint="eastAsia"/>
                <w:bCs/>
                <w:color w:val="auto"/>
                <w:sz w:val="18"/>
                <w:szCs w:val="18"/>
                <w:highlight w:val="none"/>
                <w:lang w:val="en-US" w:eastAsia="zh-CN"/>
              </w:rPr>
              <w:t>1~2</w:t>
            </w:r>
            <w:r>
              <w:rPr>
                <w:bCs/>
                <w:color w:val="auto"/>
                <w:sz w:val="18"/>
                <w:szCs w:val="18"/>
                <w:highlight w:val="none"/>
              </w:rPr>
              <w:t>F</w:t>
            </w:r>
            <w:r>
              <w:rPr>
                <w:rFonts w:hint="eastAsia"/>
                <w:bCs/>
                <w:color w:val="auto"/>
                <w:sz w:val="18"/>
                <w:szCs w:val="18"/>
                <w:highlight w:val="none"/>
              </w:rPr>
              <w:t>民房</w:t>
            </w:r>
            <w:r>
              <w:rPr>
                <w:rFonts w:hint="eastAsia"/>
                <w:bCs/>
                <w:color w:val="auto"/>
                <w:sz w:val="18"/>
                <w:szCs w:val="18"/>
                <w:highlight w:val="none"/>
                <w:lang w:val="en-US" w:eastAsia="zh-CN"/>
              </w:rPr>
              <w:t>3</w:t>
            </w:r>
            <w:r>
              <w:rPr>
                <w:rFonts w:hint="eastAsia"/>
                <w:bCs/>
                <w:color w:val="auto"/>
                <w:sz w:val="18"/>
                <w:szCs w:val="18"/>
                <w:highlight w:val="none"/>
              </w:rPr>
              <w:t>户，高约</w:t>
            </w:r>
            <w:r>
              <w:rPr>
                <w:rFonts w:hint="eastAsia"/>
                <w:bCs/>
                <w:color w:val="auto"/>
                <w:sz w:val="18"/>
                <w:szCs w:val="18"/>
                <w:highlight w:val="none"/>
                <w:lang w:val="en-US" w:eastAsia="zh-CN"/>
              </w:rPr>
              <w:t>3~6</w:t>
            </w:r>
            <w:r>
              <w:rPr>
                <w:bCs/>
                <w:color w:val="auto"/>
                <w:sz w:val="18"/>
                <w:szCs w:val="18"/>
                <w:highlight w:val="none"/>
              </w:rPr>
              <w:t>m</w:t>
            </w:r>
            <w:r>
              <w:rPr>
                <w:rFonts w:hint="eastAsia"/>
                <w:bCs/>
                <w:color w:val="auto"/>
                <w:sz w:val="18"/>
                <w:szCs w:val="18"/>
                <w:highlight w:val="none"/>
              </w:rPr>
              <w:t>，</w:t>
            </w:r>
            <w:r>
              <w:rPr>
                <w:rFonts w:hint="eastAsia"/>
                <w:bCs/>
                <w:color w:val="auto"/>
                <w:sz w:val="18"/>
                <w:szCs w:val="18"/>
                <w:highlight w:val="none"/>
                <w:lang w:val="en-US" w:eastAsia="zh-CN"/>
              </w:rPr>
              <w:t>2</w:t>
            </w:r>
            <w:r>
              <w:rPr>
                <w:bCs/>
                <w:color w:val="auto"/>
                <w:sz w:val="18"/>
                <w:szCs w:val="18"/>
                <w:highlight w:val="none"/>
              </w:rPr>
              <w:t>F</w:t>
            </w:r>
            <w:r>
              <w:rPr>
                <w:rFonts w:hint="eastAsia"/>
                <w:bCs/>
                <w:color w:val="auto"/>
                <w:sz w:val="18"/>
                <w:szCs w:val="18"/>
                <w:highlight w:val="none"/>
              </w:rPr>
              <w:t>平顶</w:t>
            </w:r>
            <w:r>
              <w:rPr>
                <w:rFonts w:hint="eastAsia"/>
                <w:bCs/>
                <w:color w:val="auto"/>
                <w:sz w:val="18"/>
                <w:szCs w:val="18"/>
                <w:highlight w:val="none"/>
                <w:lang w:val="en-US" w:eastAsia="zh-CN"/>
              </w:rPr>
              <w:t>/2</w:t>
            </w:r>
            <w:r>
              <w:rPr>
                <w:bCs/>
                <w:color w:val="auto"/>
                <w:sz w:val="18"/>
                <w:szCs w:val="18"/>
                <w:highlight w:val="none"/>
              </w:rPr>
              <w:t>F</w:t>
            </w:r>
            <w:r>
              <w:rPr>
                <w:rFonts w:hint="eastAsia"/>
                <w:bCs/>
                <w:color w:val="auto"/>
                <w:sz w:val="18"/>
                <w:szCs w:val="18"/>
                <w:highlight w:val="none"/>
                <w:lang w:val="en-US" w:eastAsia="zh-CN"/>
              </w:rPr>
              <w:t>坡顶</w:t>
            </w:r>
          </w:p>
        </w:tc>
        <w:tc>
          <w:tcPr>
            <w:tcW w:w="438" w:type="pct"/>
            <w:tcBorders>
              <w:tl2br w:val="nil"/>
              <w:tr2bl w:val="nil"/>
            </w:tcBorders>
            <w:vAlign w:val="center"/>
          </w:tcPr>
          <w:p>
            <w:pPr>
              <w:adjustRightInd w:val="0"/>
              <w:jc w:val="center"/>
              <w:rPr>
                <w:rFonts w:hint="default" w:eastAsia="宋体"/>
                <w:bCs/>
                <w:color w:val="auto"/>
                <w:sz w:val="18"/>
                <w:szCs w:val="18"/>
                <w:highlight w:val="none"/>
                <w:lang w:val="en-US" w:eastAsia="zh-CN"/>
              </w:rPr>
            </w:pPr>
            <w:r>
              <w:rPr>
                <w:rFonts w:hint="eastAsia"/>
                <w:bCs/>
                <w:color w:val="auto"/>
                <w:sz w:val="18"/>
                <w:szCs w:val="18"/>
                <w:highlight w:val="none"/>
                <w:lang w:eastAsia="zh-CN"/>
              </w:rPr>
              <w:t>西侧约</w:t>
            </w:r>
            <w:r>
              <w:rPr>
                <w:rFonts w:hint="eastAsia"/>
                <w:bCs/>
                <w:color w:val="auto"/>
                <w:sz w:val="18"/>
                <w:szCs w:val="18"/>
                <w:highlight w:val="none"/>
                <w:lang w:val="en-US" w:eastAsia="zh-CN"/>
              </w:rPr>
              <w:t>10~30m</w:t>
            </w:r>
          </w:p>
        </w:tc>
        <w:tc>
          <w:tcPr>
            <w:tcW w:w="327" w:type="pct"/>
            <w:tcBorders>
              <w:tl2br w:val="nil"/>
              <w:tr2bl w:val="nil"/>
            </w:tcBorders>
            <w:vAlign w:val="center"/>
          </w:tcPr>
          <w:p>
            <w:pPr>
              <w:adjustRightInd w:val="0"/>
              <w:jc w:val="center"/>
              <w:rPr>
                <w:rFonts w:hint="eastAsia" w:eastAsia="宋体"/>
                <w:b w:val="0"/>
                <w:bCs/>
                <w:color w:val="auto"/>
                <w:sz w:val="18"/>
                <w:szCs w:val="18"/>
                <w:highlight w:val="none"/>
                <w:lang w:val="en-US" w:eastAsia="zh-CN"/>
              </w:rPr>
            </w:pPr>
            <w:r>
              <w:rPr>
                <w:rFonts w:hint="eastAsia"/>
                <w:b w:val="0"/>
                <w:bCs/>
                <w:color w:val="auto"/>
                <w:sz w:val="18"/>
                <w:szCs w:val="18"/>
                <w:highlight w:val="none"/>
                <w:lang w:val="en-US" w:eastAsia="zh-CN"/>
              </w:rPr>
              <w:t>7m</w:t>
            </w:r>
          </w:p>
        </w:tc>
        <w:tc>
          <w:tcPr>
            <w:tcW w:w="590" w:type="pct"/>
            <w:tcBorders>
              <w:tl2br w:val="nil"/>
              <w:tr2bl w:val="nil"/>
            </w:tcBorders>
            <w:vAlign w:val="center"/>
          </w:tcPr>
          <w:p>
            <w:pPr>
              <w:adjustRightInd w:val="0"/>
              <w:jc w:val="center"/>
              <w:rPr>
                <w:bCs/>
                <w:color w:val="auto"/>
                <w:sz w:val="18"/>
                <w:szCs w:val="18"/>
                <w:highlight w:val="none"/>
              </w:rPr>
            </w:pPr>
            <w:r>
              <w:rPr>
                <w:rFonts w:hint="eastAsia"/>
                <w:bCs/>
                <w:color w:val="auto"/>
                <w:sz w:val="18"/>
                <w:szCs w:val="18"/>
                <w:highlight w:val="none"/>
              </w:rPr>
              <w:t>与</w:t>
            </w:r>
            <w:r>
              <w:rPr>
                <w:rFonts w:hint="eastAsia"/>
                <w:bCs/>
                <w:color w:val="auto"/>
                <w:sz w:val="18"/>
                <w:szCs w:val="18"/>
                <w:highlight w:val="none"/>
                <w:lang w:eastAsia="zh-CN"/>
              </w:rPr>
              <w:t>110kV德永南北线</w:t>
            </w:r>
            <w:r>
              <w:rPr>
                <w:rFonts w:hint="eastAsia"/>
                <w:bCs/>
                <w:color w:val="auto"/>
                <w:sz w:val="18"/>
                <w:szCs w:val="18"/>
                <w:highlight w:val="none"/>
              </w:rPr>
              <w:t>水平最近约</w:t>
            </w:r>
            <w:r>
              <w:rPr>
                <w:rFonts w:hint="eastAsia"/>
                <w:bCs/>
                <w:color w:val="auto"/>
                <w:sz w:val="18"/>
                <w:szCs w:val="18"/>
                <w:highlight w:val="none"/>
                <w:lang w:val="en-US" w:eastAsia="zh-CN"/>
              </w:rPr>
              <w:t>26</w:t>
            </w:r>
            <w:r>
              <w:rPr>
                <w:bCs/>
                <w:color w:val="auto"/>
                <w:sz w:val="18"/>
                <w:szCs w:val="18"/>
                <w:highlight w:val="none"/>
              </w:rPr>
              <w:t>m</w:t>
            </w:r>
            <w:r>
              <w:rPr>
                <w:rFonts w:hint="eastAsia"/>
                <w:bCs/>
                <w:color w:val="auto"/>
                <w:sz w:val="18"/>
                <w:szCs w:val="18"/>
                <w:highlight w:val="none"/>
              </w:rPr>
              <w:t>，与</w:t>
            </w:r>
            <w:r>
              <w:rPr>
                <w:bCs/>
                <w:color w:val="auto"/>
                <w:sz w:val="18"/>
                <w:szCs w:val="18"/>
                <w:highlight w:val="none"/>
              </w:rPr>
              <w:t>220kV</w:t>
            </w:r>
            <w:r>
              <w:rPr>
                <w:rFonts w:hint="eastAsia"/>
                <w:bCs/>
                <w:color w:val="auto"/>
                <w:sz w:val="18"/>
                <w:szCs w:val="18"/>
                <w:highlight w:val="none"/>
                <w:lang w:eastAsia="zh-CN"/>
              </w:rPr>
              <w:t>全德变电站</w:t>
            </w:r>
            <w:r>
              <w:rPr>
                <w:rFonts w:hint="eastAsia"/>
                <w:bCs/>
                <w:color w:val="auto"/>
                <w:sz w:val="18"/>
                <w:szCs w:val="18"/>
                <w:highlight w:val="none"/>
              </w:rPr>
              <w:t>最近约</w:t>
            </w:r>
            <w:r>
              <w:rPr>
                <w:rFonts w:hint="eastAsia"/>
                <w:bCs/>
                <w:color w:val="auto"/>
                <w:sz w:val="18"/>
                <w:szCs w:val="18"/>
                <w:highlight w:val="none"/>
                <w:lang w:val="en-US" w:eastAsia="zh-CN"/>
              </w:rPr>
              <w:t>53</w:t>
            </w:r>
            <w:r>
              <w:rPr>
                <w:bCs/>
                <w:color w:val="auto"/>
                <w:sz w:val="18"/>
                <w:szCs w:val="18"/>
                <w:highlight w:val="none"/>
              </w:rPr>
              <w:t>m</w:t>
            </w:r>
          </w:p>
        </w:tc>
        <w:tc>
          <w:tcPr>
            <w:tcW w:w="374" w:type="pct"/>
            <w:tcBorders>
              <w:tl2br w:val="nil"/>
              <w:tr2bl w:val="nil"/>
            </w:tcBorders>
            <w:vAlign w:val="center"/>
          </w:tcPr>
          <w:p>
            <w:pPr>
              <w:adjustRightInd w:val="0"/>
              <w:ind w:left="-50" w:right="-50"/>
              <w:jc w:val="center"/>
              <w:rPr>
                <w:bCs/>
                <w:color w:val="auto"/>
                <w:sz w:val="18"/>
                <w:szCs w:val="18"/>
                <w:highlight w:val="none"/>
              </w:rPr>
            </w:pPr>
            <w:r>
              <w:rPr>
                <w:color w:val="auto"/>
                <w:sz w:val="18"/>
                <w:szCs w:val="18"/>
                <w:highlight w:val="none"/>
              </w:rPr>
              <w:t>E</w:t>
            </w:r>
            <w:r>
              <w:rPr>
                <w:rFonts w:hint="eastAsia"/>
                <w:color w:val="auto"/>
                <w:sz w:val="18"/>
                <w:szCs w:val="18"/>
                <w:highlight w:val="none"/>
              </w:rPr>
              <w:t>、</w:t>
            </w:r>
            <w:r>
              <w:rPr>
                <w:color w:val="auto"/>
                <w:sz w:val="18"/>
                <w:szCs w:val="18"/>
                <w:highlight w:val="none"/>
              </w:rPr>
              <w:t>B</w:t>
            </w:r>
            <w:r>
              <w:rPr>
                <w:rFonts w:hint="eastAsia"/>
                <w:color w:val="auto"/>
                <w:sz w:val="18"/>
                <w:szCs w:val="18"/>
                <w:highlight w:val="none"/>
              </w:rPr>
              <w:t>、</w:t>
            </w:r>
            <w:r>
              <w:rPr>
                <w:color w:val="auto"/>
                <w:sz w:val="18"/>
                <w:szCs w:val="18"/>
                <w:highlight w:val="none"/>
              </w:rPr>
              <w:t>N</w:t>
            </w:r>
          </w:p>
        </w:tc>
        <w:tc>
          <w:tcPr>
            <w:tcW w:w="427" w:type="pct"/>
            <w:tcBorders>
              <w:tl2br w:val="nil"/>
              <w:tr2bl w:val="nil"/>
            </w:tcBorders>
            <w:vAlign w:val="center"/>
          </w:tcPr>
          <w:p>
            <w:pPr>
              <w:adjustRightInd w:val="0"/>
              <w:jc w:val="center"/>
              <w:rPr>
                <w:bCs/>
                <w:color w:val="auto"/>
                <w:sz w:val="18"/>
                <w:szCs w:val="18"/>
                <w:highlight w:val="none"/>
              </w:rPr>
            </w:pPr>
            <w:r>
              <w:rPr>
                <w:rFonts w:hint="eastAsia"/>
                <w:bCs/>
                <w:color w:val="auto"/>
                <w:sz w:val="18"/>
                <w:szCs w:val="18"/>
                <w:highlight w:val="none"/>
                <w:lang w:val="en-US" w:eastAsia="zh-CN"/>
              </w:rPr>
              <w:t>1</w:t>
            </w:r>
            <w:r>
              <w:rPr>
                <w:rFonts w:hint="eastAsia"/>
                <w:bCs/>
                <w:color w:val="auto"/>
                <w:sz w:val="18"/>
                <w:szCs w:val="18"/>
                <w:highlight w:val="none"/>
              </w:rPr>
              <w:t>类</w:t>
            </w:r>
          </w:p>
        </w:tc>
        <w:tc>
          <w:tcPr>
            <w:tcW w:w="468" w:type="pct"/>
            <w:tcBorders>
              <w:tl2br w:val="nil"/>
              <w:tr2bl w:val="nil"/>
            </w:tcBorders>
            <w:vAlign w:val="center"/>
          </w:tcPr>
          <w:p>
            <w:pPr>
              <w:adjustRightInd w:val="0"/>
              <w:jc w:val="center"/>
              <w:rPr>
                <w:rFonts w:hint="eastAsia" w:eastAsia="宋体"/>
                <w:bCs/>
                <w:color w:val="auto"/>
                <w:sz w:val="18"/>
                <w:szCs w:val="18"/>
                <w:highlight w:val="none"/>
                <w:lang w:eastAsia="zh-CN"/>
              </w:rPr>
            </w:pPr>
            <w:r>
              <w:rPr>
                <w:rFonts w:hint="eastAsia"/>
                <w:bCs/>
                <w:color w:val="auto"/>
                <w:sz w:val="18"/>
                <w:szCs w:val="18"/>
                <w:highlight w:val="none"/>
              </w:rPr>
              <w:t>☆</w:t>
            </w:r>
            <w:r>
              <w:rPr>
                <w:rFonts w:hint="eastAsia"/>
                <w:bCs/>
                <w:color w:val="auto"/>
                <w:sz w:val="18"/>
                <w:szCs w:val="18"/>
                <w:highlight w:val="none"/>
                <w:lang w:val="en-US" w:eastAsia="zh-CN"/>
              </w:rPr>
              <w:t>2</w:t>
            </w:r>
            <w:r>
              <w:rPr>
                <w:rFonts w:hint="eastAsia"/>
                <w:bCs/>
                <w:color w:val="auto"/>
                <w:sz w:val="18"/>
                <w:szCs w:val="18"/>
                <w:highlight w:val="none"/>
              </w:rPr>
              <w:t>△</w:t>
            </w:r>
            <w:r>
              <w:rPr>
                <w:rFonts w:hint="eastAsia"/>
                <w:bCs/>
                <w:color w:val="auto"/>
                <w:sz w:val="18"/>
                <w:szCs w:val="18"/>
                <w:highlight w:val="none"/>
                <w:lang w:val="en-US" w:eastAsia="zh-CN"/>
              </w:rPr>
              <w:t>1</w:t>
            </w:r>
          </w:p>
        </w:tc>
        <w:tc>
          <w:tcPr>
            <w:tcW w:w="602" w:type="pct"/>
            <w:tcBorders>
              <w:tl2br w:val="nil"/>
              <w:tr2bl w:val="nil"/>
            </w:tcBorders>
            <w:vAlign w:val="center"/>
          </w:tcPr>
          <w:p>
            <w:pPr>
              <w:adjustRightInd w:val="0"/>
              <w:jc w:val="center"/>
              <w:rPr>
                <w:rFonts w:hint="eastAsia" w:eastAsia="宋体"/>
                <w:bCs/>
                <w:color w:val="auto"/>
                <w:sz w:val="18"/>
                <w:szCs w:val="18"/>
                <w:highlight w:val="none"/>
                <w:lang w:eastAsia="zh-CN"/>
              </w:rPr>
            </w:pPr>
            <w:r>
              <w:rPr>
                <w:rFonts w:hint="eastAsia"/>
                <w:bCs/>
                <w:color w:val="auto"/>
                <w:sz w:val="18"/>
                <w:szCs w:val="18"/>
                <w:highlight w:val="none"/>
                <w:lang w:eastAsia="zh-CN"/>
              </w:rPr>
              <w:t>双回段</w:t>
            </w:r>
          </w:p>
        </w:tc>
        <w:tc>
          <w:tcPr>
            <w:tcW w:w="492" w:type="pct"/>
            <w:tcBorders>
              <w:tl2br w:val="nil"/>
              <w:tr2bl w:val="nil"/>
            </w:tcBorders>
            <w:vAlign w:val="center"/>
          </w:tcPr>
          <w:p>
            <w:pPr>
              <w:adjustRightInd w:val="0"/>
              <w:jc w:val="center"/>
              <w:rPr>
                <w:rFonts w:hint="eastAsia"/>
                <w:bCs/>
                <w:color w:val="auto"/>
                <w:sz w:val="18"/>
                <w:szCs w:val="18"/>
                <w:highlight w:val="none"/>
                <w:lang w:eastAsia="zh-CN"/>
              </w:rPr>
            </w:pPr>
            <w:r>
              <w:rPr>
                <w:rFonts w:hint="eastAsia"/>
                <w:bCs/>
                <w:color w:val="auto"/>
                <w:sz w:val="18"/>
                <w:szCs w:val="18"/>
                <w:highlight w:val="none"/>
                <w:lang w:eastAsia="zh-CN"/>
              </w:rPr>
              <w:t>对应附图8-</w:t>
            </w:r>
            <w:r>
              <w:rPr>
                <w:rFonts w:hint="eastAsia"/>
                <w:bCs/>
                <w:color w:val="auto"/>
                <w:sz w:val="18"/>
                <w:szCs w:val="18"/>
                <w:highlight w:val="none"/>
                <w:lang w:val="en-US" w:eastAsia="zh-CN"/>
              </w:rPr>
              <w:t>3</w:t>
            </w:r>
            <w:r>
              <w:rPr>
                <w:rFonts w:hint="eastAsia"/>
                <w:bCs/>
                <w:color w:val="auto"/>
                <w:sz w:val="18"/>
                <w:szCs w:val="18"/>
                <w:highlight w:val="none"/>
                <w:lang w:eastAsia="zh-CN"/>
              </w:rPr>
              <w:t>：</w:t>
            </w:r>
            <w:r>
              <w:rPr>
                <w:rFonts w:hint="default" w:ascii="Calibri" w:hAnsi="Calibri" w:cs="Calibri"/>
                <w:bCs/>
                <w:color w:val="auto"/>
                <w:sz w:val="18"/>
                <w:szCs w:val="18"/>
                <w:highlight w:val="none"/>
                <w:lang w:eastAsia="zh-CN"/>
              </w:rPr>
              <w:t>①</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8" w:type="pct"/>
            <w:tcBorders>
              <w:tl2br w:val="nil"/>
              <w:tr2bl w:val="nil"/>
            </w:tcBorders>
            <w:vAlign w:val="center"/>
          </w:tcPr>
          <w:p>
            <w:pPr>
              <w:adjustRightInd w:val="0"/>
              <w:jc w:val="center"/>
              <w:rPr>
                <w:rFonts w:hint="eastAsia" w:eastAsia="宋体"/>
                <w:bCs/>
                <w:color w:val="auto"/>
                <w:sz w:val="18"/>
                <w:szCs w:val="18"/>
                <w:highlight w:val="none"/>
                <w:lang w:val="en-US" w:eastAsia="zh-CN"/>
              </w:rPr>
            </w:pPr>
            <w:r>
              <w:rPr>
                <w:rFonts w:hint="eastAsia"/>
                <w:bCs/>
                <w:color w:val="auto"/>
                <w:sz w:val="18"/>
                <w:szCs w:val="18"/>
                <w:highlight w:val="none"/>
                <w:lang w:val="en-US" w:eastAsia="zh-CN"/>
              </w:rPr>
              <w:t>2</w:t>
            </w:r>
          </w:p>
        </w:tc>
        <w:tc>
          <w:tcPr>
            <w:tcW w:w="422" w:type="pct"/>
            <w:tcBorders>
              <w:tl2br w:val="nil"/>
              <w:tr2bl w:val="nil"/>
            </w:tcBorders>
            <w:vAlign w:val="center"/>
          </w:tcPr>
          <w:p>
            <w:pPr>
              <w:adjustRightInd w:val="0"/>
              <w:jc w:val="center"/>
              <w:rPr>
                <w:rFonts w:hint="eastAsia"/>
                <w:bCs/>
                <w:color w:val="auto"/>
                <w:sz w:val="18"/>
                <w:szCs w:val="18"/>
                <w:highlight w:val="none"/>
                <w:lang w:eastAsia="zh-CN"/>
              </w:rPr>
            </w:pPr>
            <w:r>
              <w:rPr>
                <w:rFonts w:hint="eastAsia"/>
                <w:bCs/>
                <w:color w:val="auto"/>
                <w:sz w:val="18"/>
                <w:szCs w:val="18"/>
                <w:highlight w:val="none"/>
                <w:lang w:eastAsia="zh-CN"/>
              </w:rPr>
              <w:t>东城街道飞凤村民房</w:t>
            </w:r>
          </w:p>
        </w:tc>
        <w:tc>
          <w:tcPr>
            <w:tcW w:w="668"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val="en-US" w:eastAsia="zh-CN"/>
              </w:rPr>
              <w:t>2</w:t>
            </w:r>
            <w:r>
              <w:rPr>
                <w:bCs/>
                <w:color w:val="auto"/>
                <w:sz w:val="18"/>
                <w:szCs w:val="18"/>
                <w:highlight w:val="none"/>
              </w:rPr>
              <w:t>F</w:t>
            </w:r>
            <w:r>
              <w:rPr>
                <w:rFonts w:hint="eastAsia"/>
                <w:bCs/>
                <w:color w:val="auto"/>
                <w:sz w:val="18"/>
                <w:szCs w:val="18"/>
                <w:highlight w:val="none"/>
              </w:rPr>
              <w:t>民房</w:t>
            </w:r>
            <w:r>
              <w:rPr>
                <w:rFonts w:hint="eastAsia"/>
                <w:bCs/>
                <w:color w:val="auto"/>
                <w:sz w:val="18"/>
                <w:szCs w:val="18"/>
                <w:highlight w:val="none"/>
                <w:lang w:val="en-US" w:eastAsia="zh-CN"/>
              </w:rPr>
              <w:t>3</w:t>
            </w:r>
            <w:r>
              <w:rPr>
                <w:rFonts w:hint="eastAsia"/>
                <w:bCs/>
                <w:color w:val="auto"/>
                <w:sz w:val="18"/>
                <w:szCs w:val="18"/>
                <w:highlight w:val="none"/>
              </w:rPr>
              <w:t>户，高约</w:t>
            </w:r>
            <w:r>
              <w:rPr>
                <w:rFonts w:hint="eastAsia"/>
                <w:bCs/>
                <w:color w:val="auto"/>
                <w:sz w:val="18"/>
                <w:szCs w:val="18"/>
                <w:highlight w:val="none"/>
                <w:lang w:val="en-US" w:eastAsia="zh-CN"/>
              </w:rPr>
              <w:t>6</w:t>
            </w:r>
            <w:r>
              <w:rPr>
                <w:bCs/>
                <w:color w:val="auto"/>
                <w:sz w:val="18"/>
                <w:szCs w:val="18"/>
                <w:highlight w:val="none"/>
              </w:rPr>
              <w:t>m</w:t>
            </w:r>
            <w:r>
              <w:rPr>
                <w:rFonts w:hint="eastAsia"/>
                <w:bCs/>
                <w:color w:val="auto"/>
                <w:sz w:val="18"/>
                <w:szCs w:val="18"/>
                <w:highlight w:val="none"/>
              </w:rPr>
              <w:t>，</w:t>
            </w:r>
            <w:r>
              <w:rPr>
                <w:rFonts w:hint="eastAsia"/>
                <w:bCs/>
                <w:color w:val="auto"/>
                <w:sz w:val="18"/>
                <w:szCs w:val="18"/>
                <w:highlight w:val="none"/>
                <w:lang w:val="en-US" w:eastAsia="zh-CN"/>
              </w:rPr>
              <w:t>坡顶</w:t>
            </w:r>
          </w:p>
        </w:tc>
        <w:tc>
          <w:tcPr>
            <w:tcW w:w="438"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rPr>
              <w:t>线路</w:t>
            </w:r>
            <w:r>
              <w:rPr>
                <w:rFonts w:hint="eastAsia"/>
                <w:bCs/>
                <w:color w:val="auto"/>
                <w:sz w:val="18"/>
                <w:szCs w:val="18"/>
                <w:highlight w:val="none"/>
                <w:lang w:eastAsia="zh-CN"/>
              </w:rPr>
              <w:t>东侧</w:t>
            </w:r>
            <w:r>
              <w:rPr>
                <w:rFonts w:hint="eastAsia"/>
                <w:bCs/>
                <w:color w:val="auto"/>
                <w:sz w:val="18"/>
                <w:szCs w:val="18"/>
                <w:highlight w:val="none"/>
              </w:rPr>
              <w:t>约</w:t>
            </w:r>
            <w:r>
              <w:rPr>
                <w:bCs/>
                <w:color w:val="auto"/>
                <w:sz w:val="18"/>
                <w:szCs w:val="18"/>
                <w:highlight w:val="none"/>
              </w:rPr>
              <w:t>1</w:t>
            </w:r>
            <w:r>
              <w:rPr>
                <w:rFonts w:hint="eastAsia"/>
                <w:bCs/>
                <w:color w:val="auto"/>
                <w:sz w:val="18"/>
                <w:szCs w:val="18"/>
                <w:highlight w:val="none"/>
                <w:lang w:val="en-US" w:eastAsia="zh-CN"/>
              </w:rPr>
              <w:t>0</w:t>
            </w:r>
            <w:r>
              <w:rPr>
                <w:bCs/>
                <w:color w:val="auto"/>
                <w:sz w:val="18"/>
                <w:szCs w:val="18"/>
                <w:highlight w:val="none"/>
              </w:rPr>
              <w:t>-</w:t>
            </w:r>
            <w:r>
              <w:rPr>
                <w:rFonts w:hint="eastAsia"/>
                <w:bCs/>
                <w:color w:val="auto"/>
                <w:sz w:val="18"/>
                <w:szCs w:val="18"/>
                <w:highlight w:val="none"/>
                <w:lang w:val="en-US" w:eastAsia="zh-CN"/>
              </w:rPr>
              <w:t>30</w:t>
            </w:r>
            <w:r>
              <w:rPr>
                <w:bCs/>
                <w:color w:val="auto"/>
                <w:sz w:val="18"/>
                <w:szCs w:val="18"/>
                <w:highlight w:val="none"/>
              </w:rPr>
              <w:t xml:space="preserve">m </w:t>
            </w:r>
          </w:p>
        </w:tc>
        <w:tc>
          <w:tcPr>
            <w:tcW w:w="327" w:type="pct"/>
            <w:tcBorders>
              <w:tl2br w:val="nil"/>
              <w:tr2bl w:val="nil"/>
            </w:tcBorders>
            <w:vAlign w:val="center"/>
          </w:tcPr>
          <w:p>
            <w:pPr>
              <w:adjustRightInd w:val="0"/>
              <w:jc w:val="center"/>
              <w:rPr>
                <w:rFonts w:hint="eastAsia"/>
                <w:b w:val="0"/>
                <w:bCs/>
                <w:color w:val="auto"/>
                <w:sz w:val="18"/>
                <w:szCs w:val="18"/>
                <w:highlight w:val="none"/>
                <w:lang w:val="en-US" w:eastAsia="zh-CN"/>
              </w:rPr>
            </w:pPr>
            <w:r>
              <w:rPr>
                <w:rFonts w:hint="eastAsia"/>
                <w:b w:val="0"/>
                <w:bCs/>
                <w:color w:val="auto"/>
                <w:sz w:val="18"/>
                <w:szCs w:val="18"/>
                <w:highlight w:val="none"/>
                <w:lang w:val="en-US" w:eastAsia="zh-CN"/>
              </w:rPr>
              <w:t>7m</w:t>
            </w:r>
          </w:p>
        </w:tc>
        <w:tc>
          <w:tcPr>
            <w:tcW w:w="590" w:type="pct"/>
            <w:tcBorders>
              <w:tl2br w:val="nil"/>
              <w:tr2bl w:val="nil"/>
            </w:tcBorders>
            <w:vAlign w:val="center"/>
          </w:tcPr>
          <w:p>
            <w:pPr>
              <w:adjustRightInd w:val="0"/>
              <w:jc w:val="center"/>
              <w:rPr>
                <w:rFonts w:hint="eastAsia" w:eastAsia="宋体"/>
                <w:bCs/>
                <w:color w:val="auto"/>
                <w:sz w:val="18"/>
                <w:szCs w:val="18"/>
                <w:highlight w:val="none"/>
                <w:lang w:val="en-US" w:eastAsia="zh-CN"/>
              </w:rPr>
            </w:pPr>
            <w:r>
              <w:rPr>
                <w:rFonts w:hint="eastAsia"/>
                <w:bCs/>
                <w:color w:val="auto"/>
                <w:sz w:val="18"/>
                <w:szCs w:val="18"/>
                <w:highlight w:val="none"/>
                <w:lang w:val="en-US" w:eastAsia="zh-CN"/>
              </w:rPr>
              <w:t>/</w:t>
            </w:r>
          </w:p>
        </w:tc>
        <w:tc>
          <w:tcPr>
            <w:tcW w:w="374" w:type="pct"/>
            <w:tcBorders>
              <w:tl2br w:val="nil"/>
              <w:tr2bl w:val="nil"/>
            </w:tcBorders>
            <w:vAlign w:val="center"/>
          </w:tcPr>
          <w:p>
            <w:pPr>
              <w:adjustRightInd w:val="0"/>
              <w:ind w:left="-50" w:leftChars="0" w:right="-50" w:rightChars="0"/>
              <w:jc w:val="center"/>
              <w:rPr>
                <w:color w:val="auto"/>
                <w:sz w:val="18"/>
                <w:szCs w:val="18"/>
                <w:highlight w:val="none"/>
              </w:rPr>
            </w:pPr>
            <w:r>
              <w:rPr>
                <w:color w:val="auto"/>
                <w:sz w:val="18"/>
                <w:szCs w:val="18"/>
                <w:highlight w:val="none"/>
              </w:rPr>
              <w:t>E</w:t>
            </w:r>
            <w:r>
              <w:rPr>
                <w:rFonts w:hint="eastAsia"/>
                <w:color w:val="auto"/>
                <w:sz w:val="18"/>
                <w:szCs w:val="18"/>
                <w:highlight w:val="none"/>
              </w:rPr>
              <w:t>、</w:t>
            </w:r>
            <w:r>
              <w:rPr>
                <w:color w:val="auto"/>
                <w:sz w:val="18"/>
                <w:szCs w:val="18"/>
                <w:highlight w:val="none"/>
              </w:rPr>
              <w:t>B</w:t>
            </w:r>
            <w:r>
              <w:rPr>
                <w:rFonts w:hint="eastAsia"/>
                <w:color w:val="auto"/>
                <w:sz w:val="18"/>
                <w:szCs w:val="18"/>
                <w:highlight w:val="none"/>
              </w:rPr>
              <w:t>、</w:t>
            </w:r>
            <w:r>
              <w:rPr>
                <w:color w:val="auto"/>
                <w:sz w:val="18"/>
                <w:szCs w:val="18"/>
                <w:highlight w:val="none"/>
              </w:rPr>
              <w:t>N</w:t>
            </w:r>
          </w:p>
        </w:tc>
        <w:tc>
          <w:tcPr>
            <w:tcW w:w="427" w:type="pct"/>
            <w:tcBorders>
              <w:tl2br w:val="nil"/>
              <w:tr2bl w:val="nil"/>
            </w:tcBorders>
            <w:vAlign w:val="center"/>
          </w:tcPr>
          <w:p>
            <w:pPr>
              <w:adjustRightInd w:val="0"/>
              <w:jc w:val="center"/>
              <w:rPr>
                <w:rFonts w:hint="eastAsia"/>
                <w:bCs/>
                <w:color w:val="auto"/>
                <w:sz w:val="18"/>
                <w:szCs w:val="18"/>
                <w:highlight w:val="none"/>
                <w:lang w:val="en-US" w:eastAsia="zh-CN"/>
              </w:rPr>
            </w:pPr>
            <w:r>
              <w:rPr>
                <w:rFonts w:hint="eastAsia"/>
                <w:bCs/>
                <w:color w:val="auto"/>
                <w:sz w:val="18"/>
                <w:szCs w:val="18"/>
                <w:highlight w:val="none"/>
                <w:lang w:val="en-US" w:eastAsia="zh-CN"/>
              </w:rPr>
              <w:t>1</w:t>
            </w:r>
            <w:r>
              <w:rPr>
                <w:rFonts w:hint="eastAsia"/>
                <w:bCs/>
                <w:color w:val="auto"/>
                <w:sz w:val="18"/>
                <w:szCs w:val="18"/>
                <w:highlight w:val="none"/>
              </w:rPr>
              <w:t>类</w:t>
            </w:r>
          </w:p>
        </w:tc>
        <w:tc>
          <w:tcPr>
            <w:tcW w:w="468" w:type="pct"/>
            <w:tcBorders>
              <w:tl2br w:val="nil"/>
              <w:tr2bl w:val="nil"/>
            </w:tcBorders>
            <w:vAlign w:val="center"/>
          </w:tcPr>
          <w:p>
            <w:pPr>
              <w:adjustRightInd w:val="0"/>
              <w:jc w:val="center"/>
              <w:rPr>
                <w:rFonts w:hint="eastAsia" w:eastAsia="宋体"/>
                <w:bCs/>
                <w:color w:val="auto"/>
                <w:sz w:val="18"/>
                <w:szCs w:val="18"/>
                <w:highlight w:val="none"/>
                <w:lang w:val="en-US" w:eastAsia="zh-CN"/>
              </w:rPr>
            </w:pPr>
            <w:r>
              <w:rPr>
                <w:rFonts w:hint="eastAsia"/>
                <w:bCs/>
                <w:color w:val="auto"/>
                <w:sz w:val="18"/>
                <w:szCs w:val="18"/>
                <w:highlight w:val="none"/>
              </w:rPr>
              <w:t>☆</w:t>
            </w:r>
            <w:r>
              <w:rPr>
                <w:rFonts w:hint="eastAsia"/>
                <w:bCs/>
                <w:color w:val="auto"/>
                <w:sz w:val="18"/>
                <w:szCs w:val="18"/>
                <w:highlight w:val="none"/>
                <w:lang w:val="en-US" w:eastAsia="zh-CN"/>
              </w:rPr>
              <w:t>3</w:t>
            </w:r>
            <w:r>
              <w:rPr>
                <w:rFonts w:hint="eastAsia"/>
                <w:bCs/>
                <w:color w:val="auto"/>
                <w:sz w:val="18"/>
                <w:szCs w:val="18"/>
                <w:highlight w:val="none"/>
              </w:rPr>
              <w:t>△</w:t>
            </w:r>
            <w:r>
              <w:rPr>
                <w:rFonts w:hint="eastAsia"/>
                <w:bCs/>
                <w:color w:val="auto"/>
                <w:sz w:val="18"/>
                <w:szCs w:val="18"/>
                <w:highlight w:val="none"/>
                <w:lang w:val="en-US" w:eastAsia="zh-CN"/>
              </w:rPr>
              <w:t>2</w:t>
            </w:r>
          </w:p>
        </w:tc>
        <w:tc>
          <w:tcPr>
            <w:tcW w:w="602" w:type="pct"/>
            <w:tcBorders>
              <w:tl2br w:val="nil"/>
              <w:tr2bl w:val="nil"/>
            </w:tcBorders>
            <w:vAlign w:val="center"/>
          </w:tcPr>
          <w:p>
            <w:pPr>
              <w:adjustRightInd w:val="0"/>
              <w:jc w:val="center"/>
              <w:rPr>
                <w:rFonts w:hint="eastAsia"/>
                <w:bCs/>
                <w:color w:val="auto"/>
                <w:sz w:val="18"/>
                <w:szCs w:val="18"/>
                <w:highlight w:val="none"/>
              </w:rPr>
            </w:pPr>
            <w:r>
              <w:rPr>
                <w:rFonts w:hint="eastAsia"/>
                <w:bCs/>
                <w:color w:val="auto"/>
                <w:sz w:val="18"/>
                <w:szCs w:val="18"/>
                <w:highlight w:val="none"/>
                <w:lang w:eastAsia="zh-CN"/>
              </w:rPr>
              <w:t>双回段</w:t>
            </w:r>
          </w:p>
        </w:tc>
        <w:tc>
          <w:tcPr>
            <w:tcW w:w="492" w:type="pct"/>
            <w:tcBorders>
              <w:tl2br w:val="nil"/>
              <w:tr2bl w:val="nil"/>
            </w:tcBorders>
            <w:vAlign w:val="center"/>
          </w:tcPr>
          <w:p>
            <w:pPr>
              <w:adjustRightInd w:val="0"/>
              <w:jc w:val="center"/>
              <w:rPr>
                <w:rFonts w:hint="eastAsia"/>
                <w:bCs/>
                <w:color w:val="auto"/>
                <w:sz w:val="18"/>
                <w:szCs w:val="18"/>
                <w:highlight w:val="none"/>
                <w:lang w:eastAsia="zh-CN"/>
              </w:rPr>
            </w:pPr>
            <w:r>
              <w:rPr>
                <w:rFonts w:hint="eastAsia"/>
                <w:bCs/>
                <w:color w:val="auto"/>
                <w:sz w:val="18"/>
                <w:szCs w:val="18"/>
                <w:highlight w:val="none"/>
                <w:lang w:eastAsia="zh-CN"/>
              </w:rPr>
              <w:t>对应附图8-</w:t>
            </w:r>
            <w:r>
              <w:rPr>
                <w:rFonts w:hint="eastAsia"/>
                <w:bCs/>
                <w:color w:val="auto"/>
                <w:sz w:val="18"/>
                <w:szCs w:val="18"/>
                <w:highlight w:val="none"/>
                <w:lang w:val="en-US" w:eastAsia="zh-CN"/>
              </w:rPr>
              <w:t>3</w:t>
            </w:r>
            <w:r>
              <w:rPr>
                <w:rFonts w:hint="eastAsia"/>
                <w:bCs/>
                <w:color w:val="auto"/>
                <w:sz w:val="18"/>
                <w:szCs w:val="18"/>
                <w:highlight w:val="none"/>
                <w:lang w:eastAsia="zh-CN"/>
              </w:rPr>
              <w:t>：</w:t>
            </w:r>
            <w:r>
              <w:rPr>
                <w:rFonts w:hint="default" w:ascii="Calibri" w:hAnsi="Calibri" w:cs="Calibri"/>
                <w:bCs/>
                <w:color w:val="auto"/>
                <w:sz w:val="18"/>
                <w:szCs w:val="18"/>
                <w:highlight w:val="none"/>
                <w:lang w:eastAsia="zh-CN"/>
              </w:rPr>
              <w:t>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8" w:type="pct"/>
            <w:tcBorders>
              <w:tl2br w:val="nil"/>
              <w:tr2bl w:val="nil"/>
            </w:tcBorders>
            <w:vAlign w:val="center"/>
          </w:tcPr>
          <w:p>
            <w:pPr>
              <w:adjustRightInd w:val="0"/>
              <w:jc w:val="center"/>
              <w:rPr>
                <w:rFonts w:hint="eastAsia" w:eastAsia="宋体"/>
                <w:bCs/>
                <w:color w:val="auto"/>
                <w:sz w:val="18"/>
                <w:szCs w:val="18"/>
                <w:highlight w:val="none"/>
                <w:lang w:val="en-US" w:eastAsia="zh-CN"/>
              </w:rPr>
            </w:pPr>
            <w:r>
              <w:rPr>
                <w:rFonts w:hint="eastAsia"/>
                <w:bCs/>
                <w:color w:val="auto"/>
                <w:sz w:val="18"/>
                <w:szCs w:val="18"/>
                <w:highlight w:val="none"/>
                <w:lang w:val="en-US" w:eastAsia="zh-CN"/>
              </w:rPr>
              <w:t>3</w:t>
            </w:r>
          </w:p>
        </w:tc>
        <w:tc>
          <w:tcPr>
            <w:tcW w:w="422" w:type="pct"/>
            <w:tcBorders>
              <w:tl2br w:val="nil"/>
              <w:tr2bl w:val="nil"/>
            </w:tcBorders>
            <w:vAlign w:val="center"/>
          </w:tcPr>
          <w:p>
            <w:pPr>
              <w:adjustRightInd w:val="0"/>
              <w:jc w:val="center"/>
              <w:rPr>
                <w:rFonts w:hint="default"/>
                <w:bCs/>
                <w:color w:val="auto"/>
                <w:sz w:val="18"/>
                <w:szCs w:val="18"/>
                <w:highlight w:val="none"/>
                <w:lang w:val="en-US" w:eastAsia="zh-CN"/>
              </w:rPr>
            </w:pPr>
            <w:r>
              <w:rPr>
                <w:rFonts w:hint="eastAsia"/>
                <w:bCs/>
                <w:color w:val="auto"/>
                <w:sz w:val="18"/>
                <w:szCs w:val="18"/>
                <w:highlight w:val="none"/>
                <w:lang w:eastAsia="zh-CN"/>
              </w:rPr>
              <w:t>蒲吕街道沙心村民房</w:t>
            </w:r>
            <w:r>
              <w:rPr>
                <w:rFonts w:hint="eastAsia"/>
                <w:bCs/>
                <w:color w:val="auto"/>
                <w:sz w:val="18"/>
                <w:szCs w:val="18"/>
                <w:highlight w:val="none"/>
                <w:lang w:val="en-US" w:eastAsia="zh-CN"/>
              </w:rPr>
              <w:t>5</w:t>
            </w:r>
          </w:p>
        </w:tc>
        <w:tc>
          <w:tcPr>
            <w:tcW w:w="668"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val="en-US" w:eastAsia="zh-CN"/>
              </w:rPr>
              <w:t>1~2F民房11户，高约3~6m，2</w:t>
            </w:r>
            <w:r>
              <w:rPr>
                <w:bCs/>
                <w:color w:val="auto"/>
                <w:sz w:val="18"/>
                <w:szCs w:val="18"/>
                <w:highlight w:val="none"/>
              </w:rPr>
              <w:t>F</w:t>
            </w:r>
            <w:r>
              <w:rPr>
                <w:rFonts w:hint="eastAsia"/>
                <w:bCs/>
                <w:color w:val="auto"/>
                <w:sz w:val="18"/>
                <w:szCs w:val="18"/>
                <w:highlight w:val="none"/>
              </w:rPr>
              <w:t>平顶</w:t>
            </w:r>
            <w:r>
              <w:rPr>
                <w:rFonts w:hint="eastAsia"/>
                <w:bCs/>
                <w:color w:val="auto"/>
                <w:sz w:val="18"/>
                <w:szCs w:val="18"/>
                <w:highlight w:val="none"/>
                <w:lang w:val="en-US" w:eastAsia="zh-CN"/>
              </w:rPr>
              <w:t>/2</w:t>
            </w:r>
            <w:r>
              <w:rPr>
                <w:bCs/>
                <w:color w:val="auto"/>
                <w:sz w:val="18"/>
                <w:szCs w:val="18"/>
                <w:highlight w:val="none"/>
              </w:rPr>
              <w:t>F</w:t>
            </w:r>
            <w:r>
              <w:rPr>
                <w:rFonts w:hint="eastAsia"/>
                <w:bCs/>
                <w:color w:val="auto"/>
                <w:sz w:val="18"/>
                <w:szCs w:val="18"/>
                <w:highlight w:val="none"/>
                <w:lang w:val="en-US" w:eastAsia="zh-CN"/>
              </w:rPr>
              <w:t>坡顶</w:t>
            </w:r>
          </w:p>
        </w:tc>
        <w:tc>
          <w:tcPr>
            <w:tcW w:w="438" w:type="pct"/>
            <w:tcBorders>
              <w:tl2br w:val="nil"/>
              <w:tr2bl w:val="nil"/>
            </w:tcBorders>
            <w:vAlign w:val="center"/>
          </w:tcPr>
          <w:p>
            <w:pPr>
              <w:adjustRightInd w:val="0"/>
              <w:jc w:val="center"/>
              <w:rPr>
                <w:rFonts w:hint="eastAsia"/>
                <w:bCs/>
                <w:color w:val="auto"/>
                <w:sz w:val="18"/>
                <w:szCs w:val="18"/>
                <w:highlight w:val="none"/>
              </w:rPr>
            </w:pPr>
            <w:r>
              <w:rPr>
                <w:rFonts w:hint="eastAsia"/>
                <w:bCs/>
                <w:color w:val="auto"/>
                <w:sz w:val="18"/>
                <w:szCs w:val="18"/>
                <w:highlight w:val="none"/>
                <w:lang w:eastAsia="zh-CN"/>
              </w:rPr>
              <w:t>线路两侧最近约</w:t>
            </w:r>
            <w:r>
              <w:rPr>
                <w:rFonts w:hint="eastAsia"/>
                <w:bCs/>
                <w:color w:val="auto"/>
                <w:sz w:val="18"/>
                <w:szCs w:val="18"/>
                <w:highlight w:val="none"/>
                <w:lang w:val="en-US" w:eastAsia="zh-CN"/>
              </w:rPr>
              <w:t>9m</w:t>
            </w:r>
          </w:p>
        </w:tc>
        <w:tc>
          <w:tcPr>
            <w:tcW w:w="327" w:type="pct"/>
            <w:tcBorders>
              <w:tl2br w:val="nil"/>
              <w:tr2bl w:val="nil"/>
            </w:tcBorders>
            <w:vAlign w:val="center"/>
          </w:tcPr>
          <w:p>
            <w:pPr>
              <w:adjustRightInd w:val="0"/>
              <w:jc w:val="center"/>
              <w:rPr>
                <w:rFonts w:hint="eastAsia"/>
                <w:b w:val="0"/>
                <w:bCs/>
                <w:color w:val="auto"/>
                <w:sz w:val="18"/>
                <w:szCs w:val="18"/>
                <w:highlight w:val="none"/>
                <w:lang w:val="en-US" w:eastAsia="zh-CN"/>
              </w:rPr>
            </w:pPr>
            <w:r>
              <w:rPr>
                <w:rFonts w:hint="eastAsia"/>
                <w:b w:val="0"/>
                <w:bCs/>
                <w:color w:val="auto"/>
                <w:sz w:val="18"/>
                <w:szCs w:val="18"/>
                <w:highlight w:val="none"/>
                <w:lang w:val="en-US" w:eastAsia="zh-CN"/>
              </w:rPr>
              <w:t>7m</w:t>
            </w:r>
          </w:p>
        </w:tc>
        <w:tc>
          <w:tcPr>
            <w:tcW w:w="590" w:type="pct"/>
            <w:tcBorders>
              <w:tl2br w:val="nil"/>
              <w:tr2bl w:val="nil"/>
            </w:tcBorders>
            <w:vAlign w:val="center"/>
          </w:tcPr>
          <w:p>
            <w:pPr>
              <w:adjustRightInd w:val="0"/>
              <w:jc w:val="center"/>
              <w:rPr>
                <w:rFonts w:hint="eastAsia"/>
                <w:bCs/>
                <w:color w:val="auto"/>
                <w:sz w:val="18"/>
                <w:szCs w:val="18"/>
                <w:highlight w:val="none"/>
                <w:lang w:val="en-US" w:eastAsia="zh-CN"/>
              </w:rPr>
            </w:pPr>
            <w:r>
              <w:rPr>
                <w:rFonts w:hint="eastAsia"/>
                <w:bCs/>
                <w:color w:val="auto"/>
                <w:sz w:val="18"/>
                <w:szCs w:val="18"/>
                <w:highlight w:val="none"/>
                <w:lang w:val="en-US" w:eastAsia="zh-CN"/>
              </w:rPr>
              <w:t>/</w:t>
            </w:r>
          </w:p>
        </w:tc>
        <w:tc>
          <w:tcPr>
            <w:tcW w:w="374" w:type="pct"/>
            <w:tcBorders>
              <w:tl2br w:val="nil"/>
              <w:tr2bl w:val="nil"/>
            </w:tcBorders>
            <w:vAlign w:val="center"/>
          </w:tcPr>
          <w:p>
            <w:pPr>
              <w:adjustRightInd w:val="0"/>
              <w:ind w:left="-50" w:leftChars="0" w:right="-50" w:rightChars="0"/>
              <w:jc w:val="center"/>
              <w:rPr>
                <w:color w:val="auto"/>
                <w:sz w:val="18"/>
                <w:szCs w:val="18"/>
                <w:highlight w:val="none"/>
              </w:rPr>
            </w:pPr>
            <w:r>
              <w:rPr>
                <w:color w:val="auto"/>
                <w:sz w:val="18"/>
                <w:szCs w:val="18"/>
                <w:highlight w:val="none"/>
              </w:rPr>
              <w:t>E</w:t>
            </w:r>
            <w:r>
              <w:rPr>
                <w:rFonts w:hint="eastAsia"/>
                <w:color w:val="auto"/>
                <w:sz w:val="18"/>
                <w:szCs w:val="18"/>
                <w:highlight w:val="none"/>
              </w:rPr>
              <w:t>、</w:t>
            </w:r>
            <w:r>
              <w:rPr>
                <w:color w:val="auto"/>
                <w:sz w:val="18"/>
                <w:szCs w:val="18"/>
                <w:highlight w:val="none"/>
              </w:rPr>
              <w:t>B</w:t>
            </w:r>
            <w:r>
              <w:rPr>
                <w:rFonts w:hint="eastAsia"/>
                <w:color w:val="auto"/>
                <w:sz w:val="18"/>
                <w:szCs w:val="18"/>
                <w:highlight w:val="none"/>
              </w:rPr>
              <w:t>、</w:t>
            </w:r>
            <w:r>
              <w:rPr>
                <w:color w:val="auto"/>
                <w:sz w:val="18"/>
                <w:szCs w:val="18"/>
                <w:highlight w:val="none"/>
              </w:rPr>
              <w:t>N</w:t>
            </w:r>
          </w:p>
        </w:tc>
        <w:tc>
          <w:tcPr>
            <w:tcW w:w="427" w:type="pct"/>
            <w:tcBorders>
              <w:tl2br w:val="nil"/>
              <w:tr2bl w:val="nil"/>
            </w:tcBorders>
            <w:vAlign w:val="center"/>
          </w:tcPr>
          <w:p>
            <w:pPr>
              <w:adjustRightInd w:val="0"/>
              <w:jc w:val="center"/>
              <w:rPr>
                <w:rFonts w:hint="eastAsia"/>
                <w:bCs/>
                <w:color w:val="auto"/>
                <w:sz w:val="18"/>
                <w:szCs w:val="18"/>
                <w:highlight w:val="none"/>
                <w:lang w:val="en-US" w:eastAsia="zh-CN"/>
              </w:rPr>
            </w:pPr>
            <w:r>
              <w:rPr>
                <w:rFonts w:hint="eastAsia"/>
                <w:bCs/>
                <w:color w:val="auto"/>
                <w:sz w:val="18"/>
                <w:szCs w:val="18"/>
                <w:highlight w:val="none"/>
                <w:lang w:val="en-US" w:eastAsia="zh-CN"/>
              </w:rPr>
              <w:t>1</w:t>
            </w:r>
            <w:r>
              <w:rPr>
                <w:rFonts w:hint="eastAsia"/>
                <w:bCs/>
                <w:color w:val="auto"/>
                <w:sz w:val="18"/>
                <w:szCs w:val="18"/>
                <w:highlight w:val="none"/>
              </w:rPr>
              <w:t>类</w:t>
            </w:r>
          </w:p>
        </w:tc>
        <w:tc>
          <w:tcPr>
            <w:tcW w:w="468" w:type="pct"/>
            <w:tcBorders>
              <w:tl2br w:val="nil"/>
              <w:tr2bl w:val="nil"/>
            </w:tcBorders>
            <w:vAlign w:val="center"/>
          </w:tcPr>
          <w:p>
            <w:pPr>
              <w:adjustRightInd w:val="0"/>
              <w:jc w:val="center"/>
              <w:rPr>
                <w:rFonts w:hint="eastAsia"/>
                <w:bCs/>
                <w:color w:val="auto"/>
                <w:sz w:val="18"/>
                <w:szCs w:val="18"/>
                <w:highlight w:val="none"/>
              </w:rPr>
            </w:pPr>
            <w:r>
              <w:rPr>
                <w:rFonts w:hint="eastAsia"/>
                <w:bCs/>
                <w:color w:val="auto"/>
                <w:sz w:val="18"/>
                <w:szCs w:val="18"/>
                <w:highlight w:val="none"/>
              </w:rPr>
              <w:t>☆</w:t>
            </w:r>
            <w:r>
              <w:rPr>
                <w:rFonts w:hint="eastAsia"/>
                <w:bCs/>
                <w:color w:val="auto"/>
                <w:sz w:val="18"/>
                <w:szCs w:val="18"/>
                <w:highlight w:val="none"/>
                <w:lang w:val="en-US" w:eastAsia="zh-CN"/>
              </w:rPr>
              <w:t>4</w:t>
            </w:r>
            <w:r>
              <w:rPr>
                <w:rFonts w:hint="eastAsia"/>
                <w:bCs/>
                <w:color w:val="auto"/>
                <w:sz w:val="18"/>
                <w:szCs w:val="18"/>
                <w:highlight w:val="none"/>
              </w:rPr>
              <w:t>△</w:t>
            </w:r>
            <w:r>
              <w:rPr>
                <w:rFonts w:hint="eastAsia"/>
                <w:bCs/>
                <w:color w:val="auto"/>
                <w:sz w:val="18"/>
                <w:szCs w:val="18"/>
                <w:highlight w:val="none"/>
                <w:lang w:val="en-US" w:eastAsia="zh-CN"/>
              </w:rPr>
              <w:t>3</w:t>
            </w:r>
          </w:p>
        </w:tc>
        <w:tc>
          <w:tcPr>
            <w:tcW w:w="602" w:type="pct"/>
            <w:tcBorders>
              <w:tl2br w:val="nil"/>
              <w:tr2bl w:val="nil"/>
            </w:tcBorders>
            <w:vAlign w:val="center"/>
          </w:tcPr>
          <w:p>
            <w:pPr>
              <w:adjustRightInd w:val="0"/>
              <w:jc w:val="center"/>
              <w:rPr>
                <w:rFonts w:hint="eastAsia"/>
                <w:bCs/>
                <w:color w:val="auto"/>
                <w:sz w:val="18"/>
                <w:szCs w:val="18"/>
                <w:highlight w:val="none"/>
              </w:rPr>
            </w:pPr>
            <w:r>
              <w:rPr>
                <w:rFonts w:hint="eastAsia"/>
                <w:bCs/>
                <w:color w:val="auto"/>
                <w:sz w:val="18"/>
                <w:szCs w:val="18"/>
                <w:highlight w:val="none"/>
                <w:lang w:eastAsia="zh-CN"/>
              </w:rPr>
              <w:t>双回段</w:t>
            </w:r>
          </w:p>
        </w:tc>
        <w:tc>
          <w:tcPr>
            <w:tcW w:w="492" w:type="pct"/>
            <w:tcBorders>
              <w:tl2br w:val="nil"/>
              <w:tr2bl w:val="nil"/>
            </w:tcBorders>
            <w:vAlign w:val="center"/>
          </w:tcPr>
          <w:p>
            <w:pPr>
              <w:adjustRightInd w:val="0"/>
              <w:jc w:val="center"/>
              <w:rPr>
                <w:rFonts w:hint="eastAsia"/>
                <w:bCs/>
                <w:color w:val="auto"/>
                <w:sz w:val="18"/>
                <w:szCs w:val="18"/>
                <w:highlight w:val="none"/>
                <w:lang w:eastAsia="zh-CN"/>
              </w:rPr>
            </w:pPr>
            <w:r>
              <w:rPr>
                <w:rFonts w:hint="eastAsia"/>
                <w:bCs/>
                <w:color w:val="auto"/>
                <w:sz w:val="18"/>
                <w:szCs w:val="18"/>
                <w:highlight w:val="none"/>
                <w:lang w:eastAsia="zh-CN"/>
              </w:rPr>
              <w:t>对应附图8-</w:t>
            </w:r>
            <w:r>
              <w:rPr>
                <w:rFonts w:hint="eastAsia"/>
                <w:bCs/>
                <w:color w:val="auto"/>
                <w:sz w:val="18"/>
                <w:szCs w:val="18"/>
                <w:highlight w:val="none"/>
                <w:lang w:val="en-US" w:eastAsia="zh-CN"/>
              </w:rPr>
              <w:t>4</w:t>
            </w:r>
            <w:r>
              <w:rPr>
                <w:rFonts w:hint="eastAsia"/>
                <w:bCs/>
                <w:color w:val="auto"/>
                <w:sz w:val="18"/>
                <w:szCs w:val="18"/>
                <w:highlight w:val="none"/>
                <w:lang w:eastAsia="zh-CN"/>
              </w:rPr>
              <w:t>：</w:t>
            </w:r>
            <w:r>
              <w:rPr>
                <w:rFonts w:hint="default" w:ascii="Calibri" w:hAnsi="Calibri" w:cs="Calibri"/>
                <w:bCs/>
                <w:color w:val="auto"/>
                <w:sz w:val="18"/>
                <w:szCs w:val="18"/>
                <w:highlight w:val="none"/>
                <w:lang w:eastAsia="zh-CN"/>
              </w:rPr>
              <w:t>③</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8" w:type="pct"/>
            <w:tcBorders>
              <w:tl2br w:val="nil"/>
              <w:tr2bl w:val="nil"/>
            </w:tcBorders>
            <w:vAlign w:val="center"/>
          </w:tcPr>
          <w:p>
            <w:pPr>
              <w:adjustRightInd w:val="0"/>
              <w:jc w:val="center"/>
              <w:rPr>
                <w:rFonts w:hint="default"/>
                <w:bCs/>
                <w:color w:val="auto"/>
                <w:sz w:val="18"/>
                <w:szCs w:val="18"/>
                <w:highlight w:val="none"/>
                <w:lang w:val="en-US" w:eastAsia="zh-CN"/>
              </w:rPr>
            </w:pPr>
            <w:r>
              <w:rPr>
                <w:rFonts w:hint="eastAsia"/>
                <w:bCs/>
                <w:color w:val="auto"/>
                <w:sz w:val="18"/>
                <w:szCs w:val="18"/>
                <w:highlight w:val="none"/>
                <w:lang w:val="en-US" w:eastAsia="zh-CN"/>
              </w:rPr>
              <w:t>4</w:t>
            </w:r>
          </w:p>
        </w:tc>
        <w:tc>
          <w:tcPr>
            <w:tcW w:w="422" w:type="pct"/>
            <w:tcBorders>
              <w:tl2br w:val="nil"/>
              <w:tr2bl w:val="nil"/>
            </w:tcBorders>
            <w:vAlign w:val="center"/>
          </w:tcPr>
          <w:p>
            <w:pPr>
              <w:adjustRightInd w:val="0"/>
              <w:jc w:val="center"/>
              <w:rPr>
                <w:rFonts w:hint="default"/>
                <w:bCs/>
                <w:color w:val="auto"/>
                <w:sz w:val="18"/>
                <w:szCs w:val="18"/>
                <w:highlight w:val="none"/>
                <w:lang w:val="en-US" w:eastAsia="zh-CN"/>
              </w:rPr>
            </w:pPr>
            <w:r>
              <w:rPr>
                <w:rFonts w:hint="eastAsia"/>
                <w:bCs/>
                <w:color w:val="auto"/>
                <w:sz w:val="18"/>
                <w:szCs w:val="18"/>
                <w:highlight w:val="none"/>
                <w:lang w:eastAsia="zh-CN"/>
              </w:rPr>
              <w:t>蒲吕街道沙心村民房</w:t>
            </w:r>
            <w:r>
              <w:rPr>
                <w:rFonts w:hint="eastAsia"/>
                <w:bCs/>
                <w:color w:val="auto"/>
                <w:sz w:val="18"/>
                <w:szCs w:val="18"/>
                <w:highlight w:val="none"/>
                <w:lang w:val="en-US" w:eastAsia="zh-CN"/>
              </w:rPr>
              <w:t>6</w:t>
            </w:r>
          </w:p>
        </w:tc>
        <w:tc>
          <w:tcPr>
            <w:tcW w:w="668"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val="en-US" w:eastAsia="zh-CN"/>
              </w:rPr>
              <w:t>2F民房3户，高约3~6m，坡顶（2楼顶人员可达到）</w:t>
            </w:r>
          </w:p>
        </w:tc>
        <w:tc>
          <w:tcPr>
            <w:tcW w:w="438"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eastAsia="zh-CN"/>
              </w:rPr>
              <w:t>线路两侧，最近约</w:t>
            </w:r>
            <w:r>
              <w:rPr>
                <w:rFonts w:hint="eastAsia"/>
                <w:bCs/>
                <w:color w:val="auto"/>
                <w:sz w:val="18"/>
                <w:szCs w:val="18"/>
                <w:highlight w:val="none"/>
                <w:lang w:val="en-US" w:eastAsia="zh-CN"/>
              </w:rPr>
              <w:t>14m</w:t>
            </w:r>
          </w:p>
        </w:tc>
        <w:tc>
          <w:tcPr>
            <w:tcW w:w="327" w:type="pct"/>
            <w:tcBorders>
              <w:tl2br w:val="nil"/>
              <w:tr2bl w:val="nil"/>
            </w:tcBorders>
            <w:vAlign w:val="center"/>
          </w:tcPr>
          <w:p>
            <w:pPr>
              <w:adjustRightInd w:val="0"/>
              <w:jc w:val="center"/>
              <w:rPr>
                <w:rFonts w:hint="eastAsia"/>
                <w:b w:val="0"/>
                <w:bCs/>
                <w:color w:val="auto"/>
                <w:sz w:val="18"/>
                <w:szCs w:val="18"/>
                <w:highlight w:val="none"/>
                <w:lang w:val="en-US" w:eastAsia="zh-CN"/>
              </w:rPr>
            </w:pPr>
            <w:r>
              <w:rPr>
                <w:rFonts w:hint="eastAsia"/>
                <w:b w:val="0"/>
                <w:bCs/>
                <w:color w:val="auto"/>
                <w:sz w:val="18"/>
                <w:szCs w:val="18"/>
                <w:highlight w:val="none"/>
                <w:lang w:val="en-US" w:eastAsia="zh-CN"/>
              </w:rPr>
              <w:t>7m</w:t>
            </w:r>
          </w:p>
        </w:tc>
        <w:tc>
          <w:tcPr>
            <w:tcW w:w="590"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val="en-US" w:eastAsia="zh-CN"/>
              </w:rPr>
              <w:t>/</w:t>
            </w:r>
          </w:p>
        </w:tc>
        <w:tc>
          <w:tcPr>
            <w:tcW w:w="374" w:type="pct"/>
            <w:tcBorders>
              <w:tl2br w:val="nil"/>
              <w:tr2bl w:val="nil"/>
            </w:tcBorders>
            <w:vAlign w:val="center"/>
          </w:tcPr>
          <w:p>
            <w:pPr>
              <w:adjustRightInd w:val="0"/>
              <w:ind w:left="-50" w:leftChars="0" w:right="-50" w:rightChars="0"/>
              <w:jc w:val="center"/>
              <w:rPr>
                <w:rFonts w:ascii="Times New Roman" w:hAnsi="Times New Roman" w:eastAsia="宋体" w:cs="Times New Roman"/>
                <w:bCs/>
                <w:color w:val="auto"/>
                <w:kern w:val="2"/>
                <w:sz w:val="18"/>
                <w:szCs w:val="18"/>
                <w:highlight w:val="none"/>
                <w:lang w:val="en-US" w:eastAsia="zh-CN" w:bidi="ar-SA"/>
              </w:rPr>
            </w:pPr>
            <w:r>
              <w:rPr>
                <w:color w:val="auto"/>
                <w:sz w:val="18"/>
                <w:szCs w:val="18"/>
                <w:highlight w:val="none"/>
              </w:rPr>
              <w:t>E</w:t>
            </w:r>
            <w:r>
              <w:rPr>
                <w:rFonts w:hint="eastAsia"/>
                <w:color w:val="auto"/>
                <w:sz w:val="18"/>
                <w:szCs w:val="18"/>
                <w:highlight w:val="none"/>
              </w:rPr>
              <w:t>、</w:t>
            </w:r>
            <w:r>
              <w:rPr>
                <w:color w:val="auto"/>
                <w:sz w:val="18"/>
                <w:szCs w:val="18"/>
                <w:highlight w:val="none"/>
              </w:rPr>
              <w:t>B</w:t>
            </w:r>
            <w:r>
              <w:rPr>
                <w:rFonts w:hint="eastAsia"/>
                <w:color w:val="auto"/>
                <w:sz w:val="18"/>
                <w:szCs w:val="18"/>
                <w:highlight w:val="none"/>
              </w:rPr>
              <w:t>、</w:t>
            </w:r>
            <w:r>
              <w:rPr>
                <w:color w:val="auto"/>
                <w:sz w:val="18"/>
                <w:szCs w:val="18"/>
                <w:highlight w:val="none"/>
              </w:rPr>
              <w:t>N</w:t>
            </w:r>
          </w:p>
        </w:tc>
        <w:tc>
          <w:tcPr>
            <w:tcW w:w="427"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val="en-US" w:eastAsia="zh-CN"/>
              </w:rPr>
              <w:t>4a类</w:t>
            </w:r>
          </w:p>
        </w:tc>
        <w:tc>
          <w:tcPr>
            <w:tcW w:w="468"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rPr>
              <w:t>☆</w:t>
            </w:r>
            <w:r>
              <w:rPr>
                <w:rFonts w:hint="eastAsia"/>
                <w:bCs/>
                <w:color w:val="auto"/>
                <w:sz w:val="18"/>
                <w:szCs w:val="18"/>
                <w:highlight w:val="none"/>
                <w:lang w:val="en-US" w:eastAsia="zh-CN"/>
              </w:rPr>
              <w:t>5</w:t>
            </w:r>
            <w:r>
              <w:rPr>
                <w:rFonts w:hint="eastAsia"/>
                <w:bCs/>
                <w:color w:val="auto"/>
                <w:sz w:val="18"/>
                <w:szCs w:val="18"/>
                <w:highlight w:val="none"/>
              </w:rPr>
              <w:t>△</w:t>
            </w:r>
            <w:r>
              <w:rPr>
                <w:rFonts w:hint="eastAsia"/>
                <w:bCs/>
                <w:color w:val="auto"/>
                <w:sz w:val="18"/>
                <w:szCs w:val="18"/>
                <w:highlight w:val="none"/>
                <w:lang w:val="en-US" w:eastAsia="zh-CN"/>
              </w:rPr>
              <w:t>4</w:t>
            </w:r>
          </w:p>
        </w:tc>
        <w:tc>
          <w:tcPr>
            <w:tcW w:w="602" w:type="pct"/>
            <w:tcBorders>
              <w:tl2br w:val="nil"/>
              <w:tr2bl w:val="nil"/>
            </w:tcBorders>
            <w:vAlign w:val="center"/>
          </w:tcPr>
          <w:p>
            <w:pPr>
              <w:adjustRightInd w:val="0"/>
              <w:jc w:val="center"/>
              <w:rPr>
                <w:rFonts w:hint="eastAsia"/>
                <w:bCs/>
                <w:color w:val="auto"/>
                <w:sz w:val="18"/>
                <w:szCs w:val="18"/>
                <w:highlight w:val="none"/>
              </w:rPr>
            </w:pPr>
            <w:r>
              <w:rPr>
                <w:rFonts w:hint="eastAsia"/>
                <w:bCs/>
                <w:color w:val="auto"/>
                <w:sz w:val="18"/>
                <w:szCs w:val="18"/>
                <w:highlight w:val="none"/>
                <w:lang w:eastAsia="zh-CN"/>
              </w:rPr>
              <w:t>双回段</w:t>
            </w:r>
          </w:p>
        </w:tc>
        <w:tc>
          <w:tcPr>
            <w:tcW w:w="492" w:type="pct"/>
            <w:tcBorders>
              <w:tl2br w:val="nil"/>
              <w:tr2bl w:val="nil"/>
            </w:tcBorders>
            <w:vAlign w:val="center"/>
          </w:tcPr>
          <w:p>
            <w:pPr>
              <w:adjustRightInd w:val="0"/>
              <w:jc w:val="center"/>
              <w:rPr>
                <w:rFonts w:hint="eastAsia"/>
                <w:bCs/>
                <w:color w:val="auto"/>
                <w:sz w:val="18"/>
                <w:szCs w:val="18"/>
                <w:highlight w:val="none"/>
                <w:lang w:eastAsia="zh-CN"/>
              </w:rPr>
            </w:pPr>
            <w:r>
              <w:rPr>
                <w:rFonts w:hint="eastAsia"/>
                <w:bCs/>
                <w:color w:val="auto"/>
                <w:sz w:val="18"/>
                <w:szCs w:val="18"/>
                <w:highlight w:val="none"/>
                <w:lang w:eastAsia="zh-CN"/>
              </w:rPr>
              <w:t>对应附图8-</w:t>
            </w:r>
            <w:r>
              <w:rPr>
                <w:rFonts w:hint="eastAsia"/>
                <w:bCs/>
                <w:color w:val="auto"/>
                <w:sz w:val="18"/>
                <w:szCs w:val="18"/>
                <w:highlight w:val="none"/>
                <w:lang w:val="en-US" w:eastAsia="zh-CN"/>
              </w:rPr>
              <w:t>4</w:t>
            </w:r>
            <w:r>
              <w:rPr>
                <w:rFonts w:hint="eastAsia"/>
                <w:bCs/>
                <w:color w:val="auto"/>
                <w:sz w:val="18"/>
                <w:szCs w:val="18"/>
                <w:highlight w:val="none"/>
                <w:lang w:eastAsia="zh-CN"/>
              </w:rPr>
              <w:t>：</w:t>
            </w:r>
            <w:r>
              <w:rPr>
                <w:rFonts w:hint="eastAsia" w:ascii="宋体" w:hAnsi="宋体" w:eastAsia="宋体" w:cs="宋体"/>
                <w:bCs/>
                <w:color w:val="auto"/>
                <w:sz w:val="18"/>
                <w:szCs w:val="18"/>
                <w:highlight w:val="none"/>
                <w:lang w:eastAsia="zh-CN"/>
              </w:rPr>
              <w:t>④</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8" w:type="pct"/>
            <w:tcBorders>
              <w:tl2br w:val="nil"/>
              <w:tr2bl w:val="nil"/>
            </w:tcBorders>
            <w:vAlign w:val="center"/>
          </w:tcPr>
          <w:p>
            <w:pPr>
              <w:adjustRightInd w:val="0"/>
              <w:jc w:val="center"/>
              <w:rPr>
                <w:rFonts w:hint="default"/>
                <w:bCs/>
                <w:color w:val="auto"/>
                <w:sz w:val="18"/>
                <w:szCs w:val="18"/>
                <w:highlight w:val="none"/>
                <w:lang w:val="en-US" w:eastAsia="zh-CN"/>
              </w:rPr>
            </w:pPr>
            <w:r>
              <w:rPr>
                <w:rFonts w:hint="eastAsia"/>
                <w:bCs/>
                <w:color w:val="auto"/>
                <w:sz w:val="18"/>
                <w:szCs w:val="18"/>
                <w:highlight w:val="none"/>
                <w:lang w:val="en-US" w:eastAsia="zh-CN"/>
              </w:rPr>
              <w:t>5</w:t>
            </w:r>
          </w:p>
        </w:tc>
        <w:tc>
          <w:tcPr>
            <w:tcW w:w="422"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eastAsia="zh-CN"/>
              </w:rPr>
              <w:t>蒲吕街道沙心村民房</w:t>
            </w:r>
            <w:r>
              <w:rPr>
                <w:rFonts w:hint="eastAsia"/>
                <w:bCs/>
                <w:color w:val="auto"/>
                <w:sz w:val="18"/>
                <w:szCs w:val="18"/>
                <w:highlight w:val="none"/>
                <w:lang w:val="en-US" w:eastAsia="zh-CN"/>
              </w:rPr>
              <w:t>7</w:t>
            </w:r>
          </w:p>
        </w:tc>
        <w:tc>
          <w:tcPr>
            <w:tcW w:w="668"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val="en-US" w:eastAsia="zh-CN"/>
              </w:rPr>
              <w:t>1~2F民房5户，高约3~6m，2F坡顶/2F平顶</w:t>
            </w:r>
          </w:p>
        </w:tc>
        <w:tc>
          <w:tcPr>
            <w:tcW w:w="438"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eastAsia="zh-CN"/>
              </w:rPr>
              <w:t>线路两侧，最近约</w:t>
            </w:r>
            <w:r>
              <w:rPr>
                <w:rFonts w:hint="eastAsia"/>
                <w:bCs/>
                <w:color w:val="auto"/>
                <w:sz w:val="18"/>
                <w:szCs w:val="18"/>
                <w:highlight w:val="none"/>
                <w:lang w:val="en-US" w:eastAsia="zh-CN"/>
              </w:rPr>
              <w:t>14m</w:t>
            </w:r>
          </w:p>
        </w:tc>
        <w:tc>
          <w:tcPr>
            <w:tcW w:w="327" w:type="pct"/>
            <w:tcBorders>
              <w:tl2br w:val="nil"/>
              <w:tr2bl w:val="nil"/>
            </w:tcBorders>
            <w:vAlign w:val="center"/>
          </w:tcPr>
          <w:p>
            <w:pPr>
              <w:adjustRightInd w:val="0"/>
              <w:jc w:val="center"/>
              <w:rPr>
                <w:rFonts w:hint="eastAsia" w:ascii="Times New Roman" w:hAnsi="Times New Roman" w:eastAsia="宋体" w:cs="Times New Roman"/>
                <w:b w:val="0"/>
                <w:bCs/>
                <w:color w:val="auto"/>
                <w:kern w:val="2"/>
                <w:sz w:val="18"/>
                <w:szCs w:val="18"/>
                <w:highlight w:val="none"/>
                <w:lang w:val="en-US" w:eastAsia="zh-CN" w:bidi="ar-SA"/>
              </w:rPr>
            </w:pPr>
            <w:r>
              <w:rPr>
                <w:rFonts w:hint="eastAsia"/>
                <w:b w:val="0"/>
                <w:bCs/>
                <w:color w:val="auto"/>
                <w:sz w:val="18"/>
                <w:szCs w:val="18"/>
                <w:highlight w:val="none"/>
                <w:lang w:val="en-US" w:eastAsia="zh-CN"/>
              </w:rPr>
              <w:t>7m</w:t>
            </w:r>
          </w:p>
        </w:tc>
        <w:tc>
          <w:tcPr>
            <w:tcW w:w="590"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val="en-US" w:eastAsia="zh-CN"/>
              </w:rPr>
              <w:t>/</w:t>
            </w:r>
          </w:p>
        </w:tc>
        <w:tc>
          <w:tcPr>
            <w:tcW w:w="374" w:type="pct"/>
            <w:tcBorders>
              <w:tl2br w:val="nil"/>
              <w:tr2bl w:val="nil"/>
            </w:tcBorders>
            <w:vAlign w:val="center"/>
          </w:tcPr>
          <w:p>
            <w:pPr>
              <w:adjustRightInd w:val="0"/>
              <w:ind w:left="-50" w:leftChars="0" w:right="-50" w:rightChars="0"/>
              <w:jc w:val="center"/>
              <w:rPr>
                <w:rFonts w:ascii="Times New Roman" w:hAnsi="Times New Roman" w:eastAsia="宋体" w:cs="Times New Roman"/>
                <w:bCs/>
                <w:color w:val="auto"/>
                <w:kern w:val="2"/>
                <w:sz w:val="18"/>
                <w:szCs w:val="18"/>
                <w:highlight w:val="none"/>
                <w:lang w:val="en-US" w:eastAsia="zh-CN" w:bidi="ar-SA"/>
              </w:rPr>
            </w:pPr>
            <w:r>
              <w:rPr>
                <w:color w:val="auto"/>
                <w:sz w:val="18"/>
                <w:szCs w:val="18"/>
                <w:highlight w:val="none"/>
              </w:rPr>
              <w:t>E</w:t>
            </w:r>
            <w:r>
              <w:rPr>
                <w:rFonts w:hint="eastAsia"/>
                <w:color w:val="auto"/>
                <w:sz w:val="18"/>
                <w:szCs w:val="18"/>
                <w:highlight w:val="none"/>
              </w:rPr>
              <w:t>、</w:t>
            </w:r>
            <w:r>
              <w:rPr>
                <w:color w:val="auto"/>
                <w:sz w:val="18"/>
                <w:szCs w:val="18"/>
                <w:highlight w:val="none"/>
              </w:rPr>
              <w:t>B</w:t>
            </w:r>
            <w:r>
              <w:rPr>
                <w:rFonts w:hint="eastAsia"/>
                <w:color w:val="auto"/>
                <w:sz w:val="18"/>
                <w:szCs w:val="18"/>
                <w:highlight w:val="none"/>
              </w:rPr>
              <w:t>、</w:t>
            </w:r>
            <w:r>
              <w:rPr>
                <w:color w:val="auto"/>
                <w:sz w:val="18"/>
                <w:szCs w:val="18"/>
                <w:highlight w:val="none"/>
              </w:rPr>
              <w:t>N</w:t>
            </w:r>
          </w:p>
        </w:tc>
        <w:tc>
          <w:tcPr>
            <w:tcW w:w="427"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val="en-US" w:eastAsia="zh-CN"/>
              </w:rPr>
              <w:t>1类</w:t>
            </w:r>
          </w:p>
        </w:tc>
        <w:tc>
          <w:tcPr>
            <w:tcW w:w="468"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val="en-US" w:eastAsia="zh-CN"/>
              </w:rPr>
              <w:t>/</w:t>
            </w:r>
          </w:p>
        </w:tc>
        <w:tc>
          <w:tcPr>
            <w:tcW w:w="602" w:type="pct"/>
            <w:tcBorders>
              <w:tl2br w:val="nil"/>
              <w:tr2bl w:val="nil"/>
            </w:tcBorders>
            <w:vAlign w:val="center"/>
          </w:tcPr>
          <w:p>
            <w:pPr>
              <w:adjustRightInd w:val="0"/>
              <w:jc w:val="center"/>
              <w:rPr>
                <w:rFonts w:hint="eastAsia"/>
                <w:bCs/>
                <w:color w:val="auto"/>
                <w:sz w:val="18"/>
                <w:szCs w:val="18"/>
                <w:highlight w:val="none"/>
                <w:lang w:val="en-US" w:eastAsia="zh-CN"/>
              </w:rPr>
            </w:pPr>
            <w:r>
              <w:rPr>
                <w:rFonts w:hint="eastAsia"/>
                <w:bCs/>
                <w:color w:val="auto"/>
                <w:sz w:val="18"/>
                <w:szCs w:val="18"/>
                <w:highlight w:val="none"/>
                <w:lang w:eastAsia="zh-CN"/>
              </w:rPr>
              <w:t>双回段</w:t>
            </w:r>
          </w:p>
        </w:tc>
        <w:tc>
          <w:tcPr>
            <w:tcW w:w="492" w:type="pct"/>
            <w:tcBorders>
              <w:tl2br w:val="nil"/>
              <w:tr2bl w:val="nil"/>
            </w:tcBorders>
            <w:vAlign w:val="center"/>
          </w:tcPr>
          <w:p>
            <w:pPr>
              <w:adjustRightInd w:val="0"/>
              <w:jc w:val="center"/>
              <w:rPr>
                <w:rFonts w:hint="eastAsia"/>
                <w:bCs/>
                <w:color w:val="auto"/>
                <w:sz w:val="18"/>
                <w:szCs w:val="18"/>
                <w:highlight w:val="none"/>
                <w:lang w:eastAsia="zh-CN"/>
              </w:rPr>
            </w:pPr>
            <w:r>
              <w:rPr>
                <w:rFonts w:hint="eastAsia"/>
                <w:bCs/>
                <w:color w:val="auto"/>
                <w:sz w:val="18"/>
                <w:szCs w:val="18"/>
                <w:highlight w:val="none"/>
                <w:lang w:eastAsia="zh-CN"/>
              </w:rPr>
              <w:t>对应附图8-</w:t>
            </w:r>
            <w:r>
              <w:rPr>
                <w:rFonts w:hint="eastAsia"/>
                <w:bCs/>
                <w:color w:val="auto"/>
                <w:sz w:val="18"/>
                <w:szCs w:val="18"/>
                <w:highlight w:val="none"/>
                <w:lang w:val="en-US" w:eastAsia="zh-CN"/>
              </w:rPr>
              <w:t>4</w:t>
            </w:r>
            <w:r>
              <w:rPr>
                <w:rFonts w:hint="eastAsia"/>
                <w:bCs/>
                <w:color w:val="auto"/>
                <w:sz w:val="18"/>
                <w:szCs w:val="18"/>
                <w:highlight w:val="none"/>
                <w:lang w:eastAsia="zh-CN"/>
              </w:rPr>
              <w:t>：</w:t>
            </w:r>
            <w:r>
              <w:rPr>
                <w:rFonts w:hint="default" w:ascii="Calibri" w:hAnsi="Calibri" w:cs="Calibri"/>
                <w:bCs/>
                <w:color w:val="auto"/>
                <w:sz w:val="18"/>
                <w:szCs w:val="18"/>
                <w:highlight w:val="none"/>
                <w:lang w:eastAsia="zh-CN"/>
              </w:rPr>
              <w:t>⑤</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8" w:type="pct"/>
            <w:tcBorders>
              <w:tl2br w:val="nil"/>
              <w:tr2bl w:val="nil"/>
            </w:tcBorders>
            <w:vAlign w:val="center"/>
          </w:tcPr>
          <w:p>
            <w:pPr>
              <w:adjustRightInd w:val="0"/>
              <w:jc w:val="center"/>
              <w:rPr>
                <w:rFonts w:hint="default"/>
                <w:bCs/>
                <w:color w:val="auto"/>
                <w:sz w:val="18"/>
                <w:szCs w:val="18"/>
                <w:highlight w:val="none"/>
                <w:lang w:val="en-US" w:eastAsia="zh-CN"/>
              </w:rPr>
            </w:pPr>
            <w:r>
              <w:rPr>
                <w:rFonts w:hint="eastAsia"/>
                <w:bCs/>
                <w:color w:val="auto"/>
                <w:sz w:val="18"/>
                <w:szCs w:val="18"/>
                <w:highlight w:val="none"/>
                <w:lang w:val="en-US" w:eastAsia="zh-CN"/>
              </w:rPr>
              <w:t>6</w:t>
            </w:r>
          </w:p>
        </w:tc>
        <w:tc>
          <w:tcPr>
            <w:tcW w:w="422" w:type="pct"/>
            <w:tcBorders>
              <w:tl2br w:val="nil"/>
              <w:tr2bl w:val="nil"/>
            </w:tcBorders>
            <w:vAlign w:val="center"/>
          </w:tcPr>
          <w:p>
            <w:pPr>
              <w:adjustRightInd w:val="0"/>
              <w:jc w:val="center"/>
              <w:rPr>
                <w:rFonts w:hint="eastAsia" w:eastAsia="宋体"/>
                <w:bCs/>
                <w:color w:val="auto"/>
                <w:sz w:val="18"/>
                <w:szCs w:val="18"/>
                <w:highlight w:val="none"/>
                <w:lang w:val="en-US" w:eastAsia="zh-CN"/>
              </w:rPr>
            </w:pPr>
            <w:r>
              <w:rPr>
                <w:rFonts w:hint="eastAsia"/>
                <w:bCs/>
                <w:color w:val="auto"/>
                <w:sz w:val="18"/>
                <w:szCs w:val="18"/>
                <w:highlight w:val="none"/>
                <w:lang w:eastAsia="zh-CN"/>
              </w:rPr>
              <w:t>蒲吕街道沙心村民房</w:t>
            </w:r>
            <w:r>
              <w:rPr>
                <w:rFonts w:hint="eastAsia"/>
                <w:color w:val="auto"/>
                <w:lang w:val="en-US" w:eastAsia="zh-CN"/>
              </w:rPr>
              <w:t>8</w:t>
            </w:r>
          </w:p>
        </w:tc>
        <w:tc>
          <w:tcPr>
            <w:tcW w:w="668"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val="en-US" w:eastAsia="zh-CN"/>
              </w:rPr>
              <w:t>2F民房3户，高约6m，2F坡顶/2F平顶</w:t>
            </w:r>
          </w:p>
        </w:tc>
        <w:tc>
          <w:tcPr>
            <w:tcW w:w="438"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eastAsia="zh-CN"/>
              </w:rPr>
              <w:t>线路两侧，最近约</w:t>
            </w:r>
            <w:r>
              <w:rPr>
                <w:rFonts w:hint="eastAsia"/>
                <w:bCs/>
                <w:color w:val="auto"/>
                <w:sz w:val="18"/>
                <w:szCs w:val="18"/>
                <w:highlight w:val="none"/>
                <w:lang w:val="en-US" w:eastAsia="zh-CN"/>
              </w:rPr>
              <w:t>24m</w:t>
            </w:r>
          </w:p>
        </w:tc>
        <w:tc>
          <w:tcPr>
            <w:tcW w:w="327" w:type="pct"/>
            <w:tcBorders>
              <w:tl2br w:val="nil"/>
              <w:tr2bl w:val="nil"/>
            </w:tcBorders>
            <w:vAlign w:val="center"/>
          </w:tcPr>
          <w:p>
            <w:pPr>
              <w:adjustRightInd w:val="0"/>
              <w:jc w:val="center"/>
              <w:rPr>
                <w:rFonts w:hint="eastAsia"/>
                <w:b w:val="0"/>
                <w:bCs/>
                <w:color w:val="auto"/>
                <w:sz w:val="18"/>
                <w:szCs w:val="18"/>
                <w:highlight w:val="none"/>
                <w:lang w:val="en-US" w:eastAsia="zh-CN"/>
              </w:rPr>
            </w:pPr>
            <w:r>
              <w:rPr>
                <w:rFonts w:hint="eastAsia"/>
                <w:b w:val="0"/>
                <w:bCs/>
                <w:color w:val="auto"/>
                <w:sz w:val="18"/>
                <w:szCs w:val="18"/>
                <w:highlight w:val="none"/>
                <w:lang w:val="en-US" w:eastAsia="zh-CN"/>
              </w:rPr>
              <w:t>7m</w:t>
            </w:r>
          </w:p>
        </w:tc>
        <w:tc>
          <w:tcPr>
            <w:tcW w:w="590"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val="en-US" w:eastAsia="zh-CN"/>
              </w:rPr>
              <w:t>/</w:t>
            </w:r>
          </w:p>
        </w:tc>
        <w:tc>
          <w:tcPr>
            <w:tcW w:w="374" w:type="pct"/>
            <w:tcBorders>
              <w:tl2br w:val="nil"/>
              <w:tr2bl w:val="nil"/>
            </w:tcBorders>
            <w:vAlign w:val="center"/>
          </w:tcPr>
          <w:p>
            <w:pPr>
              <w:adjustRightInd w:val="0"/>
              <w:ind w:left="-50" w:leftChars="0" w:right="-50" w:rightChars="0"/>
              <w:jc w:val="center"/>
              <w:rPr>
                <w:rFonts w:ascii="Times New Roman" w:hAnsi="Times New Roman" w:eastAsia="宋体" w:cs="Times New Roman"/>
                <w:bCs/>
                <w:color w:val="auto"/>
                <w:kern w:val="2"/>
                <w:sz w:val="18"/>
                <w:szCs w:val="18"/>
                <w:highlight w:val="none"/>
                <w:lang w:val="en-US" w:eastAsia="zh-CN" w:bidi="ar-SA"/>
              </w:rPr>
            </w:pPr>
            <w:r>
              <w:rPr>
                <w:color w:val="auto"/>
                <w:sz w:val="18"/>
                <w:szCs w:val="18"/>
                <w:highlight w:val="none"/>
              </w:rPr>
              <w:t>E</w:t>
            </w:r>
            <w:r>
              <w:rPr>
                <w:rFonts w:hint="eastAsia"/>
                <w:color w:val="auto"/>
                <w:sz w:val="18"/>
                <w:szCs w:val="18"/>
                <w:highlight w:val="none"/>
              </w:rPr>
              <w:t>、</w:t>
            </w:r>
            <w:r>
              <w:rPr>
                <w:color w:val="auto"/>
                <w:sz w:val="18"/>
                <w:szCs w:val="18"/>
                <w:highlight w:val="none"/>
              </w:rPr>
              <w:t>B</w:t>
            </w:r>
            <w:r>
              <w:rPr>
                <w:rFonts w:hint="eastAsia"/>
                <w:color w:val="auto"/>
                <w:sz w:val="18"/>
                <w:szCs w:val="18"/>
                <w:highlight w:val="none"/>
              </w:rPr>
              <w:t>、</w:t>
            </w:r>
            <w:r>
              <w:rPr>
                <w:color w:val="auto"/>
                <w:sz w:val="18"/>
                <w:szCs w:val="18"/>
                <w:highlight w:val="none"/>
              </w:rPr>
              <w:t>N</w:t>
            </w:r>
          </w:p>
        </w:tc>
        <w:tc>
          <w:tcPr>
            <w:tcW w:w="427"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val="en-US" w:eastAsia="zh-CN"/>
              </w:rPr>
              <w:t>现状1类，高速公路建成后4a类</w:t>
            </w:r>
          </w:p>
        </w:tc>
        <w:tc>
          <w:tcPr>
            <w:tcW w:w="468"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rPr>
              <w:t>△</w:t>
            </w:r>
            <w:r>
              <w:rPr>
                <w:rFonts w:hint="eastAsia"/>
                <w:bCs/>
                <w:color w:val="auto"/>
                <w:sz w:val="18"/>
                <w:szCs w:val="18"/>
                <w:highlight w:val="none"/>
                <w:lang w:val="en-US" w:eastAsia="zh-CN"/>
              </w:rPr>
              <w:t>5</w:t>
            </w:r>
          </w:p>
        </w:tc>
        <w:tc>
          <w:tcPr>
            <w:tcW w:w="602" w:type="pct"/>
            <w:tcBorders>
              <w:tl2br w:val="nil"/>
              <w:tr2bl w:val="nil"/>
            </w:tcBorders>
            <w:vAlign w:val="center"/>
          </w:tcPr>
          <w:p>
            <w:pPr>
              <w:adjustRightInd w:val="0"/>
              <w:jc w:val="center"/>
              <w:rPr>
                <w:rFonts w:hint="eastAsia"/>
                <w:bCs/>
                <w:color w:val="auto"/>
                <w:sz w:val="18"/>
                <w:szCs w:val="18"/>
                <w:highlight w:val="none"/>
              </w:rPr>
            </w:pPr>
            <w:r>
              <w:rPr>
                <w:rFonts w:hint="eastAsia"/>
                <w:bCs/>
                <w:color w:val="auto"/>
                <w:sz w:val="18"/>
                <w:szCs w:val="18"/>
                <w:highlight w:val="none"/>
                <w:lang w:eastAsia="zh-CN"/>
              </w:rPr>
              <w:t>双回段</w:t>
            </w:r>
          </w:p>
        </w:tc>
        <w:tc>
          <w:tcPr>
            <w:tcW w:w="492" w:type="pct"/>
            <w:tcBorders>
              <w:tl2br w:val="nil"/>
              <w:tr2bl w:val="nil"/>
            </w:tcBorders>
            <w:vAlign w:val="center"/>
          </w:tcPr>
          <w:p>
            <w:pPr>
              <w:adjustRightInd w:val="0"/>
              <w:jc w:val="center"/>
              <w:rPr>
                <w:rFonts w:hint="eastAsia"/>
                <w:bCs/>
                <w:color w:val="auto"/>
                <w:sz w:val="18"/>
                <w:szCs w:val="18"/>
                <w:highlight w:val="none"/>
                <w:lang w:eastAsia="zh-CN"/>
              </w:rPr>
            </w:pPr>
            <w:r>
              <w:rPr>
                <w:rFonts w:hint="eastAsia"/>
                <w:bCs/>
                <w:color w:val="auto"/>
                <w:sz w:val="18"/>
                <w:szCs w:val="18"/>
                <w:highlight w:val="none"/>
                <w:lang w:eastAsia="zh-CN"/>
              </w:rPr>
              <w:t>对应附图8-</w:t>
            </w:r>
            <w:r>
              <w:rPr>
                <w:rFonts w:hint="eastAsia"/>
                <w:bCs/>
                <w:color w:val="auto"/>
                <w:sz w:val="18"/>
                <w:szCs w:val="18"/>
                <w:highlight w:val="none"/>
                <w:lang w:val="en-US" w:eastAsia="zh-CN"/>
              </w:rPr>
              <w:t>5</w:t>
            </w:r>
            <w:r>
              <w:rPr>
                <w:rFonts w:hint="eastAsia"/>
                <w:bCs/>
                <w:color w:val="auto"/>
                <w:sz w:val="18"/>
                <w:szCs w:val="18"/>
                <w:highlight w:val="none"/>
                <w:lang w:eastAsia="zh-CN"/>
              </w:rPr>
              <w:t>：</w:t>
            </w:r>
            <w:r>
              <w:rPr>
                <w:rFonts w:hint="default" w:ascii="Calibri" w:hAnsi="Calibri" w:cs="Calibri"/>
                <w:bCs/>
                <w:color w:val="auto"/>
                <w:sz w:val="18"/>
                <w:szCs w:val="18"/>
                <w:highlight w:val="none"/>
                <w:lang w:eastAsia="zh-CN"/>
              </w:rPr>
              <w:t>⑥</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8" w:type="pct"/>
            <w:tcBorders>
              <w:tl2br w:val="nil"/>
              <w:tr2bl w:val="nil"/>
            </w:tcBorders>
            <w:vAlign w:val="center"/>
          </w:tcPr>
          <w:p>
            <w:pPr>
              <w:adjustRightInd w:val="0"/>
              <w:jc w:val="center"/>
              <w:rPr>
                <w:rFonts w:hint="default"/>
                <w:bCs/>
                <w:color w:val="auto"/>
                <w:sz w:val="18"/>
                <w:szCs w:val="18"/>
                <w:highlight w:val="none"/>
                <w:lang w:val="en-US" w:eastAsia="zh-CN"/>
              </w:rPr>
            </w:pPr>
            <w:r>
              <w:rPr>
                <w:rFonts w:hint="eastAsia"/>
                <w:bCs/>
                <w:color w:val="auto"/>
                <w:sz w:val="18"/>
                <w:szCs w:val="18"/>
                <w:highlight w:val="none"/>
                <w:lang w:val="en-US" w:eastAsia="zh-CN"/>
              </w:rPr>
              <w:t>7</w:t>
            </w:r>
          </w:p>
        </w:tc>
        <w:tc>
          <w:tcPr>
            <w:tcW w:w="422" w:type="pct"/>
            <w:tcBorders>
              <w:tl2br w:val="nil"/>
              <w:tr2bl w:val="nil"/>
            </w:tcBorders>
            <w:vAlign w:val="center"/>
          </w:tcPr>
          <w:p>
            <w:pPr>
              <w:adjustRightInd w:val="0"/>
              <w:jc w:val="center"/>
              <w:rPr>
                <w:rFonts w:hint="eastAsia" w:eastAsia="宋体"/>
                <w:bCs/>
                <w:color w:val="auto"/>
                <w:sz w:val="18"/>
                <w:szCs w:val="18"/>
                <w:highlight w:val="none"/>
                <w:lang w:val="en-US" w:eastAsia="zh-CN"/>
              </w:rPr>
            </w:pPr>
            <w:r>
              <w:rPr>
                <w:rFonts w:hint="eastAsia"/>
                <w:bCs/>
                <w:color w:val="auto"/>
                <w:sz w:val="18"/>
                <w:szCs w:val="18"/>
                <w:highlight w:val="none"/>
                <w:lang w:eastAsia="zh-CN"/>
              </w:rPr>
              <w:t>蒲吕街道沙心村民房</w:t>
            </w:r>
            <w:r>
              <w:rPr>
                <w:rFonts w:hint="eastAsia"/>
                <w:color w:val="auto"/>
                <w:lang w:val="en-US" w:eastAsia="zh-CN"/>
              </w:rPr>
              <w:t>3</w:t>
            </w:r>
          </w:p>
        </w:tc>
        <w:tc>
          <w:tcPr>
            <w:tcW w:w="668"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val="en-US" w:eastAsia="zh-CN"/>
              </w:rPr>
              <w:t>1F民房2户，高约3m，坡顶</w:t>
            </w:r>
          </w:p>
        </w:tc>
        <w:tc>
          <w:tcPr>
            <w:tcW w:w="438" w:type="pct"/>
            <w:tcBorders>
              <w:tl2br w:val="nil"/>
              <w:tr2bl w:val="nil"/>
            </w:tcBorders>
            <w:vAlign w:val="center"/>
          </w:tcPr>
          <w:p>
            <w:pPr>
              <w:adjustRightInd w:val="0"/>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德淮南线</w:t>
            </w:r>
            <w:r>
              <w:rPr>
                <w:rFonts w:hint="default" w:ascii="Times New Roman" w:hAnsi="Times New Roman" w:eastAsia="宋体" w:cs="Times New Roman"/>
                <w:bCs/>
                <w:color w:val="auto"/>
                <w:sz w:val="18"/>
                <w:szCs w:val="18"/>
                <w:highlight w:val="none"/>
                <w:lang w:eastAsia="zh-CN"/>
              </w:rPr>
              <w:t>西侧约</w:t>
            </w:r>
            <w:r>
              <w:rPr>
                <w:rFonts w:hint="default" w:ascii="Times New Roman" w:hAnsi="Times New Roman" w:eastAsia="宋体" w:cs="Times New Roman"/>
                <w:bCs/>
                <w:color w:val="auto"/>
                <w:sz w:val="18"/>
                <w:szCs w:val="18"/>
                <w:highlight w:val="none"/>
                <w:lang w:val="en-US" w:eastAsia="zh-CN"/>
              </w:rPr>
              <w:t>8m</w:t>
            </w:r>
          </w:p>
          <w:p>
            <w:pPr>
              <w:adjustRightInd w:val="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德淮北线</w:t>
            </w:r>
            <w:r>
              <w:rPr>
                <w:rFonts w:hint="default" w:ascii="Times New Roman" w:hAnsi="Times New Roman" w:eastAsia="宋体" w:cs="Times New Roman"/>
                <w:bCs/>
                <w:color w:val="auto"/>
                <w:sz w:val="18"/>
                <w:szCs w:val="18"/>
                <w:highlight w:val="none"/>
                <w:lang w:eastAsia="zh-CN"/>
              </w:rPr>
              <w:t>西侧约</w:t>
            </w:r>
            <w:r>
              <w:rPr>
                <w:rFonts w:hint="eastAsia" w:ascii="Times New Roman" w:hAnsi="Times New Roman" w:eastAsia="宋体" w:cs="Times New Roman"/>
                <w:bCs/>
                <w:color w:val="auto"/>
                <w:sz w:val="18"/>
                <w:szCs w:val="18"/>
                <w:highlight w:val="none"/>
                <w:lang w:val="en-US" w:eastAsia="zh-CN"/>
              </w:rPr>
              <w:t>16</w:t>
            </w:r>
            <w:r>
              <w:rPr>
                <w:rFonts w:hint="default" w:ascii="Times New Roman" w:hAnsi="Times New Roman" w:eastAsia="宋体" w:cs="Times New Roman"/>
                <w:bCs/>
                <w:color w:val="auto"/>
                <w:sz w:val="18"/>
                <w:szCs w:val="18"/>
                <w:highlight w:val="none"/>
                <w:lang w:val="en-US" w:eastAsia="zh-CN"/>
              </w:rPr>
              <w:t>m</w:t>
            </w:r>
          </w:p>
        </w:tc>
        <w:tc>
          <w:tcPr>
            <w:tcW w:w="327" w:type="pct"/>
            <w:tcBorders>
              <w:tl2br w:val="nil"/>
              <w:tr2bl w:val="nil"/>
            </w:tcBorders>
            <w:vAlign w:val="center"/>
          </w:tcPr>
          <w:p>
            <w:pPr>
              <w:adjustRightInd w:val="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7m</w:t>
            </w:r>
          </w:p>
        </w:tc>
        <w:tc>
          <w:tcPr>
            <w:tcW w:w="590"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 w:val="0"/>
                <w:bCs/>
                <w:color w:val="auto"/>
                <w:sz w:val="18"/>
                <w:szCs w:val="18"/>
                <w:highlight w:val="none"/>
                <w:lang w:eastAsia="zh-CN"/>
              </w:rPr>
              <w:t>淮阳变电站东北侧约</w:t>
            </w:r>
            <w:r>
              <w:rPr>
                <w:rFonts w:hint="eastAsia"/>
                <w:b w:val="0"/>
                <w:bCs/>
                <w:color w:val="auto"/>
                <w:sz w:val="18"/>
                <w:szCs w:val="18"/>
                <w:highlight w:val="none"/>
                <w:lang w:val="en-US" w:eastAsia="zh-CN"/>
              </w:rPr>
              <w:t>70m</w:t>
            </w:r>
          </w:p>
        </w:tc>
        <w:tc>
          <w:tcPr>
            <w:tcW w:w="374" w:type="pct"/>
            <w:tcBorders>
              <w:tl2br w:val="nil"/>
              <w:tr2bl w:val="nil"/>
            </w:tcBorders>
            <w:vAlign w:val="center"/>
          </w:tcPr>
          <w:p>
            <w:pPr>
              <w:adjustRightInd w:val="0"/>
              <w:ind w:left="-50" w:leftChars="0" w:right="-50" w:rightChars="0"/>
              <w:jc w:val="center"/>
              <w:rPr>
                <w:rFonts w:ascii="Times New Roman" w:hAnsi="Times New Roman" w:eastAsia="宋体" w:cs="Times New Roman"/>
                <w:bCs/>
                <w:color w:val="auto"/>
                <w:kern w:val="2"/>
                <w:sz w:val="18"/>
                <w:szCs w:val="18"/>
                <w:highlight w:val="none"/>
                <w:lang w:val="en-US" w:eastAsia="zh-CN" w:bidi="ar-SA"/>
              </w:rPr>
            </w:pPr>
            <w:r>
              <w:rPr>
                <w:color w:val="auto"/>
                <w:sz w:val="18"/>
                <w:szCs w:val="18"/>
                <w:highlight w:val="none"/>
              </w:rPr>
              <w:t>E</w:t>
            </w:r>
            <w:r>
              <w:rPr>
                <w:rFonts w:hint="eastAsia"/>
                <w:color w:val="auto"/>
                <w:sz w:val="18"/>
                <w:szCs w:val="18"/>
                <w:highlight w:val="none"/>
              </w:rPr>
              <w:t>、</w:t>
            </w:r>
            <w:r>
              <w:rPr>
                <w:color w:val="auto"/>
                <w:sz w:val="18"/>
                <w:szCs w:val="18"/>
                <w:highlight w:val="none"/>
              </w:rPr>
              <w:t>B</w:t>
            </w:r>
            <w:r>
              <w:rPr>
                <w:rFonts w:hint="eastAsia"/>
                <w:color w:val="auto"/>
                <w:sz w:val="18"/>
                <w:szCs w:val="18"/>
                <w:highlight w:val="none"/>
              </w:rPr>
              <w:t>、</w:t>
            </w:r>
            <w:r>
              <w:rPr>
                <w:color w:val="auto"/>
                <w:sz w:val="18"/>
                <w:szCs w:val="18"/>
                <w:highlight w:val="none"/>
              </w:rPr>
              <w:t>N</w:t>
            </w:r>
          </w:p>
        </w:tc>
        <w:tc>
          <w:tcPr>
            <w:tcW w:w="427"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lang w:val="en-US" w:eastAsia="zh-CN"/>
              </w:rPr>
              <w:t>3</w:t>
            </w:r>
            <w:r>
              <w:rPr>
                <w:rFonts w:hint="eastAsia"/>
                <w:bCs/>
                <w:color w:val="auto"/>
                <w:sz w:val="18"/>
                <w:szCs w:val="18"/>
                <w:highlight w:val="none"/>
              </w:rPr>
              <w:t>类</w:t>
            </w:r>
          </w:p>
        </w:tc>
        <w:tc>
          <w:tcPr>
            <w:tcW w:w="468" w:type="pct"/>
            <w:tcBorders>
              <w:tl2br w:val="nil"/>
              <w:tr2bl w:val="nil"/>
            </w:tcBorders>
            <w:vAlign w:val="center"/>
          </w:tcPr>
          <w:p>
            <w:pPr>
              <w:adjustRightInd w:val="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bCs/>
                <w:color w:val="auto"/>
                <w:sz w:val="18"/>
                <w:szCs w:val="18"/>
                <w:highlight w:val="none"/>
              </w:rPr>
              <w:t>☆</w:t>
            </w:r>
            <w:r>
              <w:rPr>
                <w:rFonts w:hint="eastAsia"/>
                <w:bCs/>
                <w:color w:val="auto"/>
                <w:sz w:val="18"/>
                <w:szCs w:val="18"/>
                <w:highlight w:val="none"/>
                <w:lang w:val="en-US" w:eastAsia="zh-CN"/>
              </w:rPr>
              <w:t>6</w:t>
            </w:r>
            <w:r>
              <w:rPr>
                <w:rFonts w:hint="eastAsia"/>
                <w:bCs/>
                <w:color w:val="auto"/>
                <w:sz w:val="18"/>
                <w:szCs w:val="18"/>
                <w:highlight w:val="none"/>
              </w:rPr>
              <w:t>△</w:t>
            </w:r>
            <w:r>
              <w:rPr>
                <w:rFonts w:hint="eastAsia"/>
                <w:bCs/>
                <w:color w:val="auto"/>
                <w:sz w:val="18"/>
                <w:szCs w:val="18"/>
                <w:highlight w:val="none"/>
                <w:lang w:val="en-US" w:eastAsia="zh-CN"/>
              </w:rPr>
              <w:t>7</w:t>
            </w:r>
          </w:p>
        </w:tc>
        <w:tc>
          <w:tcPr>
            <w:tcW w:w="602" w:type="pct"/>
            <w:tcBorders>
              <w:tl2br w:val="nil"/>
              <w:tr2bl w:val="nil"/>
            </w:tcBorders>
            <w:vAlign w:val="center"/>
          </w:tcPr>
          <w:p>
            <w:pPr>
              <w:adjustRightInd w:val="0"/>
              <w:jc w:val="center"/>
              <w:rPr>
                <w:rFonts w:hint="default" w:eastAsia="宋体"/>
                <w:bCs/>
                <w:color w:val="auto"/>
                <w:sz w:val="18"/>
                <w:szCs w:val="18"/>
                <w:highlight w:val="none"/>
                <w:lang w:val="en-US" w:eastAsia="zh-CN"/>
              </w:rPr>
            </w:pPr>
            <w:r>
              <w:rPr>
                <w:rFonts w:hint="eastAsia"/>
                <w:bCs/>
                <w:color w:val="auto"/>
                <w:sz w:val="18"/>
                <w:szCs w:val="18"/>
                <w:highlight w:val="none"/>
                <w:lang w:eastAsia="zh-CN"/>
              </w:rPr>
              <w:t>单回段</w:t>
            </w:r>
          </w:p>
        </w:tc>
        <w:tc>
          <w:tcPr>
            <w:tcW w:w="492" w:type="pct"/>
            <w:tcBorders>
              <w:tl2br w:val="nil"/>
              <w:tr2bl w:val="nil"/>
            </w:tcBorders>
            <w:vAlign w:val="center"/>
          </w:tcPr>
          <w:p>
            <w:pPr>
              <w:adjustRightInd w:val="0"/>
              <w:jc w:val="center"/>
              <w:rPr>
                <w:rFonts w:hint="eastAsia"/>
                <w:bCs/>
                <w:color w:val="auto"/>
                <w:sz w:val="18"/>
                <w:szCs w:val="18"/>
                <w:highlight w:val="none"/>
                <w:lang w:eastAsia="zh-CN"/>
              </w:rPr>
            </w:pPr>
            <w:r>
              <w:rPr>
                <w:rFonts w:hint="eastAsia"/>
                <w:bCs/>
                <w:color w:val="auto"/>
                <w:sz w:val="18"/>
                <w:szCs w:val="18"/>
                <w:highlight w:val="none"/>
                <w:lang w:eastAsia="zh-CN"/>
              </w:rPr>
              <w:t>对应附图8-</w:t>
            </w:r>
            <w:r>
              <w:rPr>
                <w:rFonts w:hint="eastAsia"/>
                <w:bCs/>
                <w:color w:val="auto"/>
                <w:sz w:val="18"/>
                <w:szCs w:val="18"/>
                <w:highlight w:val="none"/>
                <w:lang w:val="en-US" w:eastAsia="zh-CN"/>
              </w:rPr>
              <w:t>5</w:t>
            </w:r>
            <w:r>
              <w:rPr>
                <w:rFonts w:hint="eastAsia"/>
                <w:bCs/>
                <w:color w:val="auto"/>
                <w:sz w:val="18"/>
                <w:szCs w:val="18"/>
                <w:highlight w:val="none"/>
                <w:lang w:eastAsia="zh-CN"/>
              </w:rPr>
              <w:t>：</w:t>
            </w:r>
            <w:r>
              <w:rPr>
                <w:rFonts w:hint="default" w:ascii="Calibri" w:hAnsi="Calibri" w:cs="Calibri"/>
                <w:bCs/>
                <w:color w:val="auto"/>
                <w:sz w:val="18"/>
                <w:szCs w:val="18"/>
                <w:highlight w:val="none"/>
                <w:lang w:eastAsia="zh-CN"/>
              </w:rPr>
              <w:t>⑦</w:t>
            </w:r>
          </w:p>
        </w:tc>
      </w:tr>
    </w:tbl>
    <w:p>
      <w:pPr>
        <w:pStyle w:val="35"/>
        <w:rPr>
          <w:color w:val="auto"/>
          <w:highlight w:val="yellow"/>
        </w:rPr>
      </w:pPr>
      <w:r>
        <w:rPr>
          <w:rFonts w:ascii="Times New Roman" w:hAnsi="Times New Roman" w:cs="Times New Roman"/>
          <w:color w:val="auto"/>
          <w:kern w:val="0"/>
          <w:sz w:val="21"/>
          <w:szCs w:val="21"/>
          <w:highlight w:val="none"/>
        </w:rPr>
        <w:t>备注：E—工频电场强度、B—磁感应强度、N—噪声</w:t>
      </w:r>
      <w:r>
        <w:rPr>
          <w:rFonts w:hint="eastAsia" w:ascii="Times New Roman" w:hAnsi="Times New Roman" w:cs="Times New Roman"/>
          <w:color w:val="auto"/>
          <w:kern w:val="0"/>
          <w:sz w:val="21"/>
          <w:szCs w:val="21"/>
          <w:highlight w:val="none"/>
        </w:rPr>
        <w:t>、</w:t>
      </w:r>
      <w:r>
        <w:rPr>
          <w:rFonts w:hint="eastAsia" w:ascii="宋体" w:hAnsi="宋体" w:cs="Times New Roman"/>
          <w:color w:val="auto"/>
          <w:kern w:val="0"/>
          <w:sz w:val="21"/>
          <w:szCs w:val="21"/>
          <w:highlight w:val="none"/>
        </w:rPr>
        <w:t>☆</w:t>
      </w:r>
      <w:r>
        <w:rPr>
          <w:rFonts w:ascii="Times New Roman" w:hAnsi="Times New Roman" w:cs="Times New Roman"/>
          <w:color w:val="auto"/>
          <w:kern w:val="0"/>
          <w:sz w:val="21"/>
          <w:szCs w:val="21"/>
          <w:highlight w:val="none"/>
        </w:rPr>
        <w:t>—</w:t>
      </w:r>
      <w:r>
        <w:rPr>
          <w:rFonts w:hint="eastAsia" w:ascii="宋体" w:hAnsi="宋体" w:cs="Times New Roman"/>
          <w:color w:val="auto"/>
          <w:kern w:val="0"/>
          <w:sz w:val="21"/>
          <w:szCs w:val="21"/>
          <w:highlight w:val="none"/>
        </w:rPr>
        <w:t>电磁环境监测点位、△</w:t>
      </w:r>
      <w:r>
        <w:rPr>
          <w:rFonts w:ascii="Times New Roman" w:hAnsi="Times New Roman" w:cs="Times New Roman"/>
          <w:color w:val="auto"/>
          <w:kern w:val="0"/>
          <w:sz w:val="21"/>
          <w:szCs w:val="21"/>
          <w:highlight w:val="none"/>
        </w:rPr>
        <w:t>—</w:t>
      </w:r>
      <w:r>
        <w:rPr>
          <w:rFonts w:hint="eastAsia" w:ascii="宋体" w:hAnsi="宋体" w:cs="Times New Roman"/>
          <w:color w:val="auto"/>
          <w:kern w:val="0"/>
          <w:sz w:val="21"/>
          <w:szCs w:val="21"/>
          <w:highlight w:val="none"/>
        </w:rPr>
        <w:t>声环境监测点位</w:t>
      </w:r>
    </w:p>
    <w:p>
      <w:pPr>
        <w:pStyle w:val="35"/>
        <w:rPr>
          <w:color w:val="auto"/>
          <w:highlight w:val="yellow"/>
        </w:rPr>
        <w:sectPr>
          <w:pgSz w:w="16838" w:h="11906" w:orient="landscape"/>
          <w:pgMar w:top="1800" w:right="1440" w:bottom="1800" w:left="1440" w:header="851" w:footer="1077" w:gutter="0"/>
          <w:pgBorders>
            <w:top w:val="none" w:sz="0" w:space="0"/>
            <w:left w:val="none" w:sz="0" w:space="0"/>
            <w:bottom w:val="none" w:sz="0" w:space="0"/>
            <w:right w:val="none" w:sz="0" w:space="0"/>
          </w:pgBorders>
          <w:cols w:space="720" w:num="1"/>
          <w:docGrid w:linePitch="312" w:charSpace="0"/>
        </w:sectPr>
      </w:pP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80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1" w:hRule="atLeast"/>
          <w:jc w:val="center"/>
        </w:trPr>
        <w:tc>
          <w:tcPr>
            <w:tcW w:w="273" w:type="pct"/>
            <w:vAlign w:val="center"/>
          </w:tcPr>
          <w:p>
            <w:pPr>
              <w:adjustRightInd w:val="0"/>
              <w:snapToGrid w:val="0"/>
              <w:jc w:val="center"/>
              <w:rPr>
                <w:rFonts w:cs="宋体"/>
                <w:color w:val="auto"/>
                <w:kern w:val="0"/>
                <w:sz w:val="24"/>
                <w:highlight w:val="none"/>
              </w:rPr>
            </w:pPr>
            <w:r>
              <w:rPr>
                <w:rFonts w:hint="eastAsia" w:cs="宋体"/>
                <w:color w:val="auto"/>
                <w:kern w:val="0"/>
                <w:sz w:val="24"/>
                <w:highlight w:val="none"/>
              </w:rPr>
              <w:t>评价</w:t>
            </w:r>
          </w:p>
          <w:p>
            <w:pPr>
              <w:adjustRightInd w:val="0"/>
              <w:snapToGrid w:val="0"/>
              <w:jc w:val="center"/>
              <w:rPr>
                <w:rFonts w:cs="宋体"/>
                <w:color w:val="auto"/>
                <w:kern w:val="0"/>
                <w:szCs w:val="21"/>
                <w:highlight w:val="yellow"/>
              </w:rPr>
            </w:pPr>
            <w:r>
              <w:rPr>
                <w:rFonts w:hint="eastAsia" w:cs="宋体"/>
                <w:color w:val="auto"/>
                <w:kern w:val="0"/>
                <w:sz w:val="24"/>
                <w:highlight w:val="none"/>
              </w:rPr>
              <w:t>标准</w:t>
            </w:r>
          </w:p>
        </w:tc>
        <w:tc>
          <w:tcPr>
            <w:tcW w:w="4727" w:type="pct"/>
            <w:vAlign w:val="center"/>
          </w:tcPr>
          <w:p>
            <w:pPr>
              <w:adjustRightInd w:val="0"/>
              <w:snapToGrid w:val="0"/>
              <w:spacing w:line="360" w:lineRule="auto"/>
              <w:rPr>
                <w:b/>
                <w:color w:val="auto"/>
                <w:sz w:val="24"/>
                <w:highlight w:val="none"/>
              </w:rPr>
            </w:pPr>
            <w:r>
              <w:rPr>
                <w:rFonts w:hint="eastAsia"/>
                <w:b/>
                <w:color w:val="auto"/>
                <w:sz w:val="24"/>
                <w:highlight w:val="none"/>
              </w:rPr>
              <w:t>3</w:t>
            </w:r>
            <w:r>
              <w:rPr>
                <w:b/>
                <w:color w:val="auto"/>
                <w:sz w:val="24"/>
                <w:highlight w:val="none"/>
              </w:rPr>
              <w:t>.5</w:t>
            </w:r>
            <w:r>
              <w:rPr>
                <w:b/>
                <w:bCs/>
                <w:color w:val="auto"/>
                <w:sz w:val="24"/>
                <w:highlight w:val="none"/>
              </w:rPr>
              <w:t>环境</w:t>
            </w:r>
            <w:r>
              <w:rPr>
                <w:b/>
                <w:color w:val="auto"/>
                <w:sz w:val="24"/>
                <w:highlight w:val="none"/>
              </w:rPr>
              <w:t>质量标准</w:t>
            </w:r>
          </w:p>
          <w:p>
            <w:pPr>
              <w:adjustRightInd w:val="0"/>
              <w:snapToGrid w:val="0"/>
              <w:spacing w:line="360" w:lineRule="auto"/>
              <w:ind w:firstLine="482" w:firstLineChars="200"/>
              <w:rPr>
                <w:b/>
                <w:bCs/>
                <w:snapToGrid w:val="0"/>
                <w:color w:val="auto"/>
                <w:kern w:val="0"/>
                <w:sz w:val="24"/>
                <w:highlight w:val="none"/>
              </w:rPr>
            </w:pPr>
            <w:r>
              <w:rPr>
                <w:rFonts w:hint="eastAsia"/>
                <w:b/>
                <w:bCs/>
                <w:snapToGrid w:val="0"/>
                <w:color w:val="auto"/>
                <w:kern w:val="0"/>
                <w:sz w:val="24"/>
                <w:highlight w:val="none"/>
              </w:rPr>
              <w:t>（</w:t>
            </w:r>
            <w:r>
              <w:rPr>
                <w:b/>
                <w:bCs/>
                <w:snapToGrid w:val="0"/>
                <w:color w:val="auto"/>
                <w:kern w:val="0"/>
                <w:sz w:val="24"/>
                <w:highlight w:val="none"/>
              </w:rPr>
              <w:t>1</w:t>
            </w:r>
            <w:r>
              <w:rPr>
                <w:rFonts w:hint="eastAsia"/>
                <w:b/>
                <w:bCs/>
                <w:snapToGrid w:val="0"/>
                <w:color w:val="auto"/>
                <w:kern w:val="0"/>
                <w:sz w:val="24"/>
                <w:highlight w:val="none"/>
              </w:rPr>
              <w:t>）大气环境</w:t>
            </w:r>
          </w:p>
          <w:p>
            <w:pPr>
              <w:adjustRightInd w:val="0"/>
              <w:snapToGrid w:val="0"/>
              <w:spacing w:line="360" w:lineRule="auto"/>
              <w:ind w:firstLine="480"/>
              <w:rPr>
                <w:color w:val="auto"/>
                <w:highlight w:val="none"/>
              </w:rPr>
            </w:pPr>
            <w:r>
              <w:rPr>
                <w:rFonts w:hint="eastAsia"/>
                <w:color w:val="auto"/>
                <w:sz w:val="24"/>
                <w:highlight w:val="none"/>
                <w:lang w:bidi="en-US"/>
              </w:rPr>
              <w:t>本项目位于</w:t>
            </w:r>
            <w:r>
              <w:rPr>
                <w:rFonts w:hint="eastAsia"/>
                <w:color w:val="auto"/>
                <w:sz w:val="24"/>
                <w:highlight w:val="none"/>
                <w:lang w:eastAsia="zh-CN" w:bidi="en-US"/>
              </w:rPr>
              <w:t>铜梁区</w:t>
            </w:r>
            <w:r>
              <w:rPr>
                <w:rFonts w:hint="eastAsia"/>
                <w:color w:val="auto"/>
                <w:sz w:val="24"/>
                <w:highlight w:val="none"/>
                <w:lang w:bidi="en-US"/>
              </w:rPr>
              <w:t>，根据《重庆市环境空气质量功能区划分规定》（渝府发</w:t>
            </w:r>
            <w:r>
              <w:rPr>
                <w:color w:val="auto"/>
                <w:sz w:val="24"/>
                <w:highlight w:val="none"/>
                <w:lang w:bidi="en-US"/>
              </w:rPr>
              <w:t>[2016]19</w:t>
            </w:r>
            <w:r>
              <w:rPr>
                <w:rFonts w:hint="eastAsia"/>
                <w:color w:val="auto"/>
                <w:sz w:val="24"/>
                <w:highlight w:val="none"/>
                <w:lang w:bidi="en-US"/>
              </w:rPr>
              <w:t>号）规定，本项目所在区域为空气质量二类功能区，评价标准按《环境空气质量标准》（</w:t>
            </w:r>
            <w:r>
              <w:rPr>
                <w:color w:val="auto"/>
                <w:sz w:val="24"/>
                <w:highlight w:val="none"/>
                <w:lang w:bidi="en-US"/>
              </w:rPr>
              <w:t>GB3095-2012</w:t>
            </w:r>
            <w:r>
              <w:rPr>
                <w:rFonts w:hint="eastAsia"/>
                <w:color w:val="auto"/>
                <w:sz w:val="24"/>
                <w:highlight w:val="none"/>
                <w:lang w:bidi="en-US"/>
              </w:rPr>
              <w:t>）二级标准执行。</w:t>
            </w:r>
          </w:p>
          <w:p>
            <w:pPr>
              <w:adjustRightInd w:val="0"/>
              <w:snapToGrid w:val="0"/>
              <w:jc w:val="center"/>
              <w:rPr>
                <w:b/>
                <w:bCs/>
                <w:color w:val="auto"/>
                <w:sz w:val="24"/>
                <w:highlight w:val="none"/>
              </w:rPr>
            </w:pPr>
            <w:r>
              <w:rPr>
                <w:rFonts w:hint="eastAsia"/>
                <w:b/>
                <w:bCs/>
                <w:color w:val="auto"/>
                <w:sz w:val="24"/>
                <w:highlight w:val="none"/>
              </w:rPr>
              <w:t>表</w:t>
            </w:r>
            <w:r>
              <w:rPr>
                <w:b/>
                <w:bCs/>
                <w:color w:val="auto"/>
                <w:sz w:val="24"/>
                <w:highlight w:val="none"/>
              </w:rPr>
              <w:t>3-</w:t>
            </w:r>
            <w:r>
              <w:rPr>
                <w:rFonts w:hint="eastAsia"/>
                <w:b/>
                <w:bCs/>
                <w:color w:val="auto"/>
                <w:sz w:val="24"/>
                <w:highlight w:val="none"/>
                <w:lang w:val="en-US" w:eastAsia="zh-CN"/>
              </w:rPr>
              <w:t>9</w:t>
            </w:r>
            <w:r>
              <w:rPr>
                <w:b/>
                <w:bCs/>
                <w:color w:val="auto"/>
                <w:sz w:val="24"/>
                <w:highlight w:val="none"/>
              </w:rPr>
              <w:t xml:space="preserve">  </w:t>
            </w:r>
            <w:r>
              <w:rPr>
                <w:rFonts w:hint="eastAsia"/>
                <w:b/>
                <w:bCs/>
                <w:color w:val="auto"/>
                <w:sz w:val="24"/>
                <w:highlight w:val="none"/>
              </w:rPr>
              <w:t>区域空气质量现状评价表</w:t>
            </w:r>
          </w:p>
          <w:tbl>
            <w:tblPr>
              <w:tblStyle w:val="28"/>
              <w:tblW w:w="772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13" w:type="dxa"/>
                <w:bottom w:w="0" w:type="dxa"/>
                <w:right w:w="113" w:type="dxa"/>
              </w:tblCellMar>
            </w:tblPr>
            <w:tblGrid>
              <w:gridCol w:w="2594"/>
              <w:gridCol w:w="1829"/>
              <w:gridCol w:w="1822"/>
              <w:gridCol w:w="14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90" w:hRule="atLeast"/>
                <w:tblHeader/>
                <w:jc w:val="center"/>
              </w:trPr>
              <w:tc>
                <w:tcPr>
                  <w:tcW w:w="2594" w:type="dxa"/>
                  <w:vAlign w:val="center"/>
                </w:tcPr>
                <w:p>
                  <w:pPr>
                    <w:pStyle w:val="60"/>
                    <w:spacing w:before="24" w:after="24"/>
                    <w:rPr>
                      <w:rFonts w:ascii="Times New Roman"/>
                      <w:b/>
                      <w:color w:val="auto"/>
                      <w:kern w:val="2"/>
                      <w:szCs w:val="21"/>
                      <w:highlight w:val="none"/>
                    </w:rPr>
                  </w:pPr>
                  <w:r>
                    <w:rPr>
                      <w:rFonts w:ascii="Times New Roman"/>
                      <w:b/>
                      <w:color w:val="auto"/>
                      <w:kern w:val="2"/>
                      <w:szCs w:val="21"/>
                      <w:highlight w:val="none"/>
                    </w:rPr>
                    <w:t>污染物</w:t>
                  </w:r>
                </w:p>
              </w:tc>
              <w:tc>
                <w:tcPr>
                  <w:tcW w:w="1829" w:type="dxa"/>
                  <w:vAlign w:val="center"/>
                </w:tcPr>
                <w:p>
                  <w:pPr>
                    <w:pStyle w:val="60"/>
                    <w:spacing w:before="24" w:after="24"/>
                    <w:rPr>
                      <w:rFonts w:ascii="Times New Roman"/>
                      <w:b/>
                      <w:color w:val="auto"/>
                      <w:kern w:val="2"/>
                      <w:szCs w:val="21"/>
                      <w:highlight w:val="none"/>
                    </w:rPr>
                  </w:pPr>
                  <w:r>
                    <w:rPr>
                      <w:rFonts w:ascii="Times New Roman"/>
                      <w:b/>
                      <w:color w:val="auto"/>
                      <w:kern w:val="2"/>
                      <w:szCs w:val="21"/>
                      <w:highlight w:val="none"/>
                    </w:rPr>
                    <w:t>取值时间</w:t>
                  </w:r>
                </w:p>
              </w:tc>
              <w:tc>
                <w:tcPr>
                  <w:tcW w:w="1822" w:type="dxa"/>
                  <w:vAlign w:val="center"/>
                </w:tcPr>
                <w:p>
                  <w:pPr>
                    <w:pStyle w:val="60"/>
                    <w:spacing w:before="24" w:after="24"/>
                    <w:rPr>
                      <w:rFonts w:ascii="Times New Roman"/>
                      <w:b/>
                      <w:color w:val="auto"/>
                      <w:kern w:val="2"/>
                      <w:szCs w:val="21"/>
                      <w:highlight w:val="none"/>
                    </w:rPr>
                  </w:pPr>
                  <w:r>
                    <w:rPr>
                      <w:rFonts w:ascii="Times New Roman"/>
                      <w:b/>
                      <w:color w:val="auto"/>
                      <w:kern w:val="2"/>
                      <w:szCs w:val="21"/>
                      <w:highlight w:val="none"/>
                    </w:rPr>
                    <w:t>二级标准浓度限值(μg/m</w:t>
                  </w:r>
                  <w:r>
                    <w:rPr>
                      <w:rFonts w:ascii="Times New Roman"/>
                      <w:b/>
                      <w:color w:val="auto"/>
                      <w:kern w:val="2"/>
                      <w:szCs w:val="21"/>
                      <w:highlight w:val="none"/>
                      <w:vertAlign w:val="superscript"/>
                    </w:rPr>
                    <w:t>3</w:t>
                  </w:r>
                  <w:r>
                    <w:rPr>
                      <w:rFonts w:ascii="Times New Roman"/>
                      <w:b/>
                      <w:color w:val="auto"/>
                      <w:kern w:val="2"/>
                      <w:szCs w:val="21"/>
                      <w:highlight w:val="none"/>
                    </w:rPr>
                    <w:t>)</w:t>
                  </w:r>
                </w:p>
              </w:tc>
              <w:tc>
                <w:tcPr>
                  <w:tcW w:w="1477" w:type="dxa"/>
                  <w:vAlign w:val="center"/>
                </w:tcPr>
                <w:p>
                  <w:pPr>
                    <w:pStyle w:val="60"/>
                    <w:spacing w:before="24" w:after="24"/>
                    <w:rPr>
                      <w:rFonts w:ascii="Times New Roman"/>
                      <w:b/>
                      <w:color w:val="auto"/>
                      <w:kern w:val="2"/>
                      <w:szCs w:val="21"/>
                      <w:highlight w:val="none"/>
                    </w:rPr>
                  </w:pPr>
                  <w:r>
                    <w:rPr>
                      <w:rFonts w:ascii="Times New Roman"/>
                      <w:b/>
                      <w:color w:val="auto"/>
                      <w:kern w:val="2"/>
                      <w:szCs w:val="21"/>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44" w:hRule="atLeast"/>
                <w:jc w:val="center"/>
              </w:trPr>
              <w:tc>
                <w:tcPr>
                  <w:tcW w:w="2594" w:type="dxa"/>
                  <w:vAlign w:val="center"/>
                </w:tcPr>
                <w:p>
                  <w:pPr>
                    <w:pStyle w:val="60"/>
                    <w:spacing w:before="24" w:after="24"/>
                    <w:rPr>
                      <w:rFonts w:ascii="Times New Roman"/>
                      <w:color w:val="auto"/>
                      <w:kern w:val="2"/>
                      <w:szCs w:val="21"/>
                      <w:highlight w:val="none"/>
                      <w:vertAlign w:val="subscript"/>
                    </w:rPr>
                  </w:pPr>
                  <w:r>
                    <w:rPr>
                      <w:rFonts w:ascii="Times New Roman"/>
                      <w:color w:val="auto"/>
                      <w:kern w:val="2"/>
                      <w:szCs w:val="21"/>
                      <w:highlight w:val="none"/>
                    </w:rPr>
                    <w:t>SO</w:t>
                  </w:r>
                  <w:r>
                    <w:rPr>
                      <w:rFonts w:ascii="Times New Roman"/>
                      <w:color w:val="auto"/>
                      <w:kern w:val="2"/>
                      <w:szCs w:val="21"/>
                      <w:highlight w:val="none"/>
                      <w:vertAlign w:val="subscript"/>
                    </w:rPr>
                    <w:t>2</w:t>
                  </w:r>
                </w:p>
              </w:tc>
              <w:tc>
                <w:tcPr>
                  <w:tcW w:w="1829" w:type="dxa"/>
                  <w:vAlign w:val="center"/>
                </w:tcPr>
                <w:p>
                  <w:pPr>
                    <w:pStyle w:val="60"/>
                    <w:spacing w:before="24" w:after="24"/>
                    <w:rPr>
                      <w:rFonts w:ascii="Times New Roman"/>
                      <w:color w:val="auto"/>
                      <w:kern w:val="2"/>
                      <w:szCs w:val="21"/>
                      <w:highlight w:val="none"/>
                    </w:rPr>
                  </w:pPr>
                  <w:r>
                    <w:rPr>
                      <w:rFonts w:ascii="Times New Roman"/>
                      <w:color w:val="auto"/>
                      <w:kern w:val="2"/>
                      <w:szCs w:val="21"/>
                      <w:highlight w:val="none"/>
                    </w:rPr>
                    <w:t>年平均</w:t>
                  </w:r>
                </w:p>
              </w:tc>
              <w:tc>
                <w:tcPr>
                  <w:tcW w:w="1822" w:type="dxa"/>
                  <w:vAlign w:val="center"/>
                </w:tcPr>
                <w:p>
                  <w:pPr>
                    <w:pStyle w:val="60"/>
                    <w:spacing w:before="24" w:after="24"/>
                    <w:rPr>
                      <w:rFonts w:ascii="Times New Roman"/>
                      <w:color w:val="auto"/>
                      <w:kern w:val="2"/>
                      <w:szCs w:val="21"/>
                      <w:highlight w:val="none"/>
                    </w:rPr>
                  </w:pPr>
                  <w:r>
                    <w:rPr>
                      <w:rFonts w:ascii="Times New Roman"/>
                      <w:color w:val="auto"/>
                      <w:kern w:val="2"/>
                      <w:szCs w:val="21"/>
                      <w:highlight w:val="none"/>
                    </w:rPr>
                    <w:t>60</w:t>
                  </w:r>
                </w:p>
              </w:tc>
              <w:tc>
                <w:tcPr>
                  <w:tcW w:w="1477" w:type="dxa"/>
                  <w:vMerge w:val="restart"/>
                  <w:vAlign w:val="center"/>
                </w:tcPr>
                <w:p>
                  <w:pPr>
                    <w:pStyle w:val="60"/>
                    <w:spacing w:before="24" w:after="24"/>
                    <w:rPr>
                      <w:rFonts w:ascii="Times New Roman"/>
                      <w:color w:val="auto"/>
                      <w:kern w:val="2"/>
                      <w:szCs w:val="21"/>
                      <w:highlight w:val="none"/>
                    </w:rPr>
                  </w:pPr>
                  <w:r>
                    <w:rPr>
                      <w:rFonts w:ascii="Times New Roman"/>
                      <w:color w:val="auto"/>
                      <w:szCs w:val="21"/>
                      <w:highlight w:val="none"/>
                    </w:rPr>
                    <w:t>《环境空气质量标准》</w:t>
                  </w:r>
                  <w:r>
                    <w:rPr>
                      <w:rFonts w:ascii="Times New Roman"/>
                      <w:color w:val="auto"/>
                      <w:kern w:val="2"/>
                      <w:szCs w:val="21"/>
                      <w:highlight w:val="none"/>
                    </w:rPr>
                    <w:t>GB3095-2012二级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jc w:val="center"/>
              </w:trPr>
              <w:tc>
                <w:tcPr>
                  <w:tcW w:w="2594" w:type="dxa"/>
                  <w:vAlign w:val="center"/>
                </w:tcPr>
                <w:p>
                  <w:pPr>
                    <w:pStyle w:val="60"/>
                    <w:spacing w:before="24" w:after="24"/>
                    <w:rPr>
                      <w:rFonts w:ascii="Times New Roman"/>
                      <w:color w:val="auto"/>
                      <w:kern w:val="2"/>
                      <w:szCs w:val="21"/>
                      <w:highlight w:val="none"/>
                      <w:vertAlign w:val="subscript"/>
                    </w:rPr>
                  </w:pPr>
                  <w:r>
                    <w:rPr>
                      <w:rFonts w:ascii="Times New Roman"/>
                      <w:color w:val="auto"/>
                      <w:kern w:val="2"/>
                      <w:szCs w:val="21"/>
                      <w:highlight w:val="none"/>
                    </w:rPr>
                    <w:t>NO</w:t>
                  </w:r>
                  <w:r>
                    <w:rPr>
                      <w:rFonts w:ascii="Times New Roman"/>
                      <w:color w:val="auto"/>
                      <w:kern w:val="2"/>
                      <w:szCs w:val="21"/>
                      <w:highlight w:val="none"/>
                      <w:vertAlign w:val="subscript"/>
                    </w:rPr>
                    <w:t>2</w:t>
                  </w:r>
                </w:p>
              </w:tc>
              <w:tc>
                <w:tcPr>
                  <w:tcW w:w="1829" w:type="dxa"/>
                  <w:vAlign w:val="center"/>
                </w:tcPr>
                <w:p>
                  <w:pPr>
                    <w:pStyle w:val="60"/>
                    <w:spacing w:before="24" w:after="24"/>
                    <w:rPr>
                      <w:rFonts w:ascii="Times New Roman"/>
                      <w:color w:val="auto"/>
                      <w:kern w:val="2"/>
                      <w:szCs w:val="21"/>
                      <w:highlight w:val="none"/>
                    </w:rPr>
                  </w:pPr>
                  <w:r>
                    <w:rPr>
                      <w:rFonts w:ascii="Times New Roman"/>
                      <w:color w:val="auto"/>
                      <w:kern w:val="2"/>
                      <w:szCs w:val="21"/>
                      <w:highlight w:val="none"/>
                    </w:rPr>
                    <w:t>年平均</w:t>
                  </w:r>
                </w:p>
              </w:tc>
              <w:tc>
                <w:tcPr>
                  <w:tcW w:w="1822" w:type="dxa"/>
                  <w:vAlign w:val="center"/>
                </w:tcPr>
                <w:p>
                  <w:pPr>
                    <w:pStyle w:val="60"/>
                    <w:spacing w:before="24" w:after="24"/>
                    <w:rPr>
                      <w:rFonts w:ascii="Times New Roman"/>
                      <w:color w:val="auto"/>
                      <w:kern w:val="2"/>
                      <w:szCs w:val="21"/>
                      <w:highlight w:val="none"/>
                    </w:rPr>
                  </w:pPr>
                  <w:r>
                    <w:rPr>
                      <w:rFonts w:ascii="Times New Roman"/>
                      <w:color w:val="auto"/>
                      <w:kern w:val="2"/>
                      <w:szCs w:val="21"/>
                      <w:highlight w:val="none"/>
                    </w:rPr>
                    <w:t>40</w:t>
                  </w:r>
                </w:p>
              </w:tc>
              <w:tc>
                <w:tcPr>
                  <w:tcW w:w="1477" w:type="dxa"/>
                  <w:vMerge w:val="continue"/>
                  <w:vAlign w:val="center"/>
                </w:tcPr>
                <w:p>
                  <w:pPr>
                    <w:widowControl/>
                    <w:adjustRightInd w:val="0"/>
                    <w:snapToGrid w:val="0"/>
                    <w:spacing w:before="72" w:after="72"/>
                    <w:ind w:firstLine="520"/>
                    <w:jc w:val="left"/>
                    <w:rPr>
                      <w:color w:val="auto"/>
                      <w:spacing w:val="1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64" w:hRule="atLeast"/>
                <w:jc w:val="center"/>
              </w:trPr>
              <w:tc>
                <w:tcPr>
                  <w:tcW w:w="2594" w:type="dxa"/>
                  <w:vAlign w:val="center"/>
                </w:tcPr>
                <w:p>
                  <w:pPr>
                    <w:pStyle w:val="60"/>
                    <w:spacing w:before="24" w:after="24"/>
                    <w:rPr>
                      <w:rFonts w:ascii="Times New Roman"/>
                      <w:color w:val="auto"/>
                      <w:kern w:val="2"/>
                      <w:szCs w:val="21"/>
                      <w:highlight w:val="none"/>
                    </w:rPr>
                  </w:pPr>
                  <w:r>
                    <w:rPr>
                      <w:rFonts w:ascii="Times New Roman"/>
                      <w:color w:val="auto"/>
                      <w:kern w:val="2"/>
                      <w:szCs w:val="21"/>
                      <w:highlight w:val="none"/>
                    </w:rPr>
                    <w:t>颗粒物</w:t>
                  </w:r>
                </w:p>
                <w:p>
                  <w:pPr>
                    <w:pStyle w:val="60"/>
                    <w:spacing w:before="24" w:after="24"/>
                    <w:rPr>
                      <w:rFonts w:ascii="Times New Roman"/>
                      <w:color w:val="auto"/>
                      <w:kern w:val="2"/>
                      <w:szCs w:val="21"/>
                      <w:highlight w:val="none"/>
                    </w:rPr>
                  </w:pPr>
                  <w:r>
                    <w:rPr>
                      <w:rFonts w:ascii="Times New Roman"/>
                      <w:color w:val="auto"/>
                      <w:kern w:val="2"/>
                      <w:szCs w:val="21"/>
                      <w:highlight w:val="none"/>
                    </w:rPr>
                    <w:t xml:space="preserve">（粒径小于等于10 </w:t>
                  </w:r>
                  <w:r>
                    <w:rPr>
                      <w:rFonts w:ascii="Times New Roman" w:eastAsia="SymbolMT"/>
                      <w:color w:val="auto"/>
                      <w:kern w:val="2"/>
                      <w:szCs w:val="21"/>
                      <w:highlight w:val="none"/>
                    </w:rPr>
                    <w:t>μ</w:t>
                  </w:r>
                  <w:r>
                    <w:rPr>
                      <w:rFonts w:ascii="Times New Roman"/>
                      <w:color w:val="auto"/>
                      <w:kern w:val="2"/>
                      <w:szCs w:val="21"/>
                      <w:highlight w:val="none"/>
                    </w:rPr>
                    <w:t>m）</w:t>
                  </w:r>
                </w:p>
              </w:tc>
              <w:tc>
                <w:tcPr>
                  <w:tcW w:w="1829" w:type="dxa"/>
                  <w:vAlign w:val="center"/>
                </w:tcPr>
                <w:p>
                  <w:pPr>
                    <w:pStyle w:val="60"/>
                    <w:spacing w:before="24" w:after="24"/>
                    <w:rPr>
                      <w:rFonts w:ascii="Times New Roman"/>
                      <w:color w:val="auto"/>
                      <w:kern w:val="2"/>
                      <w:szCs w:val="21"/>
                      <w:highlight w:val="none"/>
                    </w:rPr>
                  </w:pPr>
                  <w:r>
                    <w:rPr>
                      <w:rFonts w:ascii="Times New Roman"/>
                      <w:color w:val="auto"/>
                      <w:kern w:val="2"/>
                      <w:szCs w:val="21"/>
                      <w:highlight w:val="none"/>
                    </w:rPr>
                    <w:t>年平均</w:t>
                  </w:r>
                </w:p>
              </w:tc>
              <w:tc>
                <w:tcPr>
                  <w:tcW w:w="1822" w:type="dxa"/>
                  <w:vAlign w:val="center"/>
                </w:tcPr>
                <w:p>
                  <w:pPr>
                    <w:pStyle w:val="60"/>
                    <w:spacing w:before="24" w:after="24"/>
                    <w:rPr>
                      <w:rFonts w:ascii="Times New Roman"/>
                      <w:color w:val="auto"/>
                      <w:kern w:val="2"/>
                      <w:szCs w:val="21"/>
                      <w:highlight w:val="none"/>
                    </w:rPr>
                  </w:pPr>
                  <w:r>
                    <w:rPr>
                      <w:rFonts w:ascii="Times New Roman"/>
                      <w:color w:val="auto"/>
                      <w:kern w:val="2"/>
                      <w:szCs w:val="21"/>
                      <w:highlight w:val="none"/>
                    </w:rPr>
                    <w:t>70</w:t>
                  </w:r>
                </w:p>
              </w:tc>
              <w:tc>
                <w:tcPr>
                  <w:tcW w:w="1477" w:type="dxa"/>
                  <w:vMerge w:val="continue"/>
                  <w:vAlign w:val="center"/>
                </w:tcPr>
                <w:p>
                  <w:pPr>
                    <w:widowControl/>
                    <w:adjustRightInd w:val="0"/>
                    <w:snapToGrid w:val="0"/>
                    <w:spacing w:before="72" w:after="72"/>
                    <w:ind w:firstLine="520"/>
                    <w:jc w:val="left"/>
                    <w:rPr>
                      <w:color w:val="auto"/>
                      <w:spacing w:val="1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64" w:hRule="atLeast"/>
                <w:jc w:val="center"/>
              </w:trPr>
              <w:tc>
                <w:tcPr>
                  <w:tcW w:w="2594" w:type="dxa"/>
                  <w:vAlign w:val="center"/>
                </w:tcPr>
                <w:p>
                  <w:pPr>
                    <w:pStyle w:val="60"/>
                    <w:spacing w:before="24" w:after="24"/>
                    <w:rPr>
                      <w:rFonts w:ascii="Times New Roman"/>
                      <w:color w:val="auto"/>
                      <w:kern w:val="2"/>
                      <w:szCs w:val="21"/>
                      <w:highlight w:val="none"/>
                    </w:rPr>
                  </w:pPr>
                  <w:r>
                    <w:rPr>
                      <w:rFonts w:ascii="Times New Roman"/>
                      <w:color w:val="auto"/>
                      <w:kern w:val="2"/>
                      <w:szCs w:val="21"/>
                      <w:highlight w:val="none"/>
                    </w:rPr>
                    <w:t>颗粒物</w:t>
                  </w:r>
                </w:p>
                <w:p>
                  <w:pPr>
                    <w:pStyle w:val="60"/>
                    <w:spacing w:before="24" w:after="24"/>
                    <w:rPr>
                      <w:rFonts w:ascii="Times New Roman"/>
                      <w:color w:val="auto"/>
                      <w:kern w:val="2"/>
                      <w:szCs w:val="21"/>
                      <w:highlight w:val="none"/>
                    </w:rPr>
                  </w:pPr>
                  <w:r>
                    <w:rPr>
                      <w:rFonts w:ascii="Times New Roman"/>
                      <w:color w:val="auto"/>
                      <w:kern w:val="2"/>
                      <w:szCs w:val="21"/>
                      <w:highlight w:val="none"/>
                    </w:rPr>
                    <w:t xml:space="preserve">（粒径小于等于2.5 </w:t>
                  </w:r>
                  <w:r>
                    <w:rPr>
                      <w:rFonts w:ascii="Times New Roman" w:eastAsia="SymbolMT"/>
                      <w:color w:val="auto"/>
                      <w:kern w:val="2"/>
                      <w:szCs w:val="21"/>
                      <w:highlight w:val="none"/>
                    </w:rPr>
                    <w:t>μ</w:t>
                  </w:r>
                  <w:r>
                    <w:rPr>
                      <w:rFonts w:ascii="Times New Roman"/>
                      <w:color w:val="auto"/>
                      <w:kern w:val="2"/>
                      <w:szCs w:val="21"/>
                      <w:highlight w:val="none"/>
                    </w:rPr>
                    <w:t>m）</w:t>
                  </w:r>
                </w:p>
              </w:tc>
              <w:tc>
                <w:tcPr>
                  <w:tcW w:w="1829" w:type="dxa"/>
                  <w:vAlign w:val="center"/>
                </w:tcPr>
                <w:p>
                  <w:pPr>
                    <w:pStyle w:val="60"/>
                    <w:spacing w:before="24" w:after="24"/>
                    <w:rPr>
                      <w:rFonts w:ascii="Times New Roman"/>
                      <w:color w:val="auto"/>
                      <w:kern w:val="2"/>
                      <w:szCs w:val="21"/>
                      <w:highlight w:val="none"/>
                    </w:rPr>
                  </w:pPr>
                  <w:r>
                    <w:rPr>
                      <w:rFonts w:ascii="Times New Roman"/>
                      <w:color w:val="auto"/>
                      <w:kern w:val="2"/>
                      <w:szCs w:val="21"/>
                      <w:highlight w:val="none"/>
                    </w:rPr>
                    <w:t>年平均</w:t>
                  </w:r>
                </w:p>
              </w:tc>
              <w:tc>
                <w:tcPr>
                  <w:tcW w:w="1822" w:type="dxa"/>
                  <w:vAlign w:val="center"/>
                </w:tcPr>
                <w:p>
                  <w:pPr>
                    <w:pStyle w:val="60"/>
                    <w:spacing w:before="24" w:after="24"/>
                    <w:rPr>
                      <w:rFonts w:ascii="Times New Roman"/>
                      <w:color w:val="auto"/>
                      <w:kern w:val="2"/>
                      <w:szCs w:val="21"/>
                      <w:highlight w:val="none"/>
                    </w:rPr>
                  </w:pPr>
                  <w:r>
                    <w:rPr>
                      <w:rFonts w:ascii="Times New Roman"/>
                      <w:color w:val="auto"/>
                      <w:kern w:val="2"/>
                      <w:szCs w:val="21"/>
                      <w:highlight w:val="none"/>
                    </w:rPr>
                    <w:t>35</w:t>
                  </w:r>
                </w:p>
              </w:tc>
              <w:tc>
                <w:tcPr>
                  <w:tcW w:w="1477" w:type="dxa"/>
                  <w:vMerge w:val="continue"/>
                  <w:vAlign w:val="center"/>
                </w:tcPr>
                <w:p>
                  <w:pPr>
                    <w:widowControl/>
                    <w:adjustRightInd w:val="0"/>
                    <w:snapToGrid w:val="0"/>
                    <w:spacing w:before="72" w:after="72"/>
                    <w:ind w:firstLine="520"/>
                    <w:jc w:val="left"/>
                    <w:rPr>
                      <w:color w:val="auto"/>
                      <w:spacing w:val="1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90" w:hRule="atLeast"/>
                <w:jc w:val="center"/>
              </w:trPr>
              <w:tc>
                <w:tcPr>
                  <w:tcW w:w="2594" w:type="dxa"/>
                  <w:vAlign w:val="center"/>
                </w:tcPr>
                <w:p>
                  <w:pPr>
                    <w:pStyle w:val="60"/>
                    <w:spacing w:before="24" w:after="24"/>
                    <w:rPr>
                      <w:rFonts w:ascii="Times New Roman"/>
                      <w:color w:val="auto"/>
                      <w:kern w:val="2"/>
                      <w:szCs w:val="21"/>
                      <w:highlight w:val="none"/>
                    </w:rPr>
                  </w:pPr>
                  <w:r>
                    <w:rPr>
                      <w:rFonts w:ascii="Times New Roman"/>
                      <w:color w:val="auto"/>
                      <w:kern w:val="2"/>
                      <w:szCs w:val="21"/>
                      <w:highlight w:val="none"/>
                    </w:rPr>
                    <w:t>CO</w:t>
                  </w:r>
                </w:p>
              </w:tc>
              <w:tc>
                <w:tcPr>
                  <w:tcW w:w="1829" w:type="dxa"/>
                  <w:vAlign w:val="center"/>
                </w:tcPr>
                <w:p>
                  <w:pPr>
                    <w:pStyle w:val="60"/>
                    <w:spacing w:before="24" w:after="24"/>
                    <w:rPr>
                      <w:rFonts w:ascii="Times New Roman"/>
                      <w:color w:val="auto"/>
                      <w:kern w:val="2"/>
                      <w:szCs w:val="21"/>
                      <w:highlight w:val="none"/>
                    </w:rPr>
                  </w:pPr>
                  <w:r>
                    <w:rPr>
                      <w:rFonts w:ascii="Times New Roman"/>
                      <w:color w:val="auto"/>
                      <w:kern w:val="2"/>
                      <w:szCs w:val="21"/>
                      <w:highlight w:val="none"/>
                    </w:rPr>
                    <w:t>24小时平均</w:t>
                  </w:r>
                </w:p>
              </w:tc>
              <w:tc>
                <w:tcPr>
                  <w:tcW w:w="1822" w:type="dxa"/>
                  <w:vAlign w:val="center"/>
                </w:tcPr>
                <w:p>
                  <w:pPr>
                    <w:pStyle w:val="60"/>
                    <w:spacing w:before="24" w:after="24"/>
                    <w:rPr>
                      <w:rFonts w:ascii="Times New Roman"/>
                      <w:color w:val="auto"/>
                      <w:kern w:val="2"/>
                      <w:szCs w:val="21"/>
                      <w:highlight w:val="none"/>
                    </w:rPr>
                  </w:pPr>
                  <w:r>
                    <w:rPr>
                      <w:rFonts w:ascii="Times New Roman"/>
                      <w:color w:val="auto"/>
                      <w:kern w:val="2"/>
                      <w:szCs w:val="21"/>
                      <w:highlight w:val="none"/>
                    </w:rPr>
                    <w:t>4mg/m</w:t>
                  </w:r>
                  <w:r>
                    <w:rPr>
                      <w:rFonts w:ascii="Times New Roman"/>
                      <w:color w:val="auto"/>
                      <w:kern w:val="2"/>
                      <w:szCs w:val="21"/>
                      <w:highlight w:val="none"/>
                      <w:vertAlign w:val="superscript"/>
                    </w:rPr>
                    <w:t>3</w:t>
                  </w:r>
                </w:p>
              </w:tc>
              <w:tc>
                <w:tcPr>
                  <w:tcW w:w="1477" w:type="dxa"/>
                  <w:vMerge w:val="continue"/>
                  <w:vAlign w:val="center"/>
                </w:tcPr>
                <w:p>
                  <w:pPr>
                    <w:widowControl/>
                    <w:adjustRightInd w:val="0"/>
                    <w:snapToGrid w:val="0"/>
                    <w:spacing w:before="72" w:after="72"/>
                    <w:ind w:firstLine="520"/>
                    <w:jc w:val="left"/>
                    <w:rPr>
                      <w:color w:val="auto"/>
                      <w:spacing w:val="1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64" w:hRule="atLeast"/>
                <w:jc w:val="center"/>
              </w:trPr>
              <w:tc>
                <w:tcPr>
                  <w:tcW w:w="2594" w:type="dxa"/>
                  <w:vAlign w:val="center"/>
                </w:tcPr>
                <w:p>
                  <w:pPr>
                    <w:pStyle w:val="60"/>
                    <w:spacing w:before="24" w:after="24"/>
                    <w:rPr>
                      <w:rFonts w:ascii="Times New Roman"/>
                      <w:color w:val="auto"/>
                      <w:kern w:val="2"/>
                      <w:szCs w:val="21"/>
                      <w:highlight w:val="none"/>
                    </w:rPr>
                  </w:pPr>
                  <w:r>
                    <w:rPr>
                      <w:rFonts w:ascii="Times New Roman"/>
                      <w:color w:val="auto"/>
                      <w:kern w:val="2"/>
                      <w:szCs w:val="21"/>
                      <w:highlight w:val="none"/>
                    </w:rPr>
                    <w:t>O</w:t>
                  </w:r>
                  <w:r>
                    <w:rPr>
                      <w:rFonts w:ascii="Times New Roman"/>
                      <w:color w:val="auto"/>
                      <w:kern w:val="2"/>
                      <w:szCs w:val="21"/>
                      <w:highlight w:val="none"/>
                      <w:vertAlign w:val="subscript"/>
                    </w:rPr>
                    <w:t>3</w:t>
                  </w:r>
                </w:p>
              </w:tc>
              <w:tc>
                <w:tcPr>
                  <w:tcW w:w="1829" w:type="dxa"/>
                  <w:vAlign w:val="center"/>
                </w:tcPr>
                <w:p>
                  <w:pPr>
                    <w:pStyle w:val="60"/>
                    <w:spacing w:before="24" w:after="24"/>
                    <w:rPr>
                      <w:rFonts w:ascii="Times New Roman"/>
                      <w:color w:val="auto"/>
                      <w:kern w:val="2"/>
                      <w:szCs w:val="21"/>
                      <w:highlight w:val="none"/>
                    </w:rPr>
                  </w:pPr>
                  <w:r>
                    <w:rPr>
                      <w:rFonts w:ascii="Times New Roman"/>
                      <w:color w:val="auto"/>
                      <w:kern w:val="2"/>
                      <w:szCs w:val="21"/>
                      <w:highlight w:val="none"/>
                    </w:rPr>
                    <w:t>日最大8小时平均</w:t>
                  </w:r>
                </w:p>
              </w:tc>
              <w:tc>
                <w:tcPr>
                  <w:tcW w:w="1822" w:type="dxa"/>
                  <w:vAlign w:val="center"/>
                </w:tcPr>
                <w:p>
                  <w:pPr>
                    <w:pStyle w:val="60"/>
                    <w:spacing w:before="24" w:after="24"/>
                    <w:rPr>
                      <w:rFonts w:ascii="Times New Roman"/>
                      <w:color w:val="auto"/>
                      <w:kern w:val="2"/>
                      <w:szCs w:val="21"/>
                      <w:highlight w:val="none"/>
                    </w:rPr>
                  </w:pPr>
                  <w:r>
                    <w:rPr>
                      <w:rFonts w:hint="eastAsia" w:ascii="Times New Roman"/>
                      <w:color w:val="auto"/>
                      <w:kern w:val="2"/>
                      <w:szCs w:val="21"/>
                      <w:highlight w:val="none"/>
                    </w:rPr>
                    <w:t>160</w:t>
                  </w:r>
                </w:p>
              </w:tc>
              <w:tc>
                <w:tcPr>
                  <w:tcW w:w="1477" w:type="dxa"/>
                  <w:vMerge w:val="continue"/>
                  <w:vAlign w:val="center"/>
                </w:tcPr>
                <w:p>
                  <w:pPr>
                    <w:widowControl/>
                    <w:adjustRightInd w:val="0"/>
                    <w:snapToGrid w:val="0"/>
                    <w:spacing w:before="72" w:after="72"/>
                    <w:ind w:firstLine="520"/>
                    <w:jc w:val="left"/>
                    <w:rPr>
                      <w:color w:val="auto"/>
                      <w:spacing w:val="10"/>
                      <w:szCs w:val="21"/>
                      <w:highlight w:val="none"/>
                    </w:rPr>
                  </w:pPr>
                </w:p>
              </w:tc>
            </w:tr>
          </w:tbl>
          <w:p>
            <w:pPr>
              <w:adjustRightInd w:val="0"/>
              <w:snapToGrid w:val="0"/>
              <w:spacing w:line="360" w:lineRule="auto"/>
              <w:ind w:firstLine="482" w:firstLineChars="200"/>
              <w:rPr>
                <w:b/>
                <w:bCs/>
                <w:snapToGrid w:val="0"/>
                <w:color w:val="auto"/>
                <w:kern w:val="0"/>
                <w:sz w:val="24"/>
                <w:highlight w:val="none"/>
              </w:rPr>
            </w:pPr>
            <w:r>
              <w:rPr>
                <w:rFonts w:hint="eastAsia"/>
                <w:b/>
                <w:bCs/>
                <w:snapToGrid w:val="0"/>
                <w:color w:val="auto"/>
                <w:kern w:val="0"/>
                <w:sz w:val="24"/>
                <w:highlight w:val="none"/>
              </w:rPr>
              <w:t>（</w:t>
            </w:r>
            <w:r>
              <w:rPr>
                <w:b/>
                <w:bCs/>
                <w:snapToGrid w:val="0"/>
                <w:color w:val="auto"/>
                <w:kern w:val="0"/>
                <w:sz w:val="24"/>
                <w:highlight w:val="none"/>
              </w:rPr>
              <w:t>2</w:t>
            </w:r>
            <w:r>
              <w:rPr>
                <w:rFonts w:hint="eastAsia"/>
                <w:b/>
                <w:bCs/>
                <w:snapToGrid w:val="0"/>
                <w:color w:val="auto"/>
                <w:kern w:val="0"/>
                <w:sz w:val="24"/>
                <w:highlight w:val="none"/>
              </w:rPr>
              <w:t>）声环境</w:t>
            </w:r>
          </w:p>
          <w:p>
            <w:pPr>
              <w:spacing w:line="360" w:lineRule="auto"/>
              <w:ind w:firstLine="480" w:firstLineChars="200"/>
              <w:rPr>
                <w:rFonts w:hint="eastAsia" w:eastAsia="宋体"/>
                <w:bCs/>
                <w:color w:val="auto"/>
                <w:sz w:val="24"/>
                <w:szCs w:val="24"/>
                <w:lang w:val="en-US" w:eastAsia="zh-CN"/>
              </w:rPr>
            </w:pPr>
            <w:r>
              <w:rPr>
                <w:rFonts w:ascii="Times New Roman" w:hAnsi="Times New Roman"/>
                <w:bCs/>
                <w:color w:val="auto"/>
                <w:sz w:val="24"/>
                <w:szCs w:val="24"/>
              </w:rPr>
              <w:t>根据</w:t>
            </w:r>
            <w:r>
              <w:rPr>
                <w:rFonts w:ascii="Times New Roman" w:hAnsi="Times New Roman"/>
                <w:color w:val="auto"/>
                <w:sz w:val="24"/>
                <w:szCs w:val="24"/>
              </w:rPr>
              <w:t>《</w:t>
            </w:r>
            <w:r>
              <w:rPr>
                <w:rFonts w:ascii="Times New Roman" w:hAnsi="Times New Roman"/>
                <w:bCs/>
                <w:color w:val="auto"/>
                <w:sz w:val="24"/>
                <w:szCs w:val="24"/>
              </w:rPr>
              <w:t>重庆市铜梁区人民政府办公室关于印发重庆市铜梁区声环境功能区划分调整方案的通知</w:t>
            </w:r>
            <w:r>
              <w:rPr>
                <w:rFonts w:ascii="Times New Roman" w:hAnsi="Times New Roman"/>
                <w:color w:val="auto"/>
                <w:sz w:val="24"/>
                <w:szCs w:val="24"/>
              </w:rPr>
              <w:t>》</w:t>
            </w:r>
            <w:r>
              <w:rPr>
                <w:rFonts w:ascii="Times New Roman" w:hAnsi="Times New Roman"/>
                <w:bCs/>
                <w:color w:val="auto"/>
                <w:sz w:val="24"/>
                <w:szCs w:val="24"/>
              </w:rPr>
              <w:t>（铜府办〔2023〕17号）</w:t>
            </w:r>
            <w:r>
              <w:rPr>
                <w:rFonts w:hint="eastAsia"/>
                <w:bCs/>
                <w:color w:val="auto"/>
                <w:sz w:val="24"/>
                <w:szCs w:val="24"/>
                <w:lang w:eastAsia="zh-CN"/>
              </w:rPr>
              <w:t>，拟建</w:t>
            </w:r>
            <w:r>
              <w:rPr>
                <w:rFonts w:hint="eastAsia"/>
                <w:bCs/>
                <w:color w:val="auto"/>
                <w:sz w:val="24"/>
                <w:szCs w:val="24"/>
                <w:lang w:val="en-US" w:eastAsia="zh-CN"/>
              </w:rPr>
              <w:t>110kV淮阳变电站位于规划工业园区内，执行</w:t>
            </w:r>
            <w:r>
              <w:rPr>
                <w:rFonts w:hint="eastAsia" w:ascii="Times New Roman" w:hAnsi="Times New Roman"/>
                <w:color w:val="auto"/>
                <w:kern w:val="0"/>
                <w:sz w:val="24"/>
                <w:szCs w:val="24"/>
              </w:rPr>
              <w:t>《声环境质量标准》（</w:t>
            </w:r>
            <w:r>
              <w:rPr>
                <w:rFonts w:ascii="Times New Roman" w:hAnsi="Times New Roman"/>
                <w:color w:val="auto"/>
                <w:kern w:val="0"/>
                <w:sz w:val="24"/>
                <w:szCs w:val="24"/>
              </w:rPr>
              <w:t>GB3096-2008</w:t>
            </w:r>
            <w:r>
              <w:rPr>
                <w:rFonts w:hint="eastAsia" w:ascii="Times New Roman" w:hAnsi="Times New Roman"/>
                <w:color w:val="auto"/>
                <w:kern w:val="0"/>
                <w:sz w:val="24"/>
                <w:szCs w:val="24"/>
              </w:rPr>
              <w:t>）中</w:t>
            </w:r>
            <w:r>
              <w:rPr>
                <w:rFonts w:hint="eastAsia"/>
                <w:color w:val="auto"/>
                <w:kern w:val="0"/>
                <w:sz w:val="24"/>
                <w:szCs w:val="24"/>
                <w:lang w:val="en-US" w:eastAsia="zh-CN"/>
              </w:rPr>
              <w:t>3</w:t>
            </w:r>
            <w:r>
              <w:rPr>
                <w:rFonts w:hint="eastAsia" w:ascii="Times New Roman" w:hAnsi="Times New Roman"/>
                <w:color w:val="auto"/>
                <w:kern w:val="0"/>
                <w:sz w:val="24"/>
                <w:szCs w:val="24"/>
              </w:rPr>
              <w:t>类</w:t>
            </w:r>
            <w:r>
              <w:rPr>
                <w:rFonts w:hint="eastAsia" w:ascii="Times New Roman" w:hAnsi="Times New Roman"/>
                <w:bCs/>
                <w:color w:val="auto"/>
                <w:sz w:val="24"/>
                <w:szCs w:val="24"/>
              </w:rPr>
              <w:t>声环境质量标准</w:t>
            </w:r>
            <w:r>
              <w:rPr>
                <w:rFonts w:hint="eastAsia" w:ascii="Times New Roman" w:hAnsi="Times New Roman"/>
                <w:bCs/>
                <w:color w:val="auto"/>
                <w:sz w:val="24"/>
                <w:szCs w:val="24"/>
                <w:lang w:eastAsia="zh-CN"/>
              </w:rPr>
              <w:t>，其</w:t>
            </w:r>
            <w:r>
              <w:rPr>
                <w:rFonts w:hint="eastAsia"/>
                <w:bCs/>
                <w:color w:val="auto"/>
                <w:sz w:val="24"/>
                <w:szCs w:val="24"/>
                <w:lang w:eastAsia="zh-CN"/>
              </w:rPr>
              <w:t>位于工业园区范围内的</w:t>
            </w:r>
            <w:r>
              <w:rPr>
                <w:rFonts w:hint="eastAsia" w:ascii="Times New Roman" w:hAnsi="Times New Roman"/>
                <w:bCs/>
                <w:color w:val="auto"/>
                <w:sz w:val="24"/>
                <w:szCs w:val="24"/>
                <w:lang w:eastAsia="zh-CN"/>
              </w:rPr>
              <w:t>声环境保护目标执行</w:t>
            </w:r>
            <w:r>
              <w:rPr>
                <w:rFonts w:hint="eastAsia"/>
                <w:color w:val="auto"/>
                <w:kern w:val="0"/>
                <w:sz w:val="24"/>
                <w:szCs w:val="24"/>
                <w:lang w:val="en-US" w:eastAsia="zh-CN"/>
              </w:rPr>
              <w:t>3</w:t>
            </w:r>
            <w:r>
              <w:rPr>
                <w:rFonts w:hint="eastAsia" w:ascii="Times New Roman" w:hAnsi="Times New Roman"/>
                <w:color w:val="auto"/>
                <w:kern w:val="0"/>
                <w:sz w:val="24"/>
                <w:szCs w:val="24"/>
              </w:rPr>
              <w:t>类</w:t>
            </w:r>
            <w:r>
              <w:rPr>
                <w:rFonts w:hint="eastAsia" w:ascii="Times New Roman" w:hAnsi="Times New Roman"/>
                <w:bCs/>
                <w:color w:val="auto"/>
                <w:sz w:val="24"/>
                <w:szCs w:val="24"/>
              </w:rPr>
              <w:t>声环境质量标准</w:t>
            </w:r>
            <w:r>
              <w:rPr>
                <w:rFonts w:hint="eastAsia" w:ascii="Times New Roman" w:hAnsi="Times New Roman"/>
                <w:bCs/>
                <w:color w:val="auto"/>
                <w:sz w:val="24"/>
                <w:szCs w:val="24"/>
                <w:lang w:eastAsia="zh-CN"/>
              </w:rPr>
              <w:t>，</w:t>
            </w:r>
            <w:r>
              <w:rPr>
                <w:rFonts w:hint="eastAsia"/>
                <w:bCs/>
                <w:color w:val="auto"/>
                <w:sz w:val="24"/>
                <w:szCs w:val="24"/>
                <w:lang w:eastAsia="zh-CN"/>
              </w:rPr>
              <w:t>位于</w:t>
            </w:r>
            <w:r>
              <w:rPr>
                <w:rFonts w:hint="eastAsia" w:ascii="Times New Roman" w:hAnsi="Times New Roman"/>
                <w:bCs/>
                <w:color w:val="auto"/>
                <w:sz w:val="24"/>
                <w:szCs w:val="24"/>
                <w:lang w:eastAsia="zh-CN"/>
              </w:rPr>
              <w:t>农村区域</w:t>
            </w:r>
            <w:r>
              <w:rPr>
                <w:rFonts w:hint="eastAsia"/>
                <w:bCs/>
                <w:color w:val="auto"/>
                <w:sz w:val="24"/>
                <w:szCs w:val="24"/>
                <w:lang w:eastAsia="zh-CN"/>
              </w:rPr>
              <w:t>的声环境保护目标</w:t>
            </w:r>
            <w:r>
              <w:rPr>
                <w:rFonts w:hint="eastAsia" w:ascii="Times New Roman" w:hAnsi="Times New Roman"/>
                <w:bCs/>
                <w:color w:val="auto"/>
                <w:sz w:val="24"/>
                <w:szCs w:val="24"/>
                <w:lang w:eastAsia="zh-CN"/>
              </w:rPr>
              <w:t>执行</w:t>
            </w:r>
            <w:r>
              <w:rPr>
                <w:rFonts w:hint="eastAsia"/>
                <w:color w:val="auto"/>
                <w:kern w:val="0"/>
                <w:sz w:val="24"/>
                <w:szCs w:val="24"/>
                <w:lang w:val="en-US" w:eastAsia="zh-CN"/>
              </w:rPr>
              <w:t>1</w:t>
            </w:r>
            <w:r>
              <w:rPr>
                <w:rFonts w:hint="eastAsia" w:ascii="Times New Roman" w:hAnsi="Times New Roman"/>
                <w:color w:val="auto"/>
                <w:kern w:val="0"/>
                <w:sz w:val="24"/>
                <w:szCs w:val="24"/>
              </w:rPr>
              <w:t>类</w:t>
            </w:r>
            <w:r>
              <w:rPr>
                <w:rFonts w:hint="eastAsia" w:ascii="Times New Roman" w:hAnsi="Times New Roman"/>
                <w:bCs/>
                <w:color w:val="auto"/>
                <w:sz w:val="24"/>
                <w:szCs w:val="24"/>
              </w:rPr>
              <w:t>声环境质量标准</w:t>
            </w:r>
            <w:r>
              <w:rPr>
                <w:rFonts w:hint="eastAsia" w:ascii="Times New Roman" w:hAnsi="Times New Roman"/>
                <w:bCs/>
                <w:color w:val="auto"/>
                <w:sz w:val="24"/>
                <w:szCs w:val="24"/>
                <w:lang w:eastAsia="zh-CN"/>
              </w:rPr>
              <w:t>。</w:t>
            </w:r>
            <w:r>
              <w:rPr>
                <w:rFonts w:hint="eastAsia"/>
                <w:bCs/>
                <w:color w:val="auto"/>
                <w:sz w:val="24"/>
                <w:szCs w:val="24"/>
                <w:lang w:val="en-US" w:eastAsia="zh-CN"/>
              </w:rPr>
              <w:t>1类、3类声功能区内的声环境保护目标，如</w:t>
            </w:r>
            <w:r>
              <w:rPr>
                <w:rFonts w:hint="eastAsia"/>
                <w:bCs/>
                <w:color w:val="auto"/>
                <w:sz w:val="24"/>
                <w:szCs w:val="24"/>
                <w:lang w:eastAsia="zh-CN"/>
              </w:rPr>
              <w:t>距建成后的铜安高速分别在</w:t>
            </w:r>
            <w:r>
              <w:rPr>
                <w:rFonts w:hint="eastAsia"/>
                <w:bCs/>
                <w:color w:val="auto"/>
                <w:sz w:val="24"/>
                <w:szCs w:val="24"/>
                <w:lang w:val="en-US" w:eastAsia="zh-CN"/>
              </w:rPr>
              <w:t>55m、25m范围内，执行4a类声环境质量标准。</w:t>
            </w:r>
          </w:p>
          <w:p>
            <w:pPr>
              <w:spacing w:line="360" w:lineRule="auto"/>
              <w:ind w:firstLine="480" w:firstLineChars="200"/>
              <w:rPr>
                <w:rFonts w:hint="eastAsia" w:ascii="Times New Roman" w:hAnsi="Times New Roman" w:eastAsia="宋体"/>
                <w:bCs/>
                <w:color w:val="auto"/>
                <w:sz w:val="24"/>
                <w:szCs w:val="24"/>
                <w:lang w:val="en-US" w:eastAsia="zh-CN"/>
              </w:rPr>
            </w:pPr>
            <w:r>
              <w:rPr>
                <w:rFonts w:hint="eastAsia" w:ascii="Times New Roman" w:hAnsi="Times New Roman"/>
                <w:bCs/>
                <w:color w:val="auto"/>
                <w:sz w:val="24"/>
                <w:szCs w:val="24"/>
              </w:rPr>
              <w:t>本项目线路</w:t>
            </w:r>
            <w:r>
              <w:rPr>
                <w:rFonts w:hint="eastAsia"/>
                <w:bCs/>
                <w:color w:val="auto"/>
                <w:sz w:val="24"/>
                <w:szCs w:val="24"/>
                <w:lang w:eastAsia="zh-CN"/>
              </w:rPr>
              <w:t>沿线涉及农村区域、</w:t>
            </w:r>
            <w:r>
              <w:rPr>
                <w:rFonts w:hint="eastAsia"/>
                <w:bCs/>
                <w:color w:val="auto"/>
                <w:sz w:val="24"/>
                <w:szCs w:val="24"/>
                <w:lang w:val="en-US" w:eastAsia="zh-CN"/>
              </w:rPr>
              <w:t>207省道、规划工业园区和</w:t>
            </w:r>
            <w:r>
              <w:rPr>
                <w:rFonts w:hint="eastAsia" w:ascii="Times New Roman" w:hAnsi="Times New Roman"/>
                <w:bCs/>
                <w:color w:val="auto"/>
                <w:sz w:val="24"/>
                <w:szCs w:val="24"/>
              </w:rPr>
              <w:t>在建</w:t>
            </w:r>
            <w:r>
              <w:rPr>
                <w:rFonts w:hint="eastAsia"/>
                <w:bCs/>
                <w:color w:val="auto"/>
                <w:sz w:val="24"/>
                <w:szCs w:val="24"/>
                <w:lang w:eastAsia="zh-CN"/>
              </w:rPr>
              <w:t>铜安</w:t>
            </w:r>
            <w:r>
              <w:rPr>
                <w:rFonts w:hint="eastAsia" w:ascii="Times New Roman" w:hAnsi="Times New Roman"/>
                <w:bCs/>
                <w:color w:val="auto"/>
                <w:sz w:val="24"/>
                <w:szCs w:val="24"/>
              </w:rPr>
              <w:t>高速路</w:t>
            </w:r>
            <w:r>
              <w:rPr>
                <w:rFonts w:hint="eastAsia"/>
                <w:bCs/>
                <w:color w:val="auto"/>
                <w:sz w:val="24"/>
                <w:szCs w:val="24"/>
                <w:lang w:eastAsia="zh-CN"/>
              </w:rPr>
              <w:t>和渝遂高速</w:t>
            </w:r>
            <w:r>
              <w:rPr>
                <w:rFonts w:hint="eastAsia" w:ascii="Times New Roman" w:hAnsi="Times New Roman"/>
                <w:bCs/>
                <w:color w:val="auto"/>
                <w:sz w:val="24"/>
                <w:szCs w:val="24"/>
              </w:rPr>
              <w:t>。因此，本项目</w:t>
            </w:r>
            <w:r>
              <w:rPr>
                <w:rFonts w:hint="eastAsia"/>
                <w:bCs/>
                <w:color w:val="auto"/>
                <w:sz w:val="24"/>
                <w:szCs w:val="24"/>
                <w:lang w:eastAsia="zh-CN"/>
              </w:rPr>
              <w:t>线路</w:t>
            </w:r>
            <w:r>
              <w:rPr>
                <w:rFonts w:hint="eastAsia" w:ascii="Times New Roman" w:hAnsi="Times New Roman"/>
                <w:bCs/>
                <w:color w:val="auto"/>
                <w:sz w:val="24"/>
                <w:szCs w:val="24"/>
              </w:rPr>
              <w:t>所在</w:t>
            </w:r>
            <w:r>
              <w:rPr>
                <w:rFonts w:hint="eastAsia"/>
                <w:bCs/>
                <w:color w:val="auto"/>
                <w:sz w:val="24"/>
                <w:szCs w:val="24"/>
                <w:lang w:eastAsia="zh-CN"/>
              </w:rPr>
              <w:t>农村</w:t>
            </w:r>
            <w:r>
              <w:rPr>
                <w:rFonts w:hint="eastAsia" w:ascii="Times New Roman" w:hAnsi="Times New Roman"/>
                <w:bCs/>
                <w:color w:val="auto"/>
                <w:sz w:val="24"/>
                <w:szCs w:val="24"/>
              </w:rPr>
              <w:t>区域现状执行</w:t>
            </w:r>
            <w:r>
              <w:rPr>
                <w:rFonts w:hint="eastAsia" w:ascii="Times New Roman" w:hAnsi="Times New Roman"/>
                <w:color w:val="auto"/>
                <w:kern w:val="0"/>
                <w:sz w:val="24"/>
                <w:szCs w:val="24"/>
              </w:rPr>
              <w:t>《声环境质量标准》（</w:t>
            </w:r>
            <w:r>
              <w:rPr>
                <w:rFonts w:ascii="Times New Roman" w:hAnsi="Times New Roman"/>
                <w:color w:val="auto"/>
                <w:kern w:val="0"/>
                <w:sz w:val="24"/>
                <w:szCs w:val="24"/>
              </w:rPr>
              <w:t>GB3096-2008</w:t>
            </w:r>
            <w:r>
              <w:rPr>
                <w:rFonts w:hint="eastAsia" w:ascii="Times New Roman" w:hAnsi="Times New Roman"/>
                <w:color w:val="auto"/>
                <w:kern w:val="0"/>
                <w:sz w:val="24"/>
                <w:szCs w:val="24"/>
              </w:rPr>
              <w:t>）中</w:t>
            </w:r>
            <w:r>
              <w:rPr>
                <w:rFonts w:hint="eastAsia"/>
                <w:color w:val="auto"/>
                <w:kern w:val="0"/>
                <w:sz w:val="24"/>
                <w:szCs w:val="24"/>
                <w:lang w:val="en-US" w:eastAsia="zh-CN"/>
              </w:rPr>
              <w:t>1</w:t>
            </w:r>
            <w:r>
              <w:rPr>
                <w:rFonts w:hint="eastAsia" w:ascii="Times New Roman" w:hAnsi="Times New Roman"/>
                <w:color w:val="auto"/>
                <w:kern w:val="0"/>
                <w:sz w:val="24"/>
                <w:szCs w:val="24"/>
              </w:rPr>
              <w:t>类</w:t>
            </w:r>
            <w:r>
              <w:rPr>
                <w:rFonts w:hint="eastAsia" w:ascii="Times New Roman" w:hAnsi="Times New Roman"/>
                <w:bCs/>
                <w:color w:val="auto"/>
                <w:sz w:val="24"/>
                <w:szCs w:val="24"/>
              </w:rPr>
              <w:t>声环境质量标准</w:t>
            </w:r>
            <w:r>
              <w:rPr>
                <w:rFonts w:hint="eastAsia" w:ascii="Times New Roman" w:hAnsi="Times New Roman"/>
                <w:color w:val="auto"/>
                <w:kern w:val="0"/>
                <w:sz w:val="24"/>
                <w:szCs w:val="24"/>
              </w:rPr>
              <w:t>，</w:t>
            </w:r>
            <w:r>
              <w:rPr>
                <w:rFonts w:hint="eastAsia"/>
                <w:color w:val="auto"/>
                <w:kern w:val="0"/>
                <w:sz w:val="24"/>
                <w:szCs w:val="24"/>
                <w:lang w:eastAsia="zh-CN"/>
              </w:rPr>
              <w:t>跨</w:t>
            </w:r>
            <w:r>
              <w:rPr>
                <w:rFonts w:hint="eastAsia"/>
                <w:bCs/>
                <w:color w:val="auto"/>
                <w:sz w:val="24"/>
                <w:szCs w:val="24"/>
                <w:lang w:val="en-US" w:eastAsia="zh-CN"/>
              </w:rPr>
              <w:t>207省道和建成后的</w:t>
            </w:r>
            <w:r>
              <w:rPr>
                <w:rFonts w:hint="eastAsia"/>
                <w:bCs/>
                <w:color w:val="auto"/>
                <w:sz w:val="24"/>
                <w:szCs w:val="24"/>
                <w:lang w:eastAsia="zh-CN"/>
              </w:rPr>
              <w:t>渝遂</w:t>
            </w:r>
            <w:r>
              <w:rPr>
                <w:rFonts w:hint="eastAsia"/>
                <w:bCs/>
                <w:color w:val="auto"/>
                <w:sz w:val="24"/>
                <w:szCs w:val="24"/>
                <w:lang w:val="en-US" w:eastAsia="zh-CN"/>
              </w:rPr>
              <w:t>高速公路</w:t>
            </w:r>
            <w:r>
              <w:rPr>
                <w:rFonts w:hint="eastAsia"/>
                <w:bCs/>
                <w:color w:val="auto"/>
                <w:sz w:val="24"/>
                <w:szCs w:val="24"/>
                <w:lang w:eastAsia="zh-CN"/>
              </w:rPr>
              <w:t>分别</w:t>
            </w:r>
            <w:r>
              <w:rPr>
                <w:rFonts w:ascii="Times New Roman" w:hAnsi="Times New Roman"/>
                <w:bCs/>
                <w:color w:val="auto"/>
                <w:sz w:val="24"/>
                <w:szCs w:val="24"/>
              </w:rPr>
              <w:t>4</w:t>
            </w:r>
            <w:r>
              <w:rPr>
                <w:rFonts w:hint="eastAsia"/>
                <w:bCs/>
                <w:color w:val="auto"/>
                <w:sz w:val="24"/>
                <w:szCs w:val="24"/>
                <w:lang w:val="en-US" w:eastAsia="zh-CN"/>
              </w:rPr>
              <w:t>5</w:t>
            </w:r>
            <w:r>
              <w:rPr>
                <w:rFonts w:ascii="Times New Roman" w:hAnsi="Times New Roman"/>
                <w:bCs/>
                <w:color w:val="auto"/>
                <w:sz w:val="24"/>
                <w:szCs w:val="24"/>
              </w:rPr>
              <w:t>m</w:t>
            </w:r>
            <w:r>
              <w:rPr>
                <w:rFonts w:hint="eastAsia"/>
                <w:bCs/>
                <w:color w:val="auto"/>
                <w:sz w:val="24"/>
                <w:szCs w:val="24"/>
                <w:lang w:eastAsia="zh-CN"/>
              </w:rPr>
              <w:t>、</w:t>
            </w:r>
            <w:r>
              <w:rPr>
                <w:rFonts w:hint="eastAsia"/>
                <w:bCs/>
                <w:color w:val="auto"/>
                <w:sz w:val="24"/>
                <w:szCs w:val="24"/>
                <w:lang w:val="en-US" w:eastAsia="zh-CN"/>
              </w:rPr>
              <w:t>55m</w:t>
            </w:r>
            <w:r>
              <w:rPr>
                <w:rFonts w:hint="eastAsia" w:ascii="Times New Roman" w:hAnsi="Times New Roman"/>
                <w:bCs/>
                <w:color w:val="auto"/>
                <w:sz w:val="24"/>
                <w:szCs w:val="24"/>
              </w:rPr>
              <w:t>范围执行</w:t>
            </w:r>
            <w:r>
              <w:rPr>
                <w:rFonts w:ascii="Times New Roman" w:hAnsi="Times New Roman"/>
                <w:bCs/>
                <w:color w:val="auto"/>
                <w:sz w:val="24"/>
                <w:szCs w:val="24"/>
              </w:rPr>
              <w:t>4a</w:t>
            </w:r>
            <w:r>
              <w:rPr>
                <w:rFonts w:hint="eastAsia" w:ascii="Times New Roman" w:hAnsi="Times New Roman"/>
                <w:bCs/>
                <w:color w:val="auto"/>
                <w:sz w:val="24"/>
                <w:szCs w:val="24"/>
              </w:rPr>
              <w:t>类声环境质量标准</w:t>
            </w:r>
            <w:r>
              <w:rPr>
                <w:rFonts w:hint="eastAsia" w:ascii="Times New Roman" w:hAnsi="Times New Roman"/>
                <w:bCs/>
                <w:color w:val="auto"/>
                <w:sz w:val="24"/>
                <w:szCs w:val="24"/>
                <w:lang w:eastAsia="zh-CN"/>
              </w:rPr>
              <w:t>，跨工业园区段执行</w:t>
            </w:r>
            <w:r>
              <w:rPr>
                <w:rFonts w:hint="eastAsia" w:ascii="Times New Roman" w:hAnsi="Times New Roman"/>
                <w:bCs/>
                <w:color w:val="auto"/>
                <w:sz w:val="24"/>
                <w:szCs w:val="24"/>
                <w:lang w:val="en-US" w:eastAsia="zh-CN"/>
              </w:rPr>
              <w:t>3类</w:t>
            </w:r>
            <w:r>
              <w:rPr>
                <w:rFonts w:hint="eastAsia" w:ascii="Times New Roman" w:hAnsi="Times New Roman"/>
                <w:bCs/>
                <w:color w:val="auto"/>
                <w:sz w:val="24"/>
                <w:szCs w:val="24"/>
              </w:rPr>
              <w:t>声环境质量标准</w:t>
            </w:r>
            <w:r>
              <w:rPr>
                <w:rFonts w:hint="eastAsia"/>
                <w:bCs/>
                <w:color w:val="auto"/>
                <w:sz w:val="24"/>
                <w:szCs w:val="24"/>
                <w:lang w:eastAsia="zh-CN"/>
              </w:rPr>
              <w:t>，距建成后的铜安高速在</w:t>
            </w:r>
            <w:r>
              <w:rPr>
                <w:rFonts w:hint="eastAsia"/>
                <w:bCs/>
                <w:color w:val="auto"/>
                <w:sz w:val="24"/>
                <w:szCs w:val="24"/>
                <w:lang w:val="en-US" w:eastAsia="zh-CN"/>
              </w:rPr>
              <w:t>55m范围（1类声功能区）内的执行4a类声环境质量标准。</w:t>
            </w:r>
          </w:p>
          <w:p>
            <w:pPr>
              <w:spacing w:line="360" w:lineRule="auto"/>
              <w:ind w:firstLine="480" w:firstLineChars="200"/>
              <w:rPr>
                <w:bCs/>
                <w:snapToGrid w:val="0"/>
                <w:color w:val="auto"/>
                <w:kern w:val="0"/>
                <w:sz w:val="24"/>
                <w:highlight w:val="none"/>
              </w:rPr>
            </w:pPr>
            <w:r>
              <w:rPr>
                <w:rFonts w:hint="eastAsia"/>
                <w:bCs/>
                <w:snapToGrid w:val="0"/>
                <w:color w:val="auto"/>
                <w:kern w:val="0"/>
                <w:sz w:val="24"/>
                <w:highlight w:val="none"/>
                <w:lang w:eastAsia="zh-CN"/>
              </w:rPr>
              <w:t>本项目声环境质量执行标准</w:t>
            </w:r>
            <w:r>
              <w:rPr>
                <w:bCs/>
                <w:snapToGrid w:val="0"/>
                <w:color w:val="auto"/>
                <w:kern w:val="0"/>
                <w:sz w:val="24"/>
                <w:highlight w:val="none"/>
              </w:rPr>
              <w:t>具体见表</w:t>
            </w:r>
            <w:r>
              <w:rPr>
                <w:rFonts w:hint="eastAsia"/>
                <w:bCs/>
                <w:snapToGrid w:val="0"/>
                <w:color w:val="auto"/>
                <w:kern w:val="0"/>
                <w:sz w:val="24"/>
                <w:highlight w:val="none"/>
              </w:rPr>
              <w:t>3-</w:t>
            </w:r>
            <w:r>
              <w:rPr>
                <w:bCs/>
                <w:snapToGrid w:val="0"/>
                <w:color w:val="auto"/>
                <w:kern w:val="0"/>
                <w:sz w:val="24"/>
                <w:highlight w:val="none"/>
              </w:rPr>
              <w:t>1</w:t>
            </w:r>
            <w:r>
              <w:rPr>
                <w:rFonts w:hint="eastAsia"/>
                <w:bCs/>
                <w:snapToGrid w:val="0"/>
                <w:color w:val="auto"/>
                <w:kern w:val="0"/>
                <w:sz w:val="24"/>
                <w:highlight w:val="none"/>
                <w:lang w:val="en-US" w:eastAsia="zh-CN"/>
              </w:rPr>
              <w:t>0</w:t>
            </w:r>
            <w:r>
              <w:rPr>
                <w:bCs/>
                <w:snapToGrid w:val="0"/>
                <w:color w:val="auto"/>
                <w:kern w:val="0"/>
                <w:sz w:val="24"/>
                <w:highlight w:val="none"/>
              </w:rPr>
              <w:t>。</w:t>
            </w:r>
          </w:p>
          <w:p>
            <w:pPr>
              <w:adjustRightInd w:val="0"/>
              <w:snapToGrid w:val="0"/>
              <w:jc w:val="center"/>
              <w:rPr>
                <w:b/>
                <w:bCs/>
                <w:color w:val="auto"/>
                <w:sz w:val="24"/>
                <w:highlight w:val="none"/>
              </w:rPr>
            </w:pPr>
          </w:p>
          <w:p>
            <w:pPr>
              <w:adjustRightInd w:val="0"/>
              <w:snapToGrid w:val="0"/>
              <w:jc w:val="center"/>
              <w:rPr>
                <w:b/>
                <w:bCs/>
                <w:color w:val="auto"/>
                <w:sz w:val="24"/>
                <w:highlight w:val="none"/>
              </w:rPr>
            </w:pPr>
            <w:r>
              <w:rPr>
                <w:b/>
                <w:bCs/>
                <w:color w:val="auto"/>
                <w:sz w:val="24"/>
                <w:highlight w:val="none"/>
              </w:rPr>
              <w:t>表</w:t>
            </w:r>
            <w:r>
              <w:rPr>
                <w:rFonts w:hint="eastAsia"/>
                <w:b/>
                <w:bCs/>
                <w:color w:val="auto"/>
                <w:sz w:val="24"/>
                <w:highlight w:val="none"/>
              </w:rPr>
              <w:t>3-</w:t>
            </w:r>
            <w:r>
              <w:rPr>
                <w:b/>
                <w:bCs/>
                <w:color w:val="auto"/>
                <w:sz w:val="24"/>
                <w:highlight w:val="none"/>
              </w:rPr>
              <w:t>1</w:t>
            </w:r>
            <w:r>
              <w:rPr>
                <w:rFonts w:hint="eastAsia"/>
                <w:b/>
                <w:bCs/>
                <w:color w:val="auto"/>
                <w:sz w:val="24"/>
                <w:highlight w:val="none"/>
                <w:lang w:val="en-US" w:eastAsia="zh-CN"/>
              </w:rPr>
              <w:t>0</w:t>
            </w:r>
            <w:r>
              <w:rPr>
                <w:b/>
                <w:bCs/>
                <w:color w:val="auto"/>
                <w:sz w:val="24"/>
                <w:highlight w:val="none"/>
              </w:rPr>
              <w:t xml:space="preserve">  声环境质量标准（GB3096-2008）  单位：dB（A）</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19"/>
              <w:gridCol w:w="1198"/>
              <w:gridCol w:w="1615"/>
              <w:gridCol w:w="31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1224" w:type="pct"/>
                  <w:vAlign w:val="center"/>
                </w:tcPr>
                <w:p>
                  <w:pPr>
                    <w:pStyle w:val="74"/>
                    <w:adjustRightInd w:val="0"/>
                    <w:snapToGrid w:val="0"/>
                    <w:spacing w:line="240" w:lineRule="auto"/>
                    <w:ind w:firstLine="0" w:firstLineChars="0"/>
                    <w:jc w:val="center"/>
                    <w:rPr>
                      <w:color w:val="auto"/>
                      <w:kern w:val="0"/>
                      <w:szCs w:val="21"/>
                      <w:highlight w:val="none"/>
                    </w:rPr>
                  </w:pPr>
                  <w:r>
                    <w:rPr>
                      <w:color w:val="auto"/>
                      <w:szCs w:val="21"/>
                      <w:highlight w:val="none"/>
                    </w:rPr>
                    <w:t>类别</w:t>
                  </w:r>
                </w:p>
              </w:tc>
              <w:tc>
                <w:tcPr>
                  <w:tcW w:w="764" w:type="pct"/>
                  <w:vAlign w:val="center"/>
                </w:tcPr>
                <w:p>
                  <w:pPr>
                    <w:pStyle w:val="74"/>
                    <w:adjustRightInd w:val="0"/>
                    <w:snapToGrid w:val="0"/>
                    <w:spacing w:line="240" w:lineRule="auto"/>
                    <w:ind w:firstLine="0" w:firstLineChars="0"/>
                    <w:jc w:val="center"/>
                    <w:rPr>
                      <w:color w:val="auto"/>
                      <w:kern w:val="0"/>
                      <w:szCs w:val="21"/>
                      <w:highlight w:val="none"/>
                    </w:rPr>
                  </w:pPr>
                  <w:r>
                    <w:rPr>
                      <w:color w:val="auto"/>
                      <w:szCs w:val="21"/>
                      <w:highlight w:val="none"/>
                    </w:rPr>
                    <w:t>昼间</w:t>
                  </w:r>
                </w:p>
              </w:tc>
              <w:tc>
                <w:tcPr>
                  <w:tcW w:w="1030" w:type="pct"/>
                  <w:vAlign w:val="center"/>
                </w:tcPr>
                <w:p>
                  <w:pPr>
                    <w:pStyle w:val="74"/>
                    <w:adjustRightInd w:val="0"/>
                    <w:snapToGrid w:val="0"/>
                    <w:spacing w:line="240" w:lineRule="auto"/>
                    <w:ind w:firstLine="0" w:firstLineChars="0"/>
                    <w:jc w:val="center"/>
                    <w:rPr>
                      <w:color w:val="auto"/>
                      <w:kern w:val="0"/>
                      <w:szCs w:val="21"/>
                      <w:highlight w:val="none"/>
                    </w:rPr>
                  </w:pPr>
                  <w:r>
                    <w:rPr>
                      <w:color w:val="auto"/>
                      <w:szCs w:val="21"/>
                      <w:highlight w:val="none"/>
                    </w:rPr>
                    <w:t>夜间</w:t>
                  </w:r>
                </w:p>
              </w:tc>
              <w:tc>
                <w:tcPr>
                  <w:tcW w:w="1981" w:type="pct"/>
                  <w:vAlign w:val="center"/>
                </w:tcPr>
                <w:p>
                  <w:pPr>
                    <w:pStyle w:val="74"/>
                    <w:adjustRightInd w:val="0"/>
                    <w:snapToGrid w:val="0"/>
                    <w:spacing w:line="240" w:lineRule="auto"/>
                    <w:ind w:firstLine="0" w:firstLineChars="0"/>
                    <w:jc w:val="center"/>
                    <w:rPr>
                      <w:color w:val="auto"/>
                      <w:kern w:val="0"/>
                      <w:szCs w:val="21"/>
                      <w:highlight w:val="none"/>
                    </w:rPr>
                  </w:pPr>
                  <w:r>
                    <w:rPr>
                      <w:rFonts w:hint="eastAsia"/>
                      <w:color w:val="auto"/>
                      <w:kern w:val="0"/>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1224" w:type="pct"/>
                  <w:vAlign w:val="center"/>
                </w:tcPr>
                <w:p>
                  <w:pPr>
                    <w:pStyle w:val="74"/>
                    <w:adjustRightInd w:val="0"/>
                    <w:snapToGrid w:val="0"/>
                    <w:spacing w:line="240" w:lineRule="auto"/>
                    <w:ind w:firstLine="0" w:firstLineChars="0"/>
                    <w:jc w:val="center"/>
                    <w:rPr>
                      <w:color w:val="auto"/>
                      <w:szCs w:val="21"/>
                      <w:highlight w:val="none"/>
                    </w:rPr>
                  </w:pPr>
                  <w:r>
                    <w:rPr>
                      <w:rFonts w:hint="eastAsia"/>
                      <w:color w:val="auto"/>
                      <w:szCs w:val="21"/>
                      <w:highlight w:val="none"/>
                    </w:rPr>
                    <w:t>1类</w:t>
                  </w:r>
                </w:p>
              </w:tc>
              <w:tc>
                <w:tcPr>
                  <w:tcW w:w="764" w:type="pct"/>
                  <w:vAlign w:val="center"/>
                </w:tcPr>
                <w:p>
                  <w:pPr>
                    <w:pStyle w:val="74"/>
                    <w:adjustRightInd w:val="0"/>
                    <w:snapToGrid w:val="0"/>
                    <w:spacing w:line="240" w:lineRule="auto"/>
                    <w:ind w:firstLine="0" w:firstLineChars="0"/>
                    <w:jc w:val="center"/>
                    <w:rPr>
                      <w:color w:val="auto"/>
                      <w:szCs w:val="21"/>
                      <w:highlight w:val="none"/>
                    </w:rPr>
                  </w:pPr>
                  <w:r>
                    <w:rPr>
                      <w:rFonts w:hint="eastAsia"/>
                      <w:color w:val="auto"/>
                      <w:szCs w:val="21"/>
                      <w:highlight w:val="none"/>
                    </w:rPr>
                    <w:t>5</w:t>
                  </w:r>
                  <w:r>
                    <w:rPr>
                      <w:color w:val="auto"/>
                      <w:szCs w:val="21"/>
                      <w:highlight w:val="none"/>
                    </w:rPr>
                    <w:t>5</w:t>
                  </w:r>
                </w:p>
              </w:tc>
              <w:tc>
                <w:tcPr>
                  <w:tcW w:w="1030" w:type="pct"/>
                  <w:vAlign w:val="center"/>
                </w:tcPr>
                <w:p>
                  <w:pPr>
                    <w:pStyle w:val="74"/>
                    <w:adjustRightInd w:val="0"/>
                    <w:snapToGrid w:val="0"/>
                    <w:spacing w:line="240" w:lineRule="auto"/>
                    <w:ind w:firstLine="0" w:firstLineChars="0"/>
                    <w:jc w:val="center"/>
                    <w:rPr>
                      <w:color w:val="auto"/>
                      <w:szCs w:val="21"/>
                      <w:highlight w:val="none"/>
                    </w:rPr>
                  </w:pPr>
                  <w:r>
                    <w:rPr>
                      <w:rFonts w:hint="eastAsia"/>
                      <w:color w:val="auto"/>
                      <w:szCs w:val="21"/>
                      <w:highlight w:val="none"/>
                    </w:rPr>
                    <w:t>4</w:t>
                  </w:r>
                  <w:r>
                    <w:rPr>
                      <w:color w:val="auto"/>
                      <w:szCs w:val="21"/>
                      <w:highlight w:val="none"/>
                    </w:rPr>
                    <w:t>5</w:t>
                  </w:r>
                </w:p>
              </w:tc>
              <w:tc>
                <w:tcPr>
                  <w:tcW w:w="1981" w:type="pct"/>
                  <w:vAlign w:val="center"/>
                </w:tcPr>
                <w:p>
                  <w:pPr>
                    <w:pStyle w:val="74"/>
                    <w:adjustRightInd w:val="0"/>
                    <w:snapToGrid w:val="0"/>
                    <w:spacing w:line="240" w:lineRule="auto"/>
                    <w:ind w:firstLine="0" w:firstLineChars="0"/>
                    <w:jc w:val="center"/>
                    <w:rPr>
                      <w:color w:val="auto"/>
                      <w:kern w:val="0"/>
                      <w:szCs w:val="21"/>
                      <w:highlight w:val="none"/>
                    </w:rPr>
                  </w:pPr>
                  <w:r>
                    <w:rPr>
                      <w:rFonts w:hint="eastAsia"/>
                      <w:color w:val="auto"/>
                      <w:kern w:val="0"/>
                      <w:szCs w:val="21"/>
                      <w:highlight w:val="none"/>
                    </w:rPr>
                    <w:t>农村地区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1224" w:type="pct"/>
                  <w:vAlign w:val="center"/>
                </w:tcPr>
                <w:p>
                  <w:pPr>
                    <w:pStyle w:val="74"/>
                    <w:adjustRightInd w:val="0"/>
                    <w:snapToGrid w:val="0"/>
                    <w:spacing w:line="240" w:lineRule="auto"/>
                    <w:ind w:firstLine="0" w:firstLineChars="0"/>
                    <w:jc w:val="center"/>
                    <w:rPr>
                      <w:color w:val="auto"/>
                      <w:kern w:val="0"/>
                      <w:szCs w:val="21"/>
                      <w:highlight w:val="none"/>
                    </w:rPr>
                  </w:pPr>
                  <w:r>
                    <w:rPr>
                      <w:rFonts w:hint="eastAsia"/>
                      <w:color w:val="auto"/>
                      <w:szCs w:val="21"/>
                      <w:highlight w:val="none"/>
                      <w:lang w:val="en-US" w:eastAsia="zh-CN"/>
                    </w:rPr>
                    <w:t>3</w:t>
                  </w:r>
                  <w:r>
                    <w:rPr>
                      <w:color w:val="auto"/>
                      <w:szCs w:val="21"/>
                      <w:highlight w:val="none"/>
                    </w:rPr>
                    <w:t>类</w:t>
                  </w:r>
                </w:p>
              </w:tc>
              <w:tc>
                <w:tcPr>
                  <w:tcW w:w="764" w:type="pct"/>
                  <w:vAlign w:val="center"/>
                </w:tcPr>
                <w:p>
                  <w:pPr>
                    <w:pStyle w:val="74"/>
                    <w:adjustRightInd w:val="0"/>
                    <w:snapToGrid w:val="0"/>
                    <w:spacing w:line="240" w:lineRule="auto"/>
                    <w:ind w:firstLine="0" w:firstLineChars="0"/>
                    <w:jc w:val="center"/>
                    <w:rPr>
                      <w:rFonts w:hint="default" w:eastAsia="宋体"/>
                      <w:color w:val="auto"/>
                      <w:kern w:val="0"/>
                      <w:szCs w:val="21"/>
                      <w:highlight w:val="none"/>
                      <w:lang w:val="en-US" w:eastAsia="zh-CN"/>
                    </w:rPr>
                  </w:pPr>
                  <w:r>
                    <w:rPr>
                      <w:rFonts w:hint="eastAsia"/>
                      <w:color w:val="auto"/>
                      <w:szCs w:val="21"/>
                      <w:highlight w:val="none"/>
                      <w:lang w:val="en-US" w:eastAsia="zh-CN"/>
                    </w:rPr>
                    <w:t>65</w:t>
                  </w:r>
                </w:p>
              </w:tc>
              <w:tc>
                <w:tcPr>
                  <w:tcW w:w="1030" w:type="pct"/>
                  <w:vAlign w:val="center"/>
                </w:tcPr>
                <w:p>
                  <w:pPr>
                    <w:pStyle w:val="74"/>
                    <w:adjustRightInd w:val="0"/>
                    <w:snapToGrid w:val="0"/>
                    <w:spacing w:line="240" w:lineRule="auto"/>
                    <w:ind w:firstLine="0" w:firstLineChars="0"/>
                    <w:jc w:val="center"/>
                    <w:rPr>
                      <w:rFonts w:hint="default" w:eastAsia="宋体"/>
                      <w:color w:val="auto"/>
                      <w:kern w:val="0"/>
                      <w:szCs w:val="21"/>
                      <w:highlight w:val="none"/>
                      <w:lang w:val="en-US" w:eastAsia="zh-CN"/>
                    </w:rPr>
                  </w:pPr>
                  <w:r>
                    <w:rPr>
                      <w:rFonts w:hint="eastAsia"/>
                      <w:color w:val="auto"/>
                      <w:szCs w:val="21"/>
                      <w:highlight w:val="none"/>
                      <w:lang w:val="en-US" w:eastAsia="zh-CN"/>
                    </w:rPr>
                    <w:t>55</w:t>
                  </w:r>
                </w:p>
              </w:tc>
              <w:tc>
                <w:tcPr>
                  <w:tcW w:w="1981" w:type="pct"/>
                  <w:vAlign w:val="center"/>
                </w:tcPr>
                <w:p>
                  <w:pPr>
                    <w:pStyle w:val="74"/>
                    <w:adjustRightInd w:val="0"/>
                    <w:snapToGrid w:val="0"/>
                    <w:spacing w:line="240" w:lineRule="auto"/>
                    <w:ind w:firstLine="0" w:firstLineChars="0"/>
                    <w:jc w:val="center"/>
                    <w:rPr>
                      <w:color w:val="auto"/>
                      <w:kern w:val="0"/>
                      <w:szCs w:val="21"/>
                      <w:highlight w:val="none"/>
                    </w:rPr>
                  </w:pPr>
                  <w:r>
                    <w:rPr>
                      <w:rFonts w:hint="eastAsia"/>
                      <w:color w:val="auto"/>
                      <w:kern w:val="0"/>
                      <w:szCs w:val="21"/>
                      <w:highlight w:val="none"/>
                    </w:rPr>
                    <w:t>铜梁高新区蒲吕片区内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1224" w:type="pct"/>
                  <w:vMerge w:val="restart"/>
                  <w:vAlign w:val="center"/>
                </w:tcPr>
                <w:p>
                  <w:pPr>
                    <w:pStyle w:val="74"/>
                    <w:adjustRightInd w:val="0"/>
                    <w:snapToGrid w:val="0"/>
                    <w:spacing w:line="240" w:lineRule="auto"/>
                    <w:ind w:firstLine="0" w:firstLineChars="0"/>
                    <w:jc w:val="center"/>
                    <w:rPr>
                      <w:color w:val="auto"/>
                      <w:szCs w:val="21"/>
                      <w:highlight w:val="none"/>
                    </w:rPr>
                  </w:pPr>
                  <w:r>
                    <w:rPr>
                      <w:rFonts w:hint="eastAsia"/>
                      <w:color w:val="auto"/>
                      <w:szCs w:val="21"/>
                      <w:highlight w:val="none"/>
                    </w:rPr>
                    <w:t>4</w:t>
                  </w:r>
                  <w:r>
                    <w:rPr>
                      <w:color w:val="auto"/>
                      <w:szCs w:val="21"/>
                      <w:highlight w:val="none"/>
                    </w:rPr>
                    <w:t>a</w:t>
                  </w:r>
                  <w:r>
                    <w:rPr>
                      <w:rFonts w:hint="eastAsia"/>
                      <w:color w:val="auto"/>
                      <w:szCs w:val="21"/>
                      <w:highlight w:val="none"/>
                    </w:rPr>
                    <w:t>类</w:t>
                  </w:r>
                </w:p>
              </w:tc>
              <w:tc>
                <w:tcPr>
                  <w:tcW w:w="764" w:type="pct"/>
                  <w:vMerge w:val="restart"/>
                  <w:vAlign w:val="center"/>
                </w:tcPr>
                <w:p>
                  <w:pPr>
                    <w:pStyle w:val="74"/>
                    <w:adjustRightInd w:val="0"/>
                    <w:snapToGrid w:val="0"/>
                    <w:spacing w:line="240" w:lineRule="auto"/>
                    <w:ind w:firstLine="0" w:firstLineChars="0"/>
                    <w:jc w:val="center"/>
                    <w:rPr>
                      <w:color w:val="auto"/>
                      <w:szCs w:val="21"/>
                      <w:highlight w:val="none"/>
                    </w:rPr>
                  </w:pPr>
                  <w:r>
                    <w:rPr>
                      <w:rFonts w:hint="eastAsia"/>
                      <w:color w:val="auto"/>
                      <w:szCs w:val="21"/>
                      <w:highlight w:val="none"/>
                    </w:rPr>
                    <w:t>7</w:t>
                  </w:r>
                  <w:r>
                    <w:rPr>
                      <w:color w:val="auto"/>
                      <w:szCs w:val="21"/>
                      <w:highlight w:val="none"/>
                    </w:rPr>
                    <w:t>0</w:t>
                  </w:r>
                </w:p>
              </w:tc>
              <w:tc>
                <w:tcPr>
                  <w:tcW w:w="1030" w:type="pct"/>
                  <w:vMerge w:val="restart"/>
                  <w:vAlign w:val="center"/>
                </w:tcPr>
                <w:p>
                  <w:pPr>
                    <w:pStyle w:val="74"/>
                    <w:adjustRightInd w:val="0"/>
                    <w:snapToGrid w:val="0"/>
                    <w:spacing w:line="240" w:lineRule="auto"/>
                    <w:ind w:firstLine="0" w:firstLineChars="0"/>
                    <w:jc w:val="center"/>
                    <w:rPr>
                      <w:color w:val="auto"/>
                      <w:szCs w:val="21"/>
                      <w:highlight w:val="none"/>
                    </w:rPr>
                  </w:pPr>
                  <w:r>
                    <w:rPr>
                      <w:rFonts w:hint="eastAsia"/>
                      <w:color w:val="auto"/>
                      <w:szCs w:val="21"/>
                      <w:highlight w:val="none"/>
                    </w:rPr>
                    <w:t>5</w:t>
                  </w:r>
                  <w:r>
                    <w:rPr>
                      <w:color w:val="auto"/>
                      <w:szCs w:val="21"/>
                      <w:highlight w:val="none"/>
                    </w:rPr>
                    <w:t>5</w:t>
                  </w:r>
                </w:p>
              </w:tc>
              <w:tc>
                <w:tcPr>
                  <w:tcW w:w="1981" w:type="pct"/>
                  <w:vAlign w:val="center"/>
                </w:tcPr>
                <w:p>
                  <w:pPr>
                    <w:pStyle w:val="74"/>
                    <w:adjustRightInd w:val="0"/>
                    <w:snapToGrid w:val="0"/>
                    <w:spacing w:line="240" w:lineRule="auto"/>
                    <w:ind w:firstLine="0" w:firstLineChars="0"/>
                    <w:jc w:val="center"/>
                    <w:rPr>
                      <w:rFonts w:hint="default" w:eastAsia="宋体"/>
                      <w:color w:val="auto"/>
                      <w:kern w:val="0"/>
                      <w:szCs w:val="21"/>
                      <w:highlight w:val="none"/>
                      <w:lang w:val="en-US" w:eastAsia="zh-CN"/>
                    </w:rPr>
                  </w:pPr>
                  <w:r>
                    <w:rPr>
                      <w:rFonts w:hint="default" w:eastAsia="宋体"/>
                      <w:color w:val="auto"/>
                      <w:kern w:val="0"/>
                      <w:szCs w:val="21"/>
                      <w:highlight w:val="none"/>
                      <w:lang w:val="en-US" w:eastAsia="zh-CN"/>
                    </w:rPr>
                    <w:t>跨207省道和建成后的渝遂高速公路</w:t>
                  </w:r>
                  <w:r>
                    <w:rPr>
                      <w:rFonts w:hint="eastAsia"/>
                      <w:color w:val="auto"/>
                      <w:kern w:val="0"/>
                      <w:szCs w:val="21"/>
                      <w:highlight w:val="none"/>
                      <w:lang w:val="en-US" w:eastAsia="zh-CN"/>
                    </w:rPr>
                    <w:t>、铜安高速</w:t>
                  </w:r>
                  <w:r>
                    <w:rPr>
                      <w:rFonts w:hint="default" w:eastAsia="宋体"/>
                      <w:color w:val="auto"/>
                      <w:kern w:val="0"/>
                      <w:szCs w:val="21"/>
                      <w:highlight w:val="none"/>
                      <w:lang w:val="en-US" w:eastAsia="zh-CN"/>
                    </w:rPr>
                    <w:t>公路分别45m、55m</w:t>
                  </w:r>
                  <w:r>
                    <w:rPr>
                      <w:rFonts w:hint="eastAsia"/>
                      <w:color w:val="auto"/>
                      <w:kern w:val="0"/>
                      <w:szCs w:val="21"/>
                      <w:highlight w:val="none"/>
                      <w:lang w:val="en-US" w:eastAsia="zh-CN"/>
                    </w:rPr>
                    <w:t>、55m</w:t>
                  </w:r>
                  <w:r>
                    <w:rPr>
                      <w:rFonts w:hint="default" w:eastAsia="宋体"/>
                      <w:color w:val="auto"/>
                      <w:kern w:val="0"/>
                      <w:szCs w:val="21"/>
                      <w:highlight w:val="none"/>
                      <w:lang w:val="en-US" w:eastAsia="zh-CN"/>
                    </w:rPr>
                    <w:t>范围</w:t>
                  </w:r>
                  <w:r>
                    <w:rPr>
                      <w:rFonts w:hint="eastAsia"/>
                      <w:color w:val="auto"/>
                      <w:kern w:val="0"/>
                      <w:szCs w:val="21"/>
                      <w:highlight w:val="none"/>
                      <w:lang w:val="en-US" w:eastAsia="zh-CN"/>
                    </w:rPr>
                    <w:t>（1类声功能区内）；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1224" w:type="pct"/>
                  <w:vMerge w:val="continue"/>
                  <w:vAlign w:val="center"/>
                </w:tcPr>
                <w:p>
                  <w:pPr>
                    <w:pStyle w:val="74"/>
                    <w:adjustRightInd w:val="0"/>
                    <w:snapToGrid w:val="0"/>
                    <w:spacing w:line="240" w:lineRule="auto"/>
                    <w:ind w:firstLine="0" w:firstLineChars="0"/>
                    <w:jc w:val="center"/>
                    <w:rPr>
                      <w:rFonts w:hint="eastAsia"/>
                      <w:color w:val="auto"/>
                      <w:szCs w:val="21"/>
                      <w:highlight w:val="none"/>
                    </w:rPr>
                  </w:pPr>
                </w:p>
              </w:tc>
              <w:tc>
                <w:tcPr>
                  <w:tcW w:w="764" w:type="pct"/>
                  <w:vMerge w:val="continue"/>
                  <w:vAlign w:val="center"/>
                </w:tcPr>
                <w:p>
                  <w:pPr>
                    <w:pStyle w:val="74"/>
                    <w:adjustRightInd w:val="0"/>
                    <w:snapToGrid w:val="0"/>
                    <w:spacing w:line="240" w:lineRule="auto"/>
                    <w:ind w:firstLine="0" w:firstLineChars="0"/>
                    <w:jc w:val="center"/>
                    <w:rPr>
                      <w:rFonts w:hint="eastAsia"/>
                      <w:color w:val="auto"/>
                      <w:szCs w:val="21"/>
                      <w:highlight w:val="none"/>
                    </w:rPr>
                  </w:pPr>
                </w:p>
              </w:tc>
              <w:tc>
                <w:tcPr>
                  <w:tcW w:w="1030" w:type="pct"/>
                  <w:vMerge w:val="continue"/>
                  <w:vAlign w:val="center"/>
                </w:tcPr>
                <w:p>
                  <w:pPr>
                    <w:pStyle w:val="74"/>
                    <w:adjustRightInd w:val="0"/>
                    <w:snapToGrid w:val="0"/>
                    <w:spacing w:line="240" w:lineRule="auto"/>
                    <w:ind w:firstLine="0" w:firstLineChars="0"/>
                    <w:jc w:val="center"/>
                    <w:rPr>
                      <w:rFonts w:hint="eastAsia"/>
                      <w:color w:val="auto"/>
                      <w:szCs w:val="21"/>
                      <w:highlight w:val="none"/>
                    </w:rPr>
                  </w:pPr>
                </w:p>
              </w:tc>
              <w:tc>
                <w:tcPr>
                  <w:tcW w:w="1981" w:type="pct"/>
                  <w:vAlign w:val="center"/>
                </w:tcPr>
                <w:p>
                  <w:pPr>
                    <w:pStyle w:val="74"/>
                    <w:adjustRightInd w:val="0"/>
                    <w:snapToGrid w:val="0"/>
                    <w:spacing w:line="240" w:lineRule="auto"/>
                    <w:ind w:firstLine="0" w:firstLineChars="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沿铜安高速</w:t>
                  </w:r>
                  <w:r>
                    <w:rPr>
                      <w:rFonts w:hint="default" w:eastAsia="宋体"/>
                      <w:color w:val="auto"/>
                      <w:kern w:val="0"/>
                      <w:szCs w:val="21"/>
                      <w:highlight w:val="none"/>
                      <w:lang w:val="en-US" w:eastAsia="zh-CN"/>
                    </w:rPr>
                    <w:t>公路分别</w:t>
                  </w:r>
                  <w:r>
                    <w:rPr>
                      <w:rFonts w:hint="eastAsia"/>
                      <w:color w:val="auto"/>
                      <w:kern w:val="0"/>
                      <w:szCs w:val="21"/>
                      <w:highlight w:val="none"/>
                      <w:lang w:val="en-US" w:eastAsia="zh-CN"/>
                    </w:rPr>
                    <w:t>25m</w:t>
                  </w:r>
                  <w:r>
                    <w:rPr>
                      <w:rFonts w:hint="default" w:eastAsia="宋体"/>
                      <w:color w:val="auto"/>
                      <w:kern w:val="0"/>
                      <w:szCs w:val="21"/>
                      <w:highlight w:val="none"/>
                      <w:lang w:val="en-US" w:eastAsia="zh-CN"/>
                    </w:rPr>
                    <w:t>范围</w:t>
                  </w:r>
                  <w:r>
                    <w:rPr>
                      <w:rFonts w:hint="eastAsia"/>
                      <w:color w:val="auto"/>
                      <w:kern w:val="0"/>
                      <w:szCs w:val="21"/>
                      <w:highlight w:val="none"/>
                      <w:lang w:val="en-US" w:eastAsia="zh-CN"/>
                    </w:rPr>
                    <w:t>（3类声功能区内）；</w:t>
                  </w:r>
                </w:p>
              </w:tc>
            </w:tr>
          </w:tbl>
          <w:p>
            <w:pPr>
              <w:adjustRightInd w:val="0"/>
              <w:snapToGrid w:val="0"/>
              <w:spacing w:line="360" w:lineRule="auto"/>
              <w:rPr>
                <w:b/>
                <w:color w:val="auto"/>
                <w:sz w:val="24"/>
                <w:szCs w:val="32"/>
                <w:highlight w:val="none"/>
              </w:rPr>
            </w:pPr>
            <w:r>
              <w:rPr>
                <w:rFonts w:hint="eastAsia"/>
                <w:b/>
                <w:color w:val="auto"/>
                <w:sz w:val="24"/>
                <w:szCs w:val="32"/>
                <w:highlight w:val="none"/>
              </w:rPr>
              <w:t>3</w:t>
            </w:r>
            <w:r>
              <w:rPr>
                <w:b/>
                <w:color w:val="auto"/>
                <w:sz w:val="24"/>
                <w:szCs w:val="32"/>
                <w:highlight w:val="none"/>
              </w:rPr>
              <w:t>.6</w:t>
            </w:r>
            <w:r>
              <w:rPr>
                <w:rFonts w:hint="eastAsia"/>
                <w:b/>
                <w:color w:val="auto"/>
                <w:sz w:val="24"/>
                <w:szCs w:val="32"/>
                <w:highlight w:val="none"/>
              </w:rPr>
              <w:t>污染</w:t>
            </w:r>
            <w:r>
              <w:rPr>
                <w:b/>
                <w:color w:val="auto"/>
                <w:sz w:val="24"/>
                <w:szCs w:val="32"/>
                <w:highlight w:val="none"/>
              </w:rPr>
              <w:t>物</w:t>
            </w:r>
            <w:r>
              <w:rPr>
                <w:rFonts w:hint="eastAsia"/>
                <w:b/>
                <w:bCs/>
                <w:color w:val="auto"/>
                <w:sz w:val="24"/>
                <w:szCs w:val="32"/>
                <w:highlight w:val="none"/>
              </w:rPr>
              <w:t>排放</w:t>
            </w:r>
            <w:r>
              <w:rPr>
                <w:b/>
                <w:color w:val="auto"/>
                <w:sz w:val="24"/>
                <w:szCs w:val="32"/>
                <w:highlight w:val="none"/>
              </w:rPr>
              <w:t>标准</w:t>
            </w:r>
          </w:p>
          <w:p>
            <w:pPr>
              <w:adjustRightInd w:val="0"/>
              <w:snapToGrid w:val="0"/>
              <w:spacing w:line="360" w:lineRule="auto"/>
              <w:ind w:firstLine="482" w:firstLineChars="200"/>
              <w:rPr>
                <w:b/>
                <w:color w:val="auto"/>
                <w:sz w:val="24"/>
                <w:szCs w:val="32"/>
                <w:highlight w:val="none"/>
              </w:rPr>
            </w:pPr>
            <w:r>
              <w:rPr>
                <w:rFonts w:hint="eastAsia"/>
                <w:b/>
                <w:bCs/>
                <w:snapToGrid w:val="0"/>
                <w:color w:val="auto"/>
                <w:kern w:val="0"/>
                <w:sz w:val="24"/>
                <w:highlight w:val="none"/>
              </w:rPr>
              <w:t>（</w:t>
            </w:r>
            <w:r>
              <w:rPr>
                <w:b/>
                <w:bCs/>
                <w:snapToGrid w:val="0"/>
                <w:color w:val="auto"/>
                <w:kern w:val="0"/>
                <w:sz w:val="24"/>
                <w:highlight w:val="none"/>
              </w:rPr>
              <w:t>1</w:t>
            </w:r>
            <w:r>
              <w:rPr>
                <w:rFonts w:hint="eastAsia"/>
                <w:b/>
                <w:bCs/>
                <w:snapToGrid w:val="0"/>
                <w:color w:val="auto"/>
                <w:kern w:val="0"/>
                <w:sz w:val="24"/>
                <w:highlight w:val="none"/>
              </w:rPr>
              <w:t>）</w:t>
            </w:r>
            <w:r>
              <w:rPr>
                <w:rFonts w:hint="eastAsia"/>
                <w:b/>
                <w:color w:val="auto"/>
                <w:sz w:val="24"/>
                <w:szCs w:val="32"/>
                <w:highlight w:val="none"/>
              </w:rPr>
              <w:t>噪声</w:t>
            </w:r>
          </w:p>
          <w:p>
            <w:pPr>
              <w:adjustRightInd w:val="0"/>
              <w:snapToGrid w:val="0"/>
              <w:spacing w:line="360" w:lineRule="auto"/>
              <w:ind w:firstLine="480"/>
              <w:rPr>
                <w:bCs/>
                <w:snapToGrid w:val="0"/>
                <w:color w:val="auto"/>
                <w:kern w:val="0"/>
                <w:sz w:val="24"/>
                <w:highlight w:val="none"/>
              </w:rPr>
            </w:pPr>
            <w:r>
              <w:rPr>
                <w:rFonts w:hint="eastAsia"/>
                <w:bCs/>
                <w:color w:val="auto"/>
                <w:sz w:val="24"/>
                <w:highlight w:val="none"/>
                <w:lang w:eastAsia="zh-CN"/>
              </w:rPr>
              <w:t>220kV全德变电站</w:t>
            </w:r>
            <w:r>
              <w:rPr>
                <w:rFonts w:hint="eastAsia"/>
                <w:bCs/>
                <w:color w:val="auto"/>
                <w:sz w:val="24"/>
                <w:highlight w:val="none"/>
              </w:rPr>
              <w:t>间隔扩建侧及拟建</w:t>
            </w:r>
            <w:r>
              <w:rPr>
                <w:rFonts w:hint="eastAsia"/>
                <w:bCs/>
                <w:color w:val="auto"/>
                <w:sz w:val="24"/>
                <w:highlight w:val="none"/>
                <w:lang w:val="en-US" w:eastAsia="zh-CN"/>
              </w:rPr>
              <w:t>11</w:t>
            </w:r>
            <w:r>
              <w:rPr>
                <w:bCs/>
                <w:color w:val="auto"/>
                <w:sz w:val="24"/>
                <w:highlight w:val="none"/>
              </w:rPr>
              <w:t>0kV</w:t>
            </w:r>
            <w:r>
              <w:rPr>
                <w:rFonts w:hint="eastAsia"/>
                <w:bCs/>
                <w:color w:val="auto"/>
                <w:sz w:val="24"/>
                <w:highlight w:val="none"/>
                <w:lang w:eastAsia="zh-CN"/>
              </w:rPr>
              <w:t>淮阳变电站</w:t>
            </w:r>
            <w:r>
              <w:rPr>
                <w:rFonts w:hint="eastAsia"/>
                <w:bCs/>
                <w:color w:val="auto"/>
                <w:sz w:val="24"/>
                <w:highlight w:val="none"/>
              </w:rPr>
              <w:t>营运期厂界噪声</w:t>
            </w:r>
            <w:r>
              <w:rPr>
                <w:rFonts w:hint="eastAsia"/>
                <w:bCs/>
                <w:color w:val="auto"/>
                <w:sz w:val="24"/>
                <w:highlight w:val="none"/>
                <w:lang w:eastAsia="zh-CN"/>
              </w:rPr>
              <w:t>分别</w:t>
            </w:r>
            <w:r>
              <w:rPr>
                <w:rFonts w:hint="eastAsia"/>
                <w:bCs/>
                <w:color w:val="auto"/>
                <w:sz w:val="24"/>
                <w:highlight w:val="none"/>
              </w:rPr>
              <w:t>执行《工业企业厂界环境噪声排放标准》（</w:t>
            </w:r>
            <w:r>
              <w:rPr>
                <w:bCs/>
                <w:color w:val="auto"/>
                <w:sz w:val="24"/>
                <w:highlight w:val="none"/>
              </w:rPr>
              <w:t>GB12348-2008</w:t>
            </w:r>
            <w:r>
              <w:rPr>
                <w:rFonts w:hint="eastAsia"/>
                <w:bCs/>
                <w:color w:val="auto"/>
                <w:sz w:val="24"/>
                <w:highlight w:val="none"/>
              </w:rPr>
              <w:t>）2类</w:t>
            </w:r>
            <w:r>
              <w:rPr>
                <w:rFonts w:hint="eastAsia"/>
                <w:bCs/>
                <w:color w:val="auto"/>
                <w:sz w:val="24"/>
                <w:highlight w:val="none"/>
                <w:lang w:eastAsia="zh-CN"/>
              </w:rPr>
              <w:t>、</w:t>
            </w:r>
            <w:r>
              <w:rPr>
                <w:rFonts w:hint="eastAsia"/>
                <w:bCs/>
                <w:color w:val="auto"/>
                <w:sz w:val="24"/>
                <w:highlight w:val="none"/>
                <w:lang w:val="en-US" w:eastAsia="zh-CN"/>
              </w:rPr>
              <w:t>3类</w:t>
            </w:r>
            <w:r>
              <w:rPr>
                <w:rFonts w:hint="eastAsia"/>
                <w:bCs/>
                <w:color w:val="auto"/>
                <w:sz w:val="24"/>
                <w:highlight w:val="none"/>
              </w:rPr>
              <w:t>标准，</w:t>
            </w:r>
            <w:r>
              <w:rPr>
                <w:rFonts w:hint="eastAsia"/>
                <w:bCs/>
                <w:snapToGrid w:val="0"/>
                <w:color w:val="auto"/>
                <w:kern w:val="0"/>
                <w:sz w:val="24"/>
                <w:highlight w:val="none"/>
              </w:rPr>
              <w:t>具体标准见表</w:t>
            </w:r>
            <w:r>
              <w:rPr>
                <w:bCs/>
                <w:snapToGrid w:val="0"/>
                <w:color w:val="auto"/>
                <w:kern w:val="0"/>
                <w:sz w:val="24"/>
                <w:highlight w:val="none"/>
              </w:rPr>
              <w:t>3-1</w:t>
            </w:r>
            <w:r>
              <w:rPr>
                <w:rFonts w:hint="eastAsia"/>
                <w:bCs/>
                <w:snapToGrid w:val="0"/>
                <w:color w:val="auto"/>
                <w:kern w:val="0"/>
                <w:sz w:val="24"/>
                <w:highlight w:val="none"/>
                <w:lang w:val="en-US" w:eastAsia="zh-CN"/>
              </w:rPr>
              <w:t>1</w:t>
            </w:r>
            <w:r>
              <w:rPr>
                <w:rFonts w:hint="eastAsia"/>
                <w:bCs/>
                <w:snapToGrid w:val="0"/>
                <w:color w:val="auto"/>
                <w:kern w:val="0"/>
                <w:sz w:val="24"/>
                <w:highlight w:val="none"/>
              </w:rPr>
              <w:t>；</w:t>
            </w:r>
            <w:r>
              <w:rPr>
                <w:rFonts w:hint="eastAsia"/>
                <w:bCs/>
                <w:color w:val="auto"/>
                <w:sz w:val="24"/>
                <w:highlight w:val="none"/>
              </w:rPr>
              <w:t>施工期执行《建筑施工场界环境噪声排放标准》（GB12523-2011），</w:t>
            </w:r>
            <w:r>
              <w:rPr>
                <w:rFonts w:hint="eastAsia"/>
                <w:bCs/>
                <w:snapToGrid w:val="0"/>
                <w:color w:val="auto"/>
                <w:kern w:val="0"/>
                <w:sz w:val="24"/>
                <w:highlight w:val="none"/>
              </w:rPr>
              <w:t>具体标准见表</w:t>
            </w:r>
            <w:r>
              <w:rPr>
                <w:bCs/>
                <w:snapToGrid w:val="0"/>
                <w:color w:val="auto"/>
                <w:kern w:val="0"/>
                <w:sz w:val="24"/>
                <w:highlight w:val="none"/>
              </w:rPr>
              <w:t>3-1</w:t>
            </w:r>
            <w:r>
              <w:rPr>
                <w:rFonts w:hint="eastAsia"/>
                <w:bCs/>
                <w:snapToGrid w:val="0"/>
                <w:color w:val="auto"/>
                <w:kern w:val="0"/>
                <w:sz w:val="24"/>
                <w:highlight w:val="none"/>
                <w:lang w:val="en-US" w:eastAsia="zh-CN"/>
              </w:rPr>
              <w:t>2</w:t>
            </w:r>
            <w:r>
              <w:rPr>
                <w:rFonts w:hint="eastAsia"/>
                <w:bCs/>
                <w:snapToGrid w:val="0"/>
                <w:color w:val="auto"/>
                <w:kern w:val="0"/>
                <w:sz w:val="24"/>
                <w:highlight w:val="none"/>
              </w:rPr>
              <w:t>。</w:t>
            </w:r>
          </w:p>
          <w:p>
            <w:pPr>
              <w:adjustRightInd w:val="0"/>
              <w:snapToGrid w:val="0"/>
              <w:jc w:val="center"/>
              <w:rPr>
                <w:b/>
                <w:bCs/>
                <w:color w:val="auto"/>
                <w:sz w:val="24"/>
                <w:highlight w:val="none"/>
              </w:rPr>
            </w:pPr>
            <w:r>
              <w:rPr>
                <w:rFonts w:hint="eastAsia"/>
                <w:b/>
                <w:bCs/>
                <w:color w:val="auto"/>
                <w:sz w:val="24"/>
                <w:highlight w:val="none"/>
              </w:rPr>
              <w:t>表</w:t>
            </w:r>
            <w:r>
              <w:rPr>
                <w:b/>
                <w:bCs/>
                <w:color w:val="auto"/>
                <w:sz w:val="24"/>
                <w:highlight w:val="none"/>
              </w:rPr>
              <w:t>3-1</w:t>
            </w:r>
            <w:r>
              <w:rPr>
                <w:rFonts w:hint="eastAsia"/>
                <w:b/>
                <w:bCs/>
                <w:color w:val="auto"/>
                <w:sz w:val="24"/>
                <w:highlight w:val="none"/>
                <w:lang w:val="en-US" w:eastAsia="zh-CN"/>
              </w:rPr>
              <w:t>1</w:t>
            </w:r>
            <w:r>
              <w:rPr>
                <w:b/>
                <w:bCs/>
                <w:color w:val="auto"/>
                <w:sz w:val="24"/>
                <w:highlight w:val="none"/>
              </w:rPr>
              <w:t xml:space="preserve">  </w:t>
            </w:r>
            <w:r>
              <w:rPr>
                <w:rFonts w:hint="eastAsia"/>
                <w:b/>
                <w:bCs/>
                <w:color w:val="auto"/>
                <w:sz w:val="24"/>
                <w:highlight w:val="none"/>
              </w:rPr>
              <w:t>变电站厂界</w:t>
            </w:r>
            <w:r>
              <w:rPr>
                <w:rFonts w:hint="eastAsia"/>
                <w:b/>
                <w:bCs/>
                <w:color w:val="auto"/>
                <w:kern w:val="0"/>
                <w:sz w:val="24"/>
                <w:highlight w:val="none"/>
              </w:rPr>
              <w:t>噪声</w:t>
            </w:r>
            <w:r>
              <w:rPr>
                <w:rFonts w:hint="eastAsia"/>
                <w:b/>
                <w:bCs/>
                <w:color w:val="auto"/>
                <w:sz w:val="24"/>
                <w:highlight w:val="none"/>
              </w:rPr>
              <w:t>执行标准</w:t>
            </w:r>
            <w:r>
              <w:rPr>
                <w:b/>
                <w:bCs/>
                <w:color w:val="auto"/>
                <w:sz w:val="24"/>
                <w:highlight w:val="none"/>
              </w:rPr>
              <w:t xml:space="preserve">  </w:t>
            </w:r>
            <w:r>
              <w:rPr>
                <w:rFonts w:hint="eastAsia"/>
                <w:b/>
                <w:bCs/>
                <w:color w:val="auto"/>
                <w:sz w:val="24"/>
                <w:highlight w:val="none"/>
              </w:rPr>
              <w:t>单位：</w:t>
            </w:r>
            <w:r>
              <w:rPr>
                <w:b/>
                <w:bCs/>
                <w:color w:val="auto"/>
                <w:sz w:val="24"/>
                <w:highlight w:val="none"/>
              </w:rPr>
              <w:t>dB</w:t>
            </w:r>
            <w:r>
              <w:rPr>
                <w:rFonts w:hint="eastAsia"/>
                <w:b/>
                <w:bCs/>
                <w:color w:val="auto"/>
                <w:sz w:val="24"/>
                <w:highlight w:val="none"/>
              </w:rPr>
              <w:t>（</w:t>
            </w:r>
            <w:r>
              <w:rPr>
                <w:b/>
                <w:bCs/>
                <w:color w:val="auto"/>
                <w:sz w:val="24"/>
                <w:highlight w:val="none"/>
              </w:rPr>
              <w:t>A</w:t>
            </w:r>
            <w:r>
              <w:rPr>
                <w:rFonts w:hint="eastAsia"/>
                <w:b/>
                <w:bCs/>
                <w:color w:val="auto"/>
                <w:sz w:val="24"/>
                <w:highlight w:val="none"/>
              </w:rPr>
              <w:t>）</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99"/>
              <w:gridCol w:w="1123"/>
              <w:gridCol w:w="1963"/>
              <w:gridCol w:w="29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7" w:type="pct"/>
                  <w:vAlign w:val="center"/>
                </w:tcPr>
                <w:p>
                  <w:pPr>
                    <w:pStyle w:val="74"/>
                    <w:adjustRightInd w:val="0"/>
                    <w:snapToGrid w:val="0"/>
                    <w:spacing w:line="240" w:lineRule="auto"/>
                    <w:ind w:firstLine="0" w:firstLineChars="0"/>
                    <w:jc w:val="center"/>
                    <w:rPr>
                      <w:bCs/>
                      <w:color w:val="auto"/>
                      <w:kern w:val="0"/>
                      <w:szCs w:val="21"/>
                      <w:highlight w:val="none"/>
                    </w:rPr>
                  </w:pPr>
                  <w:r>
                    <w:rPr>
                      <w:rFonts w:hint="eastAsia"/>
                      <w:bCs/>
                      <w:color w:val="auto"/>
                      <w:szCs w:val="21"/>
                      <w:highlight w:val="none"/>
                    </w:rPr>
                    <w:t>类别</w:t>
                  </w:r>
                </w:p>
              </w:tc>
              <w:tc>
                <w:tcPr>
                  <w:tcW w:w="716" w:type="pct"/>
                  <w:vAlign w:val="center"/>
                </w:tcPr>
                <w:p>
                  <w:pPr>
                    <w:pStyle w:val="74"/>
                    <w:adjustRightInd w:val="0"/>
                    <w:snapToGrid w:val="0"/>
                    <w:spacing w:line="240" w:lineRule="auto"/>
                    <w:ind w:firstLine="0" w:firstLineChars="0"/>
                    <w:jc w:val="center"/>
                    <w:rPr>
                      <w:bCs/>
                      <w:color w:val="auto"/>
                      <w:kern w:val="0"/>
                      <w:szCs w:val="21"/>
                      <w:highlight w:val="none"/>
                    </w:rPr>
                  </w:pPr>
                  <w:r>
                    <w:rPr>
                      <w:rFonts w:hint="eastAsia"/>
                      <w:bCs/>
                      <w:color w:val="auto"/>
                      <w:szCs w:val="21"/>
                      <w:highlight w:val="none"/>
                    </w:rPr>
                    <w:t>昼间</w:t>
                  </w:r>
                </w:p>
              </w:tc>
              <w:tc>
                <w:tcPr>
                  <w:tcW w:w="1252" w:type="pct"/>
                  <w:vAlign w:val="center"/>
                </w:tcPr>
                <w:p>
                  <w:pPr>
                    <w:pStyle w:val="74"/>
                    <w:adjustRightInd w:val="0"/>
                    <w:snapToGrid w:val="0"/>
                    <w:spacing w:line="240" w:lineRule="auto"/>
                    <w:ind w:firstLine="0" w:firstLineChars="0"/>
                    <w:jc w:val="center"/>
                    <w:rPr>
                      <w:bCs/>
                      <w:color w:val="auto"/>
                      <w:kern w:val="0"/>
                      <w:szCs w:val="21"/>
                      <w:highlight w:val="none"/>
                    </w:rPr>
                  </w:pPr>
                  <w:r>
                    <w:rPr>
                      <w:rFonts w:hint="eastAsia"/>
                      <w:bCs/>
                      <w:color w:val="auto"/>
                      <w:szCs w:val="21"/>
                      <w:highlight w:val="none"/>
                    </w:rPr>
                    <w:t>夜间</w:t>
                  </w:r>
                </w:p>
              </w:tc>
              <w:tc>
                <w:tcPr>
                  <w:tcW w:w="1885" w:type="pct"/>
                  <w:vAlign w:val="center"/>
                </w:tcPr>
                <w:p>
                  <w:pPr>
                    <w:pStyle w:val="74"/>
                    <w:adjustRightInd w:val="0"/>
                    <w:snapToGrid w:val="0"/>
                    <w:spacing w:line="240" w:lineRule="auto"/>
                    <w:ind w:firstLine="0" w:firstLineChars="0"/>
                    <w:jc w:val="center"/>
                    <w:rPr>
                      <w:bCs/>
                      <w:color w:val="auto"/>
                      <w:kern w:val="0"/>
                      <w:szCs w:val="21"/>
                      <w:highlight w:val="none"/>
                    </w:rPr>
                  </w:pPr>
                  <w:r>
                    <w:rPr>
                      <w:rFonts w:hint="eastAsia"/>
                      <w:bCs/>
                      <w:color w:val="auto"/>
                      <w:kern w:val="0"/>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7" w:type="pct"/>
                  <w:vAlign w:val="center"/>
                </w:tcPr>
                <w:p>
                  <w:pPr>
                    <w:pStyle w:val="74"/>
                    <w:adjustRightInd w:val="0"/>
                    <w:snapToGrid w:val="0"/>
                    <w:spacing w:line="240" w:lineRule="auto"/>
                    <w:ind w:firstLine="0" w:firstLineChars="0"/>
                    <w:jc w:val="center"/>
                    <w:rPr>
                      <w:color w:val="auto"/>
                      <w:kern w:val="0"/>
                      <w:szCs w:val="21"/>
                      <w:highlight w:val="none"/>
                    </w:rPr>
                  </w:pPr>
                  <w:r>
                    <w:rPr>
                      <w:rFonts w:hint="eastAsia"/>
                      <w:color w:val="auto"/>
                      <w:szCs w:val="21"/>
                      <w:highlight w:val="none"/>
                    </w:rPr>
                    <w:t>2类</w:t>
                  </w:r>
                </w:p>
              </w:tc>
              <w:tc>
                <w:tcPr>
                  <w:tcW w:w="716" w:type="pct"/>
                  <w:vAlign w:val="center"/>
                </w:tcPr>
                <w:p>
                  <w:pPr>
                    <w:pStyle w:val="74"/>
                    <w:adjustRightInd w:val="0"/>
                    <w:snapToGrid w:val="0"/>
                    <w:spacing w:line="240" w:lineRule="auto"/>
                    <w:ind w:firstLine="0" w:firstLineChars="0"/>
                    <w:jc w:val="center"/>
                    <w:rPr>
                      <w:color w:val="auto"/>
                      <w:kern w:val="0"/>
                      <w:szCs w:val="21"/>
                      <w:highlight w:val="none"/>
                    </w:rPr>
                  </w:pPr>
                  <w:r>
                    <w:rPr>
                      <w:rFonts w:hint="eastAsia"/>
                      <w:color w:val="auto"/>
                      <w:szCs w:val="21"/>
                      <w:highlight w:val="none"/>
                    </w:rPr>
                    <w:t>60</w:t>
                  </w:r>
                </w:p>
              </w:tc>
              <w:tc>
                <w:tcPr>
                  <w:tcW w:w="1252" w:type="pct"/>
                  <w:vAlign w:val="center"/>
                </w:tcPr>
                <w:p>
                  <w:pPr>
                    <w:pStyle w:val="74"/>
                    <w:adjustRightInd w:val="0"/>
                    <w:snapToGrid w:val="0"/>
                    <w:spacing w:line="240" w:lineRule="auto"/>
                    <w:ind w:firstLine="0" w:firstLineChars="0"/>
                    <w:jc w:val="center"/>
                    <w:rPr>
                      <w:color w:val="auto"/>
                      <w:kern w:val="0"/>
                      <w:szCs w:val="21"/>
                      <w:highlight w:val="none"/>
                    </w:rPr>
                  </w:pPr>
                  <w:r>
                    <w:rPr>
                      <w:rFonts w:hint="eastAsia"/>
                      <w:color w:val="auto"/>
                      <w:szCs w:val="21"/>
                      <w:highlight w:val="none"/>
                    </w:rPr>
                    <w:t>50</w:t>
                  </w:r>
                </w:p>
              </w:tc>
              <w:tc>
                <w:tcPr>
                  <w:tcW w:w="1885" w:type="pct"/>
                  <w:vAlign w:val="center"/>
                </w:tcPr>
                <w:p>
                  <w:pPr>
                    <w:pStyle w:val="74"/>
                    <w:adjustRightInd w:val="0"/>
                    <w:snapToGrid w:val="0"/>
                    <w:spacing w:line="240" w:lineRule="auto"/>
                    <w:ind w:firstLine="0" w:firstLineChars="0"/>
                    <w:jc w:val="center"/>
                    <w:rPr>
                      <w:color w:val="auto"/>
                      <w:kern w:val="0"/>
                      <w:szCs w:val="21"/>
                      <w:highlight w:val="none"/>
                    </w:rPr>
                  </w:pPr>
                  <w:r>
                    <w:rPr>
                      <w:rFonts w:hint="eastAsia"/>
                      <w:color w:val="auto"/>
                      <w:kern w:val="0"/>
                      <w:szCs w:val="21"/>
                      <w:highlight w:val="none"/>
                      <w:lang w:eastAsia="zh-CN"/>
                    </w:rPr>
                    <w:t>全德</w:t>
                  </w:r>
                  <w:r>
                    <w:rPr>
                      <w:rFonts w:hint="eastAsia"/>
                      <w:color w:val="auto"/>
                      <w:kern w:val="0"/>
                      <w:szCs w:val="21"/>
                      <w:highlight w:val="none"/>
                    </w:rPr>
                    <w:t>变电站</w:t>
                  </w:r>
                  <w:r>
                    <w:rPr>
                      <w:rFonts w:hint="eastAsia"/>
                      <w:color w:val="auto"/>
                      <w:kern w:val="0"/>
                      <w:szCs w:val="21"/>
                      <w:highlight w:val="none"/>
                      <w:lang w:eastAsia="zh-CN"/>
                    </w:rPr>
                    <w:t>扩建间隔侧</w:t>
                  </w:r>
                  <w:r>
                    <w:rPr>
                      <w:rFonts w:hint="eastAsia"/>
                      <w:color w:val="auto"/>
                      <w:kern w:val="0"/>
                      <w:szCs w:val="21"/>
                      <w:highlight w:val="none"/>
                    </w:rPr>
                    <w:t>厂界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5" w:hRule="atLeast"/>
              </w:trPr>
              <w:tc>
                <w:tcPr>
                  <w:tcW w:w="1799" w:type="dxa"/>
                  <w:vAlign w:val="center"/>
                </w:tcPr>
                <w:p>
                  <w:pPr>
                    <w:pStyle w:val="74"/>
                    <w:adjustRightInd w:val="0"/>
                    <w:snapToGrid w:val="0"/>
                    <w:spacing w:line="240" w:lineRule="auto"/>
                    <w:ind w:firstLine="0" w:firstLineChars="0"/>
                    <w:jc w:val="center"/>
                    <w:rPr>
                      <w:rFonts w:hint="eastAsia"/>
                      <w:color w:val="auto"/>
                      <w:szCs w:val="21"/>
                      <w:highlight w:val="none"/>
                    </w:rPr>
                  </w:pPr>
                  <w:r>
                    <w:rPr>
                      <w:rFonts w:hint="eastAsia"/>
                      <w:color w:val="auto"/>
                      <w:szCs w:val="21"/>
                      <w:highlight w:val="none"/>
                      <w:lang w:val="en-US" w:eastAsia="zh-CN"/>
                    </w:rPr>
                    <w:t>3</w:t>
                  </w:r>
                  <w:r>
                    <w:rPr>
                      <w:color w:val="auto"/>
                      <w:szCs w:val="21"/>
                      <w:highlight w:val="none"/>
                    </w:rPr>
                    <w:t>类</w:t>
                  </w:r>
                </w:p>
              </w:tc>
              <w:tc>
                <w:tcPr>
                  <w:tcW w:w="1123" w:type="dxa"/>
                  <w:vAlign w:val="center"/>
                </w:tcPr>
                <w:p>
                  <w:pPr>
                    <w:pStyle w:val="74"/>
                    <w:adjustRightInd w:val="0"/>
                    <w:snapToGrid w:val="0"/>
                    <w:spacing w:line="240" w:lineRule="auto"/>
                    <w:ind w:firstLine="0" w:firstLineChars="0"/>
                    <w:jc w:val="center"/>
                    <w:rPr>
                      <w:rFonts w:hint="eastAsia"/>
                      <w:color w:val="auto"/>
                      <w:szCs w:val="21"/>
                      <w:highlight w:val="none"/>
                    </w:rPr>
                  </w:pPr>
                  <w:r>
                    <w:rPr>
                      <w:rFonts w:hint="eastAsia"/>
                      <w:color w:val="auto"/>
                      <w:szCs w:val="21"/>
                      <w:highlight w:val="none"/>
                      <w:lang w:val="en-US" w:eastAsia="zh-CN"/>
                    </w:rPr>
                    <w:t>65</w:t>
                  </w:r>
                </w:p>
              </w:tc>
              <w:tc>
                <w:tcPr>
                  <w:tcW w:w="1963" w:type="dxa"/>
                  <w:vAlign w:val="center"/>
                </w:tcPr>
                <w:p>
                  <w:pPr>
                    <w:pStyle w:val="74"/>
                    <w:adjustRightInd w:val="0"/>
                    <w:snapToGrid w:val="0"/>
                    <w:spacing w:line="240" w:lineRule="auto"/>
                    <w:ind w:firstLine="0" w:firstLineChars="0"/>
                    <w:jc w:val="center"/>
                    <w:rPr>
                      <w:rFonts w:hint="eastAsia"/>
                      <w:color w:val="auto"/>
                      <w:szCs w:val="21"/>
                      <w:highlight w:val="none"/>
                    </w:rPr>
                  </w:pPr>
                  <w:r>
                    <w:rPr>
                      <w:rFonts w:hint="eastAsia"/>
                      <w:color w:val="auto"/>
                      <w:szCs w:val="21"/>
                      <w:highlight w:val="none"/>
                      <w:lang w:val="en-US" w:eastAsia="zh-CN"/>
                    </w:rPr>
                    <w:t>55</w:t>
                  </w:r>
                </w:p>
              </w:tc>
              <w:tc>
                <w:tcPr>
                  <w:tcW w:w="1885" w:type="pct"/>
                  <w:vAlign w:val="center"/>
                </w:tcPr>
                <w:p>
                  <w:pPr>
                    <w:pStyle w:val="74"/>
                    <w:adjustRightInd w:val="0"/>
                    <w:snapToGrid w:val="0"/>
                    <w:spacing w:line="240" w:lineRule="auto"/>
                    <w:ind w:firstLine="0" w:firstLineChars="0"/>
                    <w:jc w:val="center"/>
                    <w:rPr>
                      <w:rFonts w:hint="eastAsia" w:eastAsia="宋体"/>
                      <w:color w:val="auto"/>
                      <w:kern w:val="0"/>
                      <w:szCs w:val="21"/>
                      <w:highlight w:val="none"/>
                      <w:lang w:eastAsia="zh-CN"/>
                    </w:rPr>
                  </w:pPr>
                  <w:r>
                    <w:rPr>
                      <w:rFonts w:hint="eastAsia"/>
                      <w:color w:val="auto"/>
                      <w:kern w:val="0"/>
                      <w:szCs w:val="21"/>
                      <w:highlight w:val="none"/>
                      <w:lang w:eastAsia="zh-CN"/>
                    </w:rPr>
                    <w:t>淮阳变电站四周厂界</w:t>
                  </w:r>
                </w:p>
              </w:tc>
            </w:tr>
          </w:tbl>
          <w:p>
            <w:pPr>
              <w:tabs>
                <w:tab w:val="left" w:pos="9180"/>
              </w:tabs>
              <w:adjustRightInd w:val="0"/>
              <w:snapToGrid w:val="0"/>
              <w:jc w:val="center"/>
              <w:rPr>
                <w:b/>
                <w:bCs/>
                <w:color w:val="auto"/>
                <w:sz w:val="24"/>
                <w:szCs w:val="22"/>
                <w:highlight w:val="none"/>
              </w:rPr>
            </w:pPr>
          </w:p>
          <w:p>
            <w:pPr>
              <w:tabs>
                <w:tab w:val="left" w:pos="9180"/>
              </w:tabs>
              <w:adjustRightInd w:val="0"/>
              <w:snapToGrid w:val="0"/>
              <w:jc w:val="center"/>
              <w:rPr>
                <w:b/>
                <w:bCs/>
                <w:color w:val="auto"/>
                <w:sz w:val="24"/>
                <w:szCs w:val="22"/>
                <w:highlight w:val="none"/>
              </w:rPr>
            </w:pPr>
            <w:r>
              <w:rPr>
                <w:b/>
                <w:bCs/>
                <w:color w:val="auto"/>
                <w:sz w:val="24"/>
                <w:szCs w:val="22"/>
                <w:highlight w:val="none"/>
              </w:rPr>
              <w:t>表</w:t>
            </w:r>
            <w:r>
              <w:rPr>
                <w:rFonts w:hint="eastAsia"/>
                <w:b/>
                <w:bCs/>
                <w:color w:val="auto"/>
                <w:sz w:val="24"/>
                <w:szCs w:val="22"/>
                <w:highlight w:val="none"/>
              </w:rPr>
              <w:t>3-</w:t>
            </w:r>
            <w:r>
              <w:rPr>
                <w:b/>
                <w:bCs/>
                <w:color w:val="auto"/>
                <w:sz w:val="24"/>
                <w:szCs w:val="22"/>
                <w:highlight w:val="none"/>
              </w:rPr>
              <w:t>1</w:t>
            </w:r>
            <w:r>
              <w:rPr>
                <w:rFonts w:hint="eastAsia"/>
                <w:b/>
                <w:bCs/>
                <w:color w:val="auto"/>
                <w:sz w:val="24"/>
                <w:szCs w:val="22"/>
                <w:highlight w:val="none"/>
                <w:lang w:val="en-US" w:eastAsia="zh-CN"/>
              </w:rPr>
              <w:t>2</w:t>
            </w:r>
            <w:r>
              <w:rPr>
                <w:b/>
                <w:bCs/>
                <w:color w:val="auto"/>
                <w:sz w:val="24"/>
                <w:szCs w:val="22"/>
                <w:highlight w:val="none"/>
              </w:rPr>
              <w:t xml:space="preserve"> 《建筑施工场界环境噪声排放标准》   单位：dB(A)</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690"/>
              <w:gridCol w:w="41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353" w:type="pct"/>
                  <w:vAlign w:val="center"/>
                </w:tcPr>
                <w:p>
                  <w:pPr>
                    <w:jc w:val="center"/>
                    <w:rPr>
                      <w:b/>
                      <w:bCs/>
                      <w:color w:val="auto"/>
                      <w:szCs w:val="21"/>
                      <w:highlight w:val="none"/>
                    </w:rPr>
                  </w:pPr>
                  <w:r>
                    <w:rPr>
                      <w:b/>
                      <w:bCs/>
                      <w:color w:val="auto"/>
                      <w:szCs w:val="21"/>
                      <w:highlight w:val="none"/>
                    </w:rPr>
                    <w:t>昼间</w:t>
                  </w:r>
                </w:p>
              </w:tc>
              <w:tc>
                <w:tcPr>
                  <w:tcW w:w="2647" w:type="pct"/>
                  <w:vAlign w:val="center"/>
                </w:tcPr>
                <w:p>
                  <w:pPr>
                    <w:jc w:val="center"/>
                    <w:rPr>
                      <w:b/>
                      <w:bCs/>
                      <w:color w:val="auto"/>
                      <w:szCs w:val="21"/>
                      <w:highlight w:val="none"/>
                    </w:rPr>
                  </w:pPr>
                  <w:r>
                    <w:rPr>
                      <w:b/>
                      <w:bCs/>
                      <w:color w:val="auto"/>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353" w:type="pct"/>
                  <w:vAlign w:val="center"/>
                </w:tcPr>
                <w:p>
                  <w:pPr>
                    <w:jc w:val="center"/>
                    <w:rPr>
                      <w:color w:val="auto"/>
                      <w:szCs w:val="21"/>
                      <w:highlight w:val="none"/>
                    </w:rPr>
                  </w:pPr>
                  <w:r>
                    <w:rPr>
                      <w:color w:val="auto"/>
                      <w:szCs w:val="21"/>
                      <w:highlight w:val="none"/>
                    </w:rPr>
                    <w:t>70</w:t>
                  </w:r>
                </w:p>
              </w:tc>
              <w:tc>
                <w:tcPr>
                  <w:tcW w:w="2647" w:type="pct"/>
                  <w:vAlign w:val="center"/>
                </w:tcPr>
                <w:p>
                  <w:pPr>
                    <w:jc w:val="center"/>
                    <w:rPr>
                      <w:color w:val="auto"/>
                      <w:szCs w:val="21"/>
                      <w:highlight w:val="none"/>
                    </w:rPr>
                  </w:pPr>
                  <w:r>
                    <w:rPr>
                      <w:color w:val="auto"/>
                      <w:szCs w:val="21"/>
                      <w:highlight w:val="none"/>
                    </w:rPr>
                    <w:t>55</w:t>
                  </w:r>
                </w:p>
              </w:tc>
            </w:tr>
          </w:tbl>
          <w:p>
            <w:pPr>
              <w:adjustRightInd w:val="0"/>
              <w:snapToGrid w:val="0"/>
              <w:spacing w:line="360" w:lineRule="auto"/>
              <w:rPr>
                <w:b/>
                <w:color w:val="auto"/>
                <w:sz w:val="24"/>
                <w:szCs w:val="32"/>
                <w:highlight w:val="none"/>
              </w:rPr>
            </w:pPr>
            <w:r>
              <w:rPr>
                <w:rFonts w:hint="eastAsia"/>
                <w:b/>
                <w:color w:val="auto"/>
                <w:sz w:val="24"/>
                <w:szCs w:val="32"/>
                <w:highlight w:val="none"/>
              </w:rPr>
              <w:t>3</w:t>
            </w:r>
            <w:r>
              <w:rPr>
                <w:b/>
                <w:color w:val="auto"/>
                <w:sz w:val="24"/>
                <w:szCs w:val="32"/>
                <w:highlight w:val="none"/>
              </w:rPr>
              <w:t>.7</w:t>
            </w:r>
            <w:r>
              <w:rPr>
                <w:rFonts w:hint="eastAsia"/>
                <w:b/>
                <w:color w:val="auto"/>
                <w:sz w:val="24"/>
                <w:szCs w:val="32"/>
                <w:highlight w:val="none"/>
              </w:rPr>
              <w:t>电磁环境</w:t>
            </w:r>
            <w:r>
              <w:rPr>
                <w:b/>
                <w:color w:val="auto"/>
                <w:sz w:val="24"/>
                <w:szCs w:val="32"/>
                <w:highlight w:val="none"/>
              </w:rPr>
              <w:t>限值标准</w:t>
            </w:r>
          </w:p>
          <w:p>
            <w:pPr>
              <w:tabs>
                <w:tab w:val="left" w:pos="3371"/>
              </w:tabs>
              <w:adjustRightInd w:val="0"/>
              <w:snapToGrid w:val="0"/>
              <w:spacing w:line="360" w:lineRule="auto"/>
              <w:ind w:firstLine="480" w:firstLineChars="200"/>
              <w:jc w:val="left"/>
              <w:rPr>
                <w:color w:val="auto"/>
                <w:sz w:val="24"/>
                <w:highlight w:val="none"/>
              </w:rPr>
            </w:pPr>
            <w:r>
              <w:rPr>
                <w:color w:val="auto"/>
                <w:sz w:val="24"/>
                <w:szCs w:val="32"/>
                <w:highlight w:val="none"/>
              </w:rPr>
              <w:t>《电磁环境控制限值》（GB8702-2014）表1中给出了不同频率下电场、磁场所致公众曝露控制限值，</w:t>
            </w:r>
            <w:r>
              <w:rPr>
                <w:color w:val="auto"/>
                <w:sz w:val="24"/>
                <w:highlight w:val="none"/>
              </w:rPr>
              <w:t>具体见表</w:t>
            </w:r>
            <w:r>
              <w:rPr>
                <w:rFonts w:hint="eastAsia"/>
                <w:color w:val="auto"/>
                <w:sz w:val="24"/>
                <w:highlight w:val="none"/>
              </w:rPr>
              <w:t>3-</w:t>
            </w:r>
            <w:r>
              <w:rPr>
                <w:color w:val="auto"/>
                <w:sz w:val="24"/>
                <w:highlight w:val="none"/>
              </w:rPr>
              <w:t>1</w:t>
            </w:r>
            <w:r>
              <w:rPr>
                <w:rFonts w:hint="eastAsia"/>
                <w:color w:val="auto"/>
                <w:sz w:val="24"/>
                <w:highlight w:val="none"/>
                <w:lang w:val="en-US" w:eastAsia="zh-CN"/>
              </w:rPr>
              <w:t>3</w:t>
            </w:r>
            <w:r>
              <w:rPr>
                <w:color w:val="auto"/>
                <w:sz w:val="24"/>
                <w:highlight w:val="none"/>
              </w:rPr>
              <w:t>。</w:t>
            </w:r>
          </w:p>
          <w:p>
            <w:pPr>
              <w:adjustRightInd w:val="0"/>
              <w:snapToGrid w:val="0"/>
              <w:jc w:val="center"/>
              <w:rPr>
                <w:b/>
                <w:bCs/>
                <w:color w:val="auto"/>
                <w:sz w:val="24"/>
                <w:highlight w:val="none"/>
              </w:rPr>
            </w:pPr>
            <w:r>
              <w:rPr>
                <w:b/>
                <w:bCs/>
                <w:color w:val="auto"/>
                <w:sz w:val="24"/>
                <w:highlight w:val="none"/>
              </w:rPr>
              <w:t>表</w:t>
            </w:r>
            <w:r>
              <w:rPr>
                <w:rFonts w:hint="eastAsia"/>
                <w:b/>
                <w:bCs/>
                <w:color w:val="auto"/>
                <w:sz w:val="24"/>
                <w:highlight w:val="none"/>
              </w:rPr>
              <w:t>3-</w:t>
            </w:r>
            <w:r>
              <w:rPr>
                <w:b/>
                <w:bCs/>
                <w:color w:val="auto"/>
                <w:sz w:val="24"/>
                <w:highlight w:val="none"/>
              </w:rPr>
              <w:t>1</w:t>
            </w:r>
            <w:r>
              <w:rPr>
                <w:rFonts w:hint="eastAsia"/>
                <w:b/>
                <w:bCs/>
                <w:color w:val="auto"/>
                <w:sz w:val="24"/>
                <w:highlight w:val="none"/>
                <w:lang w:val="en-US" w:eastAsia="zh-CN"/>
              </w:rPr>
              <w:t>3</w:t>
            </w:r>
            <w:r>
              <w:rPr>
                <w:b/>
                <w:bCs/>
                <w:color w:val="auto"/>
                <w:sz w:val="24"/>
                <w:highlight w:val="none"/>
              </w:rPr>
              <w:t xml:space="preserve"> 公众曝露控制限值</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67"/>
              <w:gridCol w:w="2727"/>
              <w:gridCol w:w="304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18" w:type="pct"/>
                  <w:vAlign w:val="center"/>
                </w:tcPr>
                <w:p>
                  <w:pPr>
                    <w:adjustRightInd w:val="0"/>
                    <w:snapToGrid w:val="0"/>
                    <w:jc w:val="center"/>
                    <w:rPr>
                      <w:bCs/>
                      <w:snapToGrid w:val="0"/>
                      <w:color w:val="auto"/>
                      <w:szCs w:val="21"/>
                      <w:highlight w:val="none"/>
                    </w:rPr>
                  </w:pPr>
                  <w:r>
                    <w:rPr>
                      <w:bCs/>
                      <w:snapToGrid w:val="0"/>
                      <w:color w:val="auto"/>
                      <w:szCs w:val="21"/>
                      <w:highlight w:val="none"/>
                    </w:rPr>
                    <w:t>频率范围</w:t>
                  </w:r>
                </w:p>
              </w:tc>
              <w:tc>
                <w:tcPr>
                  <w:tcW w:w="1739" w:type="pct"/>
                  <w:vAlign w:val="center"/>
                </w:tcPr>
                <w:p>
                  <w:pPr>
                    <w:adjustRightInd w:val="0"/>
                    <w:snapToGrid w:val="0"/>
                    <w:jc w:val="center"/>
                    <w:rPr>
                      <w:bCs/>
                      <w:snapToGrid w:val="0"/>
                      <w:color w:val="auto"/>
                      <w:szCs w:val="21"/>
                      <w:highlight w:val="none"/>
                    </w:rPr>
                  </w:pPr>
                  <w:r>
                    <w:rPr>
                      <w:bCs/>
                      <w:snapToGrid w:val="0"/>
                      <w:color w:val="auto"/>
                      <w:szCs w:val="21"/>
                      <w:highlight w:val="none"/>
                    </w:rPr>
                    <w:t>电</w:t>
                  </w:r>
                  <w:r>
                    <w:rPr>
                      <w:rFonts w:hint="eastAsia"/>
                      <w:bCs/>
                      <w:snapToGrid w:val="0"/>
                      <w:color w:val="auto"/>
                      <w:szCs w:val="21"/>
                      <w:highlight w:val="none"/>
                    </w:rPr>
                    <w:t>场</w:t>
                  </w:r>
                  <w:r>
                    <w:rPr>
                      <w:bCs/>
                      <w:snapToGrid w:val="0"/>
                      <w:color w:val="auto"/>
                      <w:szCs w:val="21"/>
                      <w:highlight w:val="none"/>
                    </w:rPr>
                    <w:t>强度E（V/m）</w:t>
                  </w:r>
                </w:p>
              </w:tc>
              <w:tc>
                <w:tcPr>
                  <w:tcW w:w="1943" w:type="pct"/>
                  <w:vAlign w:val="center"/>
                </w:tcPr>
                <w:p>
                  <w:pPr>
                    <w:adjustRightInd w:val="0"/>
                    <w:snapToGrid w:val="0"/>
                    <w:jc w:val="center"/>
                    <w:rPr>
                      <w:bCs/>
                      <w:snapToGrid w:val="0"/>
                      <w:color w:val="auto"/>
                      <w:szCs w:val="21"/>
                      <w:highlight w:val="none"/>
                    </w:rPr>
                  </w:pPr>
                  <w:r>
                    <w:rPr>
                      <w:bCs/>
                      <w:snapToGrid w:val="0"/>
                      <w:color w:val="auto"/>
                      <w:szCs w:val="21"/>
                      <w:highlight w:val="none"/>
                    </w:rPr>
                    <w:t>磁感应强度B（</w:t>
                  </w:r>
                  <w:r>
                    <w:rPr>
                      <w:bCs/>
                      <w:color w:val="auto"/>
                      <w:szCs w:val="21"/>
                      <w:highlight w:val="none"/>
                    </w:rPr>
                    <w:t>μT</w:t>
                  </w:r>
                  <w:r>
                    <w:rPr>
                      <w:bCs/>
                      <w:snapToGrid w:val="0"/>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18" w:type="pct"/>
                  <w:vAlign w:val="center"/>
                </w:tcPr>
                <w:p>
                  <w:pPr>
                    <w:adjustRightInd w:val="0"/>
                    <w:snapToGrid w:val="0"/>
                    <w:jc w:val="center"/>
                    <w:rPr>
                      <w:snapToGrid w:val="0"/>
                      <w:color w:val="auto"/>
                      <w:szCs w:val="21"/>
                      <w:highlight w:val="none"/>
                    </w:rPr>
                  </w:pPr>
                  <w:r>
                    <w:rPr>
                      <w:snapToGrid w:val="0"/>
                      <w:color w:val="auto"/>
                      <w:szCs w:val="21"/>
                      <w:highlight w:val="none"/>
                    </w:rPr>
                    <w:t>0.025kHz</w:t>
                  </w:r>
                  <w:r>
                    <w:rPr>
                      <w:color w:val="auto"/>
                      <w:szCs w:val="21"/>
                      <w:highlight w:val="none"/>
                    </w:rPr>
                    <w:t>～1.2</w:t>
                  </w:r>
                  <w:r>
                    <w:rPr>
                      <w:snapToGrid w:val="0"/>
                      <w:color w:val="auto"/>
                      <w:szCs w:val="21"/>
                      <w:highlight w:val="none"/>
                    </w:rPr>
                    <w:t>kHz</w:t>
                  </w:r>
                </w:p>
              </w:tc>
              <w:tc>
                <w:tcPr>
                  <w:tcW w:w="1739" w:type="pct"/>
                  <w:vAlign w:val="center"/>
                </w:tcPr>
                <w:p>
                  <w:pPr>
                    <w:adjustRightInd w:val="0"/>
                    <w:snapToGrid w:val="0"/>
                    <w:jc w:val="center"/>
                    <w:rPr>
                      <w:snapToGrid w:val="0"/>
                      <w:color w:val="auto"/>
                      <w:szCs w:val="21"/>
                      <w:highlight w:val="none"/>
                    </w:rPr>
                  </w:pPr>
                  <w:r>
                    <w:rPr>
                      <w:snapToGrid w:val="0"/>
                      <w:color w:val="auto"/>
                      <w:szCs w:val="21"/>
                      <w:highlight w:val="none"/>
                    </w:rPr>
                    <w:t>2</w:t>
                  </w:r>
                  <w:r>
                    <w:rPr>
                      <w:rFonts w:hint="eastAsia"/>
                      <w:snapToGrid w:val="0"/>
                      <w:color w:val="auto"/>
                      <w:szCs w:val="21"/>
                      <w:highlight w:val="none"/>
                    </w:rPr>
                    <w:t>0</w:t>
                  </w:r>
                  <w:r>
                    <w:rPr>
                      <w:snapToGrid w:val="0"/>
                      <w:color w:val="auto"/>
                      <w:szCs w:val="21"/>
                      <w:highlight w:val="none"/>
                    </w:rPr>
                    <w:t>0/f</w:t>
                  </w:r>
                </w:p>
              </w:tc>
              <w:tc>
                <w:tcPr>
                  <w:tcW w:w="1943" w:type="pct"/>
                  <w:vAlign w:val="center"/>
                </w:tcPr>
                <w:p>
                  <w:pPr>
                    <w:adjustRightInd w:val="0"/>
                    <w:snapToGrid w:val="0"/>
                    <w:jc w:val="center"/>
                    <w:rPr>
                      <w:snapToGrid w:val="0"/>
                      <w:color w:val="auto"/>
                      <w:szCs w:val="21"/>
                      <w:highlight w:val="none"/>
                    </w:rPr>
                  </w:pPr>
                  <w:r>
                    <w:rPr>
                      <w:rFonts w:hint="eastAsia"/>
                      <w:snapToGrid w:val="0"/>
                      <w:color w:val="auto"/>
                      <w:szCs w:val="21"/>
                      <w:highlight w:val="none"/>
                    </w:rPr>
                    <w:t>5</w:t>
                  </w:r>
                  <w:r>
                    <w:rPr>
                      <w:snapToGrid w:val="0"/>
                      <w:color w:val="auto"/>
                      <w:szCs w:val="21"/>
                      <w:highlight w:val="none"/>
                    </w:rPr>
                    <w:t>/f</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5000" w:type="pct"/>
                  <w:gridSpan w:val="3"/>
                  <w:vAlign w:val="center"/>
                </w:tcPr>
                <w:p>
                  <w:pPr>
                    <w:adjustRightInd w:val="0"/>
                    <w:snapToGrid w:val="0"/>
                    <w:rPr>
                      <w:snapToGrid w:val="0"/>
                      <w:color w:val="auto"/>
                      <w:szCs w:val="21"/>
                      <w:highlight w:val="none"/>
                    </w:rPr>
                  </w:pPr>
                  <w:r>
                    <w:rPr>
                      <w:snapToGrid w:val="0"/>
                      <w:color w:val="auto"/>
                      <w:szCs w:val="21"/>
                      <w:highlight w:val="none"/>
                    </w:rPr>
                    <w:t>注1：频率f的单位为所在行中第一栏的单位。</w:t>
                  </w:r>
                </w:p>
                <w:p>
                  <w:pPr>
                    <w:adjustRightInd w:val="0"/>
                    <w:snapToGrid w:val="0"/>
                    <w:rPr>
                      <w:snapToGrid w:val="0"/>
                      <w:color w:val="auto"/>
                      <w:szCs w:val="21"/>
                      <w:highlight w:val="none"/>
                    </w:rPr>
                  </w:pPr>
                  <w:r>
                    <w:rPr>
                      <w:snapToGrid w:val="0"/>
                      <w:color w:val="auto"/>
                      <w:szCs w:val="21"/>
                      <w:highlight w:val="none"/>
                    </w:rPr>
                    <w:t>注3：100kHz以下，需同时限制电场强度和磁感应强度。</w:t>
                  </w:r>
                </w:p>
                <w:p>
                  <w:pPr>
                    <w:adjustRightInd w:val="0"/>
                    <w:snapToGrid w:val="0"/>
                    <w:rPr>
                      <w:color w:val="auto"/>
                      <w:highlight w:val="none"/>
                    </w:rPr>
                  </w:pPr>
                  <w:r>
                    <w:rPr>
                      <w:snapToGrid w:val="0"/>
                      <w:color w:val="auto"/>
                      <w:szCs w:val="21"/>
                      <w:highlight w:val="none"/>
                    </w:rPr>
                    <w:t>注4：</w:t>
                  </w:r>
                  <w:r>
                    <w:rPr>
                      <w:rFonts w:hint="eastAsia"/>
                      <w:snapToGrid w:val="0"/>
                      <w:color w:val="auto"/>
                      <w:szCs w:val="21"/>
                      <w:highlight w:val="none"/>
                    </w:rPr>
                    <w:t>架空输电线路线下的耕地、园地、牧草地、畜禽养殖地、养殖水面、道路等场所，其频率5</w:t>
                  </w:r>
                  <w:r>
                    <w:rPr>
                      <w:snapToGrid w:val="0"/>
                      <w:color w:val="auto"/>
                      <w:szCs w:val="21"/>
                      <w:highlight w:val="none"/>
                    </w:rPr>
                    <w:t>0Hz</w:t>
                  </w:r>
                  <w:r>
                    <w:rPr>
                      <w:rFonts w:hint="eastAsia"/>
                      <w:snapToGrid w:val="0"/>
                      <w:color w:val="auto"/>
                      <w:szCs w:val="21"/>
                      <w:highlight w:val="none"/>
                    </w:rPr>
                    <w:t>的电场强度控制限值为1</w:t>
                  </w:r>
                  <w:r>
                    <w:rPr>
                      <w:snapToGrid w:val="0"/>
                      <w:color w:val="auto"/>
                      <w:szCs w:val="21"/>
                      <w:highlight w:val="none"/>
                    </w:rPr>
                    <w:t>0kV</w:t>
                  </w:r>
                  <w:r>
                    <w:rPr>
                      <w:rFonts w:hint="eastAsia"/>
                      <w:snapToGrid w:val="0"/>
                      <w:color w:val="auto"/>
                      <w:szCs w:val="21"/>
                      <w:highlight w:val="none"/>
                    </w:rPr>
                    <w:t>，且应给出警示和防护只是标志。</w:t>
                  </w:r>
                </w:p>
              </w:tc>
            </w:tr>
          </w:tbl>
          <w:p>
            <w:pPr>
              <w:tabs>
                <w:tab w:val="left" w:pos="3371"/>
              </w:tabs>
              <w:adjustRightInd w:val="0"/>
              <w:snapToGrid w:val="0"/>
              <w:spacing w:before="120" w:beforeLines="50" w:line="360" w:lineRule="auto"/>
              <w:ind w:left="42" w:leftChars="20" w:right="42" w:rightChars="20" w:firstLine="480" w:firstLineChars="200"/>
              <w:rPr>
                <w:snapToGrid w:val="0"/>
                <w:color w:val="auto"/>
                <w:sz w:val="24"/>
                <w:highlight w:val="none"/>
              </w:rPr>
            </w:pPr>
            <w:r>
              <w:rPr>
                <w:snapToGrid w:val="0"/>
                <w:color w:val="auto"/>
                <w:sz w:val="24"/>
                <w:highlight w:val="none"/>
              </w:rPr>
              <w:t>结合上表，本项目</w:t>
            </w:r>
            <w:r>
              <w:rPr>
                <w:rFonts w:hint="eastAsia"/>
                <w:snapToGrid w:val="0"/>
                <w:color w:val="auto"/>
                <w:sz w:val="24"/>
                <w:highlight w:val="none"/>
              </w:rPr>
              <w:t>变</w:t>
            </w:r>
            <w:r>
              <w:rPr>
                <w:snapToGrid w:val="0"/>
                <w:color w:val="auto"/>
                <w:sz w:val="24"/>
                <w:highlight w:val="none"/>
              </w:rPr>
              <w:t>电站为50Hz交流电，评价标准见表</w:t>
            </w:r>
            <w:r>
              <w:rPr>
                <w:rFonts w:hint="eastAsia"/>
                <w:snapToGrid w:val="0"/>
                <w:color w:val="auto"/>
                <w:sz w:val="24"/>
                <w:highlight w:val="none"/>
              </w:rPr>
              <w:t>3-</w:t>
            </w:r>
            <w:r>
              <w:rPr>
                <w:snapToGrid w:val="0"/>
                <w:color w:val="auto"/>
                <w:sz w:val="24"/>
                <w:highlight w:val="none"/>
              </w:rPr>
              <w:t>1</w:t>
            </w:r>
            <w:r>
              <w:rPr>
                <w:rFonts w:hint="eastAsia"/>
                <w:snapToGrid w:val="0"/>
                <w:color w:val="auto"/>
                <w:sz w:val="24"/>
                <w:highlight w:val="none"/>
                <w:lang w:val="en-US" w:eastAsia="zh-CN"/>
              </w:rPr>
              <w:t>4</w:t>
            </w:r>
            <w:r>
              <w:rPr>
                <w:snapToGrid w:val="0"/>
                <w:color w:val="auto"/>
                <w:sz w:val="24"/>
                <w:highlight w:val="none"/>
              </w:rPr>
              <w:t>。</w:t>
            </w:r>
          </w:p>
          <w:p>
            <w:pPr>
              <w:adjustRightInd w:val="0"/>
              <w:snapToGrid w:val="0"/>
              <w:jc w:val="center"/>
              <w:rPr>
                <w:b/>
                <w:bCs/>
                <w:color w:val="auto"/>
                <w:sz w:val="24"/>
                <w:highlight w:val="none"/>
              </w:rPr>
            </w:pPr>
          </w:p>
          <w:p>
            <w:pPr>
              <w:adjustRightInd w:val="0"/>
              <w:snapToGrid w:val="0"/>
              <w:jc w:val="center"/>
              <w:rPr>
                <w:b/>
                <w:bCs/>
                <w:color w:val="auto"/>
                <w:sz w:val="24"/>
                <w:highlight w:val="none"/>
              </w:rPr>
            </w:pPr>
          </w:p>
          <w:p>
            <w:pPr>
              <w:adjustRightInd w:val="0"/>
              <w:snapToGrid w:val="0"/>
              <w:jc w:val="center"/>
              <w:rPr>
                <w:b/>
                <w:bCs/>
                <w:color w:val="auto"/>
                <w:sz w:val="24"/>
                <w:highlight w:val="none"/>
              </w:rPr>
            </w:pPr>
          </w:p>
          <w:p>
            <w:pPr>
              <w:adjustRightInd w:val="0"/>
              <w:snapToGrid w:val="0"/>
              <w:jc w:val="center"/>
              <w:rPr>
                <w:b/>
                <w:bCs/>
                <w:color w:val="auto"/>
                <w:sz w:val="24"/>
                <w:highlight w:val="none"/>
              </w:rPr>
            </w:pPr>
          </w:p>
          <w:p>
            <w:pPr>
              <w:adjustRightInd w:val="0"/>
              <w:snapToGrid w:val="0"/>
              <w:jc w:val="center"/>
              <w:rPr>
                <w:b/>
                <w:bCs/>
                <w:color w:val="auto"/>
                <w:sz w:val="24"/>
                <w:highlight w:val="none"/>
              </w:rPr>
            </w:pPr>
          </w:p>
          <w:p>
            <w:pPr>
              <w:adjustRightInd w:val="0"/>
              <w:snapToGrid w:val="0"/>
              <w:jc w:val="center"/>
              <w:rPr>
                <w:b/>
                <w:bCs/>
                <w:color w:val="auto"/>
                <w:sz w:val="24"/>
                <w:highlight w:val="none"/>
              </w:rPr>
            </w:pPr>
            <w:r>
              <w:rPr>
                <w:b/>
                <w:bCs/>
                <w:color w:val="auto"/>
                <w:sz w:val="24"/>
                <w:highlight w:val="none"/>
              </w:rPr>
              <w:t>表</w:t>
            </w:r>
            <w:r>
              <w:rPr>
                <w:rFonts w:hint="eastAsia"/>
                <w:b/>
                <w:bCs/>
                <w:color w:val="auto"/>
                <w:sz w:val="24"/>
                <w:highlight w:val="none"/>
              </w:rPr>
              <w:t>3-</w:t>
            </w:r>
            <w:r>
              <w:rPr>
                <w:b/>
                <w:bCs/>
                <w:color w:val="auto"/>
                <w:sz w:val="24"/>
                <w:highlight w:val="none"/>
              </w:rPr>
              <w:t>1</w:t>
            </w:r>
            <w:r>
              <w:rPr>
                <w:rFonts w:hint="eastAsia"/>
                <w:b/>
                <w:bCs/>
                <w:color w:val="auto"/>
                <w:sz w:val="24"/>
                <w:highlight w:val="none"/>
                <w:lang w:val="en-US" w:eastAsia="zh-CN"/>
              </w:rPr>
              <w:t>4</w:t>
            </w:r>
            <w:r>
              <w:rPr>
                <w:b/>
                <w:bCs/>
                <w:color w:val="auto"/>
                <w:sz w:val="24"/>
                <w:highlight w:val="none"/>
              </w:rPr>
              <w:t xml:space="preserve"> 本项目公众曝露控制限值取值</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90"/>
              <w:gridCol w:w="2696"/>
              <w:gridCol w:w="31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69" w:type="pct"/>
                  <w:vAlign w:val="center"/>
                </w:tcPr>
                <w:p>
                  <w:pPr>
                    <w:adjustRightInd w:val="0"/>
                    <w:snapToGrid w:val="0"/>
                    <w:jc w:val="center"/>
                    <w:rPr>
                      <w:bCs/>
                      <w:snapToGrid w:val="0"/>
                      <w:color w:val="auto"/>
                      <w:szCs w:val="21"/>
                      <w:highlight w:val="none"/>
                    </w:rPr>
                  </w:pPr>
                  <w:r>
                    <w:rPr>
                      <w:bCs/>
                      <w:snapToGrid w:val="0"/>
                      <w:color w:val="auto"/>
                      <w:szCs w:val="21"/>
                      <w:highlight w:val="none"/>
                    </w:rPr>
                    <w:t>频率</w:t>
                  </w:r>
                </w:p>
              </w:tc>
              <w:tc>
                <w:tcPr>
                  <w:tcW w:w="1719" w:type="pct"/>
                  <w:vAlign w:val="center"/>
                </w:tcPr>
                <w:p>
                  <w:pPr>
                    <w:adjustRightInd w:val="0"/>
                    <w:snapToGrid w:val="0"/>
                    <w:jc w:val="center"/>
                    <w:rPr>
                      <w:bCs/>
                      <w:snapToGrid w:val="0"/>
                      <w:color w:val="auto"/>
                      <w:szCs w:val="21"/>
                      <w:highlight w:val="none"/>
                    </w:rPr>
                  </w:pPr>
                  <w:r>
                    <w:rPr>
                      <w:bCs/>
                      <w:snapToGrid w:val="0"/>
                      <w:color w:val="auto"/>
                      <w:szCs w:val="21"/>
                      <w:highlight w:val="none"/>
                    </w:rPr>
                    <w:t>电场强度E（V/m）</w:t>
                  </w:r>
                </w:p>
              </w:tc>
              <w:tc>
                <w:tcPr>
                  <w:tcW w:w="2012" w:type="pct"/>
                  <w:vAlign w:val="center"/>
                </w:tcPr>
                <w:p>
                  <w:pPr>
                    <w:adjustRightInd w:val="0"/>
                    <w:snapToGrid w:val="0"/>
                    <w:jc w:val="center"/>
                    <w:rPr>
                      <w:bCs/>
                      <w:snapToGrid w:val="0"/>
                      <w:color w:val="auto"/>
                      <w:szCs w:val="21"/>
                      <w:highlight w:val="none"/>
                    </w:rPr>
                  </w:pPr>
                  <w:r>
                    <w:rPr>
                      <w:bCs/>
                      <w:snapToGrid w:val="0"/>
                      <w:color w:val="auto"/>
                      <w:szCs w:val="21"/>
                      <w:highlight w:val="none"/>
                    </w:rPr>
                    <w:t>磁感应强度B（</w:t>
                  </w:r>
                  <w:r>
                    <w:rPr>
                      <w:bCs/>
                      <w:color w:val="auto"/>
                      <w:szCs w:val="21"/>
                      <w:highlight w:val="none"/>
                    </w:rPr>
                    <w:t>μT</w:t>
                  </w:r>
                  <w:r>
                    <w:rPr>
                      <w:bCs/>
                      <w:snapToGrid w:val="0"/>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69" w:type="pct"/>
                  <w:vAlign w:val="center"/>
                </w:tcPr>
                <w:p>
                  <w:pPr>
                    <w:adjustRightInd w:val="0"/>
                    <w:snapToGrid w:val="0"/>
                    <w:jc w:val="center"/>
                    <w:rPr>
                      <w:snapToGrid w:val="0"/>
                      <w:color w:val="auto"/>
                      <w:szCs w:val="21"/>
                      <w:highlight w:val="none"/>
                    </w:rPr>
                  </w:pPr>
                  <w:r>
                    <w:rPr>
                      <w:rFonts w:hint="eastAsia"/>
                      <w:snapToGrid w:val="0"/>
                      <w:color w:val="auto"/>
                      <w:szCs w:val="21"/>
                      <w:highlight w:val="none"/>
                    </w:rPr>
                    <w:t>0</w:t>
                  </w:r>
                  <w:r>
                    <w:rPr>
                      <w:snapToGrid w:val="0"/>
                      <w:color w:val="auto"/>
                      <w:szCs w:val="21"/>
                      <w:highlight w:val="none"/>
                    </w:rPr>
                    <w:t>.05kHz</w:t>
                  </w:r>
                </w:p>
              </w:tc>
              <w:tc>
                <w:tcPr>
                  <w:tcW w:w="1719" w:type="pct"/>
                  <w:vAlign w:val="center"/>
                </w:tcPr>
                <w:p>
                  <w:pPr>
                    <w:adjustRightInd w:val="0"/>
                    <w:snapToGrid w:val="0"/>
                    <w:jc w:val="center"/>
                    <w:rPr>
                      <w:snapToGrid w:val="0"/>
                      <w:color w:val="auto"/>
                      <w:szCs w:val="21"/>
                      <w:highlight w:val="none"/>
                    </w:rPr>
                  </w:pPr>
                  <w:r>
                    <w:rPr>
                      <w:snapToGrid w:val="0"/>
                      <w:color w:val="auto"/>
                      <w:szCs w:val="21"/>
                      <w:highlight w:val="none"/>
                    </w:rPr>
                    <w:t>4000</w:t>
                  </w:r>
                </w:p>
              </w:tc>
              <w:tc>
                <w:tcPr>
                  <w:tcW w:w="2012" w:type="pct"/>
                  <w:vAlign w:val="center"/>
                </w:tcPr>
                <w:p>
                  <w:pPr>
                    <w:adjustRightInd w:val="0"/>
                    <w:snapToGrid w:val="0"/>
                    <w:jc w:val="center"/>
                    <w:rPr>
                      <w:snapToGrid w:val="0"/>
                      <w:color w:val="auto"/>
                      <w:szCs w:val="21"/>
                      <w:highlight w:val="none"/>
                    </w:rPr>
                  </w:pPr>
                  <w:r>
                    <w:rPr>
                      <w:snapToGrid w:val="0"/>
                      <w:color w:val="auto"/>
                      <w:szCs w:val="21"/>
                      <w:highlight w:val="none"/>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3"/>
                  <w:vAlign w:val="center"/>
                </w:tcPr>
                <w:p>
                  <w:pPr>
                    <w:adjustRightInd w:val="0"/>
                    <w:snapToGrid w:val="0"/>
                    <w:rPr>
                      <w:snapToGrid w:val="0"/>
                      <w:color w:val="auto"/>
                      <w:szCs w:val="21"/>
                      <w:highlight w:val="none"/>
                    </w:rPr>
                  </w:pPr>
                  <w:r>
                    <w:rPr>
                      <w:rFonts w:hint="eastAsia"/>
                      <w:snapToGrid w:val="0"/>
                      <w:color w:val="auto"/>
                      <w:szCs w:val="21"/>
                      <w:highlight w:val="none"/>
                    </w:rPr>
                    <w:t>注：架空输电线路线下的耕地、园地、牧草地、畜禽养殖地、养殖水面、道路等场所，其频率5</w:t>
                  </w:r>
                  <w:r>
                    <w:rPr>
                      <w:snapToGrid w:val="0"/>
                      <w:color w:val="auto"/>
                      <w:szCs w:val="21"/>
                      <w:highlight w:val="none"/>
                    </w:rPr>
                    <w:t>0Hz</w:t>
                  </w:r>
                  <w:r>
                    <w:rPr>
                      <w:rFonts w:hint="eastAsia"/>
                      <w:snapToGrid w:val="0"/>
                      <w:color w:val="auto"/>
                      <w:szCs w:val="21"/>
                      <w:highlight w:val="none"/>
                    </w:rPr>
                    <w:t>的电场强度控制限值为1</w:t>
                  </w:r>
                  <w:r>
                    <w:rPr>
                      <w:snapToGrid w:val="0"/>
                      <w:color w:val="auto"/>
                      <w:szCs w:val="21"/>
                      <w:highlight w:val="none"/>
                    </w:rPr>
                    <w:t>0kV</w:t>
                  </w:r>
                  <w:r>
                    <w:rPr>
                      <w:rFonts w:hint="eastAsia"/>
                      <w:snapToGrid w:val="0"/>
                      <w:color w:val="auto"/>
                      <w:szCs w:val="21"/>
                      <w:highlight w:val="none"/>
                    </w:rPr>
                    <w:t>，且应给出警示和防护只是标志。</w:t>
                  </w:r>
                </w:p>
              </w:tc>
            </w:tr>
          </w:tbl>
          <w:p>
            <w:pPr>
              <w:pStyle w:val="74"/>
              <w:adjustRightInd w:val="0"/>
              <w:snapToGrid w:val="0"/>
              <w:spacing w:line="360" w:lineRule="auto"/>
              <w:ind w:firstLine="0" w:firstLineChars="0"/>
              <w:jc w:val="left"/>
              <w:rPr>
                <w:rFonts w:cs="宋体"/>
                <w:color w:val="auto"/>
                <w:kern w:val="0"/>
                <w:szCs w:val="21"/>
                <w:highlight w:val="yellow"/>
              </w:rPr>
            </w:pPr>
          </w:p>
          <w:p>
            <w:pPr>
              <w:pStyle w:val="74"/>
              <w:adjustRightInd w:val="0"/>
              <w:snapToGrid w:val="0"/>
              <w:spacing w:line="360" w:lineRule="auto"/>
              <w:ind w:firstLine="0" w:firstLineChars="0"/>
              <w:jc w:val="left"/>
              <w:rPr>
                <w:rFonts w:cs="宋体"/>
                <w:color w:val="auto"/>
                <w:kern w:val="0"/>
                <w:szCs w:val="21"/>
                <w:highlight w:val="yellow"/>
              </w:rPr>
            </w:pPr>
          </w:p>
          <w:p>
            <w:pPr>
              <w:pStyle w:val="74"/>
              <w:adjustRightInd w:val="0"/>
              <w:snapToGrid w:val="0"/>
              <w:spacing w:line="360" w:lineRule="auto"/>
              <w:ind w:firstLine="0" w:firstLineChars="0"/>
              <w:jc w:val="left"/>
              <w:rPr>
                <w:rFonts w:cs="宋体"/>
                <w:color w:val="auto"/>
                <w:kern w:val="0"/>
                <w:szCs w:val="21"/>
                <w:highlight w:val="yellow"/>
              </w:rPr>
            </w:pPr>
          </w:p>
          <w:p>
            <w:pPr>
              <w:pStyle w:val="74"/>
              <w:adjustRightInd w:val="0"/>
              <w:snapToGrid w:val="0"/>
              <w:spacing w:line="360" w:lineRule="auto"/>
              <w:ind w:firstLine="0" w:firstLineChars="0"/>
              <w:jc w:val="left"/>
              <w:rPr>
                <w:rFonts w:cs="宋体"/>
                <w:color w:val="auto"/>
                <w:kern w:val="0"/>
                <w:szCs w:val="21"/>
                <w:highlight w:val="yellow"/>
              </w:rPr>
            </w:pPr>
          </w:p>
          <w:p>
            <w:pPr>
              <w:pStyle w:val="74"/>
              <w:adjustRightInd w:val="0"/>
              <w:snapToGrid w:val="0"/>
              <w:spacing w:line="360" w:lineRule="auto"/>
              <w:ind w:firstLine="0" w:firstLineChars="0"/>
              <w:jc w:val="left"/>
              <w:rPr>
                <w:rFonts w:cs="宋体"/>
                <w:color w:val="auto"/>
                <w:kern w:val="0"/>
                <w:szCs w:val="21"/>
                <w:highlight w:val="yellow"/>
              </w:rPr>
            </w:pPr>
          </w:p>
          <w:p>
            <w:pPr>
              <w:pStyle w:val="74"/>
              <w:adjustRightInd w:val="0"/>
              <w:snapToGrid w:val="0"/>
              <w:spacing w:line="360" w:lineRule="auto"/>
              <w:ind w:firstLine="0" w:firstLineChars="0"/>
              <w:jc w:val="left"/>
              <w:rPr>
                <w:rFonts w:cs="宋体"/>
                <w:color w:val="auto"/>
                <w:kern w:val="0"/>
                <w:szCs w:val="21"/>
                <w:highlight w:val="yellow"/>
              </w:rPr>
            </w:pPr>
          </w:p>
          <w:p>
            <w:pPr>
              <w:pStyle w:val="74"/>
              <w:adjustRightInd w:val="0"/>
              <w:snapToGrid w:val="0"/>
              <w:spacing w:line="360" w:lineRule="auto"/>
              <w:ind w:firstLine="0" w:firstLineChars="0"/>
              <w:jc w:val="left"/>
              <w:rPr>
                <w:rFonts w:cs="宋体"/>
                <w:color w:val="auto"/>
                <w:kern w:val="0"/>
                <w:szCs w:val="21"/>
                <w:highlight w:val="yellow"/>
              </w:rPr>
            </w:pPr>
          </w:p>
          <w:p>
            <w:pPr>
              <w:pStyle w:val="74"/>
              <w:adjustRightInd w:val="0"/>
              <w:snapToGrid w:val="0"/>
              <w:spacing w:line="360" w:lineRule="auto"/>
              <w:ind w:firstLine="0" w:firstLineChars="0"/>
              <w:jc w:val="left"/>
              <w:rPr>
                <w:rFonts w:cs="宋体"/>
                <w:color w:val="auto"/>
                <w:kern w:val="0"/>
                <w:szCs w:val="21"/>
                <w:highlight w:val="yellow"/>
              </w:rPr>
            </w:pPr>
          </w:p>
          <w:p>
            <w:pPr>
              <w:pStyle w:val="74"/>
              <w:adjustRightInd w:val="0"/>
              <w:snapToGrid w:val="0"/>
              <w:spacing w:line="360" w:lineRule="auto"/>
              <w:ind w:firstLine="0" w:firstLineChars="0"/>
              <w:jc w:val="left"/>
              <w:rPr>
                <w:rFonts w:cs="宋体"/>
                <w:color w:val="auto"/>
                <w:kern w:val="0"/>
                <w:szCs w:val="21"/>
                <w:highlight w:val="yellow"/>
              </w:rPr>
            </w:pPr>
          </w:p>
          <w:p>
            <w:pPr>
              <w:pStyle w:val="74"/>
              <w:adjustRightInd w:val="0"/>
              <w:snapToGrid w:val="0"/>
              <w:spacing w:line="360" w:lineRule="auto"/>
              <w:ind w:firstLine="0" w:firstLineChars="0"/>
              <w:jc w:val="left"/>
              <w:rPr>
                <w:rFonts w:cs="宋体"/>
                <w:color w:val="auto"/>
                <w:kern w:val="0"/>
                <w:szCs w:val="21"/>
                <w:highlight w:val="yellow"/>
              </w:rPr>
            </w:pPr>
          </w:p>
          <w:p>
            <w:pPr>
              <w:pStyle w:val="74"/>
              <w:adjustRightInd w:val="0"/>
              <w:snapToGrid w:val="0"/>
              <w:spacing w:line="360" w:lineRule="auto"/>
              <w:ind w:firstLine="0" w:firstLineChars="0"/>
              <w:jc w:val="left"/>
              <w:rPr>
                <w:rFonts w:cs="宋体"/>
                <w:color w:val="auto"/>
                <w:kern w:val="0"/>
                <w:szCs w:val="21"/>
                <w:highlight w:val="yellow"/>
              </w:rPr>
            </w:pPr>
          </w:p>
          <w:p>
            <w:pPr>
              <w:pStyle w:val="74"/>
              <w:adjustRightInd w:val="0"/>
              <w:snapToGrid w:val="0"/>
              <w:spacing w:line="360" w:lineRule="auto"/>
              <w:ind w:firstLine="0" w:firstLineChars="0"/>
              <w:jc w:val="left"/>
              <w:rPr>
                <w:rFonts w:cs="宋体"/>
                <w:color w:val="auto"/>
                <w:kern w:val="0"/>
                <w:szCs w:val="21"/>
                <w:highlight w:val="yellow"/>
              </w:rPr>
            </w:pPr>
          </w:p>
          <w:p>
            <w:pPr>
              <w:pStyle w:val="74"/>
              <w:adjustRightInd w:val="0"/>
              <w:snapToGrid w:val="0"/>
              <w:spacing w:line="360" w:lineRule="auto"/>
              <w:ind w:firstLine="0" w:firstLineChars="0"/>
              <w:jc w:val="left"/>
              <w:rPr>
                <w:rFonts w:cs="宋体"/>
                <w:color w:val="auto"/>
                <w:kern w:val="0"/>
                <w:szCs w:val="21"/>
                <w:highlight w:val="yellow"/>
              </w:rPr>
            </w:pPr>
          </w:p>
          <w:p>
            <w:pPr>
              <w:pStyle w:val="74"/>
              <w:adjustRightInd w:val="0"/>
              <w:snapToGrid w:val="0"/>
              <w:spacing w:line="360" w:lineRule="auto"/>
              <w:ind w:firstLine="0" w:firstLineChars="0"/>
              <w:jc w:val="left"/>
              <w:rPr>
                <w:rFonts w:cs="宋体"/>
                <w:color w:val="auto"/>
                <w:kern w:val="0"/>
                <w:szCs w:val="21"/>
                <w:highlight w:val="yellow"/>
              </w:rPr>
            </w:pPr>
          </w:p>
          <w:p>
            <w:pPr>
              <w:pStyle w:val="74"/>
              <w:adjustRightInd w:val="0"/>
              <w:snapToGrid w:val="0"/>
              <w:spacing w:line="360" w:lineRule="auto"/>
              <w:ind w:firstLine="0" w:firstLineChars="0"/>
              <w:jc w:val="left"/>
              <w:rPr>
                <w:rFonts w:cs="宋体"/>
                <w:color w:val="auto"/>
                <w:kern w:val="0"/>
                <w:szCs w:val="21"/>
                <w:highlight w:val="yellow"/>
              </w:rPr>
            </w:pPr>
          </w:p>
          <w:p>
            <w:pPr>
              <w:pStyle w:val="74"/>
              <w:adjustRightInd w:val="0"/>
              <w:snapToGrid w:val="0"/>
              <w:spacing w:line="360" w:lineRule="auto"/>
              <w:ind w:firstLine="0" w:firstLineChars="0"/>
              <w:jc w:val="left"/>
              <w:rPr>
                <w:rFonts w:cs="宋体"/>
                <w:color w:val="auto"/>
                <w:kern w:val="0"/>
                <w:szCs w:val="21"/>
                <w:highlight w:val="yellow"/>
              </w:rPr>
            </w:pPr>
          </w:p>
          <w:p>
            <w:pPr>
              <w:pStyle w:val="74"/>
              <w:adjustRightInd w:val="0"/>
              <w:snapToGrid w:val="0"/>
              <w:spacing w:line="360" w:lineRule="auto"/>
              <w:ind w:firstLine="0" w:firstLineChars="0"/>
              <w:jc w:val="left"/>
              <w:rPr>
                <w:rFonts w:cs="宋体"/>
                <w:color w:val="auto"/>
                <w:kern w:val="0"/>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1" w:hRule="atLeast"/>
          <w:jc w:val="center"/>
        </w:trPr>
        <w:tc>
          <w:tcPr>
            <w:tcW w:w="273" w:type="pct"/>
            <w:vAlign w:val="center"/>
          </w:tcPr>
          <w:p>
            <w:pPr>
              <w:adjustRightInd w:val="0"/>
              <w:snapToGrid w:val="0"/>
              <w:jc w:val="center"/>
              <w:rPr>
                <w:rFonts w:cs="宋体"/>
                <w:color w:val="auto"/>
                <w:kern w:val="0"/>
                <w:sz w:val="24"/>
                <w:highlight w:val="none"/>
              </w:rPr>
            </w:pPr>
            <w:r>
              <w:rPr>
                <w:rFonts w:hint="eastAsia" w:cs="宋体"/>
                <w:color w:val="auto"/>
                <w:kern w:val="0"/>
                <w:sz w:val="24"/>
                <w:highlight w:val="none"/>
              </w:rPr>
              <w:t>其他</w:t>
            </w:r>
          </w:p>
        </w:tc>
        <w:tc>
          <w:tcPr>
            <w:tcW w:w="4727" w:type="pct"/>
            <w:vAlign w:val="center"/>
          </w:tcPr>
          <w:p>
            <w:pPr>
              <w:pStyle w:val="13"/>
              <w:jc w:val="center"/>
              <w:rPr>
                <w:rFonts w:ascii="Times New Roman" w:hAnsi="Times New Roman" w:cs="宋体"/>
                <w:color w:val="auto"/>
                <w:kern w:val="0"/>
                <w:sz w:val="24"/>
                <w:highlight w:val="none"/>
              </w:rPr>
            </w:pPr>
            <w:r>
              <w:rPr>
                <w:rFonts w:hint="eastAsia" w:ascii="Times New Roman" w:hAnsi="Times New Roman" w:cs="宋体"/>
                <w:color w:val="auto"/>
                <w:kern w:val="0"/>
                <w:sz w:val="24"/>
                <w:highlight w:val="none"/>
              </w:rPr>
              <w:t>无</w:t>
            </w:r>
          </w:p>
        </w:tc>
      </w:tr>
    </w:tbl>
    <w:p>
      <w:pPr>
        <w:pStyle w:val="25"/>
        <w:spacing w:before="0" w:beforeAutospacing="0" w:after="0" w:afterAutospacing="0"/>
        <w:jc w:val="center"/>
        <w:outlineLvl w:val="0"/>
        <w:rPr>
          <w:rFonts w:ascii="Times New Roman" w:hAnsi="Times New Roman"/>
          <w:snapToGrid w:val="0"/>
          <w:color w:val="auto"/>
          <w:kern w:val="2"/>
          <w:sz w:val="36"/>
          <w:szCs w:val="36"/>
          <w:highlight w:val="yellow"/>
        </w:rPr>
      </w:pPr>
    </w:p>
    <w:p>
      <w:pPr>
        <w:pStyle w:val="25"/>
        <w:spacing w:before="0" w:beforeAutospacing="0" w:after="0" w:afterAutospacing="0"/>
        <w:jc w:val="center"/>
        <w:outlineLvl w:val="0"/>
        <w:rPr>
          <w:rFonts w:ascii="Times New Roman" w:hAnsi="Times New Roman"/>
          <w:snapToGrid w:val="0"/>
          <w:color w:val="auto"/>
          <w:kern w:val="2"/>
          <w:sz w:val="36"/>
          <w:szCs w:val="36"/>
          <w:highlight w:val="yellow"/>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pPr>
        <w:pStyle w:val="25"/>
        <w:spacing w:before="0" w:beforeAutospacing="0" w:after="0" w:afterAutospacing="0"/>
        <w:jc w:val="center"/>
        <w:outlineLvl w:val="0"/>
        <w:rPr>
          <w:rFonts w:ascii="Times New Roman" w:hAnsi="Times New Roman"/>
          <w:snapToGrid w:val="0"/>
          <w:color w:val="auto"/>
          <w:sz w:val="30"/>
          <w:szCs w:val="30"/>
          <w:highlight w:val="none"/>
        </w:rPr>
      </w:pPr>
      <w:r>
        <w:rPr>
          <w:rFonts w:hint="eastAsia" w:ascii="Times New Roman" w:hAnsi="Times New Roman"/>
          <w:snapToGrid w:val="0"/>
          <w:color w:val="auto"/>
          <w:sz w:val="30"/>
          <w:szCs w:val="30"/>
          <w:highlight w:val="none"/>
        </w:rPr>
        <w:t>四、生态环境影响分析</w:t>
      </w:r>
    </w:p>
    <w:tbl>
      <w:tblPr>
        <w:tblStyle w:val="2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79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92" w:hRule="atLeast"/>
          <w:jc w:val="center"/>
        </w:trPr>
        <w:tc>
          <w:tcPr>
            <w:tcW w:w="206" w:type="pct"/>
            <w:tcMar>
              <w:left w:w="28" w:type="dxa"/>
              <w:right w:w="28" w:type="dxa"/>
            </w:tcMar>
            <w:vAlign w:val="center"/>
          </w:tcPr>
          <w:p>
            <w:pPr>
              <w:pStyle w:val="25"/>
              <w:adjustRightInd w:val="0"/>
              <w:snapToGrid w:val="0"/>
              <w:spacing w:before="0" w:beforeAutospacing="0" w:after="0" w:afterAutospacing="0"/>
              <w:jc w:val="center"/>
              <w:rPr>
                <w:rFonts w:ascii="Times New Roman" w:hAnsi="Times New Roman" w:cs="宋体"/>
                <w:bCs/>
                <w:color w:val="auto"/>
                <w:kern w:val="2"/>
                <w:sz w:val="21"/>
                <w:szCs w:val="21"/>
                <w:highlight w:val="yellow"/>
              </w:rPr>
            </w:pPr>
            <w:bookmarkStart w:id="18" w:name="_Hlk49796138"/>
            <w:r>
              <w:rPr>
                <w:rFonts w:hint="eastAsia" w:ascii="Times New Roman" w:hAnsi="Times New Roman" w:cs="宋体"/>
                <w:bCs/>
                <w:color w:val="auto"/>
                <w:spacing w:val="10"/>
                <w:kern w:val="2"/>
                <w:sz w:val="21"/>
                <w:szCs w:val="21"/>
                <w:highlight w:val="none"/>
              </w:rPr>
              <w:t>施工期生态环境影响分析</w:t>
            </w:r>
            <w:bookmarkEnd w:id="18"/>
          </w:p>
        </w:tc>
        <w:tc>
          <w:tcPr>
            <w:tcW w:w="4793" w:type="pct"/>
          </w:tcPr>
          <w:p>
            <w:pPr>
              <w:adjustRightInd w:val="0"/>
              <w:snapToGrid w:val="0"/>
              <w:spacing w:line="360" w:lineRule="auto"/>
              <w:jc w:val="left"/>
              <w:rPr>
                <w:b/>
                <w:bCs/>
                <w:color w:val="auto"/>
                <w:sz w:val="24"/>
                <w:highlight w:val="none"/>
              </w:rPr>
            </w:pPr>
            <w:r>
              <w:rPr>
                <w:b/>
                <w:bCs/>
                <w:color w:val="auto"/>
                <w:sz w:val="24"/>
                <w:highlight w:val="none"/>
              </w:rPr>
              <w:t xml:space="preserve">4.1 </w:t>
            </w:r>
            <w:r>
              <w:rPr>
                <w:rFonts w:hint="eastAsia"/>
                <w:b/>
                <w:bCs/>
                <w:color w:val="auto"/>
                <w:sz w:val="24"/>
                <w:highlight w:val="none"/>
              </w:rPr>
              <w:t>废气</w:t>
            </w:r>
          </w:p>
          <w:p>
            <w:pPr>
              <w:adjustRightInd w:val="0"/>
              <w:snapToGrid w:val="0"/>
              <w:spacing w:line="360" w:lineRule="auto"/>
              <w:ind w:firstLine="480" w:firstLineChars="200"/>
              <w:rPr>
                <w:color w:val="auto"/>
                <w:kern w:val="0"/>
                <w:sz w:val="24"/>
                <w:highlight w:val="none"/>
                <w:lang w:bidi="en-US"/>
              </w:rPr>
            </w:pPr>
            <w:r>
              <w:rPr>
                <w:rFonts w:hint="eastAsia"/>
                <w:color w:val="auto"/>
                <w:kern w:val="0"/>
                <w:sz w:val="24"/>
                <w:highlight w:val="none"/>
                <w:lang w:bidi="en-US"/>
              </w:rPr>
              <w:t>在变电站</w:t>
            </w:r>
            <w:r>
              <w:rPr>
                <w:rFonts w:hint="eastAsia"/>
                <w:color w:val="auto"/>
                <w:kern w:val="0"/>
                <w:sz w:val="24"/>
                <w:highlight w:val="none"/>
                <w:lang w:eastAsia="zh-CN" w:bidi="en-US"/>
              </w:rPr>
              <w:t>和线路</w:t>
            </w:r>
            <w:r>
              <w:rPr>
                <w:rFonts w:hint="eastAsia"/>
                <w:color w:val="auto"/>
                <w:kern w:val="0"/>
                <w:sz w:val="24"/>
                <w:highlight w:val="none"/>
                <w:lang w:bidi="en-US"/>
              </w:rPr>
              <w:t>施工期，大气污染源主要为扬尘污染和施工机械尾气污染。</w:t>
            </w:r>
            <w:r>
              <w:rPr>
                <w:rFonts w:hint="eastAsia"/>
                <w:color w:val="auto"/>
                <w:kern w:val="0"/>
                <w:sz w:val="24"/>
                <w:highlight w:val="none"/>
                <w:lang w:eastAsia="zh-CN" w:bidi="en-US"/>
              </w:rPr>
              <w:t>施工</w:t>
            </w:r>
            <w:r>
              <w:rPr>
                <w:rFonts w:hint="eastAsia"/>
                <w:color w:val="auto"/>
                <w:kern w:val="0"/>
                <w:sz w:val="24"/>
                <w:highlight w:val="none"/>
                <w:lang w:bidi="en-US"/>
              </w:rPr>
              <w:t>扬尘来自于平整土地、打桩、基础开挖、道路铺浇、材料运输、装卸和搅拌等过程</w:t>
            </w:r>
            <w:r>
              <w:rPr>
                <w:rFonts w:hint="eastAsia"/>
                <w:color w:val="auto"/>
                <w:kern w:val="0"/>
                <w:sz w:val="24"/>
                <w:highlight w:val="none"/>
                <w:lang w:eastAsia="zh-CN" w:bidi="en-US"/>
              </w:rPr>
              <w:t>和</w:t>
            </w:r>
            <w:r>
              <w:rPr>
                <w:rFonts w:hint="eastAsia"/>
                <w:color w:val="auto"/>
                <w:kern w:val="0"/>
                <w:sz w:val="24"/>
                <w:highlight w:val="none"/>
                <w:lang w:bidi="en-US"/>
              </w:rPr>
              <w:t>，如遇干旱无雨季节扬尘则更为严重。由于扬尘源多且分散，源高一般在15m以下，属于无组织排放。受施工方式、设备、气候等因素制约，产生的随机性和波动性较大。施工现场实施洒水抑尘，同时施工期间对车辆行驶的路面实施洒水抑尘，每天洒水4～5次，可使扬尘量减少70%左右，其抑尘效果是显而易见的。施工机械（如载重汽车等）产生的尾气主要污染物为</w:t>
            </w:r>
            <w:r>
              <w:rPr>
                <w:color w:val="auto"/>
                <w:kern w:val="0"/>
                <w:sz w:val="24"/>
                <w:highlight w:val="none"/>
                <w:lang w:bidi="en-US"/>
              </w:rPr>
              <w:t>CO</w:t>
            </w:r>
            <w:r>
              <w:rPr>
                <w:rFonts w:hint="eastAsia"/>
                <w:color w:val="auto"/>
                <w:kern w:val="0"/>
                <w:sz w:val="24"/>
                <w:highlight w:val="none"/>
                <w:lang w:bidi="en-US"/>
              </w:rPr>
              <w:t>、</w:t>
            </w:r>
            <w:r>
              <w:rPr>
                <w:color w:val="auto"/>
                <w:kern w:val="0"/>
                <w:sz w:val="24"/>
                <w:highlight w:val="none"/>
                <w:lang w:bidi="en-US"/>
              </w:rPr>
              <w:t xml:space="preserve">NOx </w:t>
            </w:r>
            <w:r>
              <w:rPr>
                <w:rFonts w:hint="eastAsia"/>
                <w:color w:val="auto"/>
                <w:kern w:val="0"/>
                <w:sz w:val="24"/>
                <w:highlight w:val="none"/>
                <w:lang w:bidi="en-US"/>
              </w:rPr>
              <w:t>等，但由于施工的燃油机械为间断作业，并且主要使用小型机械、数量不多，施工期对大气环境的影响是暂时的，施工结束后其大气环境影响可得以恢复。</w:t>
            </w:r>
          </w:p>
          <w:p>
            <w:pPr>
              <w:adjustRightInd w:val="0"/>
              <w:snapToGrid w:val="0"/>
              <w:spacing w:line="360" w:lineRule="auto"/>
              <w:jc w:val="left"/>
              <w:rPr>
                <w:b/>
                <w:bCs/>
                <w:color w:val="auto"/>
                <w:kern w:val="0"/>
                <w:sz w:val="24"/>
                <w:highlight w:val="none"/>
                <w:lang w:bidi="en-US"/>
              </w:rPr>
            </w:pPr>
            <w:r>
              <w:rPr>
                <w:b/>
                <w:bCs/>
                <w:color w:val="auto"/>
                <w:sz w:val="24"/>
                <w:highlight w:val="none"/>
              </w:rPr>
              <w:t xml:space="preserve">4.2 </w:t>
            </w:r>
            <w:r>
              <w:rPr>
                <w:rFonts w:hint="eastAsia"/>
                <w:b/>
                <w:bCs/>
                <w:color w:val="auto"/>
                <w:sz w:val="24"/>
                <w:highlight w:val="none"/>
              </w:rPr>
              <w:t>废水</w:t>
            </w:r>
          </w:p>
          <w:p>
            <w:pPr>
              <w:adjustRightInd w:val="0"/>
              <w:snapToGrid w:val="0"/>
              <w:spacing w:line="360" w:lineRule="auto"/>
              <w:ind w:firstLine="480" w:firstLineChars="200"/>
              <w:rPr>
                <w:color w:val="auto"/>
                <w:sz w:val="24"/>
                <w:highlight w:val="none"/>
              </w:rPr>
            </w:pPr>
            <w:r>
              <w:rPr>
                <w:rFonts w:hint="eastAsia"/>
                <w:color w:val="auto"/>
                <w:sz w:val="24"/>
                <w:highlight w:val="none"/>
              </w:rPr>
              <w:t>（</w:t>
            </w:r>
            <w:r>
              <w:rPr>
                <w:color w:val="auto"/>
                <w:sz w:val="24"/>
                <w:highlight w:val="none"/>
              </w:rPr>
              <w:t>1</w:t>
            </w:r>
            <w:r>
              <w:rPr>
                <w:rFonts w:hint="eastAsia"/>
                <w:color w:val="auto"/>
                <w:sz w:val="24"/>
                <w:highlight w:val="none"/>
              </w:rPr>
              <w:t>）一般区域</w:t>
            </w:r>
          </w:p>
          <w:p>
            <w:pPr>
              <w:spacing w:line="360" w:lineRule="auto"/>
              <w:ind w:firstLine="480" w:firstLineChars="200"/>
              <w:rPr>
                <w:rFonts w:hAnsi="宋体"/>
                <w:color w:val="auto"/>
                <w:sz w:val="24"/>
                <w:highlight w:val="none"/>
              </w:rPr>
            </w:pPr>
            <w:r>
              <w:rPr>
                <w:rFonts w:hint="eastAsia" w:hAnsi="宋体"/>
                <w:color w:val="auto"/>
                <w:sz w:val="24"/>
                <w:highlight w:val="none"/>
              </w:rPr>
              <w:t>变电站建设使用商品混凝土，其施工过程产生的废水主要为</w:t>
            </w:r>
            <w:r>
              <w:rPr>
                <w:rFonts w:hint="eastAsia"/>
                <w:color w:val="auto"/>
                <w:sz w:val="24"/>
                <w:highlight w:val="none"/>
              </w:rPr>
              <w:t>施工车辆清洗废水和建筑结构养护废水以及施工人员产生的生活废水。施工车辆清洗废水经收集、沉淀处理后回用，不外排。加强对施工现场使用带油的机械器具的检修和维护，采取措施防止跑、冒、滴、漏油。项目施工人员约</w:t>
            </w:r>
            <w:r>
              <w:rPr>
                <w:color w:val="auto"/>
                <w:sz w:val="24"/>
                <w:highlight w:val="none"/>
              </w:rPr>
              <w:t>20</w:t>
            </w:r>
            <w:r>
              <w:rPr>
                <w:rFonts w:hint="eastAsia"/>
                <w:color w:val="auto"/>
                <w:sz w:val="24"/>
                <w:highlight w:val="none"/>
              </w:rPr>
              <w:t>人，本项目施工人员租用当地民房住宿和就餐，施工过程中产生的生活污水主要为如厕废水，其污染因子以</w:t>
            </w:r>
            <w:r>
              <w:rPr>
                <w:color w:val="auto"/>
                <w:sz w:val="24"/>
                <w:highlight w:val="none"/>
              </w:rPr>
              <w:t>COD</w:t>
            </w:r>
            <w:r>
              <w:rPr>
                <w:rFonts w:hint="eastAsia"/>
                <w:color w:val="auto"/>
                <w:sz w:val="24"/>
                <w:highlight w:val="none"/>
              </w:rPr>
              <w:t>、</w:t>
            </w:r>
            <w:r>
              <w:rPr>
                <w:color w:val="auto"/>
                <w:sz w:val="24"/>
                <w:highlight w:val="none"/>
              </w:rPr>
              <w:t>SS</w:t>
            </w:r>
            <w:r>
              <w:rPr>
                <w:rFonts w:hint="eastAsia"/>
                <w:color w:val="auto"/>
                <w:sz w:val="24"/>
                <w:highlight w:val="none"/>
              </w:rPr>
              <w:t>和</w:t>
            </w:r>
            <w:r>
              <w:rPr>
                <w:color w:val="auto"/>
                <w:sz w:val="24"/>
                <w:highlight w:val="none"/>
              </w:rPr>
              <w:t>NH</w:t>
            </w:r>
            <w:r>
              <w:rPr>
                <w:color w:val="auto"/>
                <w:sz w:val="24"/>
                <w:highlight w:val="none"/>
                <w:vertAlign w:val="subscript"/>
              </w:rPr>
              <w:t>3</w:t>
            </w:r>
            <w:r>
              <w:rPr>
                <w:color w:val="auto"/>
                <w:sz w:val="24"/>
                <w:highlight w:val="none"/>
              </w:rPr>
              <w:t>-N</w:t>
            </w:r>
            <w:r>
              <w:rPr>
                <w:rFonts w:hint="eastAsia"/>
                <w:color w:val="auto"/>
                <w:sz w:val="24"/>
                <w:highlight w:val="none"/>
              </w:rPr>
              <w:t>、动植物油为主，可依托周边民房内现有设施解决，不会对水环境造成明显的影响。</w:t>
            </w:r>
          </w:p>
          <w:p>
            <w:pPr>
              <w:spacing w:line="360" w:lineRule="auto"/>
              <w:ind w:firstLine="480" w:firstLineChars="200"/>
              <w:rPr>
                <w:color w:val="auto"/>
                <w:sz w:val="24"/>
                <w:highlight w:val="none"/>
              </w:rPr>
            </w:pPr>
            <w:r>
              <w:rPr>
                <w:rFonts w:hint="eastAsia" w:hAnsi="宋体"/>
                <w:color w:val="auto"/>
                <w:sz w:val="24"/>
                <w:highlight w:val="none"/>
              </w:rPr>
              <w:t>线路施工期污水主要来自施工人员的生活污水。</w:t>
            </w:r>
            <w:r>
              <w:rPr>
                <w:rFonts w:hint="eastAsia"/>
                <w:color w:val="auto"/>
                <w:kern w:val="0"/>
                <w:sz w:val="24"/>
                <w:highlight w:val="none"/>
                <w:lang w:bidi="en-US"/>
              </w:rPr>
              <w:t>本项目施工营地拟租用当地民房，施工工人利用周边已有餐馆等公共设施解决，施工人员主要租赁附近民房，产生的生活污水排入居民厕所处理。</w:t>
            </w:r>
            <w:r>
              <w:rPr>
                <w:rFonts w:hint="eastAsia"/>
                <w:color w:val="auto"/>
                <w:sz w:val="24"/>
                <w:highlight w:val="none"/>
              </w:rPr>
              <w:t>施工期铁塔基础主要采用人工挖孔桩基础，不会产生施工废水。</w:t>
            </w:r>
          </w:p>
          <w:p>
            <w:pPr>
              <w:adjustRightInd w:val="0"/>
              <w:snapToGrid w:val="0"/>
              <w:spacing w:line="360" w:lineRule="auto"/>
              <w:ind w:firstLine="480" w:firstLineChars="200"/>
              <w:jc w:val="left"/>
              <w:rPr>
                <w:color w:val="auto"/>
                <w:sz w:val="24"/>
                <w:highlight w:val="none"/>
              </w:rPr>
            </w:pPr>
            <w:r>
              <w:rPr>
                <w:rFonts w:hint="eastAsia"/>
                <w:color w:val="auto"/>
                <w:sz w:val="24"/>
                <w:highlight w:val="none"/>
              </w:rPr>
              <w:t>（</w:t>
            </w:r>
            <w:r>
              <w:rPr>
                <w:color w:val="auto"/>
                <w:sz w:val="24"/>
                <w:highlight w:val="none"/>
              </w:rPr>
              <w:t>2</w:t>
            </w:r>
            <w:r>
              <w:rPr>
                <w:rFonts w:hint="eastAsia"/>
                <w:color w:val="auto"/>
                <w:sz w:val="24"/>
                <w:highlight w:val="none"/>
              </w:rPr>
              <w:t>）跨越</w:t>
            </w:r>
            <w:r>
              <w:rPr>
                <w:rFonts w:hint="eastAsia"/>
                <w:color w:val="auto"/>
                <w:sz w:val="24"/>
                <w:highlight w:val="none"/>
                <w:lang w:eastAsia="zh-CN"/>
              </w:rPr>
              <w:t>淮远河</w:t>
            </w:r>
            <w:r>
              <w:rPr>
                <w:rFonts w:hint="eastAsia"/>
                <w:color w:val="auto"/>
                <w:sz w:val="24"/>
                <w:highlight w:val="none"/>
              </w:rPr>
              <w:t>附近施工对水体的影响</w:t>
            </w:r>
          </w:p>
          <w:p>
            <w:pPr>
              <w:spacing w:line="360" w:lineRule="auto"/>
              <w:ind w:firstLine="480" w:firstLineChars="200"/>
              <w:rPr>
                <w:color w:val="auto"/>
                <w:sz w:val="24"/>
                <w:highlight w:val="none"/>
              </w:rPr>
            </w:pPr>
            <w:r>
              <w:rPr>
                <w:rFonts w:hint="eastAsia"/>
                <w:color w:val="auto"/>
                <w:sz w:val="24"/>
                <w:highlight w:val="none"/>
              </w:rPr>
              <w:t>拟建线路在拟建G2#-G3#塔段一档跨越</w:t>
            </w:r>
            <w:r>
              <w:rPr>
                <w:rFonts w:hint="eastAsia"/>
                <w:color w:val="auto"/>
                <w:sz w:val="24"/>
                <w:highlight w:val="none"/>
                <w:lang w:eastAsia="zh-CN"/>
              </w:rPr>
              <w:t>淮远河</w:t>
            </w:r>
            <w:r>
              <w:rPr>
                <w:rFonts w:hint="eastAsia"/>
                <w:color w:val="auto"/>
                <w:sz w:val="24"/>
                <w:highlight w:val="none"/>
              </w:rPr>
              <w:t>，档距约330m，新建G</w:t>
            </w:r>
            <w:r>
              <w:rPr>
                <w:rFonts w:hint="eastAsia"/>
                <w:color w:val="auto"/>
                <w:sz w:val="24"/>
                <w:highlight w:val="none"/>
                <w:lang w:val="en-US" w:eastAsia="zh-CN"/>
              </w:rPr>
              <w:t>2#、</w:t>
            </w:r>
            <w:r>
              <w:rPr>
                <w:rFonts w:hint="eastAsia"/>
                <w:color w:val="auto"/>
                <w:sz w:val="24"/>
                <w:highlight w:val="none"/>
              </w:rPr>
              <w:t>G</w:t>
            </w:r>
            <w:r>
              <w:rPr>
                <w:rFonts w:hint="eastAsia"/>
                <w:color w:val="auto"/>
                <w:sz w:val="24"/>
                <w:highlight w:val="none"/>
                <w:lang w:val="en-US" w:eastAsia="zh-CN"/>
              </w:rPr>
              <w:t>3#</w:t>
            </w:r>
            <w:r>
              <w:rPr>
                <w:rFonts w:hint="eastAsia"/>
                <w:color w:val="auto"/>
                <w:sz w:val="24"/>
                <w:highlight w:val="none"/>
              </w:rPr>
              <w:t>杆塔距河流</w:t>
            </w:r>
            <w:r>
              <w:rPr>
                <w:rFonts w:hint="eastAsia"/>
                <w:color w:val="auto"/>
                <w:sz w:val="24"/>
                <w:highlight w:val="none"/>
                <w:lang w:eastAsia="zh-CN"/>
              </w:rPr>
              <w:t>分别</w:t>
            </w:r>
            <w:r>
              <w:rPr>
                <w:rFonts w:hint="eastAsia"/>
                <w:color w:val="auto"/>
                <w:sz w:val="24"/>
                <w:highlight w:val="none"/>
              </w:rPr>
              <w:t>约60m</w:t>
            </w:r>
            <w:r>
              <w:rPr>
                <w:rFonts w:hint="eastAsia"/>
                <w:color w:val="auto"/>
                <w:sz w:val="24"/>
                <w:highlight w:val="none"/>
                <w:lang w:eastAsia="zh-CN"/>
              </w:rPr>
              <w:t>、</w:t>
            </w:r>
            <w:r>
              <w:rPr>
                <w:rFonts w:hint="eastAsia"/>
                <w:color w:val="auto"/>
                <w:sz w:val="24"/>
                <w:highlight w:val="none"/>
                <w:lang w:val="en-US" w:eastAsia="zh-CN"/>
              </w:rPr>
              <w:t>200m，</w:t>
            </w:r>
            <w:r>
              <w:rPr>
                <w:rFonts w:hint="eastAsia"/>
                <w:color w:val="auto"/>
                <w:sz w:val="24"/>
                <w:highlight w:val="none"/>
              </w:rPr>
              <w:t>高差大于30m</w:t>
            </w:r>
            <w:r>
              <w:rPr>
                <w:rFonts w:hint="eastAsia"/>
                <w:color w:val="auto"/>
                <w:sz w:val="24"/>
                <w:highlight w:val="none"/>
                <w:lang w:eastAsia="zh-CN"/>
              </w:rPr>
              <w:t>，跨越处河宽约60m。</w:t>
            </w:r>
            <w:r>
              <w:rPr>
                <w:rFonts w:hint="eastAsia"/>
                <w:color w:val="auto"/>
                <w:kern w:val="16"/>
                <w:sz w:val="24"/>
                <w:highlight w:val="none"/>
              </w:rPr>
              <w:t>架空线路施工临时占地一般选址在塔基周围，且</w:t>
            </w:r>
            <w:r>
              <w:rPr>
                <w:rFonts w:hint="eastAsia"/>
                <w:color w:val="auto"/>
                <w:sz w:val="24"/>
                <w:highlight w:val="none"/>
              </w:rPr>
              <w:t>单塔开挖工程量小，作业点分散，施工时间较短，单塔施工周期一般在两个月内，影响区域较小。跨越</w:t>
            </w:r>
            <w:r>
              <w:rPr>
                <w:rFonts w:hint="eastAsia"/>
                <w:color w:val="auto"/>
                <w:sz w:val="24"/>
                <w:highlight w:val="none"/>
                <w:lang w:eastAsia="zh-CN"/>
              </w:rPr>
              <w:t>淮远河</w:t>
            </w:r>
            <w:r>
              <w:rPr>
                <w:rFonts w:hint="eastAsia"/>
                <w:color w:val="auto"/>
                <w:sz w:val="24"/>
                <w:highlight w:val="none"/>
              </w:rPr>
              <w:t>两岸铁塔不在河流洪水位范围线。在开挖前设置拦挡措施，不在河流水域附近设置牵张场、施工营地、使用无人机，严禁在河流内清洗施工设备</w:t>
            </w:r>
            <w:r>
              <w:rPr>
                <w:rFonts w:hint="eastAsia"/>
                <w:color w:val="auto"/>
                <w:sz w:val="24"/>
                <w:highlight w:val="none"/>
                <w:lang w:eastAsia="zh-CN"/>
              </w:rPr>
              <w:t>，严禁将固体废弃物倒入河内</w:t>
            </w:r>
            <w:r>
              <w:rPr>
                <w:rFonts w:hint="eastAsia"/>
                <w:color w:val="auto"/>
                <w:sz w:val="24"/>
                <w:highlight w:val="none"/>
              </w:rPr>
              <w:t>。</w:t>
            </w:r>
          </w:p>
          <w:p>
            <w:pPr>
              <w:adjustRightInd w:val="0"/>
              <w:snapToGrid w:val="0"/>
              <w:spacing w:line="360" w:lineRule="auto"/>
              <w:ind w:firstLine="480" w:firstLineChars="200"/>
              <w:jc w:val="left"/>
              <w:rPr>
                <w:color w:val="auto"/>
                <w:sz w:val="24"/>
                <w:highlight w:val="none"/>
              </w:rPr>
            </w:pPr>
            <w:r>
              <w:rPr>
                <w:rFonts w:hint="eastAsia"/>
                <w:color w:val="auto"/>
                <w:sz w:val="24"/>
                <w:highlight w:val="none"/>
              </w:rPr>
              <w:t>架空线路的施工具有局地占地面积小、跨距长、点分散等特点，每个施工点上的施工人员很少，其生活污水排入当地农户的生活污水系统处置，不会对当地地表水环境造成影响。</w:t>
            </w:r>
          </w:p>
          <w:p>
            <w:pPr>
              <w:adjustRightInd w:val="0"/>
              <w:snapToGrid w:val="0"/>
              <w:spacing w:line="360" w:lineRule="auto"/>
              <w:rPr>
                <w:b/>
                <w:bCs/>
                <w:color w:val="auto"/>
                <w:sz w:val="24"/>
                <w:highlight w:val="none"/>
              </w:rPr>
            </w:pPr>
            <w:r>
              <w:rPr>
                <w:b/>
                <w:bCs/>
                <w:color w:val="auto"/>
                <w:sz w:val="24"/>
                <w:highlight w:val="none"/>
              </w:rPr>
              <w:t xml:space="preserve">4.3 </w:t>
            </w:r>
            <w:r>
              <w:rPr>
                <w:rFonts w:hint="eastAsia"/>
                <w:b/>
                <w:bCs/>
                <w:color w:val="auto"/>
                <w:sz w:val="24"/>
                <w:highlight w:val="none"/>
              </w:rPr>
              <w:t>噪声</w:t>
            </w:r>
          </w:p>
          <w:p>
            <w:pPr>
              <w:pStyle w:val="13"/>
              <w:adjustRightInd w:val="0"/>
              <w:snapToGrid w:val="0"/>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kern w:val="0"/>
                <w:sz w:val="24"/>
                <w:szCs w:val="24"/>
                <w:highlight w:val="none"/>
              </w:rPr>
              <w:t>本项目线路施工中主要噪声源为运输车辆及基础、架线施工中各种机械设备的噪声。根据初设资料，本项目在已有公路的施工场地采用商品混凝土，在无现有公路且不方便运输的施工场地设小型拌和机，其声级一般小于</w:t>
            </w:r>
            <w:r>
              <w:rPr>
                <w:rFonts w:ascii="Times New Roman" w:hAnsi="Times New Roman"/>
                <w:color w:val="auto"/>
                <w:kern w:val="0"/>
                <w:sz w:val="24"/>
                <w:szCs w:val="24"/>
                <w:highlight w:val="none"/>
              </w:rPr>
              <w:t>75dB(A)</w:t>
            </w:r>
            <w:r>
              <w:rPr>
                <w:rFonts w:hint="eastAsia" w:ascii="Times New Roman" w:hAnsi="Times New Roman"/>
                <w:color w:val="auto"/>
                <w:kern w:val="0"/>
                <w:sz w:val="24"/>
                <w:szCs w:val="24"/>
                <w:highlight w:val="none"/>
              </w:rPr>
              <w:t>，施工量小且用时短，且无公路的地方一般人员不可到达，环境敏感目标较少。在架线施工过程中，牵张场内的牵张机、绞磨机、小型钻机等设备产生的机械噪声声级值一般为</w:t>
            </w:r>
            <w:r>
              <w:rPr>
                <w:rFonts w:ascii="Times New Roman" w:hAnsi="Times New Roman"/>
                <w:color w:val="auto"/>
                <w:kern w:val="0"/>
                <w:sz w:val="24"/>
                <w:szCs w:val="24"/>
                <w:highlight w:val="none"/>
              </w:rPr>
              <w:t>70</w:t>
            </w:r>
            <w:r>
              <w:rPr>
                <w:rFonts w:hint="eastAsia" w:ascii="Times New Roman" w:hAnsi="Times New Roman"/>
                <w:color w:val="auto"/>
                <w:kern w:val="0"/>
                <w:sz w:val="24"/>
                <w:szCs w:val="24"/>
                <w:highlight w:val="none"/>
              </w:rPr>
              <w:t>～</w:t>
            </w:r>
            <w:r>
              <w:rPr>
                <w:rFonts w:ascii="Times New Roman" w:hAnsi="Times New Roman"/>
                <w:color w:val="auto"/>
                <w:kern w:val="0"/>
                <w:sz w:val="24"/>
                <w:szCs w:val="24"/>
                <w:highlight w:val="none"/>
              </w:rPr>
              <w:t>78dB</w:t>
            </w:r>
            <w:r>
              <w:rPr>
                <w:rFonts w:hint="eastAsia" w:ascii="Times New Roman" w:hAnsi="Times New Roman"/>
                <w:color w:val="auto"/>
                <w:kern w:val="0"/>
                <w:sz w:val="24"/>
                <w:szCs w:val="24"/>
                <w:highlight w:val="none"/>
              </w:rPr>
              <w:t>（</w:t>
            </w:r>
            <w:r>
              <w:rPr>
                <w:rFonts w:ascii="Times New Roman" w:hAnsi="Times New Roman"/>
                <w:color w:val="auto"/>
                <w:kern w:val="0"/>
                <w:sz w:val="24"/>
                <w:szCs w:val="24"/>
                <w:highlight w:val="none"/>
              </w:rPr>
              <w:t>A</w:t>
            </w:r>
            <w:r>
              <w:rPr>
                <w:rFonts w:hint="eastAsia" w:ascii="Times New Roman" w:hAnsi="Times New Roman"/>
                <w:color w:val="auto"/>
                <w:kern w:val="0"/>
                <w:sz w:val="24"/>
                <w:szCs w:val="24"/>
                <w:highlight w:val="none"/>
              </w:rPr>
              <w:t>），且项目施工量较小，施工时间较短，因此本项目施工期的建设对周围环境敏感目标声环境影响较小。</w:t>
            </w:r>
            <w:r>
              <w:rPr>
                <w:rFonts w:hint="eastAsia" w:ascii="Times New Roman" w:hAnsi="Times New Roman"/>
                <w:color w:val="auto"/>
                <w:sz w:val="24"/>
                <w:szCs w:val="24"/>
                <w:highlight w:val="none"/>
              </w:rPr>
              <w:t>线路总体为点状施工，夜间不施工，无爆破作业。租赁牵张场、施工营地等临时用房在得到周围居民谅解的同时，选用低噪声设备，对声环境敏感目标噪声影响较小。</w:t>
            </w:r>
          </w:p>
          <w:p>
            <w:pPr>
              <w:adjustRightInd w:val="0"/>
              <w:snapToGrid w:val="0"/>
              <w:spacing w:line="360" w:lineRule="auto"/>
              <w:ind w:firstLine="470" w:firstLineChars="196"/>
              <w:contextualSpacing/>
              <w:jc w:val="both"/>
              <w:rPr>
                <w:rFonts w:hint="default" w:ascii="Times New Roman" w:hAnsi="Times New Roman" w:eastAsia="宋体" w:cs="Times New Roman"/>
                <w:color w:val="auto"/>
                <w:sz w:val="24"/>
                <w:szCs w:val="32"/>
                <w:lang w:eastAsia="zh-CN"/>
              </w:rPr>
            </w:pPr>
            <w:r>
              <w:rPr>
                <w:rFonts w:hint="eastAsia" w:ascii="Times New Roman" w:hAnsi="Times New Roman"/>
                <w:color w:val="auto"/>
                <w:kern w:val="0"/>
                <w:sz w:val="24"/>
                <w:szCs w:val="24"/>
                <w:highlight w:val="none"/>
              </w:rPr>
              <w:t>变电站施工期噪声源主要为动力设备、施工机械及运输车辆，</w:t>
            </w:r>
            <w:r>
              <w:rPr>
                <w:rFonts w:hint="default" w:ascii="Times New Roman" w:hAnsi="Times New Roman" w:eastAsia="宋体" w:cs="Times New Roman"/>
                <w:color w:val="auto"/>
                <w:kern w:val="0"/>
                <w:sz w:val="24"/>
                <w:szCs w:val="21"/>
              </w:rPr>
              <w:t>噪声值一般在83～98dB（A）之间</w:t>
            </w:r>
            <w:r>
              <w:rPr>
                <w:rFonts w:hint="default" w:ascii="Times New Roman" w:hAnsi="Times New Roman" w:eastAsia="宋体" w:cs="Times New Roman"/>
                <w:color w:val="auto"/>
                <w:kern w:val="0"/>
                <w:sz w:val="24"/>
                <w:szCs w:val="21"/>
                <w:lang w:eastAsia="zh-CN"/>
              </w:rPr>
              <w:t>，</w:t>
            </w:r>
            <w:r>
              <w:rPr>
                <w:rFonts w:hint="default" w:ascii="Times New Roman" w:hAnsi="Times New Roman" w:eastAsia="宋体" w:cs="Times New Roman"/>
                <w:color w:val="auto"/>
                <w:sz w:val="24"/>
                <w:szCs w:val="32"/>
                <w:lang w:eastAsia="zh-CN"/>
              </w:rPr>
              <w:t>主要噪声源见表</w:t>
            </w:r>
            <w:r>
              <w:rPr>
                <w:rFonts w:hint="default" w:ascii="Times New Roman" w:hAnsi="Times New Roman" w:eastAsia="宋体" w:cs="Times New Roman"/>
                <w:color w:val="auto"/>
                <w:sz w:val="24"/>
                <w:szCs w:val="32"/>
                <w:lang w:val="en-US" w:eastAsia="zh-CN"/>
              </w:rPr>
              <w:t>4</w:t>
            </w:r>
            <w:r>
              <w:rPr>
                <w:rFonts w:hint="default" w:ascii="Times New Roman" w:hAnsi="Times New Roman" w:eastAsia="宋体" w:cs="Times New Roman"/>
                <w:color w:val="auto"/>
                <w:sz w:val="24"/>
                <w:szCs w:val="32"/>
                <w:lang w:eastAsia="zh-CN"/>
              </w:rPr>
              <w:t>-1。</w:t>
            </w:r>
          </w:p>
          <w:p>
            <w:pPr>
              <w:pStyle w:val="21"/>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表</w:t>
            </w: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lang w:eastAsia="zh-CN"/>
              </w:rPr>
              <w:t>-1  主要噪声源强一览表</w:t>
            </w:r>
          </w:p>
          <w:tbl>
            <w:tblPr>
              <w:tblStyle w:val="28"/>
              <w:tblW w:w="497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37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585" w:type="pct"/>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lang w:eastAsia="zh-CN"/>
                    </w:rPr>
                    <w:t>机械类型</w:t>
                  </w:r>
                </w:p>
              </w:tc>
              <w:tc>
                <w:tcPr>
                  <w:tcW w:w="24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10m处噪声源强dB（A）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585" w:type="pct"/>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en-US"/>
                    </w:rPr>
                  </w:pPr>
                  <w:r>
                    <w:rPr>
                      <w:rFonts w:hint="default" w:ascii="Times New Roman" w:hAnsi="Times New Roman" w:eastAsia="宋体" w:cs="Times New Roman"/>
                      <w:color w:val="auto"/>
                      <w:sz w:val="21"/>
                      <w:szCs w:val="21"/>
                      <w:lang w:val="en-US" w:eastAsia="zh-CN"/>
                    </w:rPr>
                    <w:t>电动挖掘机</w:t>
                  </w:r>
                </w:p>
              </w:tc>
              <w:tc>
                <w:tcPr>
                  <w:tcW w:w="24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en-US"/>
                    </w:rPr>
                  </w:pPr>
                  <w:r>
                    <w:rPr>
                      <w:rFonts w:hint="default" w:ascii="Times New Roman" w:hAnsi="Times New Roman" w:eastAsia="宋体" w:cs="Times New Roman"/>
                      <w:color w:val="auto"/>
                      <w:sz w:val="21"/>
                      <w:szCs w:val="21"/>
                      <w:lang w:eastAsia="zh-CN"/>
                    </w:rPr>
                    <w:t>83.0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585" w:type="pct"/>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lang w:val="en-US" w:eastAsia="zh-CN"/>
                    </w:rPr>
                    <w:t>推土机</w:t>
                  </w:r>
                </w:p>
              </w:tc>
              <w:tc>
                <w:tcPr>
                  <w:tcW w:w="2414" w:type="pct"/>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lang w:val="en-US" w:eastAsia="zh-CN"/>
                    </w:rPr>
                    <w:t>85.0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585" w:type="pct"/>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lang w:val="en-US" w:eastAsia="zh-CN"/>
                    </w:rPr>
                    <w:t>混凝土振捣器</w:t>
                  </w:r>
                </w:p>
              </w:tc>
              <w:tc>
                <w:tcPr>
                  <w:tcW w:w="2414" w:type="pct"/>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lang w:val="en-US" w:eastAsia="zh-CN"/>
                    </w:rPr>
                    <w:t>84.0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5" w:type="pct"/>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bidi="en-US"/>
                    </w:rPr>
                  </w:pPr>
                  <w:r>
                    <w:rPr>
                      <w:rFonts w:hint="default" w:ascii="Times New Roman" w:hAnsi="Times New Roman" w:eastAsia="宋体" w:cs="Times New Roman"/>
                      <w:color w:val="auto"/>
                      <w:sz w:val="21"/>
                      <w:szCs w:val="21"/>
                      <w:lang w:val="en-US" w:eastAsia="zh-CN"/>
                    </w:rPr>
                    <w:t>风镐</w:t>
                  </w:r>
                </w:p>
              </w:tc>
              <w:tc>
                <w:tcPr>
                  <w:tcW w:w="24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en-US"/>
                    </w:rPr>
                  </w:pPr>
                  <w:r>
                    <w:rPr>
                      <w:rFonts w:hint="default" w:ascii="Times New Roman" w:hAnsi="Times New Roman" w:eastAsia="宋体" w:cs="Times New Roman"/>
                      <w:color w:val="auto"/>
                      <w:sz w:val="21"/>
                      <w:szCs w:val="21"/>
                      <w:lang w:eastAsia="zh-CN"/>
                    </w:rPr>
                    <w:t>87.0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5" w:type="pct"/>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bidi="en-US"/>
                    </w:rPr>
                  </w:pPr>
                  <w:r>
                    <w:rPr>
                      <w:rFonts w:hint="default" w:ascii="Times New Roman" w:hAnsi="Times New Roman" w:eastAsia="宋体" w:cs="Times New Roman"/>
                      <w:color w:val="auto"/>
                      <w:sz w:val="21"/>
                      <w:szCs w:val="21"/>
                      <w:lang w:val="en-US" w:eastAsia="zh-CN"/>
                    </w:rPr>
                    <w:t>电锯</w:t>
                  </w:r>
                </w:p>
              </w:tc>
              <w:tc>
                <w:tcPr>
                  <w:tcW w:w="24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en-US"/>
                    </w:rPr>
                  </w:pPr>
                  <w:r>
                    <w:rPr>
                      <w:rFonts w:hint="default" w:ascii="Times New Roman" w:hAnsi="Times New Roman" w:eastAsia="宋体" w:cs="Times New Roman"/>
                      <w:color w:val="auto"/>
                      <w:sz w:val="21"/>
                      <w:szCs w:val="21"/>
                      <w:lang w:eastAsia="zh-CN"/>
                    </w:rPr>
                    <w:t>95.0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5" w:type="pct"/>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en-US"/>
                    </w:rPr>
                  </w:pPr>
                  <w:r>
                    <w:rPr>
                      <w:rFonts w:hint="default" w:ascii="Times New Roman" w:hAnsi="Times New Roman" w:eastAsia="宋体" w:cs="Times New Roman"/>
                      <w:color w:val="auto"/>
                      <w:sz w:val="21"/>
                      <w:szCs w:val="21"/>
                      <w:lang w:val="en-US" w:eastAsia="zh-CN"/>
                    </w:rPr>
                    <w:t>重型运输车</w:t>
                  </w:r>
                </w:p>
              </w:tc>
              <w:tc>
                <w:tcPr>
                  <w:tcW w:w="24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en-US"/>
                    </w:rPr>
                  </w:pPr>
                  <w:r>
                    <w:rPr>
                      <w:rFonts w:hint="default" w:ascii="Times New Roman" w:hAnsi="Times New Roman" w:eastAsia="宋体" w:cs="Times New Roman"/>
                      <w:color w:val="auto"/>
                      <w:sz w:val="21"/>
                      <w:szCs w:val="21"/>
                      <w:lang w:eastAsia="zh-CN"/>
                    </w:rPr>
                    <w:t>86.0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5" w:type="pct"/>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en-US"/>
                    </w:rPr>
                  </w:pPr>
                  <w:r>
                    <w:rPr>
                      <w:rFonts w:hint="default" w:ascii="Times New Roman" w:hAnsi="Times New Roman" w:eastAsia="宋体" w:cs="Times New Roman"/>
                      <w:color w:val="auto"/>
                      <w:sz w:val="21"/>
                      <w:szCs w:val="21"/>
                      <w:lang w:val="en-US" w:eastAsia="zh-CN"/>
                    </w:rPr>
                    <w:t>移动式发电机</w:t>
                  </w:r>
                </w:p>
              </w:tc>
              <w:tc>
                <w:tcPr>
                  <w:tcW w:w="24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en-US"/>
                    </w:rPr>
                  </w:pPr>
                  <w:r>
                    <w:rPr>
                      <w:rFonts w:hint="default" w:ascii="Times New Roman" w:hAnsi="Times New Roman" w:eastAsia="宋体" w:cs="Times New Roman"/>
                      <w:color w:val="auto"/>
                      <w:sz w:val="21"/>
                      <w:szCs w:val="21"/>
                      <w:lang w:eastAsia="zh-CN"/>
                    </w:rPr>
                    <w:t>98.0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5" w:type="pct"/>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lang w:val="en-US" w:eastAsia="zh-CN"/>
                    </w:rPr>
                    <w:t>空压机</w:t>
                  </w:r>
                </w:p>
              </w:tc>
              <w:tc>
                <w:tcPr>
                  <w:tcW w:w="24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en-US"/>
                    </w:rPr>
                  </w:pPr>
                  <w:r>
                    <w:rPr>
                      <w:rFonts w:hint="default" w:ascii="Times New Roman" w:hAnsi="Times New Roman" w:eastAsia="宋体" w:cs="Times New Roman"/>
                      <w:color w:val="auto"/>
                      <w:sz w:val="21"/>
                      <w:szCs w:val="21"/>
                      <w:lang w:eastAsia="zh-CN"/>
                    </w:rPr>
                    <w:t>88.0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70" w:firstLineChars="196"/>
              <w:contextualSpacing/>
              <w:jc w:val="both"/>
              <w:textAlignment w:val="auto"/>
              <w:rPr>
                <w:rFonts w:hint="default" w:ascii="Times New Roman" w:hAnsi="Times New Roman" w:eastAsia="宋体" w:cs="Times New Roman"/>
                <w:color w:val="auto"/>
                <w:kern w:val="0"/>
                <w:sz w:val="24"/>
                <w:szCs w:val="21"/>
                <w:lang w:eastAsia="zh-CN"/>
              </w:rPr>
            </w:pPr>
            <w:r>
              <w:rPr>
                <w:rFonts w:hint="default" w:ascii="Times New Roman" w:hAnsi="Times New Roman" w:eastAsia="宋体" w:cs="Times New Roman"/>
                <w:color w:val="auto"/>
                <w:kern w:val="0"/>
                <w:sz w:val="24"/>
                <w:szCs w:val="21"/>
              </w:rPr>
              <w:t>同时，根据重庆市环境监测中心多年对各类建筑施工工地的场界噪声监测结果统计，施工工地的噪声级峰值约为90dB（A），一般情况声级为81dB（A）</w:t>
            </w:r>
            <w:r>
              <w:rPr>
                <w:rFonts w:hint="default" w:ascii="Times New Roman" w:hAnsi="Times New Roman" w:eastAsia="宋体" w:cs="Times New Roman"/>
                <w:color w:val="auto"/>
                <w:kern w:val="0"/>
                <w:sz w:val="24"/>
                <w:szCs w:val="21"/>
                <w:lang w:eastAsia="zh-CN"/>
              </w:rPr>
              <w:t>。</w:t>
            </w:r>
          </w:p>
          <w:p>
            <w:pPr>
              <w:adjustRightInd w:val="0"/>
              <w:snapToGrid w:val="0"/>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kern w:val="0"/>
                <w:sz w:val="24"/>
                <w:szCs w:val="21"/>
                <w:lang w:val="en-US" w:eastAsia="zh-CN"/>
              </w:rPr>
              <w:t>鉴于项目施工场地的开放性质及施工机械自身特点，不易进行噪声防治，只能从声源上控制和靠自然衰减，尽量降低对环境的影响。本评价利用《环境影响评价技术导则  声环境》（HJ2.4-2021）中声环境影响预测方法预测施工场界外不同距离噪声值（不考虑隔声）</w:t>
            </w:r>
            <w:r>
              <w:rPr>
                <w:rFonts w:hint="default" w:ascii="Times New Roman" w:hAnsi="Times New Roman" w:cs="Times New Roman"/>
                <w:color w:val="auto"/>
                <w:sz w:val="24"/>
                <w:szCs w:val="24"/>
                <w:lang w:eastAsia="zh-CN"/>
              </w:rPr>
              <w:t>，预测结果见表</w:t>
            </w:r>
            <w:r>
              <w:rPr>
                <w:rFonts w:hint="default" w:ascii="Times New Roman" w:hAnsi="Times New Roman" w:cs="Times New Roman"/>
                <w:color w:val="auto"/>
                <w:sz w:val="24"/>
                <w:szCs w:val="24"/>
                <w:lang w:val="en-US" w:eastAsia="zh-CN"/>
              </w:rPr>
              <w:t>4-2</w:t>
            </w:r>
            <w:r>
              <w:rPr>
                <w:rFonts w:hint="default" w:ascii="Times New Roman" w:hAnsi="Times New Roman" w:cs="Times New Roman"/>
                <w:color w:val="auto"/>
                <w:sz w:val="24"/>
                <w:szCs w:val="24"/>
                <w:lang w:eastAsia="zh-CN"/>
              </w:rPr>
              <w:t>。</w:t>
            </w:r>
          </w:p>
          <w:p>
            <w:pPr>
              <w:pStyle w:val="21"/>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表</w:t>
            </w:r>
            <w:r>
              <w:rPr>
                <w:rFonts w:hint="default" w:ascii="Times New Roman" w:hAnsi="Times New Roman" w:eastAsia="宋体" w:cs="Times New Roman"/>
                <w:b/>
                <w:color w:val="auto"/>
                <w:sz w:val="24"/>
                <w:szCs w:val="24"/>
                <w:lang w:val="en-US" w:eastAsia="zh-CN"/>
              </w:rPr>
              <w:t>4-2</w:t>
            </w:r>
            <w:r>
              <w:rPr>
                <w:rFonts w:hint="default" w:ascii="Times New Roman" w:hAnsi="Times New Roman" w:eastAsia="宋体" w:cs="Times New Roman"/>
                <w:b/>
                <w:color w:val="auto"/>
                <w:sz w:val="24"/>
                <w:szCs w:val="24"/>
                <w:lang w:eastAsia="zh-CN"/>
              </w:rPr>
              <w:t xml:space="preserve">  施工噪声影响预测结果   单位：dB(A)</w:t>
            </w:r>
          </w:p>
          <w:tbl>
            <w:tblPr>
              <w:tblStyle w:val="28"/>
              <w:tblW w:w="80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75"/>
              <w:gridCol w:w="730"/>
              <w:gridCol w:w="730"/>
              <w:gridCol w:w="730"/>
              <w:gridCol w:w="730"/>
              <w:gridCol w:w="730"/>
              <w:gridCol w:w="730"/>
              <w:gridCol w:w="730"/>
              <w:gridCol w:w="730"/>
              <w:gridCol w:w="11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75"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距离(m)</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5</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10</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20</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40</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60</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80</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100</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150</w:t>
                  </w:r>
                </w:p>
              </w:tc>
              <w:tc>
                <w:tcPr>
                  <w:tcW w:w="11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75"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lang w:val="en-US" w:eastAsia="zh-CN"/>
                    </w:rPr>
                    <w:t>峰值</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lang w:val="en-US" w:eastAsia="zh-CN"/>
                    </w:rPr>
                    <w:t>90</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lang w:val="en-US" w:eastAsia="zh-CN"/>
                    </w:rPr>
                    <w:t>84</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lang w:val="en-US" w:eastAsia="zh-CN"/>
                    </w:rPr>
                    <w:t>77</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lang w:val="en-US" w:eastAsia="zh-CN"/>
                    </w:rPr>
                    <w:t>72</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lang w:val="en-US" w:eastAsia="zh-CN"/>
                    </w:rPr>
                    <w:t>68</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lang w:val="en-US" w:eastAsia="zh-CN"/>
                    </w:rPr>
                    <w:t>66</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lang w:val="en-US" w:eastAsia="zh-CN"/>
                    </w:rPr>
                    <w:t>64</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lang w:val="en-US" w:eastAsia="zh-CN"/>
                    </w:rPr>
                    <w:t>60</w:t>
                  </w:r>
                </w:p>
              </w:tc>
              <w:tc>
                <w:tcPr>
                  <w:tcW w:w="11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lang w:val="en-US" w:eastAsia="zh-CN"/>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75"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一般情况</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81</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75</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69</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63</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59</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57</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55</w:t>
                  </w:r>
                </w:p>
              </w:tc>
              <w:tc>
                <w:tcPr>
                  <w:tcW w:w="730"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51</w:t>
                  </w:r>
                </w:p>
              </w:tc>
              <w:tc>
                <w:tcPr>
                  <w:tcW w:w="1137"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49</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70" w:firstLineChars="196"/>
              <w:contextualSpacing/>
              <w:jc w:val="both"/>
              <w:textAlignment w:val="auto"/>
              <w:rPr>
                <w:rFonts w:hint="default" w:ascii="Times New Roman" w:hAnsi="Times New Roman" w:cs="Times New Roman"/>
                <w:color w:val="auto"/>
                <w:kern w:val="0"/>
                <w:sz w:val="24"/>
                <w:szCs w:val="21"/>
                <w:lang w:val="en-US" w:eastAsia="zh-CN"/>
              </w:rPr>
            </w:pPr>
            <w:r>
              <w:rPr>
                <w:rFonts w:hint="default" w:ascii="Times New Roman" w:hAnsi="Times New Roman" w:cs="Times New Roman"/>
                <w:color w:val="auto"/>
                <w:kern w:val="0"/>
                <w:sz w:val="24"/>
                <w:szCs w:val="21"/>
                <w:lang w:val="en-US" w:eastAsia="zh-CN"/>
              </w:rPr>
              <w:t>根据上表及《建筑施工场界环境噪声排放标准》（GB12523-2011）一般</w:t>
            </w:r>
            <w:r>
              <w:rPr>
                <w:rFonts w:hint="eastAsia" w:ascii="Times New Roman" w:hAnsi="Times New Roman" w:cs="Times New Roman"/>
                <w:color w:val="auto"/>
                <w:kern w:val="0"/>
                <w:sz w:val="24"/>
                <w:szCs w:val="21"/>
                <w:lang w:val="en-US" w:eastAsia="zh-CN"/>
              </w:rPr>
              <w:t>情况下</w:t>
            </w:r>
            <w:r>
              <w:rPr>
                <w:rFonts w:hint="default" w:ascii="Times New Roman" w:hAnsi="Times New Roman" w:cs="Times New Roman"/>
                <w:color w:val="auto"/>
                <w:kern w:val="0"/>
                <w:sz w:val="24"/>
                <w:szCs w:val="21"/>
                <w:lang w:val="en-US" w:eastAsia="zh-CN"/>
              </w:rPr>
              <w:t>昼间达标距离为18m，夜间到100m范围外才能满足标准要求。一般情况下，工地施工噪声昼间在</w:t>
            </w:r>
            <w:r>
              <w:rPr>
                <w:rFonts w:hint="eastAsia" w:cs="Times New Roman"/>
                <w:color w:val="auto"/>
                <w:kern w:val="0"/>
                <w:sz w:val="24"/>
                <w:szCs w:val="21"/>
                <w:lang w:val="en-US" w:eastAsia="zh-CN"/>
              </w:rPr>
              <w:t>33</w:t>
            </w:r>
            <w:r>
              <w:rPr>
                <w:rFonts w:hint="default" w:ascii="Times New Roman" w:hAnsi="Times New Roman" w:cs="Times New Roman"/>
                <w:color w:val="auto"/>
                <w:kern w:val="0"/>
                <w:sz w:val="24"/>
                <w:szCs w:val="21"/>
                <w:lang w:val="en-US" w:eastAsia="zh-CN"/>
              </w:rPr>
              <w:t>m、夜间在</w:t>
            </w:r>
            <w:r>
              <w:rPr>
                <w:rFonts w:hint="eastAsia" w:cs="Times New Roman"/>
                <w:color w:val="auto"/>
                <w:kern w:val="0"/>
                <w:sz w:val="24"/>
                <w:szCs w:val="21"/>
                <w:lang w:val="en-US" w:eastAsia="zh-CN"/>
              </w:rPr>
              <w:t>1</w:t>
            </w:r>
            <w:r>
              <w:rPr>
                <w:rFonts w:hint="eastAsia" w:ascii="Times New Roman" w:hAnsi="Times New Roman" w:cs="Times New Roman"/>
                <w:color w:val="auto"/>
                <w:kern w:val="0"/>
                <w:sz w:val="24"/>
                <w:szCs w:val="21"/>
                <w:lang w:val="en-US" w:eastAsia="zh-CN"/>
              </w:rPr>
              <w:t>00</w:t>
            </w:r>
            <w:r>
              <w:rPr>
                <w:rFonts w:hint="default" w:ascii="Times New Roman" w:hAnsi="Times New Roman" w:cs="Times New Roman"/>
                <w:color w:val="auto"/>
                <w:kern w:val="0"/>
                <w:sz w:val="24"/>
                <w:szCs w:val="21"/>
                <w:lang w:val="en-US" w:eastAsia="zh-CN"/>
              </w:rPr>
              <w:t>m</w:t>
            </w:r>
            <w:r>
              <w:rPr>
                <w:rFonts w:hint="eastAsia" w:ascii="Times New Roman" w:hAnsi="Times New Roman" w:cs="Times New Roman"/>
                <w:color w:val="auto"/>
                <w:kern w:val="0"/>
                <w:sz w:val="24"/>
                <w:szCs w:val="21"/>
                <w:lang w:val="en-US" w:eastAsia="zh-CN"/>
              </w:rPr>
              <w:t>外才</w:t>
            </w:r>
            <w:r>
              <w:rPr>
                <w:rFonts w:hint="default" w:ascii="Times New Roman" w:hAnsi="Times New Roman" w:cs="Times New Roman"/>
                <w:color w:val="auto"/>
                <w:kern w:val="0"/>
                <w:sz w:val="24"/>
                <w:szCs w:val="21"/>
                <w:lang w:val="en-US" w:eastAsia="zh-CN"/>
              </w:rPr>
              <w:t>可达《声环境质量标准》（GB3096-2008）</w:t>
            </w:r>
            <w:r>
              <w:rPr>
                <w:rFonts w:hint="eastAsia" w:cs="Times New Roman"/>
                <w:color w:val="auto"/>
                <w:kern w:val="0"/>
                <w:sz w:val="24"/>
                <w:szCs w:val="21"/>
                <w:lang w:val="en-US" w:eastAsia="zh-CN"/>
              </w:rPr>
              <w:t>3</w:t>
            </w:r>
            <w:r>
              <w:rPr>
                <w:rFonts w:hint="default" w:ascii="Times New Roman" w:hAnsi="Times New Roman" w:cs="Times New Roman"/>
                <w:color w:val="auto"/>
                <w:kern w:val="0"/>
                <w:sz w:val="24"/>
                <w:szCs w:val="21"/>
                <w:lang w:val="en-US" w:eastAsia="zh-CN"/>
              </w:rPr>
              <w:t>类标准。</w:t>
            </w:r>
          </w:p>
          <w:p>
            <w:pPr>
              <w:adjustRightInd w:val="0"/>
              <w:snapToGrid w:val="0"/>
              <w:spacing w:line="360" w:lineRule="auto"/>
              <w:ind w:firstLine="470" w:firstLineChars="196"/>
              <w:contextualSpacing/>
              <w:jc w:val="both"/>
              <w:rPr>
                <w:rFonts w:hint="default" w:ascii="Times New Roman" w:hAnsi="Times New Roman" w:eastAsia="宋体" w:cs="Times New Roman"/>
                <w:color w:val="auto"/>
                <w:kern w:val="0"/>
                <w:sz w:val="24"/>
                <w:szCs w:val="21"/>
                <w:lang w:val="en-US" w:eastAsia="zh-CN"/>
              </w:rPr>
            </w:pPr>
            <w:r>
              <w:rPr>
                <w:rFonts w:hint="default" w:ascii="Times New Roman" w:hAnsi="Times New Roman" w:cs="Times New Roman"/>
                <w:color w:val="auto"/>
                <w:kern w:val="0"/>
                <w:sz w:val="24"/>
                <w:szCs w:val="21"/>
                <w:lang w:val="en-US" w:eastAsia="zh-CN"/>
              </w:rPr>
              <w:t>本项目夜间不施工。施工期一般情况下对周围敏感目标的影响预测结果见表4-3。</w:t>
            </w:r>
          </w:p>
          <w:p>
            <w:pPr>
              <w:pStyle w:val="21"/>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表</w:t>
            </w:r>
            <w:r>
              <w:rPr>
                <w:rFonts w:hint="default" w:ascii="Times New Roman" w:hAnsi="Times New Roman" w:eastAsia="宋体" w:cs="Times New Roman"/>
                <w:b/>
                <w:color w:val="auto"/>
                <w:sz w:val="24"/>
                <w:szCs w:val="24"/>
                <w:lang w:val="en-US" w:eastAsia="zh-CN"/>
              </w:rPr>
              <w:t>4-3</w:t>
            </w:r>
            <w:r>
              <w:rPr>
                <w:rFonts w:hint="default" w:ascii="Times New Roman" w:hAnsi="Times New Roman" w:eastAsia="宋体" w:cs="Times New Roman"/>
                <w:b/>
                <w:color w:val="auto"/>
                <w:sz w:val="24"/>
                <w:szCs w:val="24"/>
                <w:lang w:eastAsia="zh-CN"/>
              </w:rPr>
              <w:t xml:space="preserve">  施工噪声对环境敏感目标影响预测结果      单位：dB（A）</w:t>
            </w:r>
          </w:p>
          <w:p>
            <w:pPr>
              <w:widowControl w:val="0"/>
              <w:adjustRightInd w:val="0"/>
              <w:spacing w:line="50" w:lineRule="exact"/>
              <w:ind w:firstLine="100"/>
              <w:rPr>
                <w:rFonts w:hint="default" w:ascii="Times New Roman" w:hAnsi="Times New Roman" w:cs="Times New Roman"/>
                <w:color w:val="auto"/>
                <w:sz w:val="5"/>
                <w:szCs w:val="5"/>
                <w:lang w:eastAsia="zh-CN"/>
              </w:rPr>
            </w:pPr>
            <w:r>
              <w:rPr>
                <w:rFonts w:hint="default" w:ascii="Times New Roman" w:hAnsi="Times New Roman" w:cs="Times New Roman"/>
                <w:color w:val="auto"/>
                <w:sz w:val="5"/>
                <w:szCs w:val="5"/>
                <w:lang w:eastAsia="zh-CN" w:bidi="ar"/>
              </w:rPr>
              <w:t xml:space="preserve"> </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7" w:type="dxa"/>
                <w:left w:w="51" w:type="dxa"/>
                <w:bottom w:w="17" w:type="dxa"/>
                <w:right w:w="51" w:type="dxa"/>
              </w:tblCellMar>
            </w:tblPr>
            <w:tblGrid>
              <w:gridCol w:w="2113"/>
              <w:gridCol w:w="2099"/>
              <w:gridCol w:w="1003"/>
              <w:gridCol w:w="1003"/>
              <w:gridCol w:w="15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51" w:type="dxa"/>
                  <w:bottom w:w="17" w:type="dxa"/>
                  <w:right w:w="51" w:type="dxa"/>
                </w:tblCellMar>
              </w:tblPrEx>
              <w:trPr>
                <w:trHeight w:val="23" w:hRule="atLeast"/>
                <w:jc w:val="center"/>
              </w:trPr>
              <w:tc>
                <w:tcPr>
                  <w:tcW w:w="135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名</w:t>
                  </w:r>
                  <w:r>
                    <w:rPr>
                      <w:rFonts w:hint="eastAsia" w:cs="Times New Roman"/>
                      <w:color w:val="auto"/>
                      <w:sz w:val="21"/>
                      <w:szCs w:val="21"/>
                      <w:highlight w:val="none"/>
                      <w:lang w:val="en-US" w:eastAsia="zh-CN" w:bidi="ar"/>
                    </w:rPr>
                    <w:t xml:space="preserve">  </w:t>
                  </w:r>
                  <w:r>
                    <w:rPr>
                      <w:rFonts w:hint="default" w:ascii="Times New Roman" w:hAnsi="Times New Roman" w:eastAsia="宋体" w:cs="Times New Roman"/>
                      <w:color w:val="auto"/>
                      <w:sz w:val="21"/>
                      <w:szCs w:val="21"/>
                      <w:highlight w:val="none"/>
                      <w:lang w:eastAsia="zh-CN" w:bidi="ar"/>
                    </w:rPr>
                    <w:t>称</w:t>
                  </w:r>
                </w:p>
              </w:tc>
              <w:tc>
                <w:tcPr>
                  <w:tcW w:w="134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方位及与本项目围墙的</w:t>
                  </w:r>
                  <w:r>
                    <w:rPr>
                      <w:rFonts w:hint="default" w:ascii="Times New Roman" w:hAnsi="Times New Roman" w:eastAsia="宋体" w:cs="Times New Roman"/>
                      <w:color w:val="auto"/>
                      <w:sz w:val="21"/>
                      <w:szCs w:val="21"/>
                      <w:highlight w:val="none"/>
                      <w:lang w:val="en-US" w:eastAsia="zh-CN" w:bidi="ar"/>
                    </w:rPr>
                    <w:t>最近</w:t>
                  </w:r>
                  <w:r>
                    <w:rPr>
                      <w:rFonts w:hint="default" w:ascii="Times New Roman" w:hAnsi="Times New Roman" w:eastAsia="宋体" w:cs="Times New Roman"/>
                      <w:color w:val="auto"/>
                      <w:sz w:val="21"/>
                      <w:szCs w:val="21"/>
                      <w:highlight w:val="none"/>
                      <w:lang w:eastAsia="zh-CN" w:bidi="ar"/>
                    </w:rPr>
                    <w:t>距离</w:t>
                  </w:r>
                </w:p>
              </w:tc>
              <w:tc>
                <w:tcPr>
                  <w:tcW w:w="64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贡献值</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（昼间）</w:t>
                  </w:r>
                </w:p>
              </w:tc>
              <w:tc>
                <w:tcPr>
                  <w:tcW w:w="64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背景值</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（昼间）</w:t>
                  </w:r>
                </w:p>
              </w:tc>
              <w:tc>
                <w:tcPr>
                  <w:tcW w:w="100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影响值</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（昼间）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51" w:type="dxa"/>
                  <w:bottom w:w="17" w:type="dxa"/>
                  <w:right w:w="51" w:type="dxa"/>
                </w:tblCellMar>
              </w:tblPrEx>
              <w:trPr>
                <w:trHeight w:val="609" w:hRule="atLeast"/>
                <w:jc w:val="center"/>
              </w:trPr>
              <w:tc>
                <w:tcPr>
                  <w:tcW w:w="135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eastAsia="zh-CN" w:bidi="ar"/>
                    </w:rPr>
                    <w:t>蒲吕街道沙心村民房</w:t>
                  </w:r>
                  <w:r>
                    <w:rPr>
                      <w:rFonts w:hint="eastAsia" w:ascii="Times New Roman" w:hAnsi="Times New Roman" w:eastAsia="宋体" w:cs="Times New Roman"/>
                      <w:color w:val="auto"/>
                      <w:sz w:val="21"/>
                      <w:szCs w:val="21"/>
                      <w:highlight w:val="none"/>
                      <w:lang w:val="en-US" w:eastAsia="zh-CN" w:bidi="ar"/>
                    </w:rPr>
                    <w:t>1</w:t>
                  </w:r>
                </w:p>
              </w:tc>
              <w:tc>
                <w:tcPr>
                  <w:tcW w:w="134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eastAsia="zh-CN" w:bidi="ar"/>
                    </w:rPr>
                    <w:t>西南侧约</w:t>
                  </w:r>
                  <w:r>
                    <w:rPr>
                      <w:rFonts w:hint="eastAsia" w:ascii="Times New Roman" w:hAnsi="Times New Roman" w:eastAsia="宋体" w:cs="Times New Roman"/>
                      <w:color w:val="auto"/>
                      <w:sz w:val="21"/>
                      <w:szCs w:val="21"/>
                      <w:highlight w:val="none"/>
                      <w:lang w:val="en-US" w:eastAsia="zh-CN" w:bidi="ar"/>
                    </w:rPr>
                    <w:t>10m</w:t>
                  </w:r>
                </w:p>
              </w:tc>
              <w:tc>
                <w:tcPr>
                  <w:tcW w:w="64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75</w:t>
                  </w:r>
                </w:p>
              </w:tc>
              <w:tc>
                <w:tcPr>
                  <w:tcW w:w="64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eastAsia="zh-CN" w:bidi="ar"/>
                    </w:rPr>
                    <w:t>4</w:t>
                  </w:r>
                  <w:r>
                    <w:rPr>
                      <w:rFonts w:hint="default" w:ascii="Times New Roman" w:hAnsi="Times New Roman" w:eastAsia="宋体" w:cs="Times New Roman"/>
                      <w:color w:val="auto"/>
                      <w:sz w:val="21"/>
                      <w:szCs w:val="21"/>
                      <w:highlight w:val="none"/>
                      <w:lang w:eastAsia="zh-CN" w:bidi="ar"/>
                    </w:rPr>
                    <w:t>8</w:t>
                  </w:r>
                </w:p>
              </w:tc>
              <w:tc>
                <w:tcPr>
                  <w:tcW w:w="100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51" w:type="dxa"/>
                  <w:bottom w:w="17" w:type="dxa"/>
                  <w:right w:w="51" w:type="dxa"/>
                </w:tblCellMar>
              </w:tblPrEx>
              <w:trPr>
                <w:trHeight w:val="363" w:hRule="atLeast"/>
                <w:jc w:val="center"/>
              </w:trPr>
              <w:tc>
                <w:tcPr>
                  <w:tcW w:w="135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eastAsia="zh-CN" w:bidi="ar"/>
                    </w:rPr>
                    <w:t>蒲吕街道沙心村民房</w:t>
                  </w:r>
                  <w:r>
                    <w:rPr>
                      <w:rFonts w:hint="eastAsia" w:ascii="Times New Roman" w:hAnsi="Times New Roman" w:eastAsia="宋体" w:cs="Times New Roman"/>
                      <w:color w:val="auto"/>
                      <w:sz w:val="21"/>
                      <w:szCs w:val="21"/>
                      <w:highlight w:val="none"/>
                      <w:lang w:val="en-US" w:eastAsia="zh-CN" w:bidi="ar"/>
                    </w:rPr>
                    <w:t>2</w:t>
                  </w:r>
                </w:p>
              </w:tc>
              <w:tc>
                <w:tcPr>
                  <w:tcW w:w="134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西北侧约</w:t>
                  </w:r>
                  <w:r>
                    <w:rPr>
                      <w:rFonts w:hint="eastAsia" w:ascii="Times New Roman" w:hAnsi="Times New Roman" w:eastAsia="宋体" w:cs="Times New Roman"/>
                      <w:color w:val="auto"/>
                      <w:sz w:val="21"/>
                      <w:szCs w:val="21"/>
                      <w:highlight w:val="none"/>
                      <w:lang w:val="en-US" w:eastAsia="zh-CN" w:bidi="ar"/>
                    </w:rPr>
                    <w:t>75m</w:t>
                  </w:r>
                </w:p>
              </w:tc>
              <w:tc>
                <w:tcPr>
                  <w:tcW w:w="64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57.5</w:t>
                  </w:r>
                </w:p>
              </w:tc>
              <w:tc>
                <w:tcPr>
                  <w:tcW w:w="64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eastAsia="zh-CN" w:bidi="ar"/>
                    </w:rPr>
                    <w:t>4</w:t>
                  </w:r>
                  <w:r>
                    <w:rPr>
                      <w:rFonts w:hint="default" w:ascii="Times New Roman" w:hAnsi="Times New Roman" w:eastAsia="宋体" w:cs="Times New Roman"/>
                      <w:color w:val="auto"/>
                      <w:sz w:val="21"/>
                      <w:szCs w:val="21"/>
                      <w:highlight w:val="none"/>
                      <w:lang w:eastAsia="zh-CN" w:bidi="ar"/>
                    </w:rPr>
                    <w:t>9</w:t>
                  </w:r>
                </w:p>
              </w:tc>
              <w:tc>
                <w:tcPr>
                  <w:tcW w:w="100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58.1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51" w:type="dxa"/>
                  <w:bottom w:w="17" w:type="dxa"/>
                  <w:right w:w="51" w:type="dxa"/>
                </w:tblCellMar>
              </w:tblPrEx>
              <w:trPr>
                <w:trHeight w:val="363" w:hRule="atLeast"/>
                <w:jc w:val="center"/>
              </w:trPr>
              <w:tc>
                <w:tcPr>
                  <w:tcW w:w="1358"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eastAsia="zh-CN" w:bidi="ar"/>
                    </w:rPr>
                    <w:t>蒲吕街道沙心村民房</w:t>
                  </w:r>
                  <w:r>
                    <w:rPr>
                      <w:rFonts w:hint="eastAsia" w:ascii="Times New Roman" w:hAnsi="Times New Roman" w:eastAsia="宋体" w:cs="Times New Roman"/>
                      <w:color w:val="auto"/>
                      <w:sz w:val="21"/>
                      <w:szCs w:val="21"/>
                      <w:highlight w:val="none"/>
                      <w:lang w:val="en-US" w:eastAsia="zh-CN" w:bidi="ar"/>
                    </w:rPr>
                    <w:t>3</w:t>
                  </w:r>
                </w:p>
              </w:tc>
              <w:tc>
                <w:tcPr>
                  <w:tcW w:w="134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东北侧约</w:t>
                  </w:r>
                  <w:r>
                    <w:rPr>
                      <w:rFonts w:hint="eastAsia" w:ascii="Times New Roman" w:hAnsi="Times New Roman" w:eastAsia="宋体" w:cs="Times New Roman"/>
                      <w:color w:val="auto"/>
                      <w:sz w:val="21"/>
                      <w:szCs w:val="21"/>
                      <w:highlight w:val="none"/>
                      <w:lang w:val="en-US" w:eastAsia="zh-CN" w:bidi="ar"/>
                    </w:rPr>
                    <w:t>70m</w:t>
                  </w:r>
                </w:p>
              </w:tc>
              <w:tc>
                <w:tcPr>
                  <w:tcW w:w="64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58</w:t>
                  </w:r>
                </w:p>
              </w:tc>
              <w:tc>
                <w:tcPr>
                  <w:tcW w:w="64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eastAsia="zh-CN" w:bidi="ar"/>
                    </w:rPr>
                    <w:t>4</w:t>
                  </w:r>
                  <w:r>
                    <w:rPr>
                      <w:rFonts w:hint="default" w:ascii="Times New Roman" w:hAnsi="Times New Roman" w:eastAsia="宋体" w:cs="Times New Roman"/>
                      <w:color w:val="auto"/>
                      <w:sz w:val="21"/>
                      <w:szCs w:val="21"/>
                      <w:highlight w:val="none"/>
                      <w:lang w:eastAsia="zh-CN" w:bidi="ar"/>
                    </w:rPr>
                    <w:t>8</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58.4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51" w:type="dxa"/>
                  <w:bottom w:w="17" w:type="dxa"/>
                  <w:right w:w="51" w:type="dxa"/>
                </w:tblCellMar>
              </w:tblPrEx>
              <w:trPr>
                <w:trHeight w:val="363" w:hRule="atLeast"/>
                <w:jc w:val="center"/>
              </w:trPr>
              <w:tc>
                <w:tcPr>
                  <w:tcW w:w="1358"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eastAsia="zh-CN" w:bidi="ar"/>
                    </w:rPr>
                    <w:t>蒲吕街道沙心村民房</w:t>
                  </w:r>
                  <w:r>
                    <w:rPr>
                      <w:rFonts w:hint="eastAsia" w:ascii="Times New Roman" w:hAnsi="Times New Roman" w:eastAsia="宋体" w:cs="Times New Roman"/>
                      <w:color w:val="auto"/>
                      <w:sz w:val="21"/>
                      <w:szCs w:val="21"/>
                      <w:highlight w:val="none"/>
                      <w:lang w:val="en-US" w:eastAsia="zh-CN" w:bidi="ar"/>
                    </w:rPr>
                    <w:t>4</w:t>
                  </w:r>
                </w:p>
              </w:tc>
              <w:tc>
                <w:tcPr>
                  <w:tcW w:w="134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东南侧约</w:t>
                  </w:r>
                  <w:r>
                    <w:rPr>
                      <w:rFonts w:hint="eastAsia" w:ascii="Times New Roman" w:hAnsi="Times New Roman" w:eastAsia="宋体" w:cs="Times New Roman"/>
                      <w:color w:val="auto"/>
                      <w:sz w:val="21"/>
                      <w:szCs w:val="21"/>
                      <w:highlight w:val="none"/>
                      <w:lang w:val="en-US" w:eastAsia="zh-CN" w:bidi="ar"/>
                    </w:rPr>
                    <w:t>130m</w:t>
                  </w:r>
                </w:p>
              </w:tc>
              <w:tc>
                <w:tcPr>
                  <w:tcW w:w="64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52.6</w:t>
                  </w:r>
                </w:p>
              </w:tc>
              <w:tc>
                <w:tcPr>
                  <w:tcW w:w="64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eastAsia="zh-CN" w:bidi="ar"/>
                    </w:rPr>
                    <w:t>4</w:t>
                  </w:r>
                  <w:r>
                    <w:rPr>
                      <w:rFonts w:hint="default" w:ascii="Times New Roman" w:hAnsi="Times New Roman" w:eastAsia="宋体" w:cs="Times New Roman"/>
                      <w:color w:val="auto"/>
                      <w:sz w:val="21"/>
                      <w:szCs w:val="21"/>
                      <w:highlight w:val="none"/>
                      <w:lang w:eastAsia="zh-CN" w:bidi="ar"/>
                    </w:rPr>
                    <w:t>8</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53.9</w:t>
                  </w:r>
                </w:p>
              </w:tc>
            </w:tr>
          </w:tbl>
          <w:p>
            <w:pPr>
              <w:pStyle w:val="13"/>
              <w:adjustRightInd w:val="0"/>
              <w:snapToGrid w:val="0"/>
              <w:spacing w:line="360" w:lineRule="auto"/>
              <w:ind w:firstLine="480" w:firstLineChars="200"/>
              <w:rPr>
                <w:rFonts w:ascii="Times New Roman" w:hAnsi="Times New Roman"/>
                <w:color w:val="auto"/>
                <w:kern w:val="0"/>
                <w:sz w:val="24"/>
                <w:szCs w:val="24"/>
                <w:highlight w:val="none"/>
              </w:rPr>
            </w:pPr>
            <w:r>
              <w:rPr>
                <w:rFonts w:hint="default" w:ascii="Times New Roman" w:hAnsi="Times New Roman" w:cs="Times New Roman"/>
                <w:color w:val="auto"/>
                <w:kern w:val="0"/>
                <w:sz w:val="24"/>
                <w:szCs w:val="21"/>
              </w:rPr>
              <w:t>从上表可知，拟建项目变电站昼间施工噪声对周围近处的声环境敏感目标有一定影响。</w:t>
            </w:r>
            <w:r>
              <w:rPr>
                <w:rFonts w:hint="eastAsia" w:ascii="Times New Roman" w:hAnsi="Times New Roman"/>
                <w:color w:val="auto"/>
                <w:kern w:val="0"/>
                <w:sz w:val="24"/>
                <w:szCs w:val="24"/>
                <w:highlight w:val="none"/>
              </w:rPr>
              <w:t>施工期间施工单位必须严格遵守《重庆市环境噪声污染防治办法》等要求，采取以下噪声污染防治措施：</w:t>
            </w:r>
          </w:p>
          <w:p>
            <w:pPr>
              <w:pStyle w:val="13"/>
              <w:adjustRightInd w:val="0"/>
              <w:snapToGrid w:val="0"/>
              <w:spacing w:line="360" w:lineRule="auto"/>
              <w:ind w:firstLine="480" w:firstLineChars="200"/>
              <w:rPr>
                <w:rFonts w:ascii="Times New Roman" w:hAnsi="Times New Roman"/>
                <w:color w:val="auto"/>
                <w:kern w:val="0"/>
                <w:sz w:val="24"/>
                <w:szCs w:val="24"/>
                <w:highlight w:val="none"/>
              </w:rPr>
            </w:pPr>
            <w:r>
              <w:rPr>
                <w:rFonts w:hint="eastAsia" w:ascii="Times New Roman" w:hAnsi="Times New Roman"/>
                <w:color w:val="auto"/>
                <w:kern w:val="0"/>
                <w:sz w:val="24"/>
                <w:szCs w:val="24"/>
                <w:highlight w:val="none"/>
              </w:rPr>
              <w:t>（</w:t>
            </w:r>
            <w:r>
              <w:rPr>
                <w:rFonts w:ascii="Times New Roman" w:hAnsi="Times New Roman"/>
                <w:color w:val="auto"/>
                <w:kern w:val="0"/>
                <w:sz w:val="24"/>
                <w:szCs w:val="24"/>
                <w:highlight w:val="none"/>
              </w:rPr>
              <w:t>1</w:t>
            </w:r>
            <w:r>
              <w:rPr>
                <w:rFonts w:hint="eastAsia" w:ascii="Times New Roman" w:hAnsi="Times New Roman"/>
                <w:color w:val="auto"/>
                <w:kern w:val="0"/>
                <w:sz w:val="24"/>
                <w:szCs w:val="24"/>
                <w:highlight w:val="none"/>
              </w:rPr>
              <w:t>）尽量选用低噪声的施工设备，运输材料的车辆进入施工现场严禁鸣笛，装卸材料时应做到轻拿轻放。</w:t>
            </w:r>
          </w:p>
          <w:p>
            <w:pPr>
              <w:pStyle w:val="13"/>
              <w:adjustRightInd w:val="0"/>
              <w:snapToGrid w:val="0"/>
              <w:spacing w:line="360" w:lineRule="auto"/>
              <w:ind w:firstLine="480" w:firstLineChars="200"/>
              <w:rPr>
                <w:rFonts w:ascii="Times New Roman" w:hAnsi="Times New Roman"/>
                <w:color w:val="auto"/>
                <w:kern w:val="0"/>
                <w:sz w:val="24"/>
                <w:szCs w:val="24"/>
                <w:highlight w:val="none"/>
              </w:rPr>
            </w:pPr>
            <w:r>
              <w:rPr>
                <w:rFonts w:hint="eastAsia" w:ascii="Times New Roman" w:hAnsi="Times New Roman"/>
                <w:color w:val="auto"/>
                <w:kern w:val="0"/>
                <w:sz w:val="24"/>
                <w:szCs w:val="24"/>
                <w:highlight w:val="none"/>
              </w:rPr>
              <w:t>（</w:t>
            </w:r>
            <w:r>
              <w:rPr>
                <w:rFonts w:ascii="Times New Roman" w:hAnsi="Times New Roman"/>
                <w:color w:val="auto"/>
                <w:kern w:val="0"/>
                <w:sz w:val="24"/>
                <w:szCs w:val="24"/>
                <w:highlight w:val="none"/>
              </w:rPr>
              <w:t>2</w:t>
            </w:r>
            <w:r>
              <w:rPr>
                <w:rFonts w:hint="eastAsia" w:ascii="Times New Roman" w:hAnsi="Times New Roman"/>
                <w:color w:val="auto"/>
                <w:kern w:val="0"/>
                <w:sz w:val="24"/>
                <w:szCs w:val="24"/>
                <w:highlight w:val="none"/>
              </w:rPr>
              <w:t>）合理安排施工时间，尽量避免夜间施工。将可能产生强噪声的施工作业安排在白天工作时段（</w:t>
            </w:r>
            <w:r>
              <w:rPr>
                <w:rFonts w:ascii="Times New Roman" w:hAnsi="Times New Roman"/>
                <w:color w:val="auto"/>
                <w:kern w:val="0"/>
                <w:sz w:val="24"/>
                <w:szCs w:val="24"/>
                <w:highlight w:val="none"/>
              </w:rPr>
              <w:t>06</w:t>
            </w:r>
            <w:r>
              <w:rPr>
                <w:rFonts w:hint="eastAsia" w:ascii="Times New Roman" w:hAnsi="Times New Roman"/>
                <w:color w:val="auto"/>
                <w:kern w:val="0"/>
                <w:sz w:val="24"/>
                <w:szCs w:val="24"/>
                <w:highlight w:val="none"/>
              </w:rPr>
              <w:t>：</w:t>
            </w:r>
            <w:r>
              <w:rPr>
                <w:rFonts w:ascii="Times New Roman" w:hAnsi="Times New Roman"/>
                <w:color w:val="auto"/>
                <w:kern w:val="0"/>
                <w:sz w:val="24"/>
                <w:szCs w:val="24"/>
                <w:highlight w:val="none"/>
              </w:rPr>
              <w:t>00</w:t>
            </w:r>
            <w:r>
              <w:rPr>
                <w:rFonts w:hint="eastAsia" w:ascii="Times New Roman" w:hAnsi="Times New Roman"/>
                <w:color w:val="auto"/>
                <w:kern w:val="0"/>
                <w:sz w:val="24"/>
                <w:szCs w:val="24"/>
                <w:highlight w:val="none"/>
              </w:rPr>
              <w:t>～</w:t>
            </w:r>
            <w:r>
              <w:rPr>
                <w:rFonts w:ascii="Times New Roman" w:hAnsi="Times New Roman"/>
                <w:color w:val="auto"/>
                <w:kern w:val="0"/>
                <w:sz w:val="24"/>
                <w:szCs w:val="24"/>
                <w:highlight w:val="none"/>
              </w:rPr>
              <w:t>18</w:t>
            </w:r>
            <w:r>
              <w:rPr>
                <w:rFonts w:hint="eastAsia" w:ascii="Times New Roman" w:hAnsi="Times New Roman"/>
                <w:color w:val="auto"/>
                <w:kern w:val="0"/>
                <w:sz w:val="24"/>
                <w:szCs w:val="24"/>
                <w:highlight w:val="none"/>
              </w:rPr>
              <w:t>：</w:t>
            </w:r>
            <w:r>
              <w:rPr>
                <w:rFonts w:ascii="Times New Roman" w:hAnsi="Times New Roman"/>
                <w:color w:val="auto"/>
                <w:kern w:val="0"/>
                <w:sz w:val="24"/>
                <w:szCs w:val="24"/>
                <w:highlight w:val="none"/>
              </w:rPr>
              <w:t>00</w:t>
            </w:r>
            <w:r>
              <w:rPr>
                <w:rFonts w:hint="eastAsia" w:ascii="Times New Roman" w:hAnsi="Times New Roman"/>
                <w:color w:val="auto"/>
                <w:kern w:val="0"/>
                <w:sz w:val="24"/>
                <w:szCs w:val="24"/>
                <w:highlight w:val="none"/>
              </w:rPr>
              <w:t>）。如因工艺特殊情况要求，需在夜间施工而产生环境噪声污染时，应按《重庆市环境噪声污染防治办法》的规定，施工单位应当于夜间施工前</w:t>
            </w:r>
            <w:r>
              <w:rPr>
                <w:rFonts w:ascii="Times New Roman" w:hAnsi="Times New Roman"/>
                <w:color w:val="auto"/>
                <w:kern w:val="0"/>
                <w:sz w:val="24"/>
                <w:szCs w:val="24"/>
                <w:highlight w:val="none"/>
              </w:rPr>
              <w:t>4</w:t>
            </w:r>
            <w:r>
              <w:rPr>
                <w:rFonts w:hint="eastAsia" w:ascii="Times New Roman" w:hAnsi="Times New Roman"/>
                <w:color w:val="auto"/>
                <w:kern w:val="0"/>
                <w:sz w:val="24"/>
                <w:szCs w:val="24"/>
                <w:highlight w:val="none"/>
              </w:rPr>
              <w:t>日按照有关法律法规的规定报批，同时取得建设主管部门出具证明，在夜间施工前</w:t>
            </w:r>
            <w:r>
              <w:rPr>
                <w:rFonts w:ascii="Times New Roman" w:hAnsi="Times New Roman"/>
                <w:color w:val="auto"/>
                <w:kern w:val="0"/>
                <w:sz w:val="24"/>
                <w:szCs w:val="24"/>
                <w:highlight w:val="none"/>
              </w:rPr>
              <w:t>1</w:t>
            </w:r>
            <w:r>
              <w:rPr>
                <w:rFonts w:hint="eastAsia" w:ascii="Times New Roman" w:hAnsi="Times New Roman"/>
                <w:color w:val="auto"/>
                <w:kern w:val="0"/>
                <w:sz w:val="24"/>
                <w:szCs w:val="24"/>
                <w:highlight w:val="none"/>
              </w:rPr>
              <w:t>日在施工现场公告附近居民。除抢修、抢险作业外，禁止高考、中考前</w:t>
            </w:r>
            <w:r>
              <w:rPr>
                <w:rFonts w:ascii="Times New Roman" w:hAnsi="Times New Roman"/>
                <w:color w:val="auto"/>
                <w:kern w:val="0"/>
                <w:sz w:val="24"/>
                <w:szCs w:val="24"/>
                <w:highlight w:val="none"/>
              </w:rPr>
              <w:t>15</w:t>
            </w:r>
            <w:r>
              <w:rPr>
                <w:rFonts w:hint="eastAsia" w:ascii="Times New Roman" w:hAnsi="Times New Roman"/>
                <w:color w:val="auto"/>
                <w:kern w:val="0"/>
                <w:sz w:val="24"/>
                <w:szCs w:val="24"/>
                <w:highlight w:val="none"/>
              </w:rPr>
              <w:t>日内以及高考、中考期间在噪声敏感建筑物集中区域进行排放噪声污染的夜间施工作业，禁止高考、中考期间在考场周围</w:t>
            </w:r>
            <w:r>
              <w:rPr>
                <w:rFonts w:ascii="Times New Roman" w:hAnsi="Times New Roman"/>
                <w:color w:val="auto"/>
                <w:kern w:val="0"/>
                <w:sz w:val="24"/>
                <w:szCs w:val="24"/>
                <w:highlight w:val="none"/>
              </w:rPr>
              <w:t>100</w:t>
            </w:r>
            <w:r>
              <w:rPr>
                <w:rFonts w:hint="eastAsia" w:ascii="Times New Roman" w:hAnsi="Times New Roman"/>
                <w:color w:val="auto"/>
                <w:kern w:val="0"/>
                <w:sz w:val="24"/>
                <w:szCs w:val="24"/>
                <w:highlight w:val="none"/>
              </w:rPr>
              <w:t>米区域内进行产生环境噪声污染的施工作业。</w:t>
            </w:r>
          </w:p>
          <w:p>
            <w:pPr>
              <w:pStyle w:val="13"/>
              <w:adjustRightInd w:val="0"/>
              <w:snapToGrid w:val="0"/>
              <w:spacing w:line="360" w:lineRule="auto"/>
              <w:ind w:firstLine="480" w:firstLineChars="200"/>
              <w:rPr>
                <w:rFonts w:ascii="Times New Roman" w:hAnsi="Times New Roman"/>
                <w:color w:val="auto"/>
                <w:kern w:val="0"/>
                <w:sz w:val="24"/>
                <w:szCs w:val="24"/>
                <w:highlight w:val="none"/>
              </w:rPr>
            </w:pPr>
            <w:r>
              <w:rPr>
                <w:rFonts w:hint="eastAsia" w:ascii="Times New Roman" w:hAnsi="Times New Roman"/>
                <w:color w:val="auto"/>
                <w:kern w:val="0"/>
                <w:sz w:val="24"/>
                <w:szCs w:val="24"/>
                <w:highlight w:val="none"/>
              </w:rPr>
              <w:t>（</w:t>
            </w:r>
            <w:r>
              <w:rPr>
                <w:rFonts w:ascii="Times New Roman" w:hAnsi="Times New Roman"/>
                <w:color w:val="auto"/>
                <w:kern w:val="0"/>
                <w:sz w:val="24"/>
                <w:szCs w:val="24"/>
                <w:highlight w:val="none"/>
              </w:rPr>
              <w:t>3</w:t>
            </w:r>
            <w:r>
              <w:rPr>
                <w:rFonts w:hint="eastAsia" w:ascii="Times New Roman" w:hAnsi="Times New Roman"/>
                <w:color w:val="auto"/>
                <w:kern w:val="0"/>
                <w:sz w:val="24"/>
                <w:szCs w:val="24"/>
                <w:highlight w:val="none"/>
              </w:rPr>
              <w:t>）合理布置高噪声施工机械，采用噪声水平满足国家相应标准的施工机械设备或带隔声、消声的设备，控制设备噪声源强。</w:t>
            </w:r>
          </w:p>
          <w:p>
            <w:pPr>
              <w:pStyle w:val="13"/>
              <w:adjustRightInd w:val="0"/>
              <w:snapToGrid w:val="0"/>
              <w:spacing w:line="360" w:lineRule="auto"/>
              <w:ind w:firstLine="480" w:firstLineChars="200"/>
              <w:rPr>
                <w:rFonts w:ascii="Times New Roman" w:hAnsi="Times New Roman"/>
                <w:color w:val="auto"/>
                <w:kern w:val="0"/>
                <w:sz w:val="24"/>
                <w:szCs w:val="24"/>
                <w:highlight w:val="none"/>
              </w:rPr>
            </w:pPr>
            <w:r>
              <w:rPr>
                <w:rFonts w:hint="eastAsia" w:ascii="Times New Roman" w:hAnsi="Times New Roman"/>
                <w:color w:val="auto"/>
                <w:kern w:val="0"/>
                <w:sz w:val="24"/>
                <w:szCs w:val="24"/>
                <w:highlight w:val="none"/>
              </w:rPr>
              <w:t>（</w:t>
            </w:r>
            <w:r>
              <w:rPr>
                <w:rFonts w:ascii="Times New Roman" w:hAnsi="Times New Roman"/>
                <w:color w:val="auto"/>
                <w:kern w:val="0"/>
                <w:sz w:val="24"/>
                <w:szCs w:val="24"/>
                <w:highlight w:val="none"/>
              </w:rPr>
              <w:t>4</w:t>
            </w:r>
            <w:r>
              <w:rPr>
                <w:rFonts w:hint="eastAsia" w:ascii="Times New Roman" w:hAnsi="Times New Roman"/>
                <w:color w:val="auto"/>
                <w:kern w:val="0"/>
                <w:sz w:val="24"/>
                <w:szCs w:val="24"/>
                <w:highlight w:val="none"/>
              </w:rPr>
              <w:t>）加强施工机械的维修保养，避免由于设备性能差而使机械噪声增大现象发生。</w:t>
            </w:r>
          </w:p>
          <w:p>
            <w:pPr>
              <w:pStyle w:val="13"/>
              <w:adjustRightInd w:val="0"/>
              <w:snapToGrid w:val="0"/>
              <w:spacing w:line="360" w:lineRule="auto"/>
              <w:ind w:firstLine="480" w:firstLineChars="200"/>
              <w:rPr>
                <w:rFonts w:ascii="Times New Roman" w:hAnsi="Times New Roman"/>
                <w:color w:val="auto"/>
                <w:kern w:val="0"/>
                <w:sz w:val="24"/>
                <w:szCs w:val="24"/>
                <w:highlight w:val="none"/>
              </w:rPr>
            </w:pPr>
            <w:r>
              <w:rPr>
                <w:rFonts w:hint="eastAsia" w:ascii="Times New Roman" w:hAnsi="Times New Roman"/>
                <w:color w:val="auto"/>
                <w:kern w:val="0"/>
                <w:sz w:val="24"/>
                <w:szCs w:val="24"/>
                <w:highlight w:val="none"/>
              </w:rPr>
              <w:t>通过以上控制措施后，施工期产生的噪声对项目所在地声环境影响可接受。</w:t>
            </w:r>
          </w:p>
          <w:p>
            <w:pPr>
              <w:adjustRightInd w:val="0"/>
              <w:snapToGrid w:val="0"/>
              <w:spacing w:line="360" w:lineRule="auto"/>
              <w:jc w:val="left"/>
              <w:rPr>
                <w:b/>
                <w:bCs/>
                <w:color w:val="auto"/>
                <w:sz w:val="24"/>
                <w:highlight w:val="none"/>
              </w:rPr>
            </w:pPr>
            <w:r>
              <w:rPr>
                <w:b/>
                <w:bCs/>
                <w:color w:val="auto"/>
                <w:sz w:val="24"/>
                <w:highlight w:val="none"/>
              </w:rPr>
              <w:t xml:space="preserve">4.4 </w:t>
            </w:r>
            <w:r>
              <w:rPr>
                <w:rFonts w:hint="eastAsia"/>
                <w:b/>
                <w:bCs/>
                <w:color w:val="auto"/>
                <w:sz w:val="24"/>
                <w:highlight w:val="none"/>
              </w:rPr>
              <w:t>固体废弃物</w:t>
            </w:r>
          </w:p>
          <w:p>
            <w:pPr>
              <w:pStyle w:val="13"/>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snapToGrid w:val="0"/>
                <w:color w:val="auto"/>
                <w:kern w:val="0"/>
                <w:sz w:val="24"/>
                <w:szCs w:val="24"/>
                <w:highlight w:val="none"/>
              </w:rPr>
              <w:t>本项目变电站挖方为</w:t>
            </w:r>
            <w:r>
              <w:rPr>
                <w:rFonts w:hint="default" w:ascii="Times New Roman" w:hAnsi="Times New Roman" w:cs="Times New Roman"/>
                <w:color w:val="auto"/>
                <w:sz w:val="24"/>
                <w:szCs w:val="24"/>
                <w:highlight w:val="none"/>
                <w:lang w:val="en-US" w:eastAsia="zh-CN"/>
              </w:rPr>
              <w:t>5015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，填方</w:t>
            </w:r>
            <w:r>
              <w:rPr>
                <w:rFonts w:hint="default" w:ascii="Times New Roman" w:hAnsi="Times New Roman" w:cs="Times New Roman"/>
                <w:color w:val="auto"/>
                <w:sz w:val="24"/>
                <w:szCs w:val="24"/>
                <w:highlight w:val="none"/>
                <w:lang w:val="en-US" w:eastAsia="zh-CN"/>
              </w:rPr>
              <w:t>3215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弃方</w:t>
            </w:r>
            <w:r>
              <w:rPr>
                <w:rFonts w:hint="default" w:ascii="Times New Roman" w:hAnsi="Times New Roman" w:cs="Times New Roman"/>
                <w:color w:val="auto"/>
                <w:sz w:val="24"/>
                <w:szCs w:val="24"/>
                <w:highlight w:val="none"/>
                <w:lang w:val="en-US" w:eastAsia="zh-CN"/>
              </w:rPr>
              <w:t>1800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1"/>
                <w:lang w:eastAsia="zh-CN"/>
              </w:rPr>
              <w:t>堆放在变电站用地红线内，弃方及时清运至合法渣场处置，不需另设</w:t>
            </w:r>
            <w:r>
              <w:rPr>
                <w:rFonts w:hint="eastAsia" w:ascii="Times New Roman" w:hAnsi="Times New Roman" w:eastAsia="宋体" w:cs="Times New Roman"/>
                <w:color w:val="auto"/>
                <w:kern w:val="0"/>
                <w:sz w:val="24"/>
                <w:szCs w:val="21"/>
                <w:lang w:val="en-US" w:eastAsia="zh-CN"/>
              </w:rPr>
              <w:t>取</w:t>
            </w:r>
            <w:r>
              <w:rPr>
                <w:rFonts w:hint="default" w:ascii="Times New Roman" w:hAnsi="Times New Roman" w:eastAsia="宋体" w:cs="Times New Roman"/>
                <w:color w:val="auto"/>
                <w:kern w:val="0"/>
                <w:sz w:val="24"/>
                <w:szCs w:val="21"/>
                <w:lang w:eastAsia="zh-CN"/>
              </w:rPr>
              <w:t>弃土场</w:t>
            </w:r>
            <w:r>
              <w:rPr>
                <w:rFonts w:hint="eastAsia" w:ascii="Times New Roman" w:hAnsi="Times New Roman" w:cs="Times New Roman"/>
                <w:color w:val="auto"/>
                <w:kern w:val="0"/>
                <w:sz w:val="24"/>
                <w:szCs w:val="21"/>
                <w:lang w:eastAsia="zh-CN"/>
              </w:rPr>
              <w:t>；</w:t>
            </w:r>
            <w:r>
              <w:rPr>
                <w:rFonts w:hint="eastAsia" w:ascii="Times New Roman" w:hAnsi="Times New Roman" w:cs="Times New Roman"/>
                <w:color w:val="auto"/>
                <w:kern w:val="24"/>
                <w:sz w:val="24"/>
                <w:szCs w:val="24"/>
                <w:highlight w:val="none"/>
                <w:lang w:val="it-IT" w:eastAsia="zh-CN"/>
              </w:rPr>
              <w:t>原乡道拆除时产生建筑垃圾约</w:t>
            </w:r>
            <w:r>
              <w:rPr>
                <w:rFonts w:hint="eastAsia" w:ascii="Times New Roman" w:hAnsi="Times New Roman" w:cs="Times New Roman"/>
                <w:color w:val="auto"/>
                <w:kern w:val="24"/>
                <w:sz w:val="24"/>
                <w:szCs w:val="24"/>
                <w:highlight w:val="none"/>
                <w:lang w:val="en-US" w:eastAsia="zh-CN"/>
              </w:rPr>
              <w:t>1600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eastAsia" w:ascii="Times New Roman" w:hAnsi="Times New Roman" w:cs="Times New Roman"/>
                <w:color w:val="auto"/>
                <w:kern w:val="24"/>
                <w:sz w:val="24"/>
                <w:szCs w:val="24"/>
                <w:highlight w:val="none"/>
                <w:lang w:val="en-US" w:eastAsia="zh-CN"/>
              </w:rPr>
              <w:t>，</w:t>
            </w:r>
            <w:r>
              <w:rPr>
                <w:rFonts w:hint="default" w:ascii="Times New Roman" w:hAnsi="Times New Roman" w:cs="Times New Roman"/>
                <w:color w:val="auto"/>
                <w:sz w:val="24"/>
                <w:szCs w:val="24"/>
                <w:highlight w:val="none"/>
              </w:rPr>
              <w:t>运至附近合法渣场处置</w:t>
            </w:r>
            <w:r>
              <w:rPr>
                <w:rFonts w:hint="default" w:ascii="Times New Roman" w:hAnsi="Times New Roman" w:cs="Times New Roman"/>
                <w:color w:val="auto"/>
                <w:sz w:val="24"/>
                <w:szCs w:val="24"/>
                <w:highlight w:val="none"/>
                <w:lang w:val="en-US" w:eastAsia="zh-CN"/>
              </w:rPr>
              <w:t>。线路挖方、填方均为570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val="en-US" w:eastAsia="zh-CN"/>
              </w:rPr>
              <w:t>，挖填平衡。</w:t>
            </w:r>
            <w:r>
              <w:rPr>
                <w:rFonts w:hint="default" w:ascii="Times New Roman" w:hAnsi="Times New Roman" w:cs="Times New Roman"/>
                <w:color w:val="auto"/>
                <w:sz w:val="24"/>
                <w:szCs w:val="24"/>
                <w:highlight w:val="none"/>
              </w:rPr>
              <w:t>项目架空线路开挖土石方在塔基施工结束后在塔基周围，一般回填或就近于低</w:t>
            </w:r>
            <w:r>
              <w:rPr>
                <w:rFonts w:hint="default" w:ascii="Times New Roman" w:hAnsi="Times New Roman" w:cs="Times New Roman"/>
                <w:color w:val="auto"/>
                <w:kern w:val="24"/>
                <w:sz w:val="24"/>
                <w:szCs w:val="24"/>
                <w:highlight w:val="none"/>
                <w:lang w:val="it-IT"/>
              </w:rPr>
              <w:t>洼处夯实</w:t>
            </w:r>
            <w:r>
              <w:rPr>
                <w:rFonts w:hint="default" w:ascii="Times New Roman" w:hAnsi="Times New Roman" w:cs="Times New Roman"/>
                <w:color w:val="auto"/>
                <w:sz w:val="24"/>
                <w:szCs w:val="24"/>
                <w:highlight w:val="none"/>
              </w:rPr>
              <w:t>，无法回填的石方及少量钻渣、泥浆经干化后运至附近合法渣场处置</w:t>
            </w:r>
            <w:r>
              <w:rPr>
                <w:rFonts w:hint="default" w:ascii="Times New Roman" w:hAnsi="Times New Roman" w:cs="Times New Roman"/>
                <w:color w:val="auto"/>
                <w:kern w:val="24"/>
                <w:sz w:val="24"/>
                <w:szCs w:val="24"/>
                <w:highlight w:val="none"/>
                <w:lang w:val="it-IT"/>
              </w:rPr>
              <w:t>。</w:t>
            </w:r>
            <w:r>
              <w:rPr>
                <w:rFonts w:hint="default" w:ascii="Times New Roman" w:hAnsi="Times New Roman" w:cs="Times New Roman"/>
                <w:color w:val="auto"/>
                <w:kern w:val="0"/>
                <w:sz w:val="24"/>
                <w:szCs w:val="24"/>
                <w:highlight w:val="none"/>
              </w:rPr>
              <w:t>施工期产生的施工人员生活垃圾，利用附近已有公共环卫设施收集，由当地环卫部门定期进行转移处理。</w:t>
            </w:r>
          </w:p>
          <w:p>
            <w:pPr>
              <w:adjustRightInd w:val="0"/>
              <w:snapToGrid w:val="0"/>
              <w:spacing w:line="360" w:lineRule="auto"/>
              <w:jc w:val="left"/>
              <w:rPr>
                <w:b/>
                <w:bCs/>
                <w:color w:val="auto"/>
                <w:sz w:val="24"/>
                <w:highlight w:val="none"/>
              </w:rPr>
            </w:pPr>
            <w:r>
              <w:rPr>
                <w:b/>
                <w:bCs/>
                <w:color w:val="auto"/>
                <w:sz w:val="24"/>
                <w:highlight w:val="none"/>
              </w:rPr>
              <w:t>4.5</w:t>
            </w:r>
            <w:r>
              <w:rPr>
                <w:rFonts w:hint="eastAsia"/>
                <w:b/>
                <w:bCs/>
                <w:color w:val="auto"/>
                <w:sz w:val="24"/>
                <w:highlight w:val="none"/>
              </w:rPr>
              <w:t>施工期生态环境影响分析</w:t>
            </w:r>
          </w:p>
          <w:p>
            <w:pPr>
              <w:topLinePunct/>
              <w:autoSpaceDE w:val="0"/>
              <w:autoSpaceDN w:val="0"/>
              <w:adjustRightInd w:val="0"/>
              <w:snapToGrid w:val="0"/>
              <w:spacing w:line="360" w:lineRule="auto"/>
              <w:ind w:firstLine="482"/>
              <w:rPr>
                <w:rFonts w:ascii="Times New Roman" w:hAnsi="Times New Roman"/>
                <w:b/>
                <w:bCs/>
                <w:color w:val="auto"/>
                <w:sz w:val="24"/>
                <w:highlight w:val="none"/>
              </w:rPr>
            </w:pPr>
            <w:r>
              <w:rPr>
                <w:rFonts w:ascii="Times New Roman" w:hAnsi="Times New Roman"/>
                <w:b/>
                <w:bCs/>
                <w:color w:val="auto"/>
                <w:sz w:val="24"/>
                <w:highlight w:val="none"/>
              </w:rPr>
              <w:t>（1）对占地的影响</w:t>
            </w:r>
          </w:p>
          <w:p>
            <w:pPr>
              <w:adjustRightInd w:val="0"/>
              <w:snapToGrid w:val="0"/>
              <w:spacing w:line="360" w:lineRule="auto"/>
              <w:ind w:firstLine="480" w:firstLineChars="200"/>
              <w:rPr>
                <w:rFonts w:hint="eastAsia" w:ascii="Times New Roman" w:hAnsi="Times New Roman" w:eastAsia="宋体"/>
                <w:color w:val="auto"/>
                <w:sz w:val="24"/>
                <w:highlight w:val="none"/>
                <w:lang w:eastAsia="zh-CN"/>
              </w:rPr>
            </w:pPr>
            <w:r>
              <w:rPr>
                <w:rFonts w:hint="eastAsia"/>
                <w:color w:val="auto"/>
                <w:sz w:val="24"/>
                <w:highlight w:val="none"/>
                <w:lang w:eastAsia="zh-CN"/>
              </w:rPr>
              <w:t>拟建项目永久</w:t>
            </w:r>
            <w:r>
              <w:rPr>
                <w:rFonts w:hint="eastAsia"/>
                <w:color w:val="auto"/>
                <w:sz w:val="24"/>
                <w:highlight w:val="none"/>
              </w:rPr>
              <w:t>占地面积约</w:t>
            </w:r>
            <w:r>
              <w:rPr>
                <w:rFonts w:hint="eastAsia"/>
                <w:color w:val="auto"/>
                <w:sz w:val="24"/>
                <w:highlight w:val="none"/>
                <w:lang w:val="en-US" w:eastAsia="zh-CN"/>
              </w:rPr>
              <w:t>7875</w:t>
            </w:r>
            <w:r>
              <w:rPr>
                <w:color w:val="auto"/>
                <w:sz w:val="24"/>
                <w:highlight w:val="none"/>
              </w:rPr>
              <w:t>m</w:t>
            </w:r>
            <w:r>
              <w:rPr>
                <w:color w:val="auto"/>
                <w:sz w:val="24"/>
                <w:highlight w:val="none"/>
                <w:vertAlign w:val="superscript"/>
              </w:rPr>
              <w:t>2</w:t>
            </w:r>
            <w:r>
              <w:rPr>
                <w:rFonts w:hint="eastAsia"/>
                <w:color w:val="auto"/>
                <w:sz w:val="24"/>
                <w:highlight w:val="none"/>
              </w:rPr>
              <w:t>，其中</w:t>
            </w:r>
            <w:r>
              <w:rPr>
                <w:rFonts w:hint="eastAsia"/>
                <w:color w:val="auto"/>
                <w:sz w:val="24"/>
                <w:highlight w:val="none"/>
                <w:lang w:val="en-US" w:eastAsia="zh-CN"/>
              </w:rPr>
              <w:t>110kV淮阳变电站永及占地约7025</w:t>
            </w:r>
            <w:r>
              <w:rPr>
                <w:color w:val="auto"/>
                <w:sz w:val="24"/>
                <w:highlight w:val="none"/>
              </w:rPr>
              <w:t>m</w:t>
            </w:r>
            <w:r>
              <w:rPr>
                <w:color w:val="auto"/>
                <w:sz w:val="24"/>
                <w:highlight w:val="none"/>
                <w:vertAlign w:val="superscript"/>
              </w:rPr>
              <w:t>2</w:t>
            </w:r>
            <w:r>
              <w:rPr>
                <w:rFonts w:hint="eastAsia"/>
                <w:color w:val="auto"/>
                <w:sz w:val="24"/>
                <w:highlight w:val="none"/>
              </w:rPr>
              <w:t>，铁塔占地约</w:t>
            </w:r>
            <w:r>
              <w:rPr>
                <w:rFonts w:hint="eastAsia"/>
                <w:color w:val="auto"/>
                <w:sz w:val="24"/>
                <w:highlight w:val="none"/>
                <w:lang w:val="en-US" w:eastAsia="zh-CN"/>
              </w:rPr>
              <w:t>850</w:t>
            </w:r>
            <w:r>
              <w:rPr>
                <w:color w:val="auto"/>
                <w:sz w:val="24"/>
                <w:highlight w:val="none"/>
              </w:rPr>
              <w:t>m</w:t>
            </w:r>
            <w:r>
              <w:rPr>
                <w:color w:val="auto"/>
                <w:sz w:val="24"/>
                <w:highlight w:val="none"/>
                <w:vertAlign w:val="superscript"/>
              </w:rPr>
              <w:t>2</w:t>
            </w:r>
            <w:r>
              <w:rPr>
                <w:rFonts w:hint="eastAsia"/>
                <w:color w:val="auto"/>
                <w:sz w:val="24"/>
                <w:highlight w:val="none"/>
              </w:rPr>
              <w:t>；临时占地约</w:t>
            </w:r>
            <w:r>
              <w:rPr>
                <w:rFonts w:hint="eastAsia"/>
                <w:color w:val="auto"/>
                <w:sz w:val="24"/>
                <w:highlight w:val="none"/>
                <w:lang w:val="en-US" w:eastAsia="zh-CN"/>
              </w:rPr>
              <w:t>2025</w:t>
            </w:r>
            <w:r>
              <w:rPr>
                <w:color w:val="auto"/>
                <w:sz w:val="24"/>
                <w:highlight w:val="none"/>
              </w:rPr>
              <w:t>m</w:t>
            </w:r>
            <w:r>
              <w:rPr>
                <w:color w:val="auto"/>
                <w:sz w:val="24"/>
                <w:highlight w:val="none"/>
                <w:vertAlign w:val="superscript"/>
              </w:rPr>
              <w:t>2</w:t>
            </w:r>
            <w:r>
              <w:rPr>
                <w:rFonts w:hint="eastAsia"/>
                <w:color w:val="auto"/>
                <w:sz w:val="24"/>
                <w:highlight w:val="none"/>
              </w:rPr>
              <w:t>，包括塔基施工临时占地约</w:t>
            </w:r>
            <w:r>
              <w:rPr>
                <w:rFonts w:hint="eastAsia"/>
                <w:color w:val="auto"/>
                <w:sz w:val="24"/>
                <w:highlight w:val="none"/>
                <w:lang w:val="en-US" w:eastAsia="zh-CN"/>
              </w:rPr>
              <w:t>850</w:t>
            </w:r>
            <w:r>
              <w:rPr>
                <w:color w:val="auto"/>
                <w:sz w:val="24"/>
                <w:highlight w:val="none"/>
              </w:rPr>
              <w:t>m</w:t>
            </w:r>
            <w:r>
              <w:rPr>
                <w:color w:val="auto"/>
                <w:sz w:val="24"/>
                <w:highlight w:val="none"/>
                <w:vertAlign w:val="superscript"/>
              </w:rPr>
              <w:t>2</w:t>
            </w:r>
            <w:r>
              <w:rPr>
                <w:rFonts w:hint="eastAsia"/>
                <w:color w:val="auto"/>
                <w:sz w:val="24"/>
                <w:highlight w:val="none"/>
              </w:rPr>
              <w:t>，牵张场占地约</w:t>
            </w:r>
            <w:r>
              <w:rPr>
                <w:rFonts w:hint="eastAsia"/>
                <w:color w:val="auto"/>
                <w:sz w:val="24"/>
                <w:highlight w:val="none"/>
                <w:lang w:val="en-US" w:eastAsia="zh-CN"/>
              </w:rPr>
              <w:t>1200</w:t>
            </w:r>
            <w:r>
              <w:rPr>
                <w:color w:val="auto"/>
                <w:sz w:val="24"/>
                <w:highlight w:val="none"/>
              </w:rPr>
              <w:t>m</w:t>
            </w:r>
            <w:r>
              <w:rPr>
                <w:color w:val="auto"/>
                <w:sz w:val="24"/>
                <w:highlight w:val="none"/>
                <w:vertAlign w:val="superscript"/>
              </w:rPr>
              <w:t>2</w:t>
            </w:r>
            <w:r>
              <w:rPr>
                <w:rFonts w:hint="eastAsia"/>
                <w:color w:val="auto"/>
                <w:sz w:val="24"/>
                <w:highlight w:val="none"/>
                <w:lang w:eastAsia="zh-CN"/>
              </w:rPr>
              <w:t>。</w:t>
            </w:r>
            <w:r>
              <w:rPr>
                <w:rFonts w:ascii="Times New Roman" w:hAnsi="Times New Roman"/>
                <w:color w:val="auto"/>
                <w:sz w:val="24"/>
              </w:rPr>
              <w:t>项目永久占地和临时占地均</w:t>
            </w:r>
            <w:r>
              <w:rPr>
                <w:rFonts w:hint="eastAsia"/>
                <w:color w:val="auto"/>
                <w:kern w:val="0"/>
                <w:sz w:val="24"/>
              </w:rPr>
              <w:t>为</w:t>
            </w:r>
            <w:r>
              <w:rPr>
                <w:rFonts w:hint="eastAsia"/>
                <w:color w:val="auto"/>
                <w:kern w:val="0"/>
                <w:sz w:val="24"/>
                <w:lang w:eastAsia="zh-CN"/>
              </w:rPr>
              <w:t>灌木林地、水田、旱田，</w:t>
            </w:r>
            <w:r>
              <w:rPr>
                <w:rFonts w:ascii="Times New Roman" w:hAnsi="Times New Roman"/>
                <w:color w:val="auto"/>
                <w:sz w:val="24"/>
              </w:rPr>
              <w:t>不涉及划定的生态保护红线。</w:t>
            </w:r>
            <w:r>
              <w:rPr>
                <w:rFonts w:hint="eastAsia" w:ascii="Times New Roman" w:hAnsi="Times New Roman"/>
                <w:color w:val="auto"/>
                <w:sz w:val="24"/>
                <w:highlight w:val="none"/>
                <w:lang w:eastAsia="zh-CN"/>
              </w:rPr>
              <w:t>淮阳变电站</w:t>
            </w:r>
            <w:r>
              <w:rPr>
                <w:rFonts w:hint="eastAsia"/>
                <w:color w:val="auto"/>
                <w:kern w:val="0"/>
                <w:sz w:val="24"/>
                <w:lang w:eastAsia="zh-CN"/>
              </w:rPr>
              <w:t>所在地块位于工业园区范围内，规划为电力设施用地，因此</w:t>
            </w:r>
            <w:r>
              <w:rPr>
                <w:rFonts w:hint="eastAsia" w:ascii="Times New Roman" w:hAnsi="Times New Roman"/>
                <w:color w:val="auto"/>
                <w:sz w:val="24"/>
                <w:highlight w:val="none"/>
                <w:lang w:eastAsia="zh-CN"/>
              </w:rPr>
              <w:t>淮阳变电站的建设</w:t>
            </w:r>
            <w:r>
              <w:rPr>
                <w:rFonts w:ascii="Times New Roman" w:hAnsi="Times New Roman"/>
                <w:color w:val="auto"/>
                <w:sz w:val="24"/>
                <w:highlight w:val="none"/>
              </w:rPr>
              <w:t>对区域土地利用影响小</w:t>
            </w:r>
            <w:r>
              <w:rPr>
                <w:rFonts w:hint="eastAsia" w:ascii="Times New Roman" w:hAnsi="Times New Roman"/>
                <w:color w:val="auto"/>
                <w:sz w:val="24"/>
                <w:highlight w:val="none"/>
                <w:lang w:eastAsia="zh-CN"/>
              </w:rPr>
              <w:t>。</w:t>
            </w:r>
            <w:r>
              <w:rPr>
                <w:rFonts w:ascii="Times New Roman" w:hAnsi="Times New Roman"/>
                <w:color w:val="auto"/>
                <w:sz w:val="24"/>
                <w:highlight w:val="none"/>
              </w:rPr>
              <w:t>输电线路为点状线性工程，塔基占地较分散，且本工程新建塔基占地面积不大，对区域土地利用影响小。</w:t>
            </w:r>
          </w:p>
          <w:p>
            <w:pPr>
              <w:adjustRightInd w:val="0"/>
              <w:snapToGrid w:val="0"/>
              <w:spacing w:line="360" w:lineRule="auto"/>
              <w:ind w:firstLine="480" w:firstLineChars="200"/>
              <w:rPr>
                <w:rFonts w:hint="eastAsia" w:ascii="Times New Roman" w:hAnsi="Times New Roman" w:eastAsia="宋体"/>
                <w:color w:val="auto"/>
                <w:sz w:val="24"/>
                <w:lang w:val="en-US" w:eastAsia="zh-CN"/>
              </w:rPr>
            </w:pPr>
            <w:r>
              <w:rPr>
                <w:rFonts w:ascii="Times New Roman" w:hAnsi="Times New Roman"/>
                <w:color w:val="auto"/>
                <w:sz w:val="24"/>
              </w:rPr>
              <w:t>施工期间对临时占地进行植被清理，无硬化，施工结束后</w:t>
            </w:r>
            <w:r>
              <w:rPr>
                <w:rFonts w:hint="eastAsia" w:ascii="Times New Roman" w:hAnsi="Times New Roman"/>
                <w:color w:val="auto"/>
                <w:sz w:val="24"/>
                <w:lang w:val="en-US" w:eastAsia="zh-CN"/>
              </w:rPr>
              <w:t>应</w:t>
            </w:r>
            <w:r>
              <w:rPr>
                <w:rFonts w:ascii="Times New Roman" w:hAnsi="Times New Roman"/>
                <w:color w:val="auto"/>
                <w:sz w:val="24"/>
              </w:rPr>
              <w:t>立即进行生态修复，恢复原有功能，不会改变其土地利用性质，对区域土地利用影响小。</w:t>
            </w:r>
          </w:p>
          <w:p>
            <w:pPr>
              <w:adjustRightInd w:val="0"/>
              <w:snapToGrid w:val="0"/>
              <w:spacing w:line="360" w:lineRule="auto"/>
              <w:ind w:firstLine="482" w:firstLineChars="200"/>
              <w:rPr>
                <w:rFonts w:ascii="Times New Roman" w:hAnsi="Times New Roman"/>
                <w:b/>
                <w:bCs/>
                <w:color w:val="auto"/>
                <w:sz w:val="24"/>
              </w:rPr>
            </w:pPr>
            <w:r>
              <w:rPr>
                <w:rFonts w:ascii="Times New Roman" w:hAnsi="Times New Roman"/>
                <w:b/>
                <w:bCs/>
                <w:color w:val="auto"/>
                <w:sz w:val="24"/>
              </w:rPr>
              <w:t>（2）对植被资源的影响</w:t>
            </w:r>
          </w:p>
          <w:p>
            <w:pPr>
              <w:adjustRightInd w:val="0"/>
              <w:snapToGrid w:val="0"/>
              <w:spacing w:line="360" w:lineRule="auto"/>
              <w:ind w:firstLine="480" w:firstLineChars="200"/>
              <w:rPr>
                <w:rFonts w:ascii="Times New Roman" w:hAnsi="Times New Roman"/>
                <w:color w:val="auto"/>
                <w:sz w:val="24"/>
              </w:rPr>
            </w:pPr>
            <w:r>
              <w:rPr>
                <w:rFonts w:hint="eastAsia" w:ascii="Times New Roman" w:hAnsi="Times New Roman"/>
                <w:color w:val="auto"/>
                <w:sz w:val="24"/>
                <w:lang w:eastAsia="zh-CN"/>
              </w:rPr>
              <w:t>变电站的建设、</w:t>
            </w:r>
            <w:r>
              <w:rPr>
                <w:rFonts w:ascii="Times New Roman" w:hAnsi="Times New Roman"/>
                <w:color w:val="auto"/>
                <w:sz w:val="24"/>
              </w:rPr>
              <w:t>线路的架设会对现有植被造成一定的破坏，特别是永久占地范围内的植被将全部被清理。经现场勘查，</w:t>
            </w:r>
            <w:r>
              <w:rPr>
                <w:rFonts w:hint="eastAsia" w:ascii="Times New Roman" w:hAnsi="Times New Roman"/>
                <w:color w:val="auto"/>
                <w:sz w:val="24"/>
                <w:lang w:eastAsia="zh-CN"/>
              </w:rPr>
              <w:t>变电站及线路</w:t>
            </w:r>
            <w:r>
              <w:rPr>
                <w:rFonts w:ascii="Times New Roman" w:hAnsi="Times New Roman"/>
                <w:color w:val="auto"/>
                <w:sz w:val="24"/>
              </w:rPr>
              <w:t>沿线植被</w:t>
            </w:r>
            <w:r>
              <w:rPr>
                <w:rFonts w:hint="eastAsia" w:ascii="Times New Roman" w:hAnsi="Times New Roman"/>
                <w:color w:val="auto"/>
                <w:sz w:val="24"/>
                <w:lang w:val="en-US" w:eastAsia="zh-CN"/>
              </w:rPr>
              <w:t>主要为</w:t>
            </w:r>
            <w:r>
              <w:rPr>
                <w:rFonts w:hint="eastAsia"/>
                <w:color w:val="auto"/>
                <w:kern w:val="0"/>
                <w:sz w:val="24"/>
                <w:lang w:eastAsia="zh-CN"/>
              </w:rPr>
              <w:t>灌木林地、水田、旱田</w:t>
            </w:r>
            <w:r>
              <w:rPr>
                <w:rFonts w:ascii="Times New Roman" w:hAnsi="Times New Roman"/>
                <w:color w:val="auto"/>
                <w:sz w:val="24"/>
              </w:rPr>
              <w:t>等</w:t>
            </w:r>
            <w:r>
              <w:rPr>
                <w:rFonts w:hint="eastAsia" w:ascii="Times New Roman" w:hAnsi="Times New Roman"/>
                <w:color w:val="auto"/>
                <w:sz w:val="24"/>
                <w:lang w:eastAsia="zh-CN"/>
              </w:rPr>
              <w:t>，</w:t>
            </w:r>
            <w:r>
              <w:rPr>
                <w:rFonts w:hint="eastAsia" w:ascii="Times New Roman" w:hAnsi="Times New Roman"/>
                <w:color w:val="auto"/>
                <w:sz w:val="24"/>
                <w:lang w:val="en-US" w:eastAsia="zh-CN"/>
              </w:rPr>
              <w:t>均为当地常见物种</w:t>
            </w:r>
            <w:r>
              <w:rPr>
                <w:rFonts w:ascii="Times New Roman" w:hAnsi="Times New Roman"/>
                <w:color w:val="auto"/>
                <w:sz w:val="24"/>
              </w:rPr>
              <w:t>竹、</w:t>
            </w:r>
            <w:r>
              <w:rPr>
                <w:rFonts w:ascii="Times New Roman" w:hAnsi="Times New Roman"/>
                <w:color w:val="auto"/>
                <w:kern w:val="0"/>
                <w:sz w:val="24"/>
              </w:rPr>
              <w:t>桉树、柏树</w:t>
            </w:r>
            <w:r>
              <w:rPr>
                <w:rFonts w:hint="eastAsia" w:ascii="Times New Roman" w:hAnsi="Times New Roman"/>
                <w:color w:val="auto"/>
                <w:kern w:val="0"/>
                <w:sz w:val="24"/>
                <w:lang w:eastAsia="zh-CN"/>
              </w:rPr>
              <w:t>等，</w:t>
            </w:r>
            <w:r>
              <w:rPr>
                <w:rFonts w:ascii="Times New Roman" w:hAnsi="Times New Roman"/>
                <w:color w:val="auto"/>
                <w:sz w:val="24"/>
              </w:rPr>
              <w:t>栽培植被主要为农作物，主要包括水稻、小麦、薯类、油菜等。</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根据《110kV～750kV架空输电线路设计规范》（GB50545-2010）要求，</w:t>
            </w:r>
            <w:r>
              <w:rPr>
                <w:rFonts w:hint="eastAsia" w:ascii="Times New Roman" w:hAnsi="Times New Roman"/>
                <w:color w:val="auto"/>
                <w:sz w:val="24"/>
                <w:lang w:val="en-US" w:eastAsia="zh-CN"/>
              </w:rPr>
              <w:t>11</w:t>
            </w:r>
            <w:r>
              <w:rPr>
                <w:rFonts w:ascii="Times New Roman" w:hAnsi="Times New Roman"/>
                <w:color w:val="auto"/>
                <w:sz w:val="24"/>
              </w:rPr>
              <w:t>0kV送电线路距离树木距离应不小于4m。本工程拟建塔基周围的少量树木将被清理，项目建设对当地的生态环境有一定的影响。本工程不涉及珍稀保护树种，施工完成后对相关</w:t>
            </w:r>
            <w:r>
              <w:rPr>
                <w:rFonts w:hint="eastAsia" w:ascii="Times New Roman" w:hAnsi="Times New Roman"/>
                <w:color w:val="auto"/>
                <w:sz w:val="24"/>
                <w:lang w:val="en-US" w:eastAsia="zh-CN"/>
              </w:rPr>
              <w:t>林地</w:t>
            </w:r>
            <w:r>
              <w:rPr>
                <w:rFonts w:ascii="Times New Roman" w:hAnsi="Times New Roman"/>
                <w:color w:val="auto"/>
                <w:sz w:val="24"/>
              </w:rPr>
              <w:t>进行生态修复，不会降低群落的生物多样性，不会造成大幅度的森林面积、森林蓄积量、生物量的减少；塔位施工过程中将砍伐塔位区域周围部分植物，以便于物料堆放和施工，在施工完成后将进行植被恢复，恢复原有用地性质，一段时间后将恢复原貌或与原貌接近的状况。根据重庆的气候条件，在塔基回填后，植被自然恢复很快。从长远角度来看，不会对植被造成永久性的破坏。</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通过对输电线路沿线地区植被情况的收资调查和实地踏勘，本工程塔基用地范围内均未占用原始林区、亦无国家级或省级保护植物。因此本工程占地不会造成物种数量减少和物种绝灭。</w:t>
            </w:r>
          </w:p>
          <w:p>
            <w:pPr>
              <w:adjustRightInd w:val="0"/>
              <w:snapToGrid w:val="0"/>
              <w:spacing w:line="360" w:lineRule="auto"/>
              <w:ind w:firstLine="482" w:firstLineChars="200"/>
              <w:rPr>
                <w:rFonts w:ascii="Times New Roman" w:hAnsi="Times New Roman"/>
                <w:b/>
                <w:bCs/>
                <w:color w:val="auto"/>
                <w:sz w:val="24"/>
              </w:rPr>
            </w:pPr>
            <w:r>
              <w:rPr>
                <w:rFonts w:ascii="Times New Roman" w:hAnsi="Times New Roman"/>
                <w:b/>
                <w:bCs/>
                <w:color w:val="auto"/>
                <w:sz w:val="24"/>
              </w:rPr>
              <w:t>（3）对动物资源的影响分析</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项目所在区域动物主要以人工饲养家禽、家养宠物、鼠类</w:t>
            </w:r>
            <w:r>
              <w:rPr>
                <w:rFonts w:hint="eastAsia"/>
                <w:color w:val="auto"/>
                <w:sz w:val="24"/>
                <w:lang w:eastAsia="zh-CN"/>
              </w:rPr>
              <w:t>、</w:t>
            </w:r>
            <w:r>
              <w:rPr>
                <w:rFonts w:ascii="Times New Roman" w:hAnsi="Times New Roman"/>
                <w:color w:val="auto"/>
                <w:sz w:val="24"/>
              </w:rPr>
              <w:t>蛇类</w:t>
            </w:r>
            <w:r>
              <w:rPr>
                <w:rFonts w:hint="eastAsia"/>
                <w:color w:val="auto"/>
                <w:sz w:val="24"/>
                <w:lang w:eastAsia="zh-CN"/>
              </w:rPr>
              <w:t>和鸟类</w:t>
            </w:r>
            <w:r>
              <w:rPr>
                <w:rFonts w:ascii="Times New Roman" w:hAnsi="Times New Roman"/>
                <w:color w:val="auto"/>
                <w:sz w:val="24"/>
              </w:rPr>
              <w:t>等常见动物，无珍稀野生动物。工程对野生动物的直接影响主要为施工占地导致的生境破坏，但由于本工程施工占地面积不大，对动物的生境直接影响较小；施工期，由于车辆机具的运行及施工人员的活动等，施工影响范围内部分陆生动物会受到惊扰。但为短期影响，随着施工期结束而结束。</w:t>
            </w:r>
          </w:p>
          <w:p>
            <w:pPr>
              <w:adjustRightInd w:val="0"/>
              <w:snapToGrid w:val="0"/>
              <w:spacing w:line="360" w:lineRule="auto"/>
              <w:ind w:firstLine="482" w:firstLineChars="200"/>
              <w:rPr>
                <w:rFonts w:ascii="Times New Roman" w:hAnsi="Times New Roman"/>
                <w:b/>
                <w:bCs/>
                <w:color w:val="auto"/>
                <w:sz w:val="24"/>
              </w:rPr>
            </w:pPr>
            <w:r>
              <w:rPr>
                <w:rFonts w:ascii="Times New Roman" w:hAnsi="Times New Roman"/>
                <w:b/>
                <w:bCs/>
                <w:color w:val="auto"/>
                <w:sz w:val="24"/>
              </w:rPr>
              <w:t>（4）水土流失分析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color w:val="auto"/>
                <w:sz w:val="24"/>
              </w:rPr>
            </w:pPr>
            <w:r>
              <w:rPr>
                <w:rFonts w:ascii="Times New Roman" w:hAnsi="Times New Roman"/>
                <w:color w:val="auto"/>
                <w:sz w:val="24"/>
              </w:rPr>
              <w:t>施工过程中，基塔开挖过程，造成植被破坏、地面裸露，开挖土因结构松散，易被雨水冲刷造成水土流失。但本工程占地面积较小，施工期短，对生态环境及景观影响很小。随着施工期的结束和绿化设施的完善，这种影响也将随之消失。施工结束后，应及时拆除临时设施，</w:t>
            </w:r>
            <w:r>
              <w:rPr>
                <w:rFonts w:hint="eastAsia" w:ascii="Times New Roman" w:hAnsi="Times New Roman"/>
                <w:color w:val="auto"/>
                <w:sz w:val="24"/>
                <w:lang w:val="en-US" w:eastAsia="zh-CN"/>
              </w:rPr>
              <w:t>清除</w:t>
            </w:r>
            <w:r>
              <w:rPr>
                <w:rFonts w:ascii="Times New Roman" w:hAnsi="Times New Roman"/>
                <w:color w:val="auto"/>
                <w:sz w:val="24"/>
              </w:rPr>
              <w:t>垃圾和杂物，平整施工场地，种植草皮，保护生态环境。综上所述，施工单位应严格按照有关规定在施工期采取相应环境保护措施，并加强管理。本工程施工期的生态环境影响是短暂的、可逆的，随着施工期的结束而消失。</w:t>
            </w:r>
          </w:p>
          <w:p>
            <w:pPr>
              <w:adjustRightInd w:val="0"/>
              <w:snapToGrid w:val="0"/>
              <w:spacing w:line="360" w:lineRule="auto"/>
              <w:jc w:val="left"/>
              <w:rPr>
                <w:color w:val="auto"/>
                <w:sz w:val="24"/>
                <w:highlight w:val="none"/>
              </w:rPr>
            </w:pPr>
            <w:r>
              <w:rPr>
                <w:b/>
                <w:bCs/>
                <w:color w:val="auto"/>
                <w:sz w:val="24"/>
                <w:highlight w:val="none"/>
              </w:rPr>
              <w:t>4.6</w:t>
            </w:r>
            <w:r>
              <w:rPr>
                <w:rFonts w:hint="eastAsia"/>
                <w:b/>
                <w:bCs/>
                <w:color w:val="auto"/>
                <w:sz w:val="24"/>
                <w:highlight w:val="none"/>
              </w:rPr>
              <w:t>交通影响分析</w:t>
            </w:r>
          </w:p>
          <w:p>
            <w:pPr>
              <w:pStyle w:val="75"/>
              <w:adjustRightInd w:val="0"/>
              <w:snapToGrid w:val="0"/>
              <w:spacing w:line="360" w:lineRule="auto"/>
              <w:ind w:firstLine="480"/>
              <w:rPr>
                <w:color w:val="auto"/>
                <w:kern w:val="0"/>
                <w:sz w:val="24"/>
                <w:highlight w:val="yellow"/>
              </w:rPr>
            </w:pPr>
            <w:r>
              <w:rPr>
                <w:rFonts w:hint="eastAsia"/>
                <w:color w:val="auto"/>
                <w:sz w:val="24"/>
                <w:highlight w:val="none"/>
              </w:rPr>
              <w:t>施工期线路跨越公路可能会对交通造成一定影响，施工期间安排好施工时间做好防范措施，可减轻对交通的短暂影响。工程车辆进出场地，将给附近交通增加一定的压力。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7" w:hRule="atLeast"/>
          <w:jc w:val="center"/>
        </w:trPr>
        <w:tc>
          <w:tcPr>
            <w:tcW w:w="206" w:type="pct"/>
            <w:tcMar>
              <w:left w:w="28" w:type="dxa"/>
              <w:right w:w="28" w:type="dxa"/>
            </w:tcMar>
            <w:vAlign w:val="center"/>
          </w:tcPr>
          <w:p>
            <w:pPr>
              <w:pStyle w:val="25"/>
              <w:adjustRightInd w:val="0"/>
              <w:snapToGrid w:val="0"/>
              <w:spacing w:before="0" w:beforeAutospacing="0" w:after="0" w:afterAutospacing="0"/>
              <w:jc w:val="center"/>
              <w:rPr>
                <w:rFonts w:ascii="Times New Roman" w:hAnsi="Times New Roman" w:cs="宋体"/>
                <w:bCs/>
                <w:color w:val="auto"/>
                <w:kern w:val="2"/>
                <w:sz w:val="21"/>
                <w:szCs w:val="21"/>
                <w:highlight w:val="yellow"/>
              </w:rPr>
            </w:pPr>
            <w:r>
              <w:rPr>
                <w:rFonts w:hint="eastAsia" w:ascii="Times New Roman" w:hAnsi="Times New Roman" w:cs="宋体"/>
                <w:bCs/>
                <w:color w:val="auto"/>
                <w:spacing w:val="10"/>
                <w:kern w:val="2"/>
                <w:sz w:val="21"/>
                <w:szCs w:val="21"/>
                <w:highlight w:val="none"/>
              </w:rPr>
              <w:t>运营期生态环境影响分析</w:t>
            </w:r>
          </w:p>
        </w:tc>
        <w:tc>
          <w:tcPr>
            <w:tcW w:w="4793" w:type="pct"/>
          </w:tcPr>
          <w:p>
            <w:pPr>
              <w:adjustRightInd w:val="0"/>
              <w:snapToGrid w:val="0"/>
              <w:spacing w:line="360" w:lineRule="auto"/>
              <w:rPr>
                <w:b/>
                <w:color w:val="auto"/>
                <w:sz w:val="24"/>
                <w:highlight w:val="none"/>
              </w:rPr>
            </w:pPr>
            <w:r>
              <w:rPr>
                <w:rFonts w:hint="eastAsia"/>
                <w:b/>
                <w:color w:val="auto"/>
                <w:sz w:val="24"/>
                <w:highlight w:val="none"/>
              </w:rPr>
              <w:t>4.</w:t>
            </w:r>
            <w:r>
              <w:rPr>
                <w:b/>
                <w:color w:val="auto"/>
                <w:sz w:val="24"/>
                <w:highlight w:val="none"/>
              </w:rPr>
              <w:t>7</w:t>
            </w:r>
            <w:r>
              <w:rPr>
                <w:rFonts w:hint="eastAsia"/>
                <w:b/>
                <w:color w:val="auto"/>
                <w:sz w:val="24"/>
                <w:highlight w:val="none"/>
              </w:rPr>
              <w:t>生活污水</w:t>
            </w:r>
          </w:p>
          <w:p>
            <w:pPr>
              <w:adjustRightInd w:val="0"/>
              <w:snapToGrid w:val="0"/>
              <w:spacing w:line="360" w:lineRule="auto"/>
              <w:ind w:firstLine="480" w:firstLineChars="200"/>
              <w:rPr>
                <w:rFonts w:hint="eastAsia" w:eastAsia="宋体"/>
                <w:color w:val="auto"/>
                <w:sz w:val="24"/>
                <w:highlight w:val="none"/>
                <w:lang w:eastAsia="zh-CN"/>
              </w:rPr>
            </w:pPr>
            <w:r>
              <w:rPr>
                <w:rFonts w:hint="eastAsia"/>
                <w:color w:val="auto"/>
                <w:sz w:val="24"/>
                <w:highlight w:val="none"/>
              </w:rPr>
              <w:t>本工程的废水主要来自</w:t>
            </w:r>
            <w:r>
              <w:rPr>
                <w:rFonts w:hint="eastAsia"/>
                <w:color w:val="auto"/>
                <w:sz w:val="24"/>
                <w:highlight w:val="none"/>
                <w:lang w:eastAsia="zh-CN"/>
              </w:rPr>
              <w:t>淮阳</w:t>
            </w:r>
            <w:r>
              <w:rPr>
                <w:rFonts w:hint="eastAsia"/>
                <w:color w:val="auto"/>
                <w:sz w:val="24"/>
                <w:highlight w:val="none"/>
              </w:rPr>
              <w:t>变电站值守人员（2人）产生的生活污水，生活污水水量为200L/人·天，水质为COD：300mg/L、NH</w:t>
            </w:r>
            <w:r>
              <w:rPr>
                <w:rFonts w:hint="eastAsia"/>
                <w:color w:val="auto"/>
                <w:sz w:val="24"/>
                <w:highlight w:val="none"/>
                <w:vertAlign w:val="subscript"/>
              </w:rPr>
              <w:t>3</w:t>
            </w:r>
            <w:r>
              <w:rPr>
                <w:rFonts w:hint="eastAsia"/>
                <w:color w:val="auto"/>
                <w:sz w:val="24"/>
                <w:highlight w:val="none"/>
              </w:rPr>
              <w:t>-N：35mg/L、SS：200mg/L。变电站产生的生活污水</w:t>
            </w:r>
            <w:r>
              <w:rPr>
                <w:rFonts w:hint="default" w:ascii="Times New Roman" w:hAnsi="Times New Roman" w:eastAsia="宋体" w:cs="Times New Roman"/>
                <w:b w:val="0"/>
                <w:bCs w:val="0"/>
                <w:color w:val="auto"/>
                <w:sz w:val="24"/>
                <w:szCs w:val="24"/>
                <w:highlight w:val="none"/>
                <w:lang w:val="en-US" w:eastAsia="zh-CN"/>
              </w:rPr>
              <w:t>通过</w:t>
            </w:r>
            <w:r>
              <w:rPr>
                <w:rFonts w:hint="eastAsia" w:ascii="Times New Roman" w:hAnsi="Times New Roman" w:eastAsia="宋体" w:cs="Times New Roman"/>
                <w:b w:val="0"/>
                <w:bCs w:val="0"/>
                <w:color w:val="auto"/>
                <w:sz w:val="24"/>
                <w:szCs w:val="24"/>
                <w:highlight w:val="none"/>
                <w:lang w:val="en-US" w:eastAsia="zh-CN"/>
              </w:rPr>
              <w:t>一体化污水处理设施</w:t>
            </w:r>
            <w:r>
              <w:rPr>
                <w:rFonts w:hint="default" w:ascii="Times New Roman" w:hAnsi="Times New Roman" w:eastAsia="宋体" w:cs="Times New Roman"/>
                <w:b w:val="0"/>
                <w:bCs w:val="0"/>
                <w:color w:val="auto"/>
                <w:sz w:val="24"/>
                <w:szCs w:val="24"/>
                <w:highlight w:val="none"/>
                <w:lang w:val="en-US" w:eastAsia="zh-CN"/>
              </w:rPr>
              <w:t>处理后</w:t>
            </w:r>
            <w:r>
              <w:rPr>
                <w:rFonts w:hint="eastAsia" w:ascii="Times New Roman" w:hAnsi="Times New Roman" w:eastAsia="宋体" w:cs="Times New Roman"/>
                <w:b w:val="0"/>
                <w:bCs w:val="0"/>
                <w:color w:val="auto"/>
                <w:sz w:val="24"/>
                <w:szCs w:val="24"/>
                <w:highlight w:val="none"/>
                <w:lang w:val="en-US" w:eastAsia="zh-CN"/>
              </w:rPr>
              <w:t>，近期用于</w:t>
            </w:r>
            <w:r>
              <w:rPr>
                <w:rFonts w:hint="eastAsia" w:cs="Times New Roman"/>
                <w:b w:val="0"/>
                <w:bCs w:val="0"/>
                <w:color w:val="auto"/>
                <w:sz w:val="24"/>
                <w:szCs w:val="24"/>
                <w:highlight w:val="none"/>
                <w:lang w:val="en-US" w:eastAsia="zh-CN"/>
              </w:rPr>
              <w:t>红线</w:t>
            </w:r>
            <w:r>
              <w:rPr>
                <w:rFonts w:hint="eastAsia" w:ascii="Times New Roman" w:hAnsi="Times New Roman" w:eastAsia="宋体" w:cs="Times New Roman"/>
                <w:b w:val="0"/>
                <w:bCs w:val="0"/>
                <w:color w:val="auto"/>
                <w:sz w:val="24"/>
                <w:szCs w:val="24"/>
                <w:highlight w:val="none"/>
                <w:lang w:val="en-US" w:eastAsia="zh-CN"/>
              </w:rPr>
              <w:t>内</w:t>
            </w:r>
            <w:r>
              <w:rPr>
                <w:rFonts w:hint="eastAsia"/>
                <w:bCs/>
                <w:color w:val="auto"/>
                <w:sz w:val="24"/>
                <w:szCs w:val="24"/>
              </w:rPr>
              <w:t>绿化</w:t>
            </w:r>
            <w:r>
              <w:rPr>
                <w:rFonts w:hint="eastAsia"/>
                <w:bCs/>
                <w:color w:val="auto"/>
                <w:sz w:val="24"/>
                <w:szCs w:val="24"/>
                <w:lang w:eastAsia="zh-CN"/>
              </w:rPr>
              <w:t>施肥</w:t>
            </w:r>
            <w:r>
              <w:rPr>
                <w:rFonts w:hint="eastAsia" w:ascii="Times New Roman" w:hAnsi="Times New Roman" w:eastAsia="宋体" w:cs="Times New Roman"/>
                <w:b w:val="0"/>
                <w:bCs w:val="0"/>
                <w:color w:val="auto"/>
                <w:sz w:val="24"/>
                <w:szCs w:val="24"/>
                <w:highlight w:val="none"/>
                <w:lang w:val="en-US" w:eastAsia="zh-CN"/>
              </w:rPr>
              <w:t>，远期待园区污水管网建成后</w:t>
            </w:r>
            <w:r>
              <w:rPr>
                <w:rFonts w:hint="default" w:ascii="Times New Roman" w:hAnsi="Times New Roman" w:eastAsia="宋体" w:cs="Times New Roman"/>
                <w:b w:val="0"/>
                <w:bCs w:val="0"/>
                <w:color w:val="auto"/>
                <w:sz w:val="24"/>
                <w:szCs w:val="24"/>
                <w:highlight w:val="none"/>
                <w:lang w:val="en-US" w:eastAsia="zh-CN"/>
              </w:rPr>
              <w:t>经市政污水管网进入东城污水处理厂处理后进入淮远河。</w:t>
            </w:r>
          </w:p>
          <w:p>
            <w:pPr>
              <w:adjustRightInd w:val="0"/>
              <w:snapToGrid w:val="0"/>
              <w:spacing w:line="360" w:lineRule="auto"/>
              <w:rPr>
                <w:b/>
                <w:color w:val="auto"/>
                <w:sz w:val="24"/>
                <w:highlight w:val="none"/>
              </w:rPr>
            </w:pPr>
            <w:r>
              <w:rPr>
                <w:rFonts w:hint="eastAsia"/>
                <w:b/>
                <w:color w:val="auto"/>
                <w:sz w:val="24"/>
                <w:highlight w:val="none"/>
              </w:rPr>
              <w:t>4</w:t>
            </w:r>
            <w:r>
              <w:rPr>
                <w:b/>
                <w:color w:val="auto"/>
                <w:sz w:val="24"/>
                <w:highlight w:val="none"/>
              </w:rPr>
              <w:t>.8噪声影响分析</w:t>
            </w:r>
          </w:p>
          <w:p>
            <w:pPr>
              <w:pStyle w:val="7"/>
              <w:adjustRightInd w:val="0"/>
              <w:snapToGrid w:val="0"/>
              <w:spacing w:line="360" w:lineRule="auto"/>
              <w:ind w:firstLine="482"/>
              <w:rPr>
                <w:rFonts w:hint="eastAsia" w:eastAsia="宋体"/>
                <w:b/>
                <w:snapToGrid w:val="0"/>
                <w:color w:val="auto"/>
                <w:szCs w:val="24"/>
                <w:highlight w:val="none"/>
                <w:lang w:eastAsia="zh-CN"/>
              </w:rPr>
            </w:pPr>
            <w:r>
              <w:rPr>
                <w:rFonts w:hint="eastAsia"/>
                <w:b/>
                <w:snapToGrid w:val="0"/>
                <w:color w:val="auto"/>
                <w:szCs w:val="24"/>
                <w:highlight w:val="none"/>
              </w:rPr>
              <w:t>（1）拟建2</w:t>
            </w:r>
            <w:r>
              <w:rPr>
                <w:b/>
                <w:snapToGrid w:val="0"/>
                <w:color w:val="auto"/>
                <w:szCs w:val="24"/>
                <w:highlight w:val="none"/>
              </w:rPr>
              <w:t>20kV</w:t>
            </w:r>
            <w:r>
              <w:rPr>
                <w:rFonts w:hint="eastAsia"/>
                <w:b/>
                <w:snapToGrid w:val="0"/>
                <w:color w:val="auto"/>
                <w:szCs w:val="24"/>
                <w:highlight w:val="none"/>
                <w:lang w:eastAsia="zh-CN"/>
              </w:rPr>
              <w:t>淮阳变电站</w:t>
            </w:r>
          </w:p>
          <w:p>
            <w:pPr>
              <w:pStyle w:val="7"/>
              <w:adjustRightInd w:val="0"/>
              <w:snapToGrid w:val="0"/>
              <w:spacing w:line="360" w:lineRule="auto"/>
              <w:ind w:firstLine="482"/>
              <w:rPr>
                <w:b/>
                <w:snapToGrid w:val="0"/>
                <w:color w:val="auto"/>
                <w:kern w:val="0"/>
                <w:szCs w:val="24"/>
                <w:highlight w:val="none"/>
              </w:rPr>
            </w:pPr>
            <w:r>
              <w:rPr>
                <w:b/>
                <w:snapToGrid w:val="0"/>
                <w:color w:val="auto"/>
                <w:szCs w:val="24"/>
                <w:highlight w:val="none"/>
              </w:rPr>
              <w:t>1</w:t>
            </w:r>
            <w:r>
              <w:rPr>
                <w:rFonts w:hint="eastAsia"/>
                <w:b/>
                <w:snapToGrid w:val="0"/>
                <w:color w:val="auto"/>
                <w:szCs w:val="24"/>
                <w:highlight w:val="none"/>
              </w:rPr>
              <w:t>）主要噪声源</w:t>
            </w:r>
          </w:p>
          <w:p>
            <w:pPr>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highlight w:val="none"/>
                <w:lang w:bidi="en-US"/>
              </w:rPr>
            </w:pPr>
            <w:r>
              <w:rPr>
                <w:rFonts w:hint="eastAsia"/>
                <w:color w:val="auto"/>
                <w:sz w:val="24"/>
                <w:highlight w:val="none"/>
              </w:rPr>
              <w:t>根据</w:t>
            </w:r>
            <w:r>
              <w:rPr>
                <w:rFonts w:hint="eastAsia"/>
                <w:color w:val="auto"/>
                <w:sz w:val="24"/>
                <w:highlight w:val="none"/>
                <w:lang w:val="en-US" w:eastAsia="zh-CN"/>
              </w:rPr>
              <w:t>建设单位设计，本项目2台主变均为三相三绕组油浸式自冷有载调压电力变压器</w:t>
            </w:r>
            <w:r>
              <w:rPr>
                <w:color w:val="auto"/>
                <w:sz w:val="24"/>
                <w:highlight w:val="none"/>
              </w:rPr>
              <w:t>，</w:t>
            </w:r>
            <w:r>
              <w:rPr>
                <w:rFonts w:hint="eastAsia"/>
                <w:color w:val="auto"/>
                <w:sz w:val="24"/>
                <w:highlight w:val="none"/>
              </w:rPr>
              <w:t>根据《国家电网公司物资采购标准交流变压器卷》（Q／GDW 13009.6-2018）相关要求，本项目变电站主变采购标准为：100%负荷运作条件下，噪声水平≤65dB(A)</w:t>
            </w:r>
            <w:r>
              <w:rPr>
                <w:rFonts w:hint="eastAsia"/>
                <w:color w:val="auto"/>
                <w:sz w:val="24"/>
                <w:highlight w:val="none"/>
                <w:lang w:val="en-US" w:eastAsia="zh-CN"/>
              </w:rPr>
              <w:t>；</w:t>
            </w:r>
            <w:r>
              <w:rPr>
                <w:rFonts w:hint="eastAsia"/>
                <w:color w:val="auto"/>
                <w:sz w:val="24"/>
                <w:highlight w:val="none"/>
                <w:lang w:eastAsia="zh-CN"/>
              </w:rPr>
              <w:t>此外配电装置楼楼顶设置</w:t>
            </w:r>
            <w:r>
              <w:rPr>
                <w:rFonts w:hint="eastAsia"/>
                <w:color w:val="auto"/>
                <w:sz w:val="24"/>
                <w:highlight w:val="none"/>
                <w:lang w:val="en-US" w:eastAsia="zh-CN"/>
              </w:rPr>
              <w:t>2台风机，风机采取消声措施，每台噪声约70</w:t>
            </w:r>
            <w:r>
              <w:rPr>
                <w:color w:val="auto"/>
                <w:sz w:val="24"/>
                <w:highlight w:val="none"/>
              </w:rPr>
              <w:t>dB(A)</w:t>
            </w:r>
            <w:r>
              <w:rPr>
                <w:rFonts w:hint="eastAsia"/>
                <w:color w:val="auto"/>
                <w:sz w:val="24"/>
                <w:highlight w:val="none"/>
                <w:lang w:eastAsia="zh-CN"/>
              </w:rPr>
              <w:t>。本项目</w:t>
            </w:r>
            <w:r>
              <w:rPr>
                <w:rFonts w:hint="eastAsia"/>
                <w:color w:val="auto"/>
                <w:sz w:val="24"/>
                <w:highlight w:val="none"/>
              </w:rPr>
              <w:t>室外主要高噪声设备源强</w:t>
            </w:r>
            <w:r>
              <w:rPr>
                <w:rFonts w:hint="eastAsia"/>
                <w:color w:val="auto"/>
                <w:sz w:val="24"/>
                <w:highlight w:val="none"/>
                <w:lang w:eastAsia="zh-CN"/>
              </w:rPr>
              <w:t>见表</w:t>
            </w:r>
            <w:r>
              <w:rPr>
                <w:rFonts w:hint="eastAsia"/>
                <w:color w:val="auto"/>
                <w:sz w:val="24"/>
                <w:highlight w:val="none"/>
                <w:lang w:val="en-US" w:eastAsia="zh-CN"/>
              </w:rPr>
              <w:t>4-4，</w:t>
            </w:r>
            <w:r>
              <w:rPr>
                <w:color w:val="auto"/>
                <w:sz w:val="24"/>
                <w:highlight w:val="none"/>
                <w:lang w:bidi="en-US"/>
              </w:rPr>
              <w:t>各</w:t>
            </w:r>
            <w:r>
              <w:rPr>
                <w:rFonts w:hint="eastAsia"/>
                <w:color w:val="auto"/>
                <w:sz w:val="24"/>
                <w:highlight w:val="none"/>
                <w:lang w:bidi="en-US"/>
              </w:rPr>
              <w:t>噪声源</w:t>
            </w:r>
            <w:r>
              <w:rPr>
                <w:color w:val="auto"/>
                <w:sz w:val="24"/>
                <w:highlight w:val="none"/>
                <w:lang w:bidi="en-US"/>
              </w:rPr>
              <w:t>距</w:t>
            </w:r>
            <w:r>
              <w:rPr>
                <w:rFonts w:hint="eastAsia"/>
                <w:color w:val="auto"/>
                <w:sz w:val="24"/>
                <w:highlight w:val="none"/>
                <w:lang w:bidi="en-US"/>
              </w:rPr>
              <w:t>厂界</w:t>
            </w:r>
            <w:r>
              <w:rPr>
                <w:color w:val="auto"/>
                <w:sz w:val="24"/>
                <w:highlight w:val="none"/>
                <w:lang w:bidi="en-US"/>
              </w:rPr>
              <w:t>距离见表4-</w:t>
            </w:r>
            <w:r>
              <w:rPr>
                <w:rFonts w:hint="eastAsia"/>
                <w:color w:val="auto"/>
                <w:sz w:val="24"/>
                <w:highlight w:val="none"/>
                <w:lang w:val="en-US" w:eastAsia="zh-CN" w:bidi="en-US"/>
              </w:rPr>
              <w:t>5</w:t>
            </w:r>
            <w:r>
              <w:rPr>
                <w:color w:val="auto"/>
                <w:sz w:val="24"/>
                <w:highlight w:val="none"/>
                <w:lang w:bidi="en-US"/>
              </w:rPr>
              <w:t>。</w:t>
            </w:r>
          </w:p>
          <w:p>
            <w:pPr>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highlight w:val="none"/>
                <w:lang w:bidi="en-US"/>
              </w:rPr>
            </w:pPr>
          </w:p>
          <w:p>
            <w:pPr>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highlight w:val="none"/>
                <w:lang w:bidi="en-US"/>
              </w:rPr>
            </w:pPr>
          </w:p>
          <w:p>
            <w:pPr>
              <w:spacing w:line="360" w:lineRule="auto"/>
              <w:jc w:val="center"/>
              <w:rPr>
                <w:rFonts w:hint="eastAsia"/>
                <w:b/>
                <w:bCs/>
                <w:color w:val="auto"/>
                <w:sz w:val="24"/>
              </w:rPr>
            </w:pPr>
            <w:r>
              <w:rPr>
                <w:rFonts w:hint="eastAsia"/>
                <w:b/>
                <w:bCs/>
                <w:color w:val="auto"/>
                <w:sz w:val="24"/>
              </w:rPr>
              <w:t>表</w:t>
            </w:r>
            <w:r>
              <w:rPr>
                <w:rFonts w:hint="eastAsia"/>
                <w:b/>
                <w:bCs/>
                <w:color w:val="auto"/>
                <w:sz w:val="24"/>
                <w:lang w:val="en-US" w:eastAsia="zh-CN"/>
              </w:rPr>
              <w:t>4</w:t>
            </w:r>
            <w:r>
              <w:rPr>
                <w:rFonts w:hint="eastAsia"/>
                <w:b/>
                <w:bCs/>
                <w:color w:val="auto"/>
                <w:sz w:val="24"/>
              </w:rPr>
              <w:t>-</w:t>
            </w:r>
            <w:r>
              <w:rPr>
                <w:rFonts w:hint="eastAsia"/>
                <w:b/>
                <w:bCs/>
                <w:color w:val="auto"/>
                <w:sz w:val="24"/>
                <w:lang w:val="en-US" w:eastAsia="zh-CN"/>
              </w:rPr>
              <w:t>4</w:t>
            </w:r>
            <w:r>
              <w:rPr>
                <w:rFonts w:hint="eastAsia"/>
                <w:b/>
                <w:bCs/>
                <w:color w:val="auto"/>
                <w:sz w:val="24"/>
              </w:rPr>
              <w:t xml:space="preserve">  </w:t>
            </w:r>
            <w:r>
              <w:rPr>
                <w:rFonts w:hint="eastAsia"/>
                <w:b/>
                <w:bCs/>
                <w:color w:val="auto"/>
                <w:sz w:val="24"/>
                <w:lang w:val="en-US" w:eastAsia="zh-CN"/>
              </w:rPr>
              <w:t>室外</w:t>
            </w:r>
            <w:r>
              <w:rPr>
                <w:rFonts w:hint="eastAsia"/>
                <w:b/>
                <w:bCs/>
                <w:color w:val="auto"/>
                <w:sz w:val="24"/>
              </w:rPr>
              <w:t>主要</w:t>
            </w:r>
            <w:r>
              <w:rPr>
                <w:rFonts w:hint="eastAsia"/>
                <w:b/>
                <w:bCs/>
                <w:color w:val="auto"/>
                <w:sz w:val="24"/>
                <w:lang w:val="en-US" w:eastAsia="zh-CN"/>
              </w:rPr>
              <w:t>高噪声</w:t>
            </w:r>
            <w:r>
              <w:rPr>
                <w:rFonts w:hint="eastAsia"/>
                <w:b/>
                <w:bCs/>
                <w:color w:val="auto"/>
                <w:sz w:val="24"/>
              </w:rPr>
              <w:t>设备源强</w:t>
            </w:r>
          </w:p>
          <w:tbl>
            <w:tblPr>
              <w:tblStyle w:val="2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41"/>
              <w:gridCol w:w="1218"/>
              <w:gridCol w:w="602"/>
              <w:gridCol w:w="596"/>
              <w:gridCol w:w="562"/>
              <w:gridCol w:w="1890"/>
              <w:gridCol w:w="1111"/>
              <w:gridCol w:w="6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tblHeader/>
              </w:trPr>
              <w:tc>
                <w:tcPr>
                  <w:tcW w:w="734" w:type="pct"/>
                  <w:vMerge w:val="restar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color w:val="auto"/>
                      <w:sz w:val="21"/>
                      <w:szCs w:val="21"/>
                    </w:rPr>
                  </w:pPr>
                  <w:r>
                    <w:rPr>
                      <w:color w:val="auto"/>
                      <w:sz w:val="21"/>
                      <w:szCs w:val="21"/>
                    </w:rPr>
                    <w:t>声源名称</w:t>
                  </w:r>
                </w:p>
              </w:tc>
              <w:tc>
                <w:tcPr>
                  <w:tcW w:w="783" w:type="pct"/>
                  <w:vMerge w:val="restar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color w:val="auto"/>
                      <w:sz w:val="21"/>
                      <w:szCs w:val="21"/>
                    </w:rPr>
                  </w:pPr>
                  <w:r>
                    <w:rPr>
                      <w:color w:val="auto"/>
                      <w:sz w:val="21"/>
                      <w:szCs w:val="21"/>
                    </w:rPr>
                    <w:t>型号</w:t>
                  </w:r>
                </w:p>
              </w:tc>
              <w:tc>
                <w:tcPr>
                  <w:tcW w:w="1131" w:type="pct"/>
                  <w:gridSpan w:val="3"/>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eastAsia="Times New Roman"/>
                      <w:color w:val="auto"/>
                      <w:sz w:val="21"/>
                      <w:szCs w:val="21"/>
                    </w:rPr>
                  </w:pPr>
                  <w:r>
                    <w:rPr>
                      <w:color w:val="auto"/>
                      <w:sz w:val="21"/>
                      <w:szCs w:val="21"/>
                    </w:rPr>
                    <w:t>空间相对位置</w:t>
                  </w:r>
                  <w:r>
                    <w:rPr>
                      <w:rFonts w:ascii="Times New Roman" w:eastAsia="Times New Roman"/>
                      <w:color w:val="auto"/>
                      <w:sz w:val="21"/>
                      <w:szCs w:val="21"/>
                    </w:rPr>
                    <w:t>/m</w:t>
                  </w:r>
                </w:p>
              </w:tc>
              <w:tc>
                <w:tcPr>
                  <w:tcW w:w="1215"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color w:val="auto"/>
                      <w:sz w:val="21"/>
                      <w:szCs w:val="21"/>
                    </w:rPr>
                  </w:pPr>
                  <w:r>
                    <w:rPr>
                      <w:color w:val="auto"/>
                      <w:sz w:val="21"/>
                      <w:szCs w:val="21"/>
                    </w:rPr>
                    <w:t>声源源强</w:t>
                  </w:r>
                </w:p>
              </w:tc>
              <w:tc>
                <w:tcPr>
                  <w:tcW w:w="714" w:type="pct"/>
                  <w:vMerge w:val="restar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color w:val="auto"/>
                      <w:sz w:val="21"/>
                      <w:szCs w:val="21"/>
                    </w:rPr>
                  </w:pPr>
                  <w:r>
                    <w:rPr>
                      <w:color w:val="auto"/>
                      <w:sz w:val="21"/>
                      <w:szCs w:val="21"/>
                    </w:rPr>
                    <w:t>声源控制措施</w:t>
                  </w:r>
                </w:p>
              </w:tc>
              <w:tc>
                <w:tcPr>
                  <w:tcW w:w="420" w:type="pct"/>
                  <w:vMerge w:val="restar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color w:val="auto"/>
                      <w:sz w:val="21"/>
                      <w:szCs w:val="21"/>
                    </w:rPr>
                  </w:pPr>
                  <w:r>
                    <w:rPr>
                      <w:color w:val="auto"/>
                      <w:sz w:val="21"/>
                      <w:szCs w:val="21"/>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tblHeader/>
              </w:trPr>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color w:val="auto"/>
                      <w:sz w:val="21"/>
                      <w:szCs w:val="21"/>
                    </w:rPr>
                  </w:pPr>
                </w:p>
              </w:tc>
              <w:tc>
                <w:tcPr>
                  <w:tcW w:w="78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color w:val="auto"/>
                      <w:sz w:val="21"/>
                      <w:szCs w:val="21"/>
                    </w:rPr>
                  </w:pPr>
                </w:p>
              </w:tc>
              <w:tc>
                <w:tcPr>
                  <w:tcW w:w="387"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i/>
                      <w:color w:val="auto"/>
                      <w:sz w:val="21"/>
                      <w:szCs w:val="21"/>
                    </w:rPr>
                  </w:pPr>
                  <w:r>
                    <w:rPr>
                      <w:rFonts w:ascii="Times New Roman"/>
                      <w:i/>
                      <w:color w:val="auto"/>
                      <w:sz w:val="21"/>
                      <w:szCs w:val="21"/>
                    </w:rPr>
                    <w:t>X</w:t>
                  </w:r>
                </w:p>
              </w:tc>
              <w:tc>
                <w:tcPr>
                  <w:tcW w:w="383"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i/>
                      <w:color w:val="auto"/>
                      <w:sz w:val="21"/>
                      <w:szCs w:val="21"/>
                    </w:rPr>
                  </w:pPr>
                  <w:r>
                    <w:rPr>
                      <w:rFonts w:ascii="Times New Roman"/>
                      <w:i/>
                      <w:color w:val="auto"/>
                      <w:sz w:val="21"/>
                      <w:szCs w:val="21"/>
                    </w:rPr>
                    <w:t>Y</w:t>
                  </w:r>
                </w:p>
              </w:tc>
              <w:tc>
                <w:tcPr>
                  <w:tcW w:w="360"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i/>
                      <w:color w:val="auto"/>
                      <w:sz w:val="21"/>
                      <w:szCs w:val="21"/>
                    </w:rPr>
                  </w:pPr>
                  <w:r>
                    <w:rPr>
                      <w:rFonts w:ascii="Times New Roman"/>
                      <w:i/>
                      <w:color w:val="auto"/>
                      <w:sz w:val="21"/>
                      <w:szCs w:val="21"/>
                    </w:rPr>
                    <w:t>Z</w:t>
                  </w:r>
                </w:p>
              </w:tc>
              <w:tc>
                <w:tcPr>
                  <w:tcW w:w="1215"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color w:val="auto"/>
                      <w:sz w:val="21"/>
                      <w:szCs w:val="21"/>
                    </w:rPr>
                  </w:pPr>
                  <w:r>
                    <w:rPr>
                      <w:color w:val="auto"/>
                      <w:sz w:val="21"/>
                      <w:szCs w:val="21"/>
                    </w:rPr>
                    <w:t>（声压级</w:t>
                  </w:r>
                  <w:r>
                    <w:rPr>
                      <w:rFonts w:ascii="Times New Roman" w:eastAsia="Times New Roman"/>
                      <w:color w:val="auto"/>
                      <w:sz w:val="21"/>
                      <w:szCs w:val="21"/>
                    </w:rPr>
                    <w:t>/</w:t>
                  </w:r>
                  <w:r>
                    <w:rPr>
                      <w:color w:val="auto"/>
                      <w:sz w:val="21"/>
                      <w:szCs w:val="21"/>
                    </w:rPr>
                    <w:t>距声源距离）</w:t>
                  </w:r>
                  <w:r>
                    <w:rPr>
                      <w:rFonts w:ascii="Times New Roman" w:eastAsia="Times New Roman"/>
                      <w:color w:val="auto"/>
                      <w:sz w:val="21"/>
                      <w:szCs w:val="21"/>
                    </w:rPr>
                    <w:t>/</w:t>
                  </w:r>
                  <w:r>
                    <w:rPr>
                      <w:color w:val="auto"/>
                      <w:sz w:val="21"/>
                      <w:szCs w:val="21"/>
                    </w:rPr>
                    <w:t>（</w:t>
                  </w:r>
                  <w:r>
                    <w:rPr>
                      <w:rFonts w:ascii="Times New Roman" w:eastAsia="Times New Roman"/>
                      <w:color w:val="auto"/>
                      <w:sz w:val="21"/>
                      <w:szCs w:val="21"/>
                    </w:rPr>
                    <w:t>dB(A)/m</w:t>
                  </w:r>
                  <w:r>
                    <w:rPr>
                      <w:color w:val="auto"/>
                      <w:sz w:val="21"/>
                      <w:szCs w:val="21"/>
                    </w:rPr>
                    <w:t>）</w:t>
                  </w:r>
                </w:p>
              </w:tc>
              <w:tc>
                <w:tcPr>
                  <w:tcW w:w="714"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color w:val="auto"/>
                      <w:sz w:val="21"/>
                      <w:szCs w:val="21"/>
                    </w:rPr>
                  </w:pPr>
                </w:p>
              </w:tc>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734" w:type="pct"/>
                  <w:tcBorders>
                    <w:tl2br w:val="nil"/>
                    <w:tr2bl w:val="nil"/>
                  </w:tcBorders>
                  <w:noWrap w:val="0"/>
                  <w:vAlign w:val="center"/>
                </w:tcPr>
                <w:p>
                  <w:pPr>
                    <w:pStyle w:val="7"/>
                    <w:adjustRightInd w:val="0"/>
                    <w:snapToGrid w:val="0"/>
                    <w:ind w:firstLine="0" w:firstLineChars="0"/>
                    <w:jc w:val="center"/>
                    <w:rPr>
                      <w:color w:val="auto"/>
                      <w:sz w:val="21"/>
                      <w:szCs w:val="21"/>
                    </w:rPr>
                  </w:pPr>
                  <w:r>
                    <w:rPr>
                      <w:snapToGrid w:val="0"/>
                      <w:color w:val="auto"/>
                      <w:sz w:val="21"/>
                      <w:szCs w:val="21"/>
                      <w:highlight w:val="none"/>
                    </w:rPr>
                    <w:t>1#</w:t>
                  </w:r>
                  <w:r>
                    <w:rPr>
                      <w:rFonts w:hint="eastAsia"/>
                      <w:snapToGrid w:val="0"/>
                      <w:color w:val="auto"/>
                      <w:sz w:val="21"/>
                      <w:szCs w:val="21"/>
                      <w:highlight w:val="none"/>
                    </w:rPr>
                    <w:t>主变压器</w:t>
                  </w:r>
                </w:p>
              </w:tc>
              <w:tc>
                <w:tcPr>
                  <w:tcW w:w="783" w:type="pct"/>
                  <w:tcBorders>
                    <w:tl2br w:val="nil"/>
                    <w:tr2bl w:val="nil"/>
                  </w:tcBorders>
                  <w:noWrap w:val="0"/>
                  <w:vAlign w:val="center"/>
                </w:tcPr>
                <w:p>
                  <w:pPr>
                    <w:pStyle w:val="100"/>
                    <w:ind w:left="0" w:leftChars="0" w:firstLine="0" w:firstLineChars="0"/>
                    <w:jc w:val="center"/>
                    <w:rPr>
                      <w:rFonts w:hint="default" w:ascii="Times New Roman" w:hAnsi="Times New Roman" w:eastAsia="宋体" w:cs="Times New Roman"/>
                      <w:color w:val="auto"/>
                      <w:highlight w:val="none"/>
                    </w:rPr>
                  </w:pPr>
                  <w:r>
                    <w:rPr>
                      <w:rFonts w:hint="eastAsia"/>
                      <w:color w:val="auto"/>
                      <w:highlight w:val="none"/>
                    </w:rPr>
                    <w:t>SF</w:t>
                  </w:r>
                  <w:r>
                    <w:rPr>
                      <w:rFonts w:hint="eastAsia"/>
                      <w:color w:val="auto"/>
                      <w:highlight w:val="none"/>
                      <w:lang w:val="en-US" w:eastAsia="zh-CN"/>
                    </w:rPr>
                    <w:t>11-500</w:t>
                  </w:r>
                  <w:r>
                    <w:rPr>
                      <w:rFonts w:hint="eastAsia"/>
                      <w:color w:val="auto"/>
                      <w:highlight w:val="none"/>
                    </w:rPr>
                    <w:t>000</w:t>
                  </w:r>
                </w:p>
              </w:tc>
              <w:tc>
                <w:tcPr>
                  <w:tcW w:w="3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-9</w:t>
                  </w:r>
                </w:p>
              </w:tc>
              <w:tc>
                <w:tcPr>
                  <w:tcW w:w="3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13.5</w:t>
                  </w:r>
                </w:p>
              </w:tc>
              <w:tc>
                <w:tcPr>
                  <w:tcW w:w="360"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1.7</w:t>
                  </w:r>
                </w:p>
              </w:tc>
              <w:tc>
                <w:tcPr>
                  <w:tcW w:w="1215"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65</w:t>
                  </w:r>
                  <w:r>
                    <w:rPr>
                      <w:rFonts w:hint="eastAsia" w:ascii="Times New Roman"/>
                      <w:color w:val="auto"/>
                      <w:sz w:val="21"/>
                      <w:szCs w:val="21"/>
                      <w:highlight w:val="none"/>
                      <w:lang w:val="en-US" w:eastAsia="zh-CN"/>
                    </w:rPr>
                    <w:t>/1</w:t>
                  </w:r>
                </w:p>
              </w:tc>
              <w:tc>
                <w:tcPr>
                  <w:tcW w:w="714"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eastAsia="宋体"/>
                      <w:color w:val="auto"/>
                      <w:sz w:val="21"/>
                      <w:szCs w:val="21"/>
                      <w:highlight w:val="none"/>
                      <w:lang w:val="en-US" w:eastAsia="zh-CN"/>
                    </w:rPr>
                  </w:pPr>
                  <w:r>
                    <w:rPr>
                      <w:rFonts w:hint="eastAsia" w:cs="Times New Roman"/>
                      <w:color w:val="auto"/>
                      <w:sz w:val="21"/>
                      <w:szCs w:val="21"/>
                      <w:highlight w:val="none"/>
                      <w:lang w:val="en-US" w:eastAsia="zh-CN"/>
                    </w:rPr>
                    <w:t>选用低噪声设备</w:t>
                  </w:r>
                </w:p>
              </w:tc>
              <w:tc>
                <w:tcPr>
                  <w:tcW w:w="420"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24h/d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734" w:type="pct"/>
                  <w:tcBorders>
                    <w:tl2br w:val="nil"/>
                    <w:tr2bl w:val="nil"/>
                  </w:tcBorders>
                  <w:noWrap w:val="0"/>
                  <w:vAlign w:val="center"/>
                </w:tcPr>
                <w:p>
                  <w:pPr>
                    <w:pStyle w:val="7"/>
                    <w:adjustRightInd w:val="0"/>
                    <w:snapToGrid w:val="0"/>
                    <w:ind w:firstLine="0" w:firstLineChars="0"/>
                    <w:jc w:val="center"/>
                    <w:rPr>
                      <w:rFonts w:ascii="Times New Roman" w:eastAsia="Times New Roman"/>
                      <w:color w:val="auto"/>
                      <w:sz w:val="21"/>
                      <w:szCs w:val="21"/>
                    </w:rPr>
                  </w:pPr>
                  <w:r>
                    <w:rPr>
                      <w:snapToGrid w:val="0"/>
                      <w:color w:val="auto"/>
                      <w:sz w:val="21"/>
                      <w:szCs w:val="21"/>
                      <w:highlight w:val="none"/>
                    </w:rPr>
                    <w:t>2#</w:t>
                  </w:r>
                  <w:r>
                    <w:rPr>
                      <w:rFonts w:hint="eastAsia"/>
                      <w:snapToGrid w:val="0"/>
                      <w:color w:val="auto"/>
                      <w:sz w:val="21"/>
                      <w:szCs w:val="21"/>
                      <w:highlight w:val="none"/>
                    </w:rPr>
                    <w:t>主变压器</w:t>
                  </w:r>
                </w:p>
              </w:tc>
              <w:tc>
                <w:tcPr>
                  <w:tcW w:w="783" w:type="pct"/>
                  <w:tcBorders>
                    <w:tl2br w:val="nil"/>
                    <w:tr2bl w:val="nil"/>
                  </w:tcBorders>
                  <w:noWrap w:val="0"/>
                  <w:vAlign w:val="center"/>
                </w:tcPr>
                <w:p>
                  <w:pPr>
                    <w:pStyle w:val="100"/>
                    <w:ind w:left="0" w:leftChars="0" w:firstLine="0" w:firstLineChars="0"/>
                    <w:jc w:val="center"/>
                    <w:rPr>
                      <w:rFonts w:hint="default" w:ascii="Times New Roman" w:hAnsi="Times New Roman" w:eastAsia="宋体" w:cs="Times New Roman"/>
                      <w:color w:val="auto"/>
                      <w:highlight w:val="none"/>
                    </w:rPr>
                  </w:pPr>
                  <w:r>
                    <w:rPr>
                      <w:rFonts w:hint="eastAsia"/>
                      <w:color w:val="auto"/>
                      <w:highlight w:val="none"/>
                    </w:rPr>
                    <w:t>SF</w:t>
                  </w:r>
                  <w:r>
                    <w:rPr>
                      <w:rFonts w:hint="eastAsia"/>
                      <w:color w:val="auto"/>
                      <w:highlight w:val="none"/>
                      <w:lang w:val="en-US" w:eastAsia="zh-CN"/>
                    </w:rPr>
                    <w:t>11-500</w:t>
                  </w:r>
                  <w:r>
                    <w:rPr>
                      <w:rFonts w:hint="eastAsia"/>
                      <w:color w:val="auto"/>
                      <w:highlight w:val="none"/>
                    </w:rPr>
                    <w:t>000</w:t>
                  </w:r>
                </w:p>
              </w:tc>
              <w:tc>
                <w:tcPr>
                  <w:tcW w:w="387"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383"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360"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1.7</w:t>
                  </w:r>
                </w:p>
              </w:tc>
              <w:tc>
                <w:tcPr>
                  <w:tcW w:w="1215"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color w:val="auto"/>
                      <w:sz w:val="21"/>
                      <w:szCs w:val="21"/>
                      <w:highlight w:val="none"/>
                    </w:rPr>
                  </w:pPr>
                  <w:r>
                    <w:rPr>
                      <w:rFonts w:hint="eastAsia"/>
                      <w:color w:val="auto"/>
                      <w:sz w:val="21"/>
                      <w:szCs w:val="21"/>
                      <w:highlight w:val="none"/>
                      <w:lang w:val="en-US" w:eastAsia="zh-CN"/>
                    </w:rPr>
                    <w:t>65</w:t>
                  </w:r>
                  <w:r>
                    <w:rPr>
                      <w:rFonts w:hint="eastAsia" w:ascii="Times New Roman"/>
                      <w:color w:val="auto"/>
                      <w:sz w:val="21"/>
                      <w:szCs w:val="21"/>
                      <w:highlight w:val="none"/>
                      <w:lang w:val="en-US" w:eastAsia="zh-CN"/>
                    </w:rPr>
                    <w:t>/1</w:t>
                  </w:r>
                </w:p>
              </w:tc>
              <w:tc>
                <w:tcPr>
                  <w:tcW w:w="714"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color w:val="auto"/>
                      <w:sz w:val="21"/>
                      <w:szCs w:val="21"/>
                      <w:highlight w:val="none"/>
                    </w:rPr>
                  </w:pPr>
                  <w:r>
                    <w:rPr>
                      <w:rFonts w:hint="eastAsia" w:cs="Times New Roman"/>
                      <w:color w:val="auto"/>
                      <w:sz w:val="21"/>
                      <w:szCs w:val="21"/>
                      <w:highlight w:val="none"/>
                      <w:lang w:val="en-US" w:eastAsia="zh-CN"/>
                    </w:rPr>
                    <w:t>选用低噪声设备</w:t>
                  </w:r>
                </w:p>
              </w:tc>
              <w:tc>
                <w:tcPr>
                  <w:tcW w:w="420"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color w:val="auto"/>
                      <w:sz w:val="21"/>
                      <w:szCs w:val="21"/>
                      <w:highlight w:val="none"/>
                    </w:rPr>
                  </w:pPr>
                  <w:r>
                    <w:rPr>
                      <w:rFonts w:hint="eastAsia" w:ascii="Times New Roman"/>
                      <w:color w:val="auto"/>
                      <w:sz w:val="21"/>
                      <w:szCs w:val="21"/>
                      <w:highlight w:val="none"/>
                      <w:lang w:val="en-US" w:eastAsia="zh-CN"/>
                    </w:rPr>
                    <w:t>24h/d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734" w:type="pct"/>
                  <w:tcBorders>
                    <w:tl2br w:val="nil"/>
                    <w:tr2bl w:val="nil"/>
                  </w:tcBorders>
                  <w:noWrap w:val="0"/>
                  <w:vAlign w:val="center"/>
                </w:tcPr>
                <w:p>
                  <w:pPr>
                    <w:pStyle w:val="7"/>
                    <w:adjustRightInd w:val="0"/>
                    <w:snapToGrid w:val="0"/>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1#风机</w:t>
                  </w:r>
                </w:p>
              </w:tc>
              <w:tc>
                <w:tcPr>
                  <w:tcW w:w="783" w:type="pct"/>
                  <w:tcBorders>
                    <w:tl2br w:val="nil"/>
                    <w:tr2bl w:val="nil"/>
                  </w:tcBorders>
                  <w:noWrap w:val="0"/>
                  <w:vAlign w:val="center"/>
                </w:tcPr>
                <w:p>
                  <w:pPr>
                    <w:pStyle w:val="100"/>
                    <w:ind w:left="0" w:leftChars="0" w:firstLine="0" w:firstLineChars="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未定</w:t>
                  </w:r>
                </w:p>
              </w:tc>
              <w:tc>
                <w:tcPr>
                  <w:tcW w:w="387"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383"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-9</w:t>
                  </w:r>
                </w:p>
              </w:tc>
              <w:tc>
                <w:tcPr>
                  <w:tcW w:w="360"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5.2</w:t>
                  </w:r>
                </w:p>
              </w:tc>
              <w:tc>
                <w:tcPr>
                  <w:tcW w:w="1215"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color w:val="auto"/>
                      <w:sz w:val="21"/>
                      <w:szCs w:val="21"/>
                      <w:highlight w:val="none"/>
                      <w:lang w:val="en-US" w:eastAsia="zh-CN"/>
                    </w:rPr>
                  </w:pPr>
                  <w:r>
                    <w:rPr>
                      <w:rFonts w:hint="eastAsia" w:ascii="Times New Roman"/>
                      <w:color w:val="auto"/>
                      <w:sz w:val="21"/>
                      <w:szCs w:val="21"/>
                      <w:highlight w:val="none"/>
                      <w:lang w:val="en-US" w:eastAsia="zh-CN"/>
                    </w:rPr>
                    <w:t>70/1</w:t>
                  </w:r>
                </w:p>
              </w:tc>
              <w:tc>
                <w:tcPr>
                  <w:tcW w:w="714"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选用低噪声设备</w:t>
                  </w:r>
                </w:p>
              </w:tc>
              <w:tc>
                <w:tcPr>
                  <w:tcW w:w="420"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color w:val="auto"/>
                      <w:sz w:val="21"/>
                      <w:szCs w:val="21"/>
                      <w:highlight w:val="none"/>
                      <w:lang w:val="en-US" w:eastAsia="zh-CN"/>
                    </w:rPr>
                  </w:pPr>
                  <w:r>
                    <w:rPr>
                      <w:rFonts w:hint="eastAsia" w:ascii="Times New Roman"/>
                      <w:color w:val="auto"/>
                      <w:sz w:val="21"/>
                      <w:szCs w:val="21"/>
                      <w:highlight w:val="none"/>
                      <w:lang w:val="en-US" w:eastAsia="zh-CN"/>
                    </w:rPr>
                    <w:t>24h/d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734" w:type="pct"/>
                  <w:tcBorders>
                    <w:tl2br w:val="nil"/>
                    <w:tr2bl w:val="nil"/>
                  </w:tcBorders>
                  <w:noWrap w:val="0"/>
                  <w:vAlign w:val="center"/>
                </w:tcPr>
                <w:p>
                  <w:pPr>
                    <w:pStyle w:val="7"/>
                    <w:adjustRightInd w:val="0"/>
                    <w:snapToGrid w:val="0"/>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2#风机</w:t>
                  </w:r>
                </w:p>
              </w:tc>
              <w:tc>
                <w:tcPr>
                  <w:tcW w:w="783" w:type="pct"/>
                  <w:tcBorders>
                    <w:tl2br w:val="nil"/>
                    <w:tr2bl w:val="nil"/>
                  </w:tcBorders>
                  <w:noWrap w:val="0"/>
                  <w:vAlign w:val="center"/>
                </w:tcPr>
                <w:p>
                  <w:pPr>
                    <w:pStyle w:val="100"/>
                    <w:ind w:left="0" w:leftChars="0" w:firstLine="0" w:firstLineChars="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未定</w:t>
                  </w:r>
                </w:p>
              </w:tc>
              <w:tc>
                <w:tcPr>
                  <w:tcW w:w="387"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383"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360"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5.2</w:t>
                  </w:r>
                </w:p>
              </w:tc>
              <w:tc>
                <w:tcPr>
                  <w:tcW w:w="1215"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color w:val="auto"/>
                      <w:sz w:val="21"/>
                      <w:szCs w:val="21"/>
                      <w:highlight w:val="none"/>
                      <w:lang w:val="en-US" w:eastAsia="zh-CN"/>
                    </w:rPr>
                  </w:pPr>
                  <w:r>
                    <w:rPr>
                      <w:rFonts w:hint="eastAsia" w:ascii="Times New Roman"/>
                      <w:color w:val="auto"/>
                      <w:sz w:val="21"/>
                      <w:szCs w:val="21"/>
                      <w:highlight w:val="none"/>
                      <w:lang w:val="en-US" w:eastAsia="zh-CN"/>
                    </w:rPr>
                    <w:t>70/1</w:t>
                  </w:r>
                </w:p>
              </w:tc>
              <w:tc>
                <w:tcPr>
                  <w:tcW w:w="714"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选用低噪声设备</w:t>
                  </w:r>
                </w:p>
              </w:tc>
              <w:tc>
                <w:tcPr>
                  <w:tcW w:w="420" w:type="pct"/>
                  <w:tcBorders>
                    <w:tl2br w:val="nil"/>
                    <w:tr2bl w:val="nil"/>
                  </w:tcBorders>
                  <w:noWrap w:val="0"/>
                  <w:vAlign w:val="center"/>
                </w:tcPr>
                <w:p>
                  <w:pPr>
                    <w:pStyle w:val="99"/>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color w:val="auto"/>
                      <w:sz w:val="21"/>
                      <w:szCs w:val="21"/>
                      <w:highlight w:val="none"/>
                      <w:lang w:val="en-US" w:eastAsia="zh-CN"/>
                    </w:rPr>
                  </w:pPr>
                  <w:r>
                    <w:rPr>
                      <w:rFonts w:hint="eastAsia" w:ascii="Times New Roman"/>
                      <w:color w:val="auto"/>
                      <w:sz w:val="21"/>
                      <w:szCs w:val="21"/>
                      <w:highlight w:val="none"/>
                      <w:lang w:val="en-US" w:eastAsia="zh-CN"/>
                    </w:rPr>
                    <w:t>24h/d</w:t>
                  </w:r>
                </w:p>
              </w:tc>
            </w:tr>
          </w:tbl>
          <w:p>
            <w:pPr>
              <w:keepLines w:val="0"/>
              <w:pageBreakBefore w:val="0"/>
              <w:widowControl w:val="0"/>
              <w:kinsoku/>
              <w:wordWrap/>
              <w:overflowPunct/>
              <w:topLinePunct w:val="0"/>
              <w:autoSpaceDE/>
              <w:autoSpaceDN/>
              <w:bidi w:val="0"/>
              <w:adjustRightInd w:val="0"/>
              <w:snapToGrid/>
              <w:spacing w:line="240" w:lineRule="auto"/>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注：以2#主变压器中心地面为原点（0,0,0）。</w:t>
            </w:r>
          </w:p>
          <w:p>
            <w:pPr>
              <w:adjustRightInd w:val="0"/>
              <w:snapToGrid w:val="0"/>
              <w:jc w:val="center"/>
              <w:rPr>
                <w:rFonts w:hint="eastAsia"/>
                <w:b/>
                <w:color w:val="auto"/>
                <w:sz w:val="24"/>
                <w:szCs w:val="32"/>
                <w:highlight w:val="none"/>
              </w:rPr>
            </w:pPr>
          </w:p>
          <w:p>
            <w:pPr>
              <w:adjustRightInd w:val="0"/>
              <w:snapToGrid w:val="0"/>
              <w:jc w:val="center"/>
              <w:rPr>
                <w:b/>
                <w:color w:val="auto"/>
                <w:sz w:val="24"/>
                <w:highlight w:val="none"/>
              </w:rPr>
            </w:pPr>
            <w:r>
              <w:rPr>
                <w:rFonts w:hint="eastAsia"/>
                <w:b/>
                <w:color w:val="auto"/>
                <w:sz w:val="24"/>
                <w:szCs w:val="32"/>
                <w:highlight w:val="none"/>
              </w:rPr>
              <w:t>表</w:t>
            </w:r>
            <w:r>
              <w:rPr>
                <w:b/>
                <w:color w:val="auto"/>
                <w:sz w:val="24"/>
                <w:szCs w:val="32"/>
                <w:highlight w:val="none"/>
              </w:rPr>
              <w:t>4-</w:t>
            </w:r>
            <w:r>
              <w:rPr>
                <w:rFonts w:hint="eastAsia"/>
                <w:b/>
                <w:color w:val="auto"/>
                <w:sz w:val="24"/>
                <w:szCs w:val="32"/>
                <w:highlight w:val="none"/>
                <w:lang w:val="en-US" w:eastAsia="zh-CN"/>
              </w:rPr>
              <w:t>5</w:t>
            </w:r>
            <w:r>
              <w:rPr>
                <w:b/>
                <w:color w:val="auto"/>
                <w:sz w:val="24"/>
                <w:szCs w:val="32"/>
                <w:highlight w:val="none"/>
              </w:rPr>
              <w:t xml:space="preserve"> </w:t>
            </w:r>
            <w:r>
              <w:rPr>
                <w:rFonts w:hint="eastAsia"/>
                <w:b/>
                <w:color w:val="auto"/>
                <w:sz w:val="24"/>
                <w:szCs w:val="32"/>
                <w:highlight w:val="none"/>
              </w:rPr>
              <w:t>各主变</w:t>
            </w:r>
            <w:r>
              <w:rPr>
                <w:rFonts w:hint="eastAsia"/>
                <w:b/>
                <w:color w:val="auto"/>
                <w:sz w:val="24"/>
                <w:szCs w:val="32"/>
                <w:highlight w:val="none"/>
                <w:lang w:eastAsia="zh-CN"/>
              </w:rPr>
              <w:t>、风机</w:t>
            </w:r>
            <w:r>
              <w:rPr>
                <w:rFonts w:hint="eastAsia"/>
                <w:b/>
                <w:color w:val="auto"/>
                <w:sz w:val="24"/>
                <w:szCs w:val="32"/>
                <w:highlight w:val="none"/>
              </w:rPr>
              <w:t>距围墙距离表</w:t>
            </w:r>
          </w:p>
          <w:tbl>
            <w:tblPr>
              <w:tblStyle w:val="28"/>
              <w:tblW w:w="802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6" w:type="dxa"/>
                <w:bottom w:w="0" w:type="dxa"/>
                <w:right w:w="6" w:type="dxa"/>
              </w:tblCellMar>
            </w:tblPr>
            <w:tblGrid>
              <w:gridCol w:w="2821"/>
              <w:gridCol w:w="1244"/>
              <w:gridCol w:w="1360"/>
              <w:gridCol w:w="1246"/>
              <w:gridCol w:w="135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50" w:hRule="atLeast"/>
                <w:jc w:val="center"/>
              </w:trPr>
              <w:tc>
                <w:tcPr>
                  <w:tcW w:w="2821" w:type="dxa"/>
                  <w:vAlign w:val="center"/>
                </w:tcPr>
                <w:p>
                  <w:pPr>
                    <w:pStyle w:val="7"/>
                    <w:adjustRightInd w:val="0"/>
                    <w:snapToGrid w:val="0"/>
                    <w:ind w:firstLine="0" w:firstLineChars="0"/>
                    <w:jc w:val="center"/>
                    <w:rPr>
                      <w:snapToGrid w:val="0"/>
                      <w:color w:val="auto"/>
                      <w:sz w:val="21"/>
                      <w:szCs w:val="21"/>
                      <w:highlight w:val="none"/>
                    </w:rPr>
                  </w:pPr>
                  <w:r>
                    <w:rPr>
                      <w:color w:val="auto"/>
                      <w:szCs w:val="22"/>
                      <w:highlight w:val="none"/>
                    </w:rPr>
                    <mc:AlternateContent>
                      <mc:Choice Requires="wps">
                        <w:drawing>
                          <wp:anchor distT="0" distB="0" distL="114300" distR="114300" simplePos="0" relativeHeight="251660288" behindDoc="0" locked="0" layoutInCell="1" allowOverlap="1">
                            <wp:simplePos x="0" y="0"/>
                            <wp:positionH relativeFrom="column">
                              <wp:posOffset>37465</wp:posOffset>
                            </wp:positionH>
                            <wp:positionV relativeFrom="paragraph">
                              <wp:posOffset>1905</wp:posOffset>
                            </wp:positionV>
                            <wp:extent cx="1746885" cy="347980"/>
                            <wp:effectExtent l="0" t="0" r="24765" b="3302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1746885" cy="347980"/>
                                    </a:xfrm>
                                    <a:prstGeom prst="line">
                                      <a:avLst/>
                                    </a:prstGeom>
                                    <a:noFill/>
                                    <a:ln w="6350">
                                      <a:solidFill>
                                        <a:srgbClr val="000001"/>
                                      </a:solidFill>
                                      <a:round/>
                                    </a:ln>
                                  </wps:spPr>
                                  <wps:bodyPr/>
                                </wps:wsp>
                              </a:graphicData>
                            </a:graphic>
                          </wp:anchor>
                        </w:drawing>
                      </mc:Choice>
                      <mc:Fallback>
                        <w:pict>
                          <v:line id="_x0000_s1026" o:spid="_x0000_s1026" o:spt="20" style="position:absolute;left:0pt;margin-left:2.95pt;margin-top:0.15pt;height:27.4pt;width:137.55pt;z-index:251660288;mso-width-relative:page;mso-height-relative:page;" filled="f" stroked="t" coordsize="21600,21600" o:gfxdata="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ZZqTa&#10;1QAAAAUBAAAPAAAAAAAAAAEAIAAAACIAAABkcnMvZG93bnJldi54bWxQSwECFAAUAAAACACHTuJA&#10;atgRj+sBAACvAwAADgAAAAAAAAABACAAAAAkAQAAZHJzL2Uyb0RvYy54bWxQSwUGAAAAAAYABgBZ&#10;AQAAgQUAAAAA&#10;">
                            <v:fill on="f" focussize="0,0"/>
                            <v:stroke weight="0.5pt" color="#000001" joinstyle="round"/>
                            <v:imagedata o:title=""/>
                            <o:lock v:ext="edit" aspectratio="f"/>
                          </v:line>
                        </w:pict>
                      </mc:Fallback>
                    </mc:AlternateContent>
                  </w:r>
                  <w:r>
                    <w:rPr>
                      <w:snapToGrid w:val="0"/>
                      <w:color w:val="auto"/>
                      <w:sz w:val="21"/>
                      <w:szCs w:val="21"/>
                      <w:highlight w:val="none"/>
                    </w:rPr>
                    <w:t xml:space="preserve">          </w:t>
                  </w:r>
                  <w:r>
                    <w:rPr>
                      <w:rFonts w:hint="eastAsia"/>
                      <w:snapToGrid w:val="0"/>
                      <w:color w:val="auto"/>
                      <w:sz w:val="21"/>
                      <w:szCs w:val="21"/>
                      <w:highlight w:val="none"/>
                    </w:rPr>
                    <w:t>距墙体距离</w:t>
                  </w:r>
                </w:p>
                <w:p>
                  <w:pPr>
                    <w:pStyle w:val="7"/>
                    <w:adjustRightInd w:val="0"/>
                    <w:snapToGrid w:val="0"/>
                    <w:ind w:firstLine="105" w:firstLineChars="50"/>
                    <w:rPr>
                      <w:snapToGrid w:val="0"/>
                      <w:color w:val="auto"/>
                      <w:sz w:val="21"/>
                      <w:szCs w:val="21"/>
                      <w:highlight w:val="none"/>
                    </w:rPr>
                  </w:pPr>
                  <w:r>
                    <w:rPr>
                      <w:rFonts w:hint="eastAsia"/>
                      <w:snapToGrid w:val="0"/>
                      <w:color w:val="auto"/>
                      <w:sz w:val="21"/>
                      <w:szCs w:val="21"/>
                      <w:highlight w:val="none"/>
                    </w:rPr>
                    <w:t>编号</w:t>
                  </w:r>
                </w:p>
              </w:tc>
              <w:tc>
                <w:tcPr>
                  <w:tcW w:w="1244" w:type="dxa"/>
                  <w:vAlign w:val="center"/>
                </w:tcPr>
                <w:p>
                  <w:pPr>
                    <w:pStyle w:val="7"/>
                    <w:adjustRightInd w:val="0"/>
                    <w:snapToGrid w:val="0"/>
                    <w:ind w:firstLine="0" w:firstLineChars="0"/>
                    <w:jc w:val="center"/>
                    <w:rPr>
                      <w:snapToGrid w:val="0"/>
                      <w:color w:val="auto"/>
                      <w:sz w:val="21"/>
                      <w:szCs w:val="21"/>
                      <w:highlight w:val="none"/>
                    </w:rPr>
                  </w:pPr>
                  <w:r>
                    <w:rPr>
                      <w:rFonts w:hint="eastAsia"/>
                      <w:snapToGrid w:val="0"/>
                      <w:color w:val="auto"/>
                      <w:sz w:val="21"/>
                      <w:szCs w:val="21"/>
                      <w:highlight w:val="none"/>
                    </w:rPr>
                    <w:t>东</w:t>
                  </w:r>
                  <w:r>
                    <w:rPr>
                      <w:rFonts w:hint="eastAsia"/>
                      <w:snapToGrid w:val="0"/>
                      <w:color w:val="auto"/>
                      <w:sz w:val="21"/>
                      <w:szCs w:val="21"/>
                      <w:highlight w:val="none"/>
                      <w:lang w:eastAsia="zh-CN"/>
                    </w:rPr>
                    <w:t>南</w:t>
                  </w:r>
                  <w:r>
                    <w:rPr>
                      <w:rFonts w:hint="eastAsia"/>
                      <w:snapToGrid w:val="0"/>
                      <w:color w:val="auto"/>
                      <w:sz w:val="21"/>
                      <w:szCs w:val="21"/>
                      <w:highlight w:val="none"/>
                    </w:rPr>
                    <w:t>墙（</w:t>
                  </w:r>
                  <w:r>
                    <w:rPr>
                      <w:snapToGrid w:val="0"/>
                      <w:color w:val="auto"/>
                      <w:sz w:val="21"/>
                      <w:szCs w:val="21"/>
                      <w:highlight w:val="none"/>
                    </w:rPr>
                    <w:t>m</w:t>
                  </w:r>
                  <w:r>
                    <w:rPr>
                      <w:rFonts w:hint="eastAsia"/>
                      <w:snapToGrid w:val="0"/>
                      <w:color w:val="auto"/>
                      <w:sz w:val="21"/>
                      <w:szCs w:val="21"/>
                      <w:highlight w:val="none"/>
                    </w:rPr>
                    <w:t>）</w:t>
                  </w:r>
                </w:p>
              </w:tc>
              <w:tc>
                <w:tcPr>
                  <w:tcW w:w="1360" w:type="dxa"/>
                  <w:vAlign w:val="center"/>
                </w:tcPr>
                <w:p>
                  <w:pPr>
                    <w:pStyle w:val="7"/>
                    <w:adjustRightInd w:val="0"/>
                    <w:snapToGrid w:val="0"/>
                    <w:ind w:firstLine="0" w:firstLineChars="0"/>
                    <w:jc w:val="center"/>
                    <w:rPr>
                      <w:snapToGrid w:val="0"/>
                      <w:color w:val="auto"/>
                      <w:sz w:val="21"/>
                      <w:szCs w:val="21"/>
                      <w:highlight w:val="none"/>
                    </w:rPr>
                  </w:pPr>
                  <w:r>
                    <w:rPr>
                      <w:rFonts w:hint="eastAsia"/>
                      <w:snapToGrid w:val="0"/>
                      <w:color w:val="auto"/>
                      <w:sz w:val="21"/>
                      <w:szCs w:val="21"/>
                      <w:highlight w:val="none"/>
                      <w:lang w:eastAsia="zh-CN"/>
                    </w:rPr>
                    <w:t>西</w:t>
                  </w:r>
                  <w:r>
                    <w:rPr>
                      <w:rFonts w:hint="eastAsia"/>
                      <w:snapToGrid w:val="0"/>
                      <w:color w:val="auto"/>
                      <w:sz w:val="21"/>
                      <w:szCs w:val="21"/>
                      <w:highlight w:val="none"/>
                    </w:rPr>
                    <w:t>南墙（</w:t>
                  </w:r>
                  <w:r>
                    <w:rPr>
                      <w:snapToGrid w:val="0"/>
                      <w:color w:val="auto"/>
                      <w:sz w:val="21"/>
                      <w:szCs w:val="21"/>
                      <w:highlight w:val="none"/>
                    </w:rPr>
                    <w:t>m</w:t>
                  </w:r>
                  <w:r>
                    <w:rPr>
                      <w:rFonts w:hint="eastAsia"/>
                      <w:snapToGrid w:val="0"/>
                      <w:color w:val="auto"/>
                      <w:sz w:val="21"/>
                      <w:szCs w:val="21"/>
                      <w:highlight w:val="none"/>
                    </w:rPr>
                    <w:t>）</w:t>
                  </w:r>
                </w:p>
              </w:tc>
              <w:tc>
                <w:tcPr>
                  <w:tcW w:w="1246" w:type="dxa"/>
                  <w:vAlign w:val="center"/>
                </w:tcPr>
                <w:p>
                  <w:pPr>
                    <w:pStyle w:val="7"/>
                    <w:adjustRightInd w:val="0"/>
                    <w:snapToGrid w:val="0"/>
                    <w:ind w:firstLine="0" w:firstLineChars="0"/>
                    <w:jc w:val="center"/>
                    <w:rPr>
                      <w:snapToGrid w:val="0"/>
                      <w:color w:val="auto"/>
                      <w:sz w:val="21"/>
                      <w:szCs w:val="21"/>
                      <w:highlight w:val="none"/>
                    </w:rPr>
                  </w:pPr>
                  <w:r>
                    <w:rPr>
                      <w:rFonts w:hint="eastAsia"/>
                      <w:snapToGrid w:val="0"/>
                      <w:color w:val="auto"/>
                      <w:sz w:val="21"/>
                      <w:szCs w:val="21"/>
                      <w:highlight w:val="none"/>
                    </w:rPr>
                    <w:t>西</w:t>
                  </w:r>
                  <w:r>
                    <w:rPr>
                      <w:rFonts w:hint="eastAsia"/>
                      <w:snapToGrid w:val="0"/>
                      <w:color w:val="auto"/>
                      <w:sz w:val="21"/>
                      <w:szCs w:val="21"/>
                      <w:highlight w:val="none"/>
                      <w:lang w:eastAsia="zh-CN"/>
                    </w:rPr>
                    <w:t>北</w:t>
                  </w:r>
                  <w:r>
                    <w:rPr>
                      <w:rFonts w:hint="eastAsia"/>
                      <w:snapToGrid w:val="0"/>
                      <w:color w:val="auto"/>
                      <w:sz w:val="21"/>
                      <w:szCs w:val="21"/>
                      <w:highlight w:val="none"/>
                    </w:rPr>
                    <w:t>墙（</w:t>
                  </w:r>
                  <w:r>
                    <w:rPr>
                      <w:snapToGrid w:val="0"/>
                      <w:color w:val="auto"/>
                      <w:sz w:val="21"/>
                      <w:szCs w:val="21"/>
                      <w:highlight w:val="none"/>
                    </w:rPr>
                    <w:t>m</w:t>
                  </w:r>
                  <w:r>
                    <w:rPr>
                      <w:rFonts w:hint="eastAsia"/>
                      <w:snapToGrid w:val="0"/>
                      <w:color w:val="auto"/>
                      <w:sz w:val="21"/>
                      <w:szCs w:val="21"/>
                      <w:highlight w:val="none"/>
                    </w:rPr>
                    <w:t>）</w:t>
                  </w:r>
                </w:p>
              </w:tc>
              <w:tc>
                <w:tcPr>
                  <w:tcW w:w="1354" w:type="dxa"/>
                  <w:vAlign w:val="center"/>
                </w:tcPr>
                <w:p>
                  <w:pPr>
                    <w:pStyle w:val="7"/>
                    <w:adjustRightInd w:val="0"/>
                    <w:snapToGrid w:val="0"/>
                    <w:ind w:firstLine="0" w:firstLineChars="0"/>
                    <w:jc w:val="both"/>
                    <w:rPr>
                      <w:snapToGrid w:val="0"/>
                      <w:color w:val="auto"/>
                      <w:sz w:val="21"/>
                      <w:szCs w:val="21"/>
                      <w:highlight w:val="none"/>
                    </w:rPr>
                  </w:pPr>
                  <w:r>
                    <w:rPr>
                      <w:rFonts w:hint="eastAsia"/>
                      <w:snapToGrid w:val="0"/>
                      <w:color w:val="auto"/>
                      <w:sz w:val="21"/>
                      <w:szCs w:val="21"/>
                      <w:highlight w:val="none"/>
                      <w:lang w:eastAsia="zh-CN"/>
                    </w:rPr>
                    <w:t>东</w:t>
                  </w:r>
                  <w:r>
                    <w:rPr>
                      <w:rFonts w:hint="eastAsia"/>
                      <w:snapToGrid w:val="0"/>
                      <w:color w:val="auto"/>
                      <w:sz w:val="21"/>
                      <w:szCs w:val="21"/>
                      <w:highlight w:val="none"/>
                    </w:rPr>
                    <w:t>北墙（</w:t>
                  </w:r>
                  <w:r>
                    <w:rPr>
                      <w:snapToGrid w:val="0"/>
                      <w:color w:val="auto"/>
                      <w:sz w:val="21"/>
                      <w:szCs w:val="21"/>
                      <w:highlight w:val="none"/>
                    </w:rPr>
                    <w:t>m</w:t>
                  </w:r>
                  <w:r>
                    <w:rPr>
                      <w:rFonts w:hint="eastAsia"/>
                      <w:snapToGrid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85" w:hRule="atLeast"/>
                <w:jc w:val="center"/>
              </w:trPr>
              <w:tc>
                <w:tcPr>
                  <w:tcW w:w="2821" w:type="dxa"/>
                  <w:vAlign w:val="center"/>
                </w:tcPr>
                <w:p>
                  <w:pPr>
                    <w:pStyle w:val="7"/>
                    <w:adjustRightInd w:val="0"/>
                    <w:snapToGrid w:val="0"/>
                    <w:ind w:firstLine="0" w:firstLineChars="0"/>
                    <w:jc w:val="center"/>
                    <w:rPr>
                      <w:snapToGrid w:val="0"/>
                      <w:color w:val="auto"/>
                      <w:sz w:val="21"/>
                      <w:szCs w:val="21"/>
                      <w:highlight w:val="none"/>
                    </w:rPr>
                  </w:pPr>
                  <w:r>
                    <w:rPr>
                      <w:snapToGrid w:val="0"/>
                      <w:color w:val="auto"/>
                      <w:sz w:val="21"/>
                      <w:szCs w:val="21"/>
                      <w:highlight w:val="none"/>
                    </w:rPr>
                    <w:t>1#</w:t>
                  </w:r>
                  <w:r>
                    <w:rPr>
                      <w:rFonts w:hint="eastAsia"/>
                      <w:snapToGrid w:val="0"/>
                      <w:color w:val="auto"/>
                      <w:sz w:val="21"/>
                      <w:szCs w:val="21"/>
                      <w:highlight w:val="none"/>
                    </w:rPr>
                    <w:t>主变压器</w:t>
                  </w:r>
                </w:p>
              </w:tc>
              <w:tc>
                <w:tcPr>
                  <w:tcW w:w="1244" w:type="dxa"/>
                  <w:vAlign w:val="center"/>
                </w:tcPr>
                <w:p>
                  <w:pPr>
                    <w:adjustRightInd w:val="0"/>
                    <w:snapToGrid w:val="0"/>
                    <w:jc w:val="center"/>
                    <w:rPr>
                      <w:rFonts w:hint="default" w:eastAsia="宋体"/>
                      <w:snapToGrid w:val="0"/>
                      <w:color w:val="auto"/>
                      <w:szCs w:val="21"/>
                      <w:highlight w:val="none"/>
                      <w:lang w:val="en-US" w:eastAsia="zh-CN"/>
                    </w:rPr>
                  </w:pPr>
                  <w:r>
                    <w:rPr>
                      <w:rFonts w:hint="eastAsia"/>
                      <w:snapToGrid w:val="0"/>
                      <w:color w:val="auto"/>
                      <w:szCs w:val="21"/>
                      <w:highlight w:val="none"/>
                      <w:lang w:val="en-US" w:eastAsia="zh-CN"/>
                    </w:rPr>
                    <w:t>57</w:t>
                  </w:r>
                </w:p>
              </w:tc>
              <w:tc>
                <w:tcPr>
                  <w:tcW w:w="1360" w:type="dxa"/>
                  <w:vAlign w:val="center"/>
                </w:tcPr>
                <w:p>
                  <w:pPr>
                    <w:adjustRightInd w:val="0"/>
                    <w:snapToGrid w:val="0"/>
                    <w:jc w:val="center"/>
                    <w:rPr>
                      <w:rFonts w:hint="default" w:eastAsia="宋体"/>
                      <w:snapToGrid w:val="0"/>
                      <w:color w:val="auto"/>
                      <w:szCs w:val="21"/>
                      <w:highlight w:val="none"/>
                      <w:lang w:val="en-US" w:eastAsia="zh-CN"/>
                    </w:rPr>
                  </w:pPr>
                  <w:r>
                    <w:rPr>
                      <w:rFonts w:hint="eastAsia"/>
                      <w:snapToGrid w:val="0"/>
                      <w:color w:val="auto"/>
                      <w:szCs w:val="21"/>
                      <w:highlight w:val="none"/>
                      <w:lang w:val="en-US" w:eastAsia="zh-CN"/>
                    </w:rPr>
                    <w:t>20</w:t>
                  </w:r>
                </w:p>
              </w:tc>
              <w:tc>
                <w:tcPr>
                  <w:tcW w:w="1246" w:type="dxa"/>
                  <w:vAlign w:val="center"/>
                </w:tcPr>
                <w:p>
                  <w:pPr>
                    <w:adjustRightInd w:val="0"/>
                    <w:snapToGrid w:val="0"/>
                    <w:jc w:val="center"/>
                    <w:rPr>
                      <w:snapToGrid w:val="0"/>
                      <w:color w:val="auto"/>
                      <w:szCs w:val="21"/>
                      <w:highlight w:val="none"/>
                    </w:rPr>
                  </w:pPr>
                  <w:r>
                    <w:rPr>
                      <w:rFonts w:hint="eastAsia"/>
                      <w:snapToGrid w:val="0"/>
                      <w:color w:val="auto"/>
                      <w:szCs w:val="21"/>
                      <w:highlight w:val="none"/>
                      <w:lang w:val="en-US" w:eastAsia="zh-CN"/>
                    </w:rPr>
                    <w:t>20</w:t>
                  </w:r>
                </w:p>
              </w:tc>
              <w:tc>
                <w:tcPr>
                  <w:tcW w:w="1354" w:type="dxa"/>
                  <w:vAlign w:val="center"/>
                </w:tcPr>
                <w:p>
                  <w:pPr>
                    <w:adjustRightInd w:val="0"/>
                    <w:snapToGrid w:val="0"/>
                    <w:jc w:val="center"/>
                    <w:rPr>
                      <w:rFonts w:hint="default" w:eastAsia="宋体"/>
                      <w:snapToGrid w:val="0"/>
                      <w:color w:val="auto"/>
                      <w:szCs w:val="21"/>
                      <w:highlight w:val="none"/>
                      <w:lang w:val="en-US" w:eastAsia="zh-CN"/>
                    </w:rPr>
                  </w:pPr>
                  <w:r>
                    <w:rPr>
                      <w:rFonts w:hint="eastAsia"/>
                      <w:snapToGrid w:val="0"/>
                      <w:color w:val="auto"/>
                      <w:szCs w:val="21"/>
                      <w:highlight w:val="none"/>
                      <w:lang w:val="en-US" w:eastAsia="zh-CN"/>
                    </w:rPr>
                    <w:t>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85" w:hRule="atLeast"/>
                <w:jc w:val="center"/>
              </w:trPr>
              <w:tc>
                <w:tcPr>
                  <w:tcW w:w="2821" w:type="dxa"/>
                  <w:vAlign w:val="center"/>
                </w:tcPr>
                <w:p>
                  <w:pPr>
                    <w:pStyle w:val="7"/>
                    <w:adjustRightInd w:val="0"/>
                    <w:snapToGrid w:val="0"/>
                    <w:ind w:firstLine="0" w:firstLineChars="0"/>
                    <w:jc w:val="center"/>
                    <w:rPr>
                      <w:snapToGrid w:val="0"/>
                      <w:color w:val="auto"/>
                      <w:sz w:val="21"/>
                      <w:szCs w:val="21"/>
                      <w:highlight w:val="none"/>
                    </w:rPr>
                  </w:pPr>
                  <w:r>
                    <w:rPr>
                      <w:snapToGrid w:val="0"/>
                      <w:color w:val="auto"/>
                      <w:sz w:val="21"/>
                      <w:szCs w:val="21"/>
                      <w:highlight w:val="none"/>
                    </w:rPr>
                    <w:t>2#</w:t>
                  </w:r>
                  <w:r>
                    <w:rPr>
                      <w:rFonts w:hint="eastAsia"/>
                      <w:snapToGrid w:val="0"/>
                      <w:color w:val="auto"/>
                      <w:sz w:val="21"/>
                      <w:szCs w:val="21"/>
                      <w:highlight w:val="none"/>
                    </w:rPr>
                    <w:t>主变压器</w:t>
                  </w:r>
                </w:p>
              </w:tc>
              <w:tc>
                <w:tcPr>
                  <w:tcW w:w="1244" w:type="dxa"/>
                  <w:vAlign w:val="center"/>
                </w:tcPr>
                <w:p>
                  <w:pPr>
                    <w:adjustRightInd w:val="0"/>
                    <w:snapToGrid w:val="0"/>
                    <w:jc w:val="center"/>
                    <w:rPr>
                      <w:rFonts w:hint="default" w:eastAsia="宋体"/>
                      <w:snapToGrid w:val="0"/>
                      <w:color w:val="auto"/>
                      <w:szCs w:val="21"/>
                      <w:highlight w:val="none"/>
                      <w:lang w:val="en-US" w:eastAsia="zh-CN"/>
                    </w:rPr>
                  </w:pPr>
                  <w:r>
                    <w:rPr>
                      <w:rFonts w:hint="eastAsia"/>
                      <w:snapToGrid w:val="0"/>
                      <w:color w:val="auto"/>
                      <w:szCs w:val="21"/>
                      <w:highlight w:val="none"/>
                      <w:lang w:val="en-US" w:eastAsia="zh-CN"/>
                    </w:rPr>
                    <w:t>41</w:t>
                  </w:r>
                </w:p>
              </w:tc>
              <w:tc>
                <w:tcPr>
                  <w:tcW w:w="1360" w:type="dxa"/>
                  <w:vAlign w:val="center"/>
                </w:tcPr>
                <w:p>
                  <w:pPr>
                    <w:adjustRightInd w:val="0"/>
                    <w:snapToGrid w:val="0"/>
                    <w:jc w:val="center"/>
                    <w:rPr>
                      <w:rFonts w:hint="default" w:eastAsia="宋体"/>
                      <w:snapToGrid w:val="0"/>
                      <w:color w:val="auto"/>
                      <w:szCs w:val="21"/>
                      <w:highlight w:val="none"/>
                      <w:lang w:val="en-US" w:eastAsia="zh-CN"/>
                    </w:rPr>
                  </w:pPr>
                  <w:r>
                    <w:rPr>
                      <w:rFonts w:hint="eastAsia"/>
                      <w:snapToGrid w:val="0"/>
                      <w:color w:val="auto"/>
                      <w:szCs w:val="21"/>
                      <w:highlight w:val="none"/>
                      <w:lang w:val="en-US" w:eastAsia="zh-CN"/>
                    </w:rPr>
                    <w:t>20</w:t>
                  </w:r>
                </w:p>
              </w:tc>
              <w:tc>
                <w:tcPr>
                  <w:tcW w:w="1246" w:type="dxa"/>
                  <w:vAlign w:val="center"/>
                </w:tcPr>
                <w:p>
                  <w:pPr>
                    <w:adjustRightInd w:val="0"/>
                    <w:snapToGrid w:val="0"/>
                    <w:jc w:val="center"/>
                    <w:rPr>
                      <w:rFonts w:hint="default" w:eastAsia="宋体"/>
                      <w:snapToGrid w:val="0"/>
                      <w:color w:val="auto"/>
                      <w:szCs w:val="21"/>
                      <w:highlight w:val="none"/>
                      <w:lang w:val="en-US" w:eastAsia="zh-CN"/>
                    </w:rPr>
                  </w:pPr>
                  <w:r>
                    <w:rPr>
                      <w:rFonts w:hint="eastAsia"/>
                      <w:snapToGrid w:val="0"/>
                      <w:color w:val="auto"/>
                      <w:szCs w:val="21"/>
                      <w:highlight w:val="none"/>
                      <w:lang w:val="en-US" w:eastAsia="zh-CN"/>
                    </w:rPr>
                    <w:t>36</w:t>
                  </w:r>
                </w:p>
              </w:tc>
              <w:tc>
                <w:tcPr>
                  <w:tcW w:w="1354" w:type="dxa"/>
                  <w:vAlign w:val="center"/>
                </w:tcPr>
                <w:p>
                  <w:pPr>
                    <w:adjustRightInd w:val="0"/>
                    <w:snapToGrid w:val="0"/>
                    <w:jc w:val="center"/>
                    <w:rPr>
                      <w:rFonts w:hint="default" w:eastAsia="宋体"/>
                      <w:snapToGrid w:val="0"/>
                      <w:color w:val="auto"/>
                      <w:szCs w:val="21"/>
                      <w:highlight w:val="none"/>
                      <w:lang w:val="en-US" w:eastAsia="zh-CN"/>
                    </w:rPr>
                  </w:pPr>
                  <w:r>
                    <w:rPr>
                      <w:rFonts w:hint="eastAsia"/>
                      <w:snapToGrid w:val="0"/>
                      <w:color w:val="auto"/>
                      <w:szCs w:val="21"/>
                      <w:highlight w:val="none"/>
                      <w:lang w:val="en-US" w:eastAsia="zh-CN"/>
                    </w:rPr>
                    <w:t>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85" w:hRule="atLeast"/>
                <w:jc w:val="center"/>
              </w:trPr>
              <w:tc>
                <w:tcPr>
                  <w:tcW w:w="2821" w:type="dxa"/>
                  <w:vAlign w:val="center"/>
                </w:tcPr>
                <w:p>
                  <w:pPr>
                    <w:pStyle w:val="7"/>
                    <w:adjustRightInd w:val="0"/>
                    <w:snapToGrid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snapToGrid w:val="0"/>
                      <w:color w:val="auto"/>
                      <w:sz w:val="21"/>
                      <w:szCs w:val="21"/>
                      <w:highlight w:val="none"/>
                      <w:lang w:val="en-US" w:eastAsia="zh-CN"/>
                    </w:rPr>
                    <w:t>1#风机</w:t>
                  </w:r>
                </w:p>
              </w:tc>
              <w:tc>
                <w:tcPr>
                  <w:tcW w:w="1244" w:type="dxa"/>
                  <w:vAlign w:val="center"/>
                </w:tcPr>
                <w:p>
                  <w:pPr>
                    <w:adjustRightInd w:val="0"/>
                    <w:snapToGrid w:val="0"/>
                    <w:jc w:val="center"/>
                    <w:rPr>
                      <w:rFonts w:hint="default"/>
                      <w:snapToGrid w:val="0"/>
                      <w:color w:val="auto"/>
                      <w:szCs w:val="21"/>
                      <w:highlight w:val="none"/>
                      <w:lang w:val="en-US" w:eastAsia="zh-CN"/>
                    </w:rPr>
                  </w:pPr>
                  <w:r>
                    <w:rPr>
                      <w:rFonts w:hint="eastAsia"/>
                      <w:snapToGrid w:val="0"/>
                      <w:color w:val="auto"/>
                      <w:szCs w:val="21"/>
                      <w:highlight w:val="none"/>
                      <w:lang w:val="en-US" w:eastAsia="zh-CN"/>
                    </w:rPr>
                    <w:t>37</w:t>
                  </w:r>
                </w:p>
              </w:tc>
              <w:tc>
                <w:tcPr>
                  <w:tcW w:w="1360" w:type="dxa"/>
                  <w:vAlign w:val="center"/>
                </w:tcPr>
                <w:p>
                  <w:pPr>
                    <w:adjustRightInd w:val="0"/>
                    <w:snapToGrid w:val="0"/>
                    <w:jc w:val="center"/>
                    <w:rPr>
                      <w:rFonts w:hint="default"/>
                      <w:snapToGrid w:val="0"/>
                      <w:color w:val="auto"/>
                      <w:szCs w:val="21"/>
                      <w:highlight w:val="none"/>
                      <w:lang w:val="en-US" w:eastAsia="zh-CN"/>
                    </w:rPr>
                  </w:pPr>
                  <w:r>
                    <w:rPr>
                      <w:rFonts w:hint="eastAsia"/>
                      <w:snapToGrid w:val="0"/>
                      <w:color w:val="auto"/>
                      <w:szCs w:val="21"/>
                      <w:highlight w:val="none"/>
                      <w:lang w:val="en-US" w:eastAsia="zh-CN"/>
                    </w:rPr>
                    <w:t>11</w:t>
                  </w:r>
                </w:p>
              </w:tc>
              <w:tc>
                <w:tcPr>
                  <w:tcW w:w="1246" w:type="dxa"/>
                  <w:vAlign w:val="center"/>
                </w:tcPr>
                <w:p>
                  <w:pPr>
                    <w:adjustRightInd w:val="0"/>
                    <w:snapToGrid w:val="0"/>
                    <w:jc w:val="center"/>
                    <w:rPr>
                      <w:rFonts w:hint="default"/>
                      <w:snapToGrid w:val="0"/>
                      <w:color w:val="auto"/>
                      <w:szCs w:val="21"/>
                      <w:highlight w:val="none"/>
                      <w:lang w:val="en-US" w:eastAsia="zh-CN"/>
                    </w:rPr>
                  </w:pPr>
                  <w:r>
                    <w:rPr>
                      <w:rFonts w:hint="eastAsia"/>
                      <w:snapToGrid w:val="0"/>
                      <w:color w:val="auto"/>
                      <w:szCs w:val="21"/>
                      <w:highlight w:val="none"/>
                      <w:lang w:val="en-US" w:eastAsia="zh-CN"/>
                    </w:rPr>
                    <w:t>48</w:t>
                  </w:r>
                </w:p>
              </w:tc>
              <w:tc>
                <w:tcPr>
                  <w:tcW w:w="1354" w:type="dxa"/>
                  <w:vAlign w:val="center"/>
                </w:tcPr>
                <w:p>
                  <w:pPr>
                    <w:adjustRightInd w:val="0"/>
                    <w:snapToGrid w:val="0"/>
                    <w:jc w:val="center"/>
                    <w:rPr>
                      <w:rFonts w:hint="default"/>
                      <w:snapToGrid w:val="0"/>
                      <w:color w:val="auto"/>
                      <w:szCs w:val="21"/>
                      <w:highlight w:val="none"/>
                      <w:lang w:val="en-US" w:eastAsia="zh-CN"/>
                    </w:rPr>
                  </w:pPr>
                  <w:r>
                    <w:rPr>
                      <w:rFonts w:hint="eastAsia"/>
                      <w:snapToGrid w:val="0"/>
                      <w:color w:val="auto"/>
                      <w:szCs w:val="21"/>
                      <w:highlight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85" w:hRule="atLeast"/>
                <w:jc w:val="center"/>
              </w:trPr>
              <w:tc>
                <w:tcPr>
                  <w:tcW w:w="2821" w:type="dxa"/>
                  <w:vAlign w:val="center"/>
                </w:tcPr>
                <w:p>
                  <w:pPr>
                    <w:pStyle w:val="7"/>
                    <w:adjustRightInd w:val="0"/>
                    <w:snapToGrid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snapToGrid w:val="0"/>
                      <w:color w:val="auto"/>
                      <w:sz w:val="21"/>
                      <w:szCs w:val="21"/>
                      <w:highlight w:val="none"/>
                      <w:lang w:val="en-US" w:eastAsia="zh-CN"/>
                    </w:rPr>
                    <w:t>2#风机</w:t>
                  </w:r>
                </w:p>
              </w:tc>
              <w:tc>
                <w:tcPr>
                  <w:tcW w:w="1244" w:type="dxa"/>
                  <w:vAlign w:val="center"/>
                </w:tcPr>
                <w:p>
                  <w:pPr>
                    <w:adjustRightInd w:val="0"/>
                    <w:snapToGrid w:val="0"/>
                    <w:jc w:val="center"/>
                    <w:rPr>
                      <w:rFonts w:hint="default"/>
                      <w:snapToGrid w:val="0"/>
                      <w:color w:val="auto"/>
                      <w:szCs w:val="21"/>
                      <w:highlight w:val="none"/>
                      <w:lang w:val="en-US" w:eastAsia="zh-CN"/>
                    </w:rPr>
                  </w:pPr>
                  <w:r>
                    <w:rPr>
                      <w:rFonts w:hint="eastAsia"/>
                      <w:snapToGrid w:val="0"/>
                      <w:color w:val="auto"/>
                      <w:szCs w:val="21"/>
                      <w:highlight w:val="none"/>
                      <w:lang w:val="en-US" w:eastAsia="zh-CN"/>
                    </w:rPr>
                    <w:t>32</w:t>
                  </w:r>
                </w:p>
              </w:tc>
              <w:tc>
                <w:tcPr>
                  <w:tcW w:w="1360" w:type="dxa"/>
                  <w:vAlign w:val="center"/>
                </w:tcPr>
                <w:p>
                  <w:pPr>
                    <w:adjustRightInd w:val="0"/>
                    <w:snapToGrid w:val="0"/>
                    <w:jc w:val="center"/>
                    <w:rPr>
                      <w:rFonts w:hint="default"/>
                      <w:snapToGrid w:val="0"/>
                      <w:color w:val="auto"/>
                      <w:szCs w:val="21"/>
                      <w:highlight w:val="none"/>
                      <w:lang w:val="en-US" w:eastAsia="zh-CN"/>
                    </w:rPr>
                  </w:pPr>
                  <w:r>
                    <w:rPr>
                      <w:rFonts w:hint="eastAsia"/>
                      <w:snapToGrid w:val="0"/>
                      <w:color w:val="auto"/>
                      <w:szCs w:val="21"/>
                      <w:highlight w:val="none"/>
                      <w:lang w:val="en-US" w:eastAsia="zh-CN"/>
                    </w:rPr>
                    <w:t>11</w:t>
                  </w:r>
                </w:p>
              </w:tc>
              <w:tc>
                <w:tcPr>
                  <w:tcW w:w="1246" w:type="dxa"/>
                  <w:vAlign w:val="center"/>
                </w:tcPr>
                <w:p>
                  <w:pPr>
                    <w:adjustRightInd w:val="0"/>
                    <w:snapToGrid w:val="0"/>
                    <w:jc w:val="center"/>
                    <w:rPr>
                      <w:rFonts w:hint="default"/>
                      <w:snapToGrid w:val="0"/>
                      <w:color w:val="auto"/>
                      <w:szCs w:val="21"/>
                      <w:highlight w:val="none"/>
                      <w:lang w:val="en-US" w:eastAsia="zh-CN"/>
                    </w:rPr>
                  </w:pPr>
                  <w:r>
                    <w:rPr>
                      <w:rFonts w:hint="eastAsia"/>
                      <w:snapToGrid w:val="0"/>
                      <w:color w:val="auto"/>
                      <w:szCs w:val="21"/>
                      <w:highlight w:val="none"/>
                      <w:lang w:val="en-US" w:eastAsia="zh-CN"/>
                    </w:rPr>
                    <w:t>53</w:t>
                  </w:r>
                </w:p>
              </w:tc>
              <w:tc>
                <w:tcPr>
                  <w:tcW w:w="1354" w:type="dxa"/>
                  <w:vAlign w:val="center"/>
                </w:tcPr>
                <w:p>
                  <w:pPr>
                    <w:adjustRightInd w:val="0"/>
                    <w:snapToGrid w:val="0"/>
                    <w:jc w:val="center"/>
                    <w:rPr>
                      <w:rFonts w:hint="default"/>
                      <w:snapToGrid w:val="0"/>
                      <w:color w:val="auto"/>
                      <w:szCs w:val="21"/>
                      <w:highlight w:val="none"/>
                      <w:lang w:val="en-US" w:eastAsia="zh-CN"/>
                    </w:rPr>
                  </w:pPr>
                  <w:r>
                    <w:rPr>
                      <w:rFonts w:hint="eastAsia"/>
                      <w:snapToGrid w:val="0"/>
                      <w:color w:val="auto"/>
                      <w:szCs w:val="21"/>
                      <w:highlight w:val="none"/>
                      <w:lang w:val="en-US" w:eastAsia="zh-CN"/>
                    </w:rPr>
                    <w:t>40</w:t>
                  </w:r>
                </w:p>
              </w:tc>
            </w:tr>
          </w:tbl>
          <w:p>
            <w:pPr>
              <w:pStyle w:val="7"/>
              <w:adjustRightInd w:val="0"/>
              <w:snapToGrid w:val="0"/>
              <w:spacing w:before="120" w:beforeLines="50" w:line="360" w:lineRule="auto"/>
              <w:ind w:firstLine="482"/>
              <w:rPr>
                <w:b/>
                <w:snapToGrid w:val="0"/>
                <w:color w:val="auto"/>
                <w:highlight w:val="none"/>
                <w:lang w:bidi="en-US"/>
              </w:rPr>
            </w:pPr>
            <w:r>
              <w:rPr>
                <w:b/>
                <w:snapToGrid w:val="0"/>
                <w:color w:val="auto"/>
                <w:highlight w:val="none"/>
              </w:rPr>
              <w:t xml:space="preserve"> 2</w:t>
            </w:r>
            <w:r>
              <w:rPr>
                <w:rFonts w:hint="eastAsia"/>
                <w:b/>
                <w:snapToGrid w:val="0"/>
                <w:color w:val="auto"/>
                <w:highlight w:val="none"/>
              </w:rPr>
              <w:t>）噪声预测计算</w:t>
            </w:r>
          </w:p>
          <w:p>
            <w:pPr>
              <w:pStyle w:val="7"/>
              <w:adjustRightInd w:val="0"/>
              <w:snapToGrid w:val="0"/>
              <w:spacing w:line="360" w:lineRule="auto"/>
              <w:ind w:firstLine="470" w:firstLineChars="196"/>
              <w:rPr>
                <w:snapToGrid w:val="0"/>
                <w:color w:val="auto"/>
                <w:highlight w:val="none"/>
              </w:rPr>
            </w:pPr>
            <w:r>
              <w:rPr>
                <w:rFonts w:hint="eastAsia"/>
                <w:snapToGrid w:val="0"/>
                <w:color w:val="auto"/>
                <w:highlight w:val="none"/>
              </w:rPr>
              <w:t>项目变电站为户外变电站，主变噪声经衰减达预测点的噪声值可采用以下预测模式进行计算：</w:t>
            </w:r>
          </w:p>
          <w:p>
            <w:pPr>
              <w:pStyle w:val="7"/>
              <w:adjustRightInd w:val="0"/>
              <w:snapToGrid w:val="0"/>
              <w:spacing w:line="360" w:lineRule="auto"/>
              <w:ind w:firstLine="1200" w:firstLineChars="500"/>
              <w:jc w:val="center"/>
              <w:rPr>
                <w:color w:val="auto"/>
                <w:position w:val="-14"/>
                <w:highlight w:val="none"/>
                <w:lang w:eastAsia="en-US"/>
              </w:rPr>
            </w:pPr>
            <w:r>
              <w:rPr>
                <w:color w:val="auto"/>
                <w:position w:val="-14"/>
                <w:highlight w:val="none"/>
                <w:lang w:eastAsia="en-US" w:bidi="en-US"/>
              </w:rPr>
              <w:object>
                <v:shape id="_x0000_i1025" o:spt="75" type="#_x0000_t75" style="height:17.85pt;width:165.9pt;" o:ole="t" filled="f" o:preferrelative="t" stroked="f" coordsize="21600,21600">
                  <v:path/>
                  <v:fill on="f" focussize="0,0"/>
                  <v:stroke on="f" joinstyle="miter"/>
                  <v:imagedata r:id="rId10" o:title=""/>
                  <o:lock v:ext="edit" aspectratio="t"/>
                  <w10:wrap type="none"/>
                  <w10:anchorlock/>
                </v:shape>
                <o:OLEObject Type="Embed" ProgID="Equation.3" ShapeID="_x0000_i1025" DrawAspect="Content" ObjectID="_1468075725" r:id="rId9">
                  <o:LockedField>false</o:LockedField>
                </o:OLEObject>
              </w:object>
            </w:r>
          </w:p>
          <w:p>
            <w:pPr>
              <w:pStyle w:val="7"/>
              <w:adjustRightInd w:val="0"/>
              <w:snapToGrid w:val="0"/>
              <w:spacing w:line="360" w:lineRule="auto"/>
              <w:ind w:firstLine="540" w:firstLineChars="225"/>
              <w:rPr>
                <w:color w:val="auto"/>
                <w:highlight w:val="none"/>
              </w:rPr>
            </w:pPr>
            <w:r>
              <w:rPr>
                <w:rFonts w:hint="eastAsia"/>
                <w:color w:val="auto"/>
                <w:highlight w:val="none"/>
              </w:rPr>
              <w:t>式中：</w:t>
            </w:r>
            <w:r>
              <w:rPr>
                <w:color w:val="auto"/>
                <w:highlight w:val="none"/>
              </w:rPr>
              <w:t>L</w:t>
            </w:r>
            <w:r>
              <w:rPr>
                <w:color w:val="auto"/>
                <w:highlight w:val="none"/>
                <w:vertAlign w:val="subscript"/>
              </w:rPr>
              <w:t>A</w:t>
            </w:r>
            <w:r>
              <w:rPr>
                <w:color w:val="auto"/>
                <w:highlight w:val="none"/>
              </w:rPr>
              <w:t>(r)——</w:t>
            </w:r>
            <w:r>
              <w:rPr>
                <w:rFonts w:hint="eastAsia"/>
                <w:color w:val="auto"/>
                <w:highlight w:val="none"/>
              </w:rPr>
              <w:t>预测点的噪声</w:t>
            </w:r>
            <w:r>
              <w:rPr>
                <w:color w:val="auto"/>
                <w:highlight w:val="none"/>
              </w:rPr>
              <w:t>A</w:t>
            </w:r>
            <w:r>
              <w:rPr>
                <w:rFonts w:hint="eastAsia"/>
                <w:color w:val="auto"/>
                <w:highlight w:val="none"/>
              </w:rPr>
              <w:t>声压级</w:t>
            </w:r>
            <w:r>
              <w:rPr>
                <w:color w:val="auto"/>
                <w:highlight w:val="none"/>
              </w:rPr>
              <w:t>dB</w:t>
            </w:r>
            <w:r>
              <w:rPr>
                <w:rFonts w:hint="eastAsia"/>
                <w:color w:val="auto"/>
                <w:highlight w:val="none"/>
              </w:rPr>
              <w:t>（</w:t>
            </w:r>
            <w:r>
              <w:rPr>
                <w:color w:val="auto"/>
                <w:highlight w:val="none"/>
              </w:rPr>
              <w:t>A</w:t>
            </w:r>
            <w:r>
              <w:rPr>
                <w:rFonts w:hint="eastAsia"/>
                <w:color w:val="auto"/>
                <w:highlight w:val="none"/>
              </w:rPr>
              <w:t>）；</w:t>
            </w:r>
          </w:p>
          <w:p>
            <w:pPr>
              <w:pStyle w:val="7"/>
              <w:adjustRightInd w:val="0"/>
              <w:snapToGrid w:val="0"/>
              <w:spacing w:line="360" w:lineRule="auto"/>
              <w:ind w:firstLine="1260" w:firstLineChars="525"/>
              <w:rPr>
                <w:color w:val="auto"/>
                <w:highlight w:val="none"/>
              </w:rPr>
            </w:pPr>
            <w:r>
              <w:rPr>
                <w:color w:val="auto"/>
                <w:highlight w:val="none"/>
              </w:rPr>
              <w:t>L</w:t>
            </w:r>
            <w:r>
              <w:rPr>
                <w:color w:val="auto"/>
                <w:highlight w:val="none"/>
                <w:vertAlign w:val="subscript"/>
              </w:rPr>
              <w:t>Aref</w:t>
            </w:r>
            <w:r>
              <w:rPr>
                <w:color w:val="auto"/>
                <w:highlight w:val="none"/>
              </w:rPr>
              <w:t>(r</w:t>
            </w:r>
            <w:r>
              <w:rPr>
                <w:color w:val="auto"/>
                <w:highlight w:val="none"/>
                <w:vertAlign w:val="subscript"/>
              </w:rPr>
              <w:t>0</w:t>
            </w:r>
            <w:r>
              <w:rPr>
                <w:color w:val="auto"/>
                <w:highlight w:val="none"/>
              </w:rPr>
              <w:t>)——</w:t>
            </w:r>
            <w:r>
              <w:rPr>
                <w:rFonts w:hint="eastAsia"/>
                <w:color w:val="auto"/>
                <w:highlight w:val="none"/>
              </w:rPr>
              <w:t>参照基准点的噪声</w:t>
            </w:r>
            <w:r>
              <w:rPr>
                <w:color w:val="auto"/>
                <w:highlight w:val="none"/>
              </w:rPr>
              <w:t>A</w:t>
            </w:r>
            <w:r>
              <w:rPr>
                <w:rFonts w:hint="eastAsia"/>
                <w:color w:val="auto"/>
                <w:highlight w:val="none"/>
              </w:rPr>
              <w:t>声压级</w:t>
            </w:r>
            <w:r>
              <w:rPr>
                <w:color w:val="auto"/>
                <w:highlight w:val="none"/>
              </w:rPr>
              <w:t>dB</w:t>
            </w:r>
            <w:r>
              <w:rPr>
                <w:rFonts w:hint="eastAsia"/>
                <w:color w:val="auto"/>
                <w:highlight w:val="none"/>
              </w:rPr>
              <w:t>（</w:t>
            </w:r>
            <w:r>
              <w:rPr>
                <w:color w:val="auto"/>
                <w:highlight w:val="none"/>
              </w:rPr>
              <w:t>A</w:t>
            </w:r>
            <w:r>
              <w:rPr>
                <w:rFonts w:hint="eastAsia"/>
                <w:color w:val="auto"/>
                <w:highlight w:val="none"/>
              </w:rPr>
              <w:t>）；</w:t>
            </w:r>
          </w:p>
          <w:p>
            <w:pPr>
              <w:pStyle w:val="7"/>
              <w:adjustRightInd w:val="0"/>
              <w:snapToGrid w:val="0"/>
              <w:spacing w:line="360" w:lineRule="auto"/>
              <w:ind w:firstLine="1260" w:firstLineChars="525"/>
              <w:rPr>
                <w:color w:val="auto"/>
                <w:highlight w:val="none"/>
              </w:rPr>
            </w:pPr>
            <w:r>
              <w:rPr>
                <w:color w:val="auto"/>
                <w:highlight w:val="none"/>
              </w:rPr>
              <w:t>r——</w:t>
            </w:r>
            <w:r>
              <w:rPr>
                <w:rFonts w:hint="eastAsia"/>
                <w:color w:val="auto"/>
                <w:highlight w:val="none"/>
              </w:rPr>
              <w:t>预测点到噪声源的距离</w:t>
            </w:r>
            <w:r>
              <w:rPr>
                <w:color w:val="auto"/>
                <w:highlight w:val="none"/>
              </w:rPr>
              <w:t>(m)</w:t>
            </w:r>
            <w:r>
              <w:rPr>
                <w:rFonts w:hint="eastAsia"/>
                <w:color w:val="auto"/>
                <w:highlight w:val="none"/>
              </w:rPr>
              <w:t>；</w:t>
            </w:r>
          </w:p>
          <w:p>
            <w:pPr>
              <w:pStyle w:val="7"/>
              <w:adjustRightInd w:val="0"/>
              <w:snapToGrid w:val="0"/>
              <w:spacing w:line="360" w:lineRule="auto"/>
              <w:ind w:firstLine="1260" w:firstLineChars="525"/>
              <w:rPr>
                <w:color w:val="auto"/>
                <w:highlight w:val="none"/>
              </w:rPr>
            </w:pPr>
            <w:r>
              <w:rPr>
                <w:color w:val="auto"/>
                <w:highlight w:val="none"/>
              </w:rPr>
              <w:t>r</w:t>
            </w:r>
            <w:r>
              <w:rPr>
                <w:color w:val="auto"/>
                <w:highlight w:val="none"/>
                <w:vertAlign w:val="subscript"/>
              </w:rPr>
              <w:t>0</w:t>
            </w:r>
            <w:r>
              <w:rPr>
                <w:color w:val="auto"/>
                <w:highlight w:val="none"/>
              </w:rPr>
              <w:t>——</w:t>
            </w:r>
            <w:r>
              <w:rPr>
                <w:rFonts w:hint="eastAsia"/>
                <w:color w:val="auto"/>
                <w:highlight w:val="none"/>
              </w:rPr>
              <w:t>参照点到噪声源的距离</w:t>
            </w:r>
            <w:r>
              <w:rPr>
                <w:color w:val="auto"/>
                <w:highlight w:val="none"/>
              </w:rPr>
              <w:t>(m)</w:t>
            </w:r>
            <w:r>
              <w:rPr>
                <w:rFonts w:hint="eastAsia"/>
                <w:color w:val="auto"/>
                <w:highlight w:val="none"/>
              </w:rPr>
              <w:t>。</w:t>
            </w:r>
          </w:p>
          <w:p>
            <w:pPr>
              <w:adjustRightInd w:val="0"/>
              <w:snapToGrid w:val="0"/>
              <w:spacing w:line="360" w:lineRule="auto"/>
              <w:ind w:firstLine="420" w:firstLineChars="200"/>
              <w:rPr>
                <w:color w:val="auto"/>
                <w:highlight w:val="none"/>
              </w:rPr>
            </w:pPr>
            <w:r>
              <w:rPr>
                <w:rFonts w:hint="eastAsia"/>
                <w:color w:val="auto"/>
                <w:highlight w:val="none"/>
              </w:rPr>
              <w:t>噪声叠加公式：</w:t>
            </w:r>
          </w:p>
          <w:p>
            <w:pPr>
              <w:adjustRightInd w:val="0"/>
              <w:snapToGrid w:val="0"/>
              <w:spacing w:line="360" w:lineRule="auto"/>
              <w:jc w:val="center"/>
              <w:rPr>
                <w:color w:val="auto"/>
                <w:highlight w:val="none"/>
              </w:rPr>
            </w:pPr>
            <w:r>
              <w:rPr>
                <w:color w:val="auto"/>
                <w:highlight w:val="none"/>
              </w:rPr>
              <w:t>Lep=10lg(10</w:t>
            </w:r>
            <w:r>
              <w:rPr>
                <w:color w:val="auto"/>
                <w:highlight w:val="none"/>
                <w:vertAlign w:val="superscript"/>
              </w:rPr>
              <w:t>0.1Leqa</w:t>
            </w:r>
            <w:r>
              <w:rPr>
                <w:color w:val="auto"/>
                <w:highlight w:val="none"/>
              </w:rPr>
              <w:t>+10</w:t>
            </w:r>
            <w:r>
              <w:rPr>
                <w:color w:val="auto"/>
                <w:highlight w:val="none"/>
                <w:vertAlign w:val="superscript"/>
              </w:rPr>
              <w:t>0.1Leqb</w:t>
            </w:r>
            <w:r>
              <w:rPr>
                <w:color w:val="auto"/>
                <w:highlight w:val="none"/>
              </w:rPr>
              <w:t>)</w:t>
            </w:r>
          </w:p>
          <w:p>
            <w:pPr>
              <w:pStyle w:val="7"/>
              <w:adjustRightInd w:val="0"/>
              <w:snapToGrid w:val="0"/>
              <w:spacing w:line="360" w:lineRule="auto"/>
              <w:ind w:firstLine="480"/>
              <w:rPr>
                <w:color w:val="auto"/>
                <w:highlight w:val="none"/>
              </w:rPr>
            </w:pPr>
            <w:r>
              <w:rPr>
                <w:rFonts w:hint="eastAsia"/>
                <w:color w:val="auto"/>
                <w:highlight w:val="none"/>
              </w:rPr>
              <w:t>式中：</w:t>
            </w:r>
            <w:r>
              <w:rPr>
                <w:color w:val="auto"/>
                <w:highlight w:val="none"/>
              </w:rPr>
              <w:t>Leqa—a</w:t>
            </w:r>
            <w:r>
              <w:rPr>
                <w:rFonts w:hint="eastAsia"/>
                <w:color w:val="auto"/>
                <w:highlight w:val="none"/>
              </w:rPr>
              <w:t>声源在预测点的等效声级贡献值，</w:t>
            </w:r>
            <w:r>
              <w:rPr>
                <w:color w:val="auto"/>
                <w:highlight w:val="none"/>
              </w:rPr>
              <w:t>dB(A)</w:t>
            </w:r>
            <w:r>
              <w:rPr>
                <w:rFonts w:hint="eastAsia"/>
                <w:color w:val="auto"/>
                <w:highlight w:val="none"/>
              </w:rPr>
              <w:t>；</w:t>
            </w:r>
          </w:p>
          <w:p>
            <w:pPr>
              <w:pStyle w:val="7"/>
              <w:adjustRightInd w:val="0"/>
              <w:snapToGrid w:val="0"/>
              <w:spacing w:line="360" w:lineRule="auto"/>
              <w:ind w:firstLine="1200" w:firstLineChars="500"/>
              <w:rPr>
                <w:color w:val="auto"/>
                <w:highlight w:val="none"/>
              </w:rPr>
            </w:pPr>
            <w:r>
              <w:rPr>
                <w:color w:val="auto"/>
                <w:highlight w:val="none"/>
              </w:rPr>
              <w:t>Leqb—b</w:t>
            </w:r>
            <w:r>
              <w:rPr>
                <w:rFonts w:hint="eastAsia"/>
                <w:color w:val="auto"/>
                <w:highlight w:val="none"/>
              </w:rPr>
              <w:t>声源在预测点的等效声级贡献值，</w:t>
            </w:r>
            <w:r>
              <w:rPr>
                <w:color w:val="auto"/>
                <w:highlight w:val="none"/>
              </w:rPr>
              <w:t>dB(A)</w:t>
            </w:r>
            <w:r>
              <w:rPr>
                <w:rFonts w:hint="eastAsia"/>
                <w:color w:val="auto"/>
                <w:highlight w:val="none"/>
              </w:rPr>
              <w:t>。</w:t>
            </w:r>
          </w:p>
          <w:p>
            <w:pPr>
              <w:pStyle w:val="7"/>
              <w:adjustRightInd w:val="0"/>
              <w:snapToGrid w:val="0"/>
              <w:spacing w:line="360" w:lineRule="auto"/>
              <w:ind w:firstLine="482"/>
              <w:rPr>
                <w:b/>
                <w:snapToGrid w:val="0"/>
                <w:color w:val="auto"/>
                <w:highlight w:val="none"/>
              </w:rPr>
            </w:pPr>
            <w:r>
              <w:rPr>
                <w:b/>
                <w:snapToGrid w:val="0"/>
                <w:color w:val="auto"/>
                <w:highlight w:val="none"/>
              </w:rPr>
              <w:t>3</w:t>
            </w:r>
            <w:r>
              <w:rPr>
                <w:rFonts w:hint="eastAsia"/>
                <w:b/>
                <w:snapToGrid w:val="0"/>
                <w:color w:val="auto"/>
                <w:highlight w:val="none"/>
              </w:rPr>
              <w:t>）变压器噪声影响分析</w:t>
            </w:r>
          </w:p>
          <w:p>
            <w:pPr>
              <w:pStyle w:val="7"/>
              <w:adjustRightInd w:val="0"/>
              <w:snapToGrid w:val="0"/>
              <w:spacing w:line="360" w:lineRule="auto"/>
              <w:ind w:firstLine="480"/>
              <w:rPr>
                <w:rFonts w:hint="eastAsia"/>
                <w:snapToGrid w:val="0"/>
                <w:color w:val="auto"/>
                <w:szCs w:val="24"/>
                <w:highlight w:val="none"/>
              </w:rPr>
            </w:pPr>
            <w:r>
              <w:rPr>
                <w:rFonts w:hint="eastAsia"/>
                <w:snapToGrid w:val="0"/>
                <w:color w:val="auto"/>
                <w:szCs w:val="24"/>
                <w:highlight w:val="none"/>
              </w:rPr>
              <w:t>本工程主变压器</w:t>
            </w:r>
            <w:r>
              <w:rPr>
                <w:rFonts w:hint="eastAsia"/>
                <w:snapToGrid w:val="0"/>
                <w:color w:val="auto"/>
                <w:szCs w:val="24"/>
                <w:highlight w:val="none"/>
                <w:lang w:eastAsia="zh-CN"/>
              </w:rPr>
              <w:t>和风机</w:t>
            </w:r>
            <w:r>
              <w:rPr>
                <w:rFonts w:hint="eastAsia"/>
                <w:snapToGrid w:val="0"/>
                <w:color w:val="auto"/>
                <w:szCs w:val="24"/>
                <w:highlight w:val="none"/>
              </w:rPr>
              <w:t>为户外布置，根据上述模式，计算得变压器</w:t>
            </w:r>
            <w:r>
              <w:rPr>
                <w:rFonts w:hint="eastAsia"/>
                <w:snapToGrid w:val="0"/>
                <w:color w:val="auto"/>
                <w:szCs w:val="24"/>
                <w:highlight w:val="none"/>
                <w:lang w:eastAsia="zh-CN"/>
              </w:rPr>
              <w:t>和风机</w:t>
            </w:r>
            <w:r>
              <w:rPr>
                <w:rFonts w:hint="eastAsia"/>
                <w:snapToGrid w:val="0"/>
                <w:color w:val="auto"/>
                <w:szCs w:val="24"/>
                <w:highlight w:val="none"/>
              </w:rPr>
              <w:t>在围墙外的噪声贡献值见表</w:t>
            </w:r>
            <w:r>
              <w:rPr>
                <w:snapToGrid w:val="0"/>
                <w:color w:val="auto"/>
                <w:szCs w:val="24"/>
                <w:highlight w:val="none"/>
              </w:rPr>
              <w:t>4-</w:t>
            </w:r>
            <w:r>
              <w:rPr>
                <w:rFonts w:hint="eastAsia"/>
                <w:snapToGrid w:val="0"/>
                <w:color w:val="auto"/>
                <w:szCs w:val="24"/>
                <w:highlight w:val="none"/>
                <w:lang w:val="en-US" w:eastAsia="zh-CN"/>
              </w:rPr>
              <w:t>6</w:t>
            </w:r>
            <w:r>
              <w:rPr>
                <w:rFonts w:hint="eastAsia"/>
                <w:snapToGrid w:val="0"/>
                <w:color w:val="auto"/>
                <w:szCs w:val="24"/>
                <w:highlight w:val="none"/>
              </w:rPr>
              <w:t>。</w:t>
            </w:r>
          </w:p>
          <w:p>
            <w:pPr>
              <w:rPr>
                <w:rFonts w:hint="eastAsia"/>
                <w:snapToGrid w:val="0"/>
                <w:color w:val="auto"/>
                <w:szCs w:val="24"/>
                <w:highlight w:val="none"/>
              </w:rPr>
            </w:pPr>
          </w:p>
          <w:p>
            <w:pPr>
              <w:rPr>
                <w:rFonts w:hint="eastAsia"/>
                <w:snapToGrid w:val="0"/>
                <w:color w:val="auto"/>
                <w:szCs w:val="24"/>
                <w:highlight w:val="none"/>
              </w:rPr>
            </w:pPr>
          </w:p>
          <w:p>
            <w:pPr>
              <w:pStyle w:val="7"/>
              <w:adjustRightInd w:val="0"/>
              <w:snapToGrid w:val="0"/>
              <w:ind w:firstLine="482"/>
              <w:jc w:val="center"/>
              <w:rPr>
                <w:b/>
                <w:snapToGrid w:val="0"/>
                <w:color w:val="auto"/>
                <w:szCs w:val="24"/>
                <w:highlight w:val="none"/>
              </w:rPr>
            </w:pPr>
            <w:r>
              <w:rPr>
                <w:rFonts w:hint="eastAsia"/>
                <w:b/>
                <w:snapToGrid w:val="0"/>
                <w:color w:val="auto"/>
                <w:szCs w:val="24"/>
                <w:highlight w:val="none"/>
              </w:rPr>
              <w:t>表</w:t>
            </w:r>
            <w:r>
              <w:rPr>
                <w:b/>
                <w:snapToGrid w:val="0"/>
                <w:color w:val="auto"/>
                <w:szCs w:val="24"/>
                <w:highlight w:val="none"/>
              </w:rPr>
              <w:t>4-</w:t>
            </w:r>
            <w:r>
              <w:rPr>
                <w:rFonts w:hint="eastAsia"/>
                <w:b/>
                <w:snapToGrid w:val="0"/>
                <w:color w:val="auto"/>
                <w:szCs w:val="24"/>
                <w:highlight w:val="none"/>
                <w:lang w:val="en-US" w:eastAsia="zh-CN"/>
              </w:rPr>
              <w:t>6</w:t>
            </w:r>
            <w:r>
              <w:rPr>
                <w:b/>
                <w:snapToGrid w:val="0"/>
                <w:color w:val="auto"/>
                <w:szCs w:val="24"/>
                <w:highlight w:val="none"/>
              </w:rPr>
              <w:t xml:space="preserve">  </w:t>
            </w:r>
            <w:r>
              <w:rPr>
                <w:rFonts w:hint="eastAsia"/>
                <w:b/>
                <w:snapToGrid w:val="0"/>
                <w:color w:val="auto"/>
                <w:szCs w:val="24"/>
                <w:highlight w:val="none"/>
              </w:rPr>
              <w:t>各变压器</w:t>
            </w:r>
            <w:r>
              <w:rPr>
                <w:rFonts w:hint="eastAsia"/>
                <w:b/>
                <w:snapToGrid w:val="0"/>
                <w:color w:val="auto"/>
                <w:szCs w:val="24"/>
                <w:highlight w:val="none"/>
                <w:lang w:eastAsia="zh-CN"/>
              </w:rPr>
              <w:t>和风机</w:t>
            </w:r>
            <w:r>
              <w:rPr>
                <w:rFonts w:hint="eastAsia"/>
                <w:b/>
                <w:snapToGrid w:val="0"/>
                <w:color w:val="auto"/>
                <w:szCs w:val="24"/>
                <w:highlight w:val="none"/>
              </w:rPr>
              <w:t>在围墙外噪声贡献值统计表</w:t>
            </w:r>
            <w:r>
              <w:rPr>
                <w:b/>
                <w:snapToGrid w:val="0"/>
                <w:color w:val="auto"/>
                <w:szCs w:val="24"/>
                <w:highlight w:val="none"/>
              </w:rPr>
              <w:t xml:space="preserve">  </w:t>
            </w:r>
            <w:r>
              <w:rPr>
                <w:rFonts w:hint="eastAsia"/>
                <w:b/>
                <w:snapToGrid w:val="0"/>
                <w:color w:val="auto"/>
                <w:szCs w:val="24"/>
                <w:highlight w:val="none"/>
              </w:rPr>
              <w:t>单位：</w:t>
            </w:r>
            <w:r>
              <w:rPr>
                <w:b/>
                <w:snapToGrid w:val="0"/>
                <w:color w:val="auto"/>
                <w:szCs w:val="24"/>
                <w:highlight w:val="none"/>
              </w:rPr>
              <w:t>dB</w:t>
            </w:r>
            <w:r>
              <w:rPr>
                <w:rFonts w:hint="eastAsia"/>
                <w:b/>
                <w:snapToGrid w:val="0"/>
                <w:color w:val="auto"/>
                <w:szCs w:val="24"/>
                <w:highlight w:val="none"/>
              </w:rPr>
              <w:t>（</w:t>
            </w:r>
            <w:r>
              <w:rPr>
                <w:b/>
                <w:snapToGrid w:val="0"/>
                <w:color w:val="auto"/>
                <w:szCs w:val="24"/>
                <w:highlight w:val="none"/>
              </w:rPr>
              <w:t>A</w:t>
            </w:r>
            <w:r>
              <w:rPr>
                <w:rFonts w:hint="eastAsia"/>
                <w:b/>
                <w:snapToGrid w:val="0"/>
                <w:color w:val="auto"/>
                <w:szCs w:val="24"/>
                <w:highlight w:val="none"/>
              </w:rPr>
              <w:t>）</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6" w:type="dxa"/>
                <w:bottom w:w="0" w:type="dxa"/>
                <w:right w:w="6" w:type="dxa"/>
              </w:tblCellMar>
            </w:tblPr>
            <w:tblGrid>
              <w:gridCol w:w="1800"/>
              <w:gridCol w:w="1526"/>
              <w:gridCol w:w="1372"/>
              <w:gridCol w:w="1372"/>
              <w:gridCol w:w="170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39" w:hRule="atLeast"/>
                <w:jc w:val="center"/>
              </w:trPr>
              <w:tc>
                <w:tcPr>
                  <w:tcW w:w="1158" w:type="pct"/>
                  <w:vMerge w:val="restart"/>
                  <w:vAlign w:val="center"/>
                </w:tcPr>
                <w:p>
                  <w:pPr>
                    <w:pStyle w:val="7"/>
                    <w:adjustRightInd w:val="0"/>
                    <w:snapToGrid w:val="0"/>
                    <w:ind w:firstLine="0" w:firstLineChars="0"/>
                    <w:jc w:val="center"/>
                    <w:rPr>
                      <w:snapToGrid w:val="0"/>
                      <w:color w:val="auto"/>
                      <w:sz w:val="21"/>
                      <w:szCs w:val="21"/>
                      <w:highlight w:val="none"/>
                      <w:lang w:eastAsia="en-US"/>
                    </w:rPr>
                  </w:pPr>
                  <w:r>
                    <w:rPr>
                      <w:rFonts w:hint="eastAsia"/>
                      <w:snapToGrid w:val="0"/>
                      <w:color w:val="auto"/>
                      <w:sz w:val="21"/>
                      <w:szCs w:val="21"/>
                      <w:highlight w:val="none"/>
                    </w:rPr>
                    <w:t>主变压器</w:t>
                  </w:r>
                </w:p>
              </w:tc>
              <w:tc>
                <w:tcPr>
                  <w:tcW w:w="3841" w:type="pct"/>
                  <w:gridSpan w:val="4"/>
                  <w:vAlign w:val="center"/>
                </w:tcPr>
                <w:p>
                  <w:pPr>
                    <w:pStyle w:val="7"/>
                    <w:adjustRightInd w:val="0"/>
                    <w:snapToGrid w:val="0"/>
                    <w:ind w:firstLine="0" w:firstLineChars="0"/>
                    <w:jc w:val="center"/>
                    <w:rPr>
                      <w:snapToGrid w:val="0"/>
                      <w:color w:val="auto"/>
                      <w:sz w:val="21"/>
                      <w:szCs w:val="21"/>
                      <w:highlight w:val="none"/>
                    </w:rPr>
                  </w:pPr>
                  <w:r>
                    <w:rPr>
                      <w:rFonts w:hint="eastAsia"/>
                      <w:snapToGrid w:val="0"/>
                      <w:color w:val="auto"/>
                      <w:sz w:val="21"/>
                      <w:szCs w:val="21"/>
                      <w:highlight w:val="none"/>
                    </w:rPr>
                    <w:t>变电站墙体外</w:t>
                  </w:r>
                  <w:r>
                    <w:rPr>
                      <w:snapToGrid w:val="0"/>
                      <w:color w:val="auto"/>
                      <w:sz w:val="21"/>
                      <w:szCs w:val="21"/>
                      <w:highlight w:val="none"/>
                    </w:rPr>
                    <w:t>1m</w:t>
                  </w:r>
                  <w:r>
                    <w:rPr>
                      <w:rFonts w:hint="eastAsia"/>
                      <w:snapToGrid w:val="0"/>
                      <w:color w:val="auto"/>
                      <w:sz w:val="21"/>
                      <w:szCs w:val="21"/>
                      <w:highlight w:val="none"/>
                    </w:rPr>
                    <w:t>处噪声贡献值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401" w:hRule="atLeast"/>
                <w:jc w:val="center"/>
              </w:trPr>
              <w:tc>
                <w:tcPr>
                  <w:tcW w:w="1158" w:type="pct"/>
                  <w:vMerge w:val="continue"/>
                  <w:vAlign w:val="center"/>
                </w:tcPr>
                <w:p>
                  <w:pPr>
                    <w:widowControl/>
                    <w:jc w:val="left"/>
                    <w:rPr>
                      <w:rFonts w:eastAsiaTheme="minorEastAsia"/>
                      <w:snapToGrid w:val="0"/>
                      <w:color w:val="auto"/>
                      <w:szCs w:val="21"/>
                      <w:highlight w:val="none"/>
                    </w:rPr>
                  </w:pPr>
                </w:p>
              </w:tc>
              <w:tc>
                <w:tcPr>
                  <w:tcW w:w="1526" w:type="dxa"/>
                  <w:vAlign w:val="center"/>
                </w:tcPr>
                <w:p>
                  <w:pPr>
                    <w:pStyle w:val="7"/>
                    <w:adjustRightInd w:val="0"/>
                    <w:snapToGrid w:val="0"/>
                    <w:ind w:firstLine="0" w:firstLineChars="0"/>
                    <w:jc w:val="center"/>
                    <w:rPr>
                      <w:snapToGrid w:val="0"/>
                      <w:color w:val="auto"/>
                      <w:sz w:val="21"/>
                      <w:szCs w:val="21"/>
                      <w:highlight w:val="none"/>
                    </w:rPr>
                  </w:pPr>
                  <w:r>
                    <w:rPr>
                      <w:rFonts w:hint="eastAsia"/>
                      <w:snapToGrid w:val="0"/>
                      <w:color w:val="auto"/>
                      <w:sz w:val="21"/>
                      <w:szCs w:val="21"/>
                      <w:highlight w:val="none"/>
                    </w:rPr>
                    <w:t>东</w:t>
                  </w:r>
                  <w:r>
                    <w:rPr>
                      <w:rFonts w:hint="eastAsia"/>
                      <w:snapToGrid w:val="0"/>
                      <w:color w:val="auto"/>
                      <w:sz w:val="21"/>
                      <w:szCs w:val="21"/>
                      <w:highlight w:val="none"/>
                      <w:lang w:eastAsia="zh-CN"/>
                    </w:rPr>
                    <w:t>南</w:t>
                  </w:r>
                  <w:r>
                    <w:rPr>
                      <w:rFonts w:hint="eastAsia"/>
                      <w:snapToGrid w:val="0"/>
                      <w:color w:val="auto"/>
                      <w:sz w:val="21"/>
                      <w:szCs w:val="21"/>
                      <w:highlight w:val="none"/>
                    </w:rPr>
                    <w:t>墙</w:t>
                  </w:r>
                </w:p>
              </w:tc>
              <w:tc>
                <w:tcPr>
                  <w:tcW w:w="1372" w:type="dxa"/>
                  <w:vAlign w:val="center"/>
                </w:tcPr>
                <w:p>
                  <w:pPr>
                    <w:pStyle w:val="7"/>
                    <w:adjustRightInd w:val="0"/>
                    <w:snapToGrid w:val="0"/>
                    <w:ind w:firstLine="0" w:firstLineChars="0"/>
                    <w:jc w:val="center"/>
                    <w:rPr>
                      <w:snapToGrid w:val="0"/>
                      <w:color w:val="auto"/>
                      <w:sz w:val="21"/>
                      <w:szCs w:val="21"/>
                      <w:highlight w:val="none"/>
                    </w:rPr>
                  </w:pPr>
                  <w:r>
                    <w:rPr>
                      <w:rFonts w:hint="eastAsia"/>
                      <w:snapToGrid w:val="0"/>
                      <w:color w:val="auto"/>
                      <w:sz w:val="21"/>
                      <w:szCs w:val="21"/>
                      <w:highlight w:val="none"/>
                      <w:lang w:eastAsia="zh-CN"/>
                    </w:rPr>
                    <w:t>西</w:t>
                  </w:r>
                  <w:r>
                    <w:rPr>
                      <w:rFonts w:hint="eastAsia"/>
                      <w:snapToGrid w:val="0"/>
                      <w:color w:val="auto"/>
                      <w:sz w:val="21"/>
                      <w:szCs w:val="21"/>
                      <w:highlight w:val="none"/>
                    </w:rPr>
                    <w:t>南墙</w:t>
                  </w:r>
                </w:p>
              </w:tc>
              <w:tc>
                <w:tcPr>
                  <w:tcW w:w="1372" w:type="dxa"/>
                  <w:vAlign w:val="center"/>
                </w:tcPr>
                <w:p>
                  <w:pPr>
                    <w:pStyle w:val="7"/>
                    <w:adjustRightInd w:val="0"/>
                    <w:snapToGrid w:val="0"/>
                    <w:ind w:firstLine="0" w:firstLineChars="0"/>
                    <w:jc w:val="center"/>
                    <w:rPr>
                      <w:snapToGrid w:val="0"/>
                      <w:color w:val="auto"/>
                      <w:sz w:val="21"/>
                      <w:szCs w:val="21"/>
                      <w:highlight w:val="none"/>
                    </w:rPr>
                  </w:pPr>
                  <w:r>
                    <w:rPr>
                      <w:rFonts w:hint="eastAsia"/>
                      <w:snapToGrid w:val="0"/>
                      <w:color w:val="auto"/>
                      <w:sz w:val="21"/>
                      <w:szCs w:val="21"/>
                      <w:highlight w:val="none"/>
                    </w:rPr>
                    <w:t>西</w:t>
                  </w:r>
                  <w:r>
                    <w:rPr>
                      <w:rFonts w:hint="eastAsia"/>
                      <w:snapToGrid w:val="0"/>
                      <w:color w:val="auto"/>
                      <w:sz w:val="21"/>
                      <w:szCs w:val="21"/>
                      <w:highlight w:val="none"/>
                      <w:lang w:eastAsia="zh-CN"/>
                    </w:rPr>
                    <w:t>北</w:t>
                  </w:r>
                  <w:r>
                    <w:rPr>
                      <w:rFonts w:hint="eastAsia"/>
                      <w:snapToGrid w:val="0"/>
                      <w:color w:val="auto"/>
                      <w:sz w:val="21"/>
                      <w:szCs w:val="21"/>
                      <w:highlight w:val="none"/>
                    </w:rPr>
                    <w:t>墙</w:t>
                  </w:r>
                </w:p>
              </w:tc>
              <w:tc>
                <w:tcPr>
                  <w:tcW w:w="1704" w:type="dxa"/>
                  <w:vAlign w:val="center"/>
                </w:tcPr>
                <w:p>
                  <w:pPr>
                    <w:pStyle w:val="7"/>
                    <w:adjustRightInd w:val="0"/>
                    <w:snapToGrid w:val="0"/>
                    <w:ind w:firstLine="0" w:firstLineChars="0"/>
                    <w:jc w:val="center"/>
                    <w:rPr>
                      <w:snapToGrid w:val="0"/>
                      <w:color w:val="auto"/>
                      <w:sz w:val="21"/>
                      <w:szCs w:val="21"/>
                      <w:highlight w:val="none"/>
                    </w:rPr>
                  </w:pPr>
                  <w:r>
                    <w:rPr>
                      <w:rFonts w:hint="eastAsia"/>
                      <w:snapToGrid w:val="0"/>
                      <w:color w:val="auto"/>
                      <w:sz w:val="21"/>
                      <w:szCs w:val="21"/>
                      <w:highlight w:val="none"/>
                      <w:lang w:eastAsia="zh-CN"/>
                    </w:rPr>
                    <w:t>东</w:t>
                  </w:r>
                  <w:r>
                    <w:rPr>
                      <w:rFonts w:hint="eastAsia"/>
                      <w:snapToGrid w:val="0"/>
                      <w:color w:val="auto"/>
                      <w:sz w:val="21"/>
                      <w:szCs w:val="21"/>
                      <w:highlight w:val="none"/>
                    </w:rPr>
                    <w:t>北墙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407" w:hRule="atLeast"/>
                <w:jc w:val="center"/>
              </w:trPr>
              <w:tc>
                <w:tcPr>
                  <w:tcW w:w="1158" w:type="pct"/>
                  <w:vAlign w:val="center"/>
                </w:tcPr>
                <w:p>
                  <w:pPr>
                    <w:pStyle w:val="7"/>
                    <w:adjustRightInd w:val="0"/>
                    <w:snapToGrid w:val="0"/>
                    <w:ind w:firstLine="0" w:firstLineChars="0"/>
                    <w:jc w:val="center"/>
                    <w:rPr>
                      <w:snapToGrid w:val="0"/>
                      <w:color w:val="auto"/>
                      <w:sz w:val="21"/>
                      <w:szCs w:val="21"/>
                      <w:highlight w:val="none"/>
                    </w:rPr>
                  </w:pPr>
                  <w:r>
                    <w:rPr>
                      <w:snapToGrid w:val="0"/>
                      <w:color w:val="auto"/>
                      <w:sz w:val="21"/>
                      <w:szCs w:val="21"/>
                      <w:highlight w:val="none"/>
                    </w:rPr>
                    <w:t>1#</w:t>
                  </w:r>
                  <w:r>
                    <w:rPr>
                      <w:rFonts w:hint="eastAsia"/>
                      <w:snapToGrid w:val="0"/>
                      <w:color w:val="auto"/>
                      <w:sz w:val="21"/>
                      <w:szCs w:val="21"/>
                      <w:highlight w:val="none"/>
                    </w:rPr>
                    <w:t>主变压器</w:t>
                  </w:r>
                </w:p>
              </w:tc>
              <w:tc>
                <w:tcPr>
                  <w:tcW w:w="1526" w:type="dxa"/>
                  <w:vAlign w:val="center"/>
                </w:tcPr>
                <w:p>
                  <w:pPr>
                    <w:pStyle w:val="7"/>
                    <w:adjustRightInd w:val="0"/>
                    <w:snapToGrid w:val="0"/>
                    <w:ind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 xml:space="preserve">29.9 </w:t>
                  </w:r>
                </w:p>
              </w:tc>
              <w:tc>
                <w:tcPr>
                  <w:tcW w:w="1372" w:type="dxa"/>
                  <w:vAlign w:val="center"/>
                </w:tcPr>
                <w:p>
                  <w:pPr>
                    <w:pStyle w:val="7"/>
                    <w:adjustRightInd w:val="0"/>
                    <w:snapToGrid w:val="0"/>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 xml:space="preserve">39.0 </w:t>
                  </w:r>
                </w:p>
              </w:tc>
              <w:tc>
                <w:tcPr>
                  <w:tcW w:w="1372" w:type="dxa"/>
                  <w:vAlign w:val="center"/>
                </w:tcPr>
                <w:p>
                  <w:pPr>
                    <w:pStyle w:val="7"/>
                    <w:adjustRightInd w:val="0"/>
                    <w:snapToGrid w:val="0"/>
                    <w:ind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 xml:space="preserve">39.0 </w:t>
                  </w:r>
                </w:p>
              </w:tc>
              <w:tc>
                <w:tcPr>
                  <w:tcW w:w="1704" w:type="dxa"/>
                  <w:vAlign w:val="center"/>
                </w:tcPr>
                <w:p>
                  <w:pPr>
                    <w:pStyle w:val="7"/>
                    <w:adjustRightInd w:val="0"/>
                    <w:snapToGrid w:val="0"/>
                    <w:ind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 xml:space="preserve">37.4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414" w:hRule="atLeast"/>
                <w:jc w:val="center"/>
              </w:trPr>
              <w:tc>
                <w:tcPr>
                  <w:tcW w:w="1158" w:type="pct"/>
                  <w:vAlign w:val="center"/>
                </w:tcPr>
                <w:p>
                  <w:pPr>
                    <w:pStyle w:val="7"/>
                    <w:adjustRightInd w:val="0"/>
                    <w:snapToGrid w:val="0"/>
                    <w:ind w:firstLine="0" w:firstLineChars="0"/>
                    <w:jc w:val="center"/>
                    <w:rPr>
                      <w:snapToGrid w:val="0"/>
                      <w:color w:val="auto"/>
                      <w:sz w:val="21"/>
                      <w:szCs w:val="21"/>
                      <w:highlight w:val="none"/>
                    </w:rPr>
                  </w:pPr>
                  <w:r>
                    <w:rPr>
                      <w:snapToGrid w:val="0"/>
                      <w:color w:val="auto"/>
                      <w:sz w:val="21"/>
                      <w:szCs w:val="21"/>
                      <w:highlight w:val="none"/>
                    </w:rPr>
                    <w:t>2#</w:t>
                  </w:r>
                  <w:r>
                    <w:rPr>
                      <w:rFonts w:hint="eastAsia"/>
                      <w:snapToGrid w:val="0"/>
                      <w:color w:val="auto"/>
                      <w:sz w:val="21"/>
                      <w:szCs w:val="21"/>
                      <w:highlight w:val="none"/>
                    </w:rPr>
                    <w:t>主变压器</w:t>
                  </w:r>
                </w:p>
              </w:tc>
              <w:tc>
                <w:tcPr>
                  <w:tcW w:w="1526" w:type="dxa"/>
                  <w:vAlign w:val="center"/>
                </w:tcPr>
                <w:p>
                  <w:pPr>
                    <w:pStyle w:val="7"/>
                    <w:adjustRightInd w:val="0"/>
                    <w:snapToGrid w:val="0"/>
                    <w:ind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 xml:space="preserve">32.7 </w:t>
                  </w:r>
                </w:p>
              </w:tc>
              <w:tc>
                <w:tcPr>
                  <w:tcW w:w="1372" w:type="dxa"/>
                  <w:vAlign w:val="center"/>
                </w:tcPr>
                <w:p>
                  <w:pPr>
                    <w:pStyle w:val="7"/>
                    <w:adjustRightInd w:val="0"/>
                    <w:snapToGrid w:val="0"/>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 xml:space="preserve">39.0 </w:t>
                  </w:r>
                </w:p>
              </w:tc>
              <w:tc>
                <w:tcPr>
                  <w:tcW w:w="1372" w:type="dxa"/>
                  <w:vAlign w:val="center"/>
                </w:tcPr>
                <w:p>
                  <w:pPr>
                    <w:pStyle w:val="7"/>
                    <w:adjustRightInd w:val="0"/>
                    <w:snapToGrid w:val="0"/>
                    <w:ind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 xml:space="preserve">33.9 </w:t>
                  </w:r>
                </w:p>
              </w:tc>
              <w:tc>
                <w:tcPr>
                  <w:tcW w:w="1704" w:type="dxa"/>
                  <w:vAlign w:val="center"/>
                </w:tcPr>
                <w:p>
                  <w:pPr>
                    <w:pStyle w:val="7"/>
                    <w:adjustRightInd w:val="0"/>
                    <w:snapToGrid w:val="0"/>
                    <w:ind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 xml:space="preserve">37.4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414" w:hRule="atLeast"/>
                <w:jc w:val="center"/>
              </w:trPr>
              <w:tc>
                <w:tcPr>
                  <w:tcW w:w="1800" w:type="dxa"/>
                  <w:vAlign w:val="center"/>
                </w:tcPr>
                <w:p>
                  <w:pPr>
                    <w:pStyle w:val="7"/>
                    <w:adjustRightInd w:val="0"/>
                    <w:snapToGrid w:val="0"/>
                    <w:ind w:firstLine="0" w:firstLineChars="0"/>
                    <w:jc w:val="center"/>
                    <w:rPr>
                      <w:snapToGrid w:val="0"/>
                      <w:color w:val="auto"/>
                      <w:sz w:val="21"/>
                      <w:szCs w:val="21"/>
                      <w:highlight w:val="none"/>
                    </w:rPr>
                  </w:pPr>
                  <w:r>
                    <w:rPr>
                      <w:rFonts w:hint="eastAsia"/>
                      <w:snapToGrid w:val="0"/>
                      <w:color w:val="auto"/>
                      <w:sz w:val="21"/>
                      <w:szCs w:val="21"/>
                      <w:highlight w:val="none"/>
                      <w:lang w:val="en-US" w:eastAsia="zh-CN"/>
                    </w:rPr>
                    <w:t>1#风机</w:t>
                  </w:r>
                </w:p>
              </w:tc>
              <w:tc>
                <w:tcPr>
                  <w:tcW w:w="1526" w:type="dxa"/>
                  <w:vAlign w:val="center"/>
                </w:tcPr>
                <w:p>
                  <w:pPr>
                    <w:pStyle w:val="7"/>
                    <w:adjustRightInd w:val="0"/>
                    <w:snapToGrid w:val="0"/>
                    <w:ind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 xml:space="preserve">38.6 </w:t>
                  </w:r>
                </w:p>
              </w:tc>
              <w:tc>
                <w:tcPr>
                  <w:tcW w:w="1372" w:type="dxa"/>
                  <w:vAlign w:val="center"/>
                </w:tcPr>
                <w:p>
                  <w:pPr>
                    <w:pStyle w:val="7"/>
                    <w:adjustRightInd w:val="0"/>
                    <w:snapToGrid w:val="0"/>
                    <w:ind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 xml:space="preserve">49.2 </w:t>
                  </w:r>
                </w:p>
              </w:tc>
              <w:tc>
                <w:tcPr>
                  <w:tcW w:w="1372" w:type="dxa"/>
                  <w:vAlign w:val="center"/>
                </w:tcPr>
                <w:p>
                  <w:pPr>
                    <w:pStyle w:val="7"/>
                    <w:adjustRightInd w:val="0"/>
                    <w:snapToGrid w:val="0"/>
                    <w:ind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 xml:space="preserve">36.4 </w:t>
                  </w:r>
                </w:p>
              </w:tc>
              <w:tc>
                <w:tcPr>
                  <w:tcW w:w="1704" w:type="dxa"/>
                  <w:vAlign w:val="center"/>
                </w:tcPr>
                <w:p>
                  <w:pPr>
                    <w:pStyle w:val="7"/>
                    <w:adjustRightInd w:val="0"/>
                    <w:snapToGrid w:val="0"/>
                    <w:ind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 xml:space="preserve">38.0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414" w:hRule="atLeast"/>
                <w:jc w:val="center"/>
              </w:trPr>
              <w:tc>
                <w:tcPr>
                  <w:tcW w:w="1800" w:type="dxa"/>
                  <w:vAlign w:val="center"/>
                </w:tcPr>
                <w:p>
                  <w:pPr>
                    <w:pStyle w:val="7"/>
                    <w:adjustRightInd w:val="0"/>
                    <w:snapToGrid w:val="0"/>
                    <w:ind w:firstLine="0" w:firstLineChars="0"/>
                    <w:jc w:val="center"/>
                    <w:rPr>
                      <w:snapToGrid w:val="0"/>
                      <w:color w:val="auto"/>
                      <w:sz w:val="21"/>
                      <w:szCs w:val="21"/>
                      <w:highlight w:val="none"/>
                    </w:rPr>
                  </w:pPr>
                  <w:r>
                    <w:rPr>
                      <w:rFonts w:hint="eastAsia"/>
                      <w:snapToGrid w:val="0"/>
                      <w:color w:val="auto"/>
                      <w:sz w:val="21"/>
                      <w:szCs w:val="21"/>
                      <w:highlight w:val="none"/>
                      <w:lang w:val="en-US" w:eastAsia="zh-CN"/>
                    </w:rPr>
                    <w:t>2#风机</w:t>
                  </w:r>
                </w:p>
              </w:tc>
              <w:tc>
                <w:tcPr>
                  <w:tcW w:w="1526" w:type="dxa"/>
                  <w:vAlign w:val="center"/>
                </w:tcPr>
                <w:p>
                  <w:pPr>
                    <w:pStyle w:val="7"/>
                    <w:adjustRightInd w:val="0"/>
                    <w:snapToGrid w:val="0"/>
                    <w:ind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 xml:space="preserve">39.9 </w:t>
                  </w:r>
                </w:p>
              </w:tc>
              <w:tc>
                <w:tcPr>
                  <w:tcW w:w="1372" w:type="dxa"/>
                  <w:vAlign w:val="center"/>
                </w:tcPr>
                <w:p>
                  <w:pPr>
                    <w:pStyle w:val="7"/>
                    <w:adjustRightInd w:val="0"/>
                    <w:snapToGrid w:val="0"/>
                    <w:ind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 xml:space="preserve">49.2 </w:t>
                  </w:r>
                </w:p>
              </w:tc>
              <w:tc>
                <w:tcPr>
                  <w:tcW w:w="1372" w:type="dxa"/>
                  <w:vAlign w:val="center"/>
                </w:tcPr>
                <w:p>
                  <w:pPr>
                    <w:pStyle w:val="7"/>
                    <w:adjustRightInd w:val="0"/>
                    <w:snapToGrid w:val="0"/>
                    <w:ind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 xml:space="preserve">35.5 </w:t>
                  </w:r>
                </w:p>
              </w:tc>
              <w:tc>
                <w:tcPr>
                  <w:tcW w:w="1704" w:type="dxa"/>
                  <w:vAlign w:val="center"/>
                </w:tcPr>
                <w:p>
                  <w:pPr>
                    <w:pStyle w:val="7"/>
                    <w:adjustRightInd w:val="0"/>
                    <w:snapToGrid w:val="0"/>
                    <w:ind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 xml:space="preserve">38.0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50" w:hRule="atLeast"/>
                <w:jc w:val="center"/>
              </w:trPr>
              <w:tc>
                <w:tcPr>
                  <w:tcW w:w="1158" w:type="pct"/>
                  <w:vAlign w:val="center"/>
                </w:tcPr>
                <w:p>
                  <w:pPr>
                    <w:pStyle w:val="7"/>
                    <w:adjustRightInd w:val="0"/>
                    <w:snapToGrid w:val="0"/>
                    <w:ind w:firstLine="0" w:firstLineChars="0"/>
                    <w:jc w:val="center"/>
                    <w:rPr>
                      <w:snapToGrid w:val="0"/>
                      <w:color w:val="auto"/>
                      <w:sz w:val="21"/>
                      <w:szCs w:val="21"/>
                      <w:highlight w:val="none"/>
                    </w:rPr>
                  </w:pPr>
                  <w:r>
                    <w:rPr>
                      <w:rFonts w:hint="eastAsia"/>
                      <w:snapToGrid w:val="0"/>
                      <w:color w:val="auto"/>
                      <w:sz w:val="21"/>
                      <w:szCs w:val="21"/>
                      <w:highlight w:val="none"/>
                    </w:rPr>
                    <w:t>叠加值</w:t>
                  </w:r>
                </w:p>
              </w:tc>
              <w:tc>
                <w:tcPr>
                  <w:tcW w:w="981" w:type="pct"/>
                  <w:vAlign w:val="center"/>
                </w:tcPr>
                <w:p>
                  <w:pPr>
                    <w:pStyle w:val="7"/>
                    <w:adjustRightInd w:val="0"/>
                    <w:snapToGrid w:val="0"/>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43.0</w:t>
                  </w:r>
                </w:p>
              </w:tc>
              <w:tc>
                <w:tcPr>
                  <w:tcW w:w="882" w:type="pct"/>
                  <w:vAlign w:val="center"/>
                </w:tcPr>
                <w:p>
                  <w:pPr>
                    <w:pStyle w:val="7"/>
                    <w:adjustRightInd w:val="0"/>
                    <w:snapToGrid w:val="0"/>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52.</w:t>
                  </w:r>
                  <w:r>
                    <w:rPr>
                      <w:rFonts w:hint="eastAsia" w:cs="Times New Roman"/>
                      <w:snapToGrid w:val="0"/>
                      <w:color w:val="auto"/>
                      <w:sz w:val="21"/>
                      <w:szCs w:val="21"/>
                      <w:highlight w:val="none"/>
                      <w:lang w:val="en-US" w:eastAsia="zh-CN"/>
                    </w:rPr>
                    <w:t>6</w:t>
                  </w:r>
                </w:p>
              </w:tc>
              <w:tc>
                <w:tcPr>
                  <w:tcW w:w="882" w:type="pct"/>
                  <w:vAlign w:val="center"/>
                </w:tcPr>
                <w:p>
                  <w:pPr>
                    <w:pStyle w:val="7"/>
                    <w:adjustRightInd w:val="0"/>
                    <w:snapToGrid w:val="0"/>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42.6</w:t>
                  </w:r>
                </w:p>
              </w:tc>
              <w:tc>
                <w:tcPr>
                  <w:tcW w:w="1095" w:type="pct"/>
                  <w:vAlign w:val="center"/>
                </w:tcPr>
                <w:p>
                  <w:pPr>
                    <w:pStyle w:val="7"/>
                    <w:adjustRightInd w:val="0"/>
                    <w:snapToGrid w:val="0"/>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4</w:t>
                  </w:r>
                  <w:r>
                    <w:rPr>
                      <w:rFonts w:hint="eastAsia" w:cs="Times New Roman"/>
                      <w:snapToGrid w:val="0"/>
                      <w:color w:val="auto"/>
                      <w:sz w:val="21"/>
                      <w:szCs w:val="21"/>
                      <w:highlight w:val="none"/>
                      <w:lang w:val="en-US" w:eastAsia="zh-CN"/>
                    </w:rPr>
                    <w:t>3</w:t>
                  </w:r>
                  <w:r>
                    <w:rPr>
                      <w:rFonts w:hint="eastAsia" w:ascii="Times New Roman" w:hAnsi="Times New Roman" w:eastAsia="宋体" w:cs="Times New Roman"/>
                      <w:snapToGrid w:val="0"/>
                      <w:color w:val="auto"/>
                      <w:sz w:val="21"/>
                      <w:szCs w:val="21"/>
                      <w:highlight w:val="none"/>
                      <w:lang w:val="en-US" w:eastAsia="zh-CN"/>
                    </w:rPr>
                    <w:t>.</w:t>
                  </w:r>
                  <w:r>
                    <w:rPr>
                      <w:rFonts w:hint="eastAsia" w:cs="Times New Roman"/>
                      <w:snapToGrid w:val="0"/>
                      <w:color w:val="auto"/>
                      <w:sz w:val="21"/>
                      <w:szCs w:val="21"/>
                      <w:highlight w:val="none"/>
                      <w:lang w:val="en-US" w:eastAsia="zh-CN"/>
                    </w:rPr>
                    <w:t>7</w:t>
                  </w:r>
                </w:p>
              </w:tc>
            </w:tr>
          </w:tbl>
          <w:p>
            <w:pPr>
              <w:pStyle w:val="7"/>
              <w:adjustRightInd w:val="0"/>
              <w:snapToGrid w:val="0"/>
              <w:spacing w:before="120" w:beforeLines="50" w:line="360" w:lineRule="auto"/>
              <w:ind w:firstLine="480"/>
              <w:rPr>
                <w:snapToGrid w:val="0"/>
                <w:color w:val="auto"/>
                <w:highlight w:val="none"/>
              </w:rPr>
            </w:pPr>
            <w:r>
              <w:rPr>
                <w:rFonts w:hint="eastAsia"/>
                <w:snapToGrid w:val="0"/>
                <w:color w:val="auto"/>
                <w:highlight w:val="none"/>
              </w:rPr>
              <w:t>由表</w:t>
            </w:r>
            <w:r>
              <w:rPr>
                <w:snapToGrid w:val="0"/>
                <w:color w:val="auto"/>
                <w:highlight w:val="none"/>
              </w:rPr>
              <w:t>4-</w:t>
            </w:r>
            <w:r>
              <w:rPr>
                <w:rFonts w:hint="eastAsia"/>
                <w:snapToGrid w:val="0"/>
                <w:color w:val="auto"/>
                <w:highlight w:val="none"/>
                <w:lang w:val="en-US" w:eastAsia="zh-CN"/>
              </w:rPr>
              <w:t>6</w:t>
            </w:r>
            <w:r>
              <w:rPr>
                <w:rFonts w:hint="eastAsia"/>
                <w:snapToGrid w:val="0"/>
                <w:color w:val="auto"/>
                <w:highlight w:val="none"/>
              </w:rPr>
              <w:t>计算可知，本项目主变压器在变电站各厂界噪声叠加值昼夜均满足《工业企业厂界环境噪声排放标准》（</w:t>
            </w:r>
            <w:r>
              <w:rPr>
                <w:snapToGrid w:val="0"/>
                <w:color w:val="auto"/>
                <w:highlight w:val="none"/>
              </w:rPr>
              <w:t>GB12348-2008</w:t>
            </w:r>
            <w:r>
              <w:rPr>
                <w:rFonts w:hint="eastAsia"/>
                <w:snapToGrid w:val="0"/>
                <w:color w:val="auto"/>
                <w:highlight w:val="none"/>
              </w:rPr>
              <w:t>）中</w:t>
            </w:r>
            <w:r>
              <w:rPr>
                <w:rFonts w:hint="eastAsia"/>
                <w:snapToGrid w:val="0"/>
                <w:color w:val="auto"/>
                <w:highlight w:val="none"/>
                <w:lang w:val="en-US" w:eastAsia="zh-CN"/>
              </w:rPr>
              <w:t>3</w:t>
            </w:r>
            <w:r>
              <w:rPr>
                <w:rFonts w:hint="eastAsia"/>
                <w:snapToGrid w:val="0"/>
                <w:color w:val="auto"/>
                <w:highlight w:val="none"/>
              </w:rPr>
              <w:t>类标准。</w:t>
            </w:r>
          </w:p>
          <w:p>
            <w:pPr>
              <w:pStyle w:val="66"/>
              <w:snapToGrid w:val="0"/>
              <w:spacing w:line="360" w:lineRule="auto"/>
              <w:ind w:firstLine="482" w:firstLineChars="200"/>
              <w:jc w:val="left"/>
              <w:rPr>
                <w:b/>
                <w:color w:val="auto"/>
                <w:szCs w:val="24"/>
                <w:highlight w:val="none"/>
              </w:rPr>
            </w:pPr>
            <w:r>
              <w:rPr>
                <w:b/>
                <w:color w:val="auto"/>
                <w:szCs w:val="24"/>
                <w:highlight w:val="none"/>
              </w:rPr>
              <w:t>4</w:t>
            </w:r>
            <w:r>
              <w:rPr>
                <w:rFonts w:hint="eastAsia"/>
                <w:b/>
                <w:color w:val="auto"/>
                <w:szCs w:val="24"/>
                <w:highlight w:val="none"/>
              </w:rPr>
              <w:t>）营运期声环境敏感目标可达性分析</w:t>
            </w:r>
          </w:p>
          <w:p>
            <w:pPr>
              <w:pStyle w:val="7"/>
              <w:adjustRightInd w:val="0"/>
              <w:snapToGrid w:val="0"/>
              <w:spacing w:line="360" w:lineRule="auto"/>
              <w:ind w:firstLine="480"/>
              <w:rPr>
                <w:b/>
                <w:color w:val="auto"/>
                <w:sz w:val="21"/>
                <w:szCs w:val="21"/>
                <w:highlight w:val="none"/>
              </w:rPr>
            </w:pPr>
            <w:r>
              <w:rPr>
                <w:rFonts w:hint="eastAsia"/>
                <w:color w:val="auto"/>
                <w:highlight w:val="none"/>
              </w:rPr>
              <w:t>结合拟建变电站周围现状环境敏感目标分布情况，现状敏感目标噪声达标情况见表</w:t>
            </w:r>
            <w:r>
              <w:rPr>
                <w:color w:val="auto"/>
                <w:highlight w:val="none"/>
              </w:rPr>
              <w:t>4-</w:t>
            </w:r>
            <w:r>
              <w:rPr>
                <w:rFonts w:hint="eastAsia"/>
                <w:color w:val="auto"/>
                <w:highlight w:val="none"/>
                <w:lang w:val="en-US" w:eastAsia="zh-CN"/>
              </w:rPr>
              <w:t>7</w:t>
            </w:r>
            <w:r>
              <w:rPr>
                <w:rFonts w:hint="eastAsia"/>
                <w:color w:val="auto"/>
                <w:highlight w:val="none"/>
              </w:rPr>
              <w:t>。</w:t>
            </w:r>
            <w:r>
              <w:rPr>
                <w:b/>
                <w:color w:val="auto"/>
                <w:sz w:val="21"/>
                <w:szCs w:val="21"/>
                <w:highlight w:val="none"/>
              </w:rPr>
              <w:t xml:space="preserve"> </w:t>
            </w:r>
          </w:p>
          <w:p>
            <w:pPr>
              <w:pStyle w:val="7"/>
              <w:adjustRightInd w:val="0"/>
              <w:snapToGrid w:val="0"/>
              <w:ind w:firstLine="482"/>
              <w:jc w:val="center"/>
              <w:rPr>
                <w:b/>
                <w:snapToGrid w:val="0"/>
                <w:color w:val="auto"/>
                <w:szCs w:val="24"/>
                <w:highlight w:val="none"/>
              </w:rPr>
            </w:pPr>
            <w:r>
              <w:rPr>
                <w:rFonts w:hint="eastAsia"/>
                <w:b/>
                <w:snapToGrid w:val="0"/>
                <w:color w:val="auto"/>
                <w:szCs w:val="24"/>
                <w:highlight w:val="none"/>
              </w:rPr>
              <w:t>表</w:t>
            </w:r>
            <w:r>
              <w:rPr>
                <w:b/>
                <w:snapToGrid w:val="0"/>
                <w:color w:val="auto"/>
                <w:szCs w:val="24"/>
                <w:highlight w:val="none"/>
              </w:rPr>
              <w:t>4-</w:t>
            </w:r>
            <w:r>
              <w:rPr>
                <w:rFonts w:hint="eastAsia"/>
                <w:b/>
                <w:snapToGrid w:val="0"/>
                <w:color w:val="auto"/>
                <w:szCs w:val="24"/>
                <w:highlight w:val="none"/>
                <w:lang w:val="en-US" w:eastAsia="zh-CN"/>
              </w:rPr>
              <w:t>7</w:t>
            </w:r>
            <w:r>
              <w:rPr>
                <w:b/>
                <w:snapToGrid w:val="0"/>
                <w:color w:val="auto"/>
                <w:szCs w:val="24"/>
                <w:highlight w:val="none"/>
              </w:rPr>
              <w:t xml:space="preserve"> </w:t>
            </w:r>
            <w:r>
              <w:rPr>
                <w:rFonts w:hint="eastAsia"/>
                <w:b/>
                <w:snapToGrid w:val="0"/>
                <w:color w:val="auto"/>
                <w:szCs w:val="24"/>
                <w:highlight w:val="none"/>
              </w:rPr>
              <w:t>环境敏感目标影响预测结果</w:t>
            </w:r>
            <w:r>
              <w:rPr>
                <w:b/>
                <w:snapToGrid w:val="0"/>
                <w:color w:val="auto"/>
                <w:szCs w:val="24"/>
                <w:highlight w:val="none"/>
              </w:rPr>
              <w:t xml:space="preserve">    </w:t>
            </w:r>
            <w:r>
              <w:rPr>
                <w:rFonts w:hint="eastAsia"/>
                <w:b/>
                <w:snapToGrid w:val="0"/>
                <w:color w:val="auto"/>
                <w:szCs w:val="24"/>
                <w:highlight w:val="none"/>
              </w:rPr>
              <w:t>单位：</w:t>
            </w:r>
            <w:r>
              <w:rPr>
                <w:b/>
                <w:snapToGrid w:val="0"/>
                <w:color w:val="auto"/>
                <w:szCs w:val="24"/>
                <w:highlight w:val="none"/>
              </w:rPr>
              <w:t>dB</w:t>
            </w:r>
            <w:r>
              <w:rPr>
                <w:rFonts w:hint="eastAsia"/>
                <w:b/>
                <w:snapToGrid w:val="0"/>
                <w:color w:val="auto"/>
                <w:szCs w:val="24"/>
                <w:highlight w:val="none"/>
              </w:rPr>
              <w:t>（</w:t>
            </w:r>
            <w:r>
              <w:rPr>
                <w:b/>
                <w:snapToGrid w:val="0"/>
                <w:color w:val="auto"/>
                <w:szCs w:val="24"/>
                <w:highlight w:val="none"/>
              </w:rPr>
              <w:t>A</w:t>
            </w:r>
            <w:r>
              <w:rPr>
                <w:rFonts w:hint="eastAsia"/>
                <w:b/>
                <w:snapToGrid w:val="0"/>
                <w:color w:val="auto"/>
                <w:szCs w:val="24"/>
                <w:highlight w:val="none"/>
              </w:rPr>
              <w:t>）</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378"/>
              <w:gridCol w:w="1168"/>
              <w:gridCol w:w="1168"/>
              <w:gridCol w:w="994"/>
              <w:gridCol w:w="661"/>
              <w:gridCol w:w="588"/>
              <w:gridCol w:w="591"/>
              <w:gridCol w:w="605"/>
              <w:gridCol w:w="594"/>
              <w:gridCol w:w="504"/>
              <w:gridCol w:w="52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39" w:hRule="atLeast"/>
                <w:jc w:val="center"/>
              </w:trPr>
              <w:tc>
                <w:tcPr>
                  <w:tcW w:w="243" w:type="pct"/>
                  <w:vMerge w:val="restart"/>
                  <w:tcBorders>
                    <w:top w:val="single" w:color="auto" w:sz="12" w:space="0"/>
                    <w:left w:val="nil"/>
                    <w:bottom w:val="single" w:color="auto" w:sz="2" w:space="0"/>
                    <w:right w:val="single" w:color="auto" w:sz="2" w:space="0"/>
                  </w:tcBorders>
                  <w:vAlign w:val="center"/>
                </w:tcPr>
                <w:p>
                  <w:pPr>
                    <w:jc w:val="center"/>
                    <w:rPr>
                      <w:color w:val="auto"/>
                      <w:sz w:val="21"/>
                      <w:szCs w:val="21"/>
                      <w:highlight w:val="none"/>
                    </w:rPr>
                  </w:pPr>
                  <w:r>
                    <w:rPr>
                      <w:rFonts w:hint="eastAsia"/>
                      <w:color w:val="auto"/>
                      <w:sz w:val="21"/>
                      <w:szCs w:val="21"/>
                      <w:highlight w:val="none"/>
                    </w:rPr>
                    <w:t>序号</w:t>
                  </w:r>
                </w:p>
              </w:tc>
              <w:tc>
                <w:tcPr>
                  <w:tcW w:w="751" w:type="pct"/>
                  <w:vMerge w:val="restart"/>
                  <w:tcBorders>
                    <w:top w:val="single" w:color="auto" w:sz="12" w:space="0"/>
                    <w:left w:val="single" w:color="auto" w:sz="2" w:space="0"/>
                    <w:right w:val="single" w:color="auto" w:sz="2" w:space="0"/>
                  </w:tcBorders>
                  <w:vAlign w:val="center"/>
                </w:tcPr>
                <w:p>
                  <w:pPr>
                    <w:jc w:val="center"/>
                    <w:rPr>
                      <w:rFonts w:hint="eastAsia"/>
                      <w:color w:val="auto"/>
                      <w:sz w:val="21"/>
                      <w:szCs w:val="21"/>
                      <w:highlight w:val="none"/>
                    </w:rPr>
                  </w:pPr>
                  <w:r>
                    <w:rPr>
                      <w:rFonts w:hint="eastAsia"/>
                      <w:color w:val="auto"/>
                      <w:sz w:val="21"/>
                      <w:szCs w:val="21"/>
                      <w:highlight w:val="none"/>
                    </w:rPr>
                    <w:t>敏感目标名称</w:t>
                  </w:r>
                </w:p>
              </w:tc>
              <w:tc>
                <w:tcPr>
                  <w:tcW w:w="751" w:type="pct"/>
                  <w:vMerge w:val="restart"/>
                  <w:tcBorders>
                    <w:top w:val="single" w:color="auto" w:sz="12" w:space="0"/>
                    <w:left w:val="single" w:color="auto" w:sz="2" w:space="0"/>
                    <w:bottom w:val="single" w:color="auto" w:sz="2" w:space="0"/>
                    <w:right w:val="single" w:color="auto" w:sz="2" w:space="0"/>
                  </w:tcBorders>
                  <w:vAlign w:val="center"/>
                </w:tcPr>
                <w:p>
                  <w:pPr>
                    <w:jc w:val="center"/>
                    <w:rPr>
                      <w:color w:val="auto"/>
                      <w:sz w:val="21"/>
                      <w:szCs w:val="21"/>
                      <w:highlight w:val="none"/>
                    </w:rPr>
                  </w:pPr>
                  <w:r>
                    <w:rPr>
                      <w:rFonts w:hint="eastAsia"/>
                      <w:color w:val="auto"/>
                      <w:sz w:val="21"/>
                      <w:szCs w:val="21"/>
                      <w:highlight w:val="none"/>
                    </w:rPr>
                    <w:t>方位及距离围墙水平最近距离（</w:t>
                  </w:r>
                  <w:r>
                    <w:rPr>
                      <w:color w:val="auto"/>
                      <w:sz w:val="21"/>
                      <w:szCs w:val="21"/>
                      <w:highlight w:val="none"/>
                    </w:rPr>
                    <w:t>m</w:t>
                  </w:r>
                  <w:r>
                    <w:rPr>
                      <w:rFonts w:hint="eastAsia"/>
                      <w:color w:val="auto"/>
                      <w:sz w:val="21"/>
                      <w:szCs w:val="21"/>
                      <w:highlight w:val="none"/>
                    </w:rPr>
                    <w:t>）</w:t>
                  </w:r>
                </w:p>
              </w:tc>
              <w:tc>
                <w:tcPr>
                  <w:tcW w:w="639" w:type="pct"/>
                  <w:vMerge w:val="restart"/>
                  <w:tcBorders>
                    <w:top w:val="single" w:color="auto" w:sz="12" w:space="0"/>
                    <w:left w:val="single" w:color="auto" w:sz="2" w:space="0"/>
                    <w:bottom w:val="single" w:color="auto" w:sz="2" w:space="0"/>
                    <w:right w:val="single" w:color="auto" w:sz="2" w:space="0"/>
                  </w:tcBorders>
                  <w:vAlign w:val="center"/>
                </w:tcPr>
                <w:p>
                  <w:pPr>
                    <w:jc w:val="center"/>
                    <w:rPr>
                      <w:color w:val="auto"/>
                      <w:sz w:val="21"/>
                      <w:szCs w:val="21"/>
                      <w:highlight w:val="none"/>
                    </w:rPr>
                  </w:pPr>
                  <w:r>
                    <w:rPr>
                      <w:rFonts w:hint="eastAsia"/>
                      <w:color w:val="auto"/>
                      <w:sz w:val="21"/>
                      <w:szCs w:val="21"/>
                      <w:highlight w:val="none"/>
                    </w:rPr>
                    <w:t>距离</w:t>
                  </w:r>
                  <w:r>
                    <w:rPr>
                      <w:rFonts w:hint="eastAsia"/>
                      <w:color w:val="auto"/>
                      <w:sz w:val="21"/>
                      <w:szCs w:val="21"/>
                      <w:highlight w:val="none"/>
                      <w:lang w:eastAsia="zh-CN"/>
                    </w:rPr>
                    <w:t>声源</w:t>
                  </w:r>
                  <w:r>
                    <w:rPr>
                      <w:rFonts w:hint="eastAsia"/>
                      <w:color w:val="auto"/>
                      <w:sz w:val="21"/>
                      <w:szCs w:val="21"/>
                      <w:highlight w:val="none"/>
                    </w:rPr>
                    <w:t>最近距离（</w:t>
                  </w:r>
                  <w:r>
                    <w:rPr>
                      <w:color w:val="auto"/>
                      <w:sz w:val="21"/>
                      <w:szCs w:val="21"/>
                      <w:highlight w:val="none"/>
                    </w:rPr>
                    <w:t>m</w:t>
                  </w:r>
                  <w:r>
                    <w:rPr>
                      <w:rFonts w:hint="eastAsia"/>
                      <w:color w:val="auto"/>
                      <w:sz w:val="21"/>
                      <w:szCs w:val="21"/>
                      <w:highlight w:val="none"/>
                    </w:rPr>
                    <w:t>）</w:t>
                  </w:r>
                </w:p>
              </w:tc>
              <w:tc>
                <w:tcPr>
                  <w:tcW w:w="425" w:type="pct"/>
                  <w:vMerge w:val="restart"/>
                  <w:tcBorders>
                    <w:top w:val="single" w:color="auto" w:sz="12" w:space="0"/>
                    <w:left w:val="single" w:color="auto" w:sz="2" w:space="0"/>
                    <w:bottom w:val="single" w:color="auto" w:sz="2" w:space="0"/>
                    <w:right w:val="single" w:color="auto" w:sz="2" w:space="0"/>
                  </w:tcBorders>
                  <w:vAlign w:val="center"/>
                </w:tcPr>
                <w:p>
                  <w:pPr>
                    <w:jc w:val="center"/>
                    <w:rPr>
                      <w:rFonts w:hint="eastAsia"/>
                      <w:color w:val="auto"/>
                      <w:sz w:val="21"/>
                      <w:szCs w:val="21"/>
                      <w:highlight w:val="none"/>
                      <w:lang w:bidi="en-US"/>
                    </w:rPr>
                  </w:pPr>
                  <w:r>
                    <w:rPr>
                      <w:rFonts w:hint="eastAsia"/>
                      <w:color w:val="auto"/>
                      <w:sz w:val="21"/>
                      <w:szCs w:val="21"/>
                      <w:highlight w:val="none"/>
                      <w:lang w:bidi="en-US"/>
                    </w:rPr>
                    <w:t>贡献值</w:t>
                  </w:r>
                </w:p>
              </w:tc>
              <w:tc>
                <w:tcPr>
                  <w:tcW w:w="758" w:type="pct"/>
                  <w:gridSpan w:val="2"/>
                  <w:tcBorders>
                    <w:top w:val="single" w:color="auto" w:sz="12" w:space="0"/>
                    <w:left w:val="single" w:color="auto" w:sz="2" w:space="0"/>
                    <w:bottom w:val="single" w:color="auto" w:sz="2" w:space="0"/>
                    <w:right w:val="single" w:color="auto" w:sz="2" w:space="0"/>
                  </w:tcBorders>
                  <w:vAlign w:val="center"/>
                </w:tcPr>
                <w:p>
                  <w:pPr>
                    <w:jc w:val="center"/>
                    <w:rPr>
                      <w:rFonts w:hint="eastAsia"/>
                      <w:color w:val="auto"/>
                      <w:sz w:val="21"/>
                      <w:szCs w:val="21"/>
                      <w:highlight w:val="none"/>
                      <w:lang w:bidi="en-US"/>
                    </w:rPr>
                  </w:pPr>
                  <w:r>
                    <w:rPr>
                      <w:rFonts w:hint="eastAsia"/>
                      <w:color w:val="auto"/>
                      <w:sz w:val="21"/>
                      <w:szCs w:val="21"/>
                      <w:highlight w:val="none"/>
                      <w:lang w:bidi="en-US"/>
                    </w:rPr>
                    <w:t>背景值</w:t>
                  </w:r>
                </w:p>
              </w:tc>
              <w:tc>
                <w:tcPr>
                  <w:tcW w:w="771" w:type="pct"/>
                  <w:gridSpan w:val="2"/>
                  <w:tcBorders>
                    <w:top w:val="single" w:color="auto" w:sz="12" w:space="0"/>
                    <w:left w:val="single" w:color="auto" w:sz="2" w:space="0"/>
                    <w:bottom w:val="single" w:color="auto" w:sz="2" w:space="0"/>
                    <w:right w:val="single" w:color="auto" w:sz="2" w:space="0"/>
                  </w:tcBorders>
                  <w:vAlign w:val="center"/>
                </w:tcPr>
                <w:p>
                  <w:pPr>
                    <w:jc w:val="center"/>
                    <w:rPr>
                      <w:rFonts w:hint="eastAsia"/>
                      <w:color w:val="auto"/>
                      <w:sz w:val="21"/>
                      <w:szCs w:val="21"/>
                      <w:highlight w:val="none"/>
                      <w:lang w:bidi="en-US"/>
                    </w:rPr>
                  </w:pPr>
                  <w:r>
                    <w:rPr>
                      <w:rFonts w:hint="eastAsia"/>
                      <w:color w:val="auto"/>
                      <w:sz w:val="21"/>
                      <w:szCs w:val="21"/>
                      <w:highlight w:val="none"/>
                      <w:lang w:bidi="en-US"/>
                    </w:rPr>
                    <w:t>叠加值</w:t>
                  </w:r>
                </w:p>
              </w:tc>
              <w:tc>
                <w:tcPr>
                  <w:tcW w:w="661" w:type="pct"/>
                  <w:gridSpan w:val="2"/>
                  <w:tcBorders>
                    <w:top w:val="single" w:color="auto" w:sz="12" w:space="0"/>
                    <w:left w:val="single" w:color="auto" w:sz="2" w:space="0"/>
                    <w:bottom w:val="single" w:color="auto" w:sz="2" w:space="0"/>
                    <w:right w:val="nil"/>
                  </w:tcBorders>
                  <w:vAlign w:val="center"/>
                </w:tcPr>
                <w:p>
                  <w:pPr>
                    <w:jc w:val="center"/>
                    <w:rPr>
                      <w:rFonts w:hint="eastAsia"/>
                      <w:color w:val="auto"/>
                      <w:sz w:val="21"/>
                      <w:szCs w:val="21"/>
                      <w:highlight w:val="none"/>
                      <w:lang w:bidi="en-US"/>
                    </w:rPr>
                  </w:pPr>
                  <w:r>
                    <w:rPr>
                      <w:rFonts w:hint="eastAsia"/>
                      <w:color w:val="auto"/>
                      <w:sz w:val="21"/>
                      <w:szCs w:val="21"/>
                      <w:highlight w:val="none"/>
                      <w:lang w:bidi="en-US"/>
                    </w:rPr>
                    <w:t>标准限值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40" w:hRule="atLeast"/>
                <w:jc w:val="center"/>
              </w:trPr>
              <w:tc>
                <w:tcPr>
                  <w:tcW w:w="243" w:type="pct"/>
                  <w:vMerge w:val="continue"/>
                  <w:tcBorders>
                    <w:top w:val="single" w:color="auto" w:sz="12" w:space="0"/>
                    <w:left w:val="nil"/>
                    <w:bottom w:val="single" w:color="auto" w:sz="2" w:space="0"/>
                    <w:right w:val="single" w:color="auto" w:sz="2" w:space="0"/>
                  </w:tcBorders>
                  <w:vAlign w:val="center"/>
                </w:tcPr>
                <w:p>
                  <w:pPr>
                    <w:widowControl/>
                    <w:jc w:val="left"/>
                    <w:rPr>
                      <w:color w:val="auto"/>
                      <w:sz w:val="21"/>
                      <w:szCs w:val="21"/>
                      <w:highlight w:val="none"/>
                    </w:rPr>
                  </w:pPr>
                </w:p>
              </w:tc>
              <w:tc>
                <w:tcPr>
                  <w:tcW w:w="751" w:type="pct"/>
                  <w:vMerge w:val="continue"/>
                  <w:tcBorders>
                    <w:left w:val="single" w:color="auto" w:sz="2" w:space="0"/>
                    <w:bottom w:val="single" w:color="auto" w:sz="2" w:space="0"/>
                    <w:right w:val="single" w:color="auto" w:sz="2" w:space="0"/>
                  </w:tcBorders>
                  <w:vAlign w:val="center"/>
                </w:tcPr>
                <w:p>
                  <w:pPr>
                    <w:widowControl/>
                    <w:jc w:val="left"/>
                    <w:rPr>
                      <w:color w:val="auto"/>
                      <w:sz w:val="21"/>
                      <w:szCs w:val="21"/>
                      <w:highlight w:val="none"/>
                    </w:rPr>
                  </w:pPr>
                </w:p>
              </w:tc>
              <w:tc>
                <w:tcPr>
                  <w:tcW w:w="751" w:type="pct"/>
                  <w:vMerge w:val="continue"/>
                  <w:tcBorders>
                    <w:top w:val="single" w:color="auto" w:sz="12" w:space="0"/>
                    <w:left w:val="single" w:color="auto" w:sz="2" w:space="0"/>
                    <w:bottom w:val="single" w:color="auto" w:sz="2" w:space="0"/>
                    <w:right w:val="single" w:color="auto" w:sz="2" w:space="0"/>
                  </w:tcBorders>
                  <w:vAlign w:val="center"/>
                </w:tcPr>
                <w:p>
                  <w:pPr>
                    <w:widowControl/>
                    <w:jc w:val="left"/>
                    <w:rPr>
                      <w:color w:val="auto"/>
                      <w:sz w:val="21"/>
                      <w:szCs w:val="21"/>
                      <w:highlight w:val="none"/>
                    </w:rPr>
                  </w:pPr>
                </w:p>
              </w:tc>
              <w:tc>
                <w:tcPr>
                  <w:tcW w:w="639" w:type="pct"/>
                  <w:vMerge w:val="continue"/>
                  <w:tcBorders>
                    <w:top w:val="single" w:color="auto" w:sz="12" w:space="0"/>
                    <w:left w:val="single" w:color="auto" w:sz="2" w:space="0"/>
                    <w:bottom w:val="single" w:color="auto" w:sz="2" w:space="0"/>
                    <w:right w:val="single" w:color="auto" w:sz="2" w:space="0"/>
                  </w:tcBorders>
                  <w:vAlign w:val="center"/>
                </w:tcPr>
                <w:p>
                  <w:pPr>
                    <w:widowControl/>
                    <w:jc w:val="left"/>
                    <w:rPr>
                      <w:color w:val="auto"/>
                      <w:sz w:val="21"/>
                      <w:szCs w:val="21"/>
                      <w:highlight w:val="none"/>
                    </w:rPr>
                  </w:pPr>
                </w:p>
              </w:tc>
              <w:tc>
                <w:tcPr>
                  <w:tcW w:w="425" w:type="pct"/>
                  <w:vMerge w:val="continue"/>
                  <w:tcBorders>
                    <w:top w:val="single" w:color="auto" w:sz="12" w:space="0"/>
                    <w:left w:val="single" w:color="auto" w:sz="2" w:space="0"/>
                    <w:bottom w:val="single" w:color="auto" w:sz="2" w:space="0"/>
                    <w:right w:val="single" w:color="auto" w:sz="2" w:space="0"/>
                  </w:tcBorders>
                  <w:vAlign w:val="center"/>
                </w:tcPr>
                <w:p>
                  <w:pPr>
                    <w:jc w:val="center"/>
                    <w:rPr>
                      <w:rFonts w:hint="eastAsia"/>
                      <w:color w:val="auto"/>
                      <w:sz w:val="21"/>
                      <w:szCs w:val="21"/>
                      <w:highlight w:val="none"/>
                      <w:lang w:bidi="en-US"/>
                    </w:rPr>
                  </w:pPr>
                </w:p>
              </w:tc>
              <w:tc>
                <w:tcPr>
                  <w:tcW w:w="378" w:type="pct"/>
                  <w:tcBorders>
                    <w:top w:val="single" w:color="auto" w:sz="2" w:space="0"/>
                    <w:left w:val="single" w:color="auto" w:sz="2" w:space="0"/>
                    <w:bottom w:val="single" w:color="auto" w:sz="2" w:space="0"/>
                    <w:right w:val="single" w:color="auto" w:sz="2" w:space="0"/>
                  </w:tcBorders>
                  <w:vAlign w:val="center"/>
                </w:tcPr>
                <w:p>
                  <w:pPr>
                    <w:jc w:val="center"/>
                    <w:rPr>
                      <w:rFonts w:hint="eastAsia"/>
                      <w:color w:val="auto"/>
                      <w:sz w:val="21"/>
                      <w:szCs w:val="21"/>
                      <w:highlight w:val="none"/>
                      <w:lang w:bidi="en-US"/>
                    </w:rPr>
                  </w:pPr>
                  <w:r>
                    <w:rPr>
                      <w:rFonts w:hint="eastAsia"/>
                      <w:color w:val="auto"/>
                      <w:sz w:val="21"/>
                      <w:szCs w:val="21"/>
                      <w:highlight w:val="none"/>
                      <w:lang w:bidi="en-US"/>
                    </w:rPr>
                    <w:t>昼间</w:t>
                  </w:r>
                </w:p>
              </w:tc>
              <w:tc>
                <w:tcPr>
                  <w:tcW w:w="380" w:type="pct"/>
                  <w:tcBorders>
                    <w:top w:val="single" w:color="auto" w:sz="2" w:space="0"/>
                    <w:left w:val="single" w:color="auto" w:sz="2" w:space="0"/>
                    <w:bottom w:val="single" w:color="auto" w:sz="2" w:space="0"/>
                    <w:right w:val="single" w:color="auto" w:sz="2" w:space="0"/>
                  </w:tcBorders>
                  <w:vAlign w:val="center"/>
                </w:tcPr>
                <w:p>
                  <w:pPr>
                    <w:jc w:val="center"/>
                    <w:rPr>
                      <w:rFonts w:hint="eastAsia"/>
                      <w:color w:val="auto"/>
                      <w:sz w:val="21"/>
                      <w:szCs w:val="21"/>
                      <w:highlight w:val="none"/>
                      <w:lang w:bidi="en-US"/>
                    </w:rPr>
                  </w:pPr>
                  <w:r>
                    <w:rPr>
                      <w:rFonts w:hint="eastAsia"/>
                      <w:color w:val="auto"/>
                      <w:sz w:val="21"/>
                      <w:szCs w:val="21"/>
                      <w:highlight w:val="none"/>
                      <w:lang w:bidi="en-US"/>
                    </w:rPr>
                    <w:t>夜间</w:t>
                  </w:r>
                </w:p>
              </w:tc>
              <w:tc>
                <w:tcPr>
                  <w:tcW w:w="389" w:type="pct"/>
                  <w:tcBorders>
                    <w:top w:val="single" w:color="auto" w:sz="2" w:space="0"/>
                    <w:left w:val="single" w:color="auto" w:sz="2" w:space="0"/>
                    <w:bottom w:val="single" w:color="auto" w:sz="2" w:space="0"/>
                    <w:right w:val="single" w:color="auto" w:sz="2" w:space="0"/>
                  </w:tcBorders>
                  <w:vAlign w:val="center"/>
                </w:tcPr>
                <w:p>
                  <w:pPr>
                    <w:jc w:val="center"/>
                    <w:rPr>
                      <w:rFonts w:hint="eastAsia"/>
                      <w:color w:val="auto"/>
                      <w:sz w:val="21"/>
                      <w:szCs w:val="21"/>
                      <w:highlight w:val="none"/>
                      <w:lang w:bidi="en-US"/>
                    </w:rPr>
                  </w:pPr>
                  <w:r>
                    <w:rPr>
                      <w:rFonts w:hint="eastAsia"/>
                      <w:color w:val="auto"/>
                      <w:sz w:val="21"/>
                      <w:szCs w:val="21"/>
                      <w:highlight w:val="none"/>
                      <w:lang w:bidi="en-US"/>
                    </w:rPr>
                    <w:t>昼间</w:t>
                  </w:r>
                </w:p>
              </w:tc>
              <w:tc>
                <w:tcPr>
                  <w:tcW w:w="381" w:type="pct"/>
                  <w:tcBorders>
                    <w:top w:val="single" w:color="auto" w:sz="2" w:space="0"/>
                    <w:left w:val="single" w:color="auto" w:sz="2" w:space="0"/>
                    <w:bottom w:val="single" w:color="auto" w:sz="2" w:space="0"/>
                    <w:right w:val="single" w:color="auto" w:sz="2" w:space="0"/>
                  </w:tcBorders>
                  <w:vAlign w:val="center"/>
                </w:tcPr>
                <w:p>
                  <w:pPr>
                    <w:jc w:val="center"/>
                    <w:rPr>
                      <w:rFonts w:hint="eastAsia"/>
                      <w:color w:val="auto"/>
                      <w:sz w:val="21"/>
                      <w:szCs w:val="21"/>
                      <w:highlight w:val="none"/>
                      <w:lang w:bidi="en-US"/>
                    </w:rPr>
                  </w:pPr>
                  <w:r>
                    <w:rPr>
                      <w:rFonts w:hint="eastAsia"/>
                      <w:color w:val="auto"/>
                      <w:sz w:val="21"/>
                      <w:szCs w:val="21"/>
                      <w:highlight w:val="none"/>
                      <w:lang w:bidi="en-US"/>
                    </w:rPr>
                    <w:t>夜间</w:t>
                  </w:r>
                </w:p>
              </w:tc>
              <w:tc>
                <w:tcPr>
                  <w:tcW w:w="324" w:type="pct"/>
                  <w:tcBorders>
                    <w:top w:val="single" w:color="auto" w:sz="2" w:space="0"/>
                    <w:left w:val="single" w:color="auto" w:sz="2" w:space="0"/>
                    <w:bottom w:val="single" w:color="auto" w:sz="2" w:space="0"/>
                    <w:right w:val="single" w:color="auto" w:sz="2" w:space="0"/>
                  </w:tcBorders>
                  <w:vAlign w:val="center"/>
                </w:tcPr>
                <w:p>
                  <w:pPr>
                    <w:jc w:val="center"/>
                    <w:rPr>
                      <w:rFonts w:hint="eastAsia"/>
                      <w:color w:val="auto"/>
                      <w:sz w:val="21"/>
                      <w:szCs w:val="21"/>
                      <w:highlight w:val="none"/>
                      <w:lang w:bidi="en-US"/>
                    </w:rPr>
                  </w:pPr>
                  <w:r>
                    <w:rPr>
                      <w:rFonts w:hint="eastAsia"/>
                      <w:color w:val="auto"/>
                      <w:sz w:val="21"/>
                      <w:szCs w:val="21"/>
                      <w:highlight w:val="none"/>
                      <w:lang w:bidi="en-US"/>
                    </w:rPr>
                    <w:t>昼间</w:t>
                  </w:r>
                </w:p>
              </w:tc>
              <w:tc>
                <w:tcPr>
                  <w:tcW w:w="336" w:type="pct"/>
                  <w:tcBorders>
                    <w:top w:val="single" w:color="auto" w:sz="2" w:space="0"/>
                    <w:left w:val="single" w:color="auto" w:sz="2" w:space="0"/>
                    <w:bottom w:val="single" w:color="auto" w:sz="2" w:space="0"/>
                    <w:right w:val="nil"/>
                  </w:tcBorders>
                  <w:vAlign w:val="center"/>
                </w:tcPr>
                <w:p>
                  <w:pPr>
                    <w:jc w:val="center"/>
                    <w:rPr>
                      <w:rFonts w:hint="eastAsia"/>
                      <w:color w:val="auto"/>
                      <w:sz w:val="21"/>
                      <w:szCs w:val="21"/>
                      <w:highlight w:val="none"/>
                      <w:lang w:bidi="en-US"/>
                    </w:rPr>
                  </w:pPr>
                  <w:r>
                    <w:rPr>
                      <w:rFonts w:hint="eastAsia"/>
                      <w:color w:val="auto"/>
                      <w:sz w:val="21"/>
                      <w:szCs w:val="21"/>
                      <w:highlight w:val="none"/>
                      <w:lang w:bidi="en-US"/>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9" w:hRule="atLeast"/>
                <w:jc w:val="center"/>
              </w:trPr>
              <w:tc>
                <w:tcPr>
                  <w:tcW w:w="243" w:type="pct"/>
                  <w:tcBorders>
                    <w:top w:val="single" w:color="auto" w:sz="2" w:space="0"/>
                    <w:left w:val="nil"/>
                    <w:bottom w:val="single" w:color="auto" w:sz="2" w:space="0"/>
                    <w:right w:val="single" w:color="auto" w:sz="2" w:space="0"/>
                  </w:tcBorders>
                  <w:vAlign w:val="center"/>
                </w:tcPr>
                <w:p>
                  <w:pPr>
                    <w:adjustRightInd w:val="0"/>
                    <w:snapToGrid w:val="0"/>
                    <w:jc w:val="center"/>
                    <w:rPr>
                      <w:color w:val="auto"/>
                      <w:sz w:val="21"/>
                      <w:szCs w:val="21"/>
                      <w:highlight w:val="none"/>
                    </w:rPr>
                  </w:pPr>
                  <w:r>
                    <w:rPr>
                      <w:color w:val="auto"/>
                      <w:sz w:val="21"/>
                      <w:szCs w:val="21"/>
                      <w:highlight w:val="none"/>
                    </w:rPr>
                    <w:t>1</w:t>
                  </w:r>
                </w:p>
              </w:tc>
              <w:tc>
                <w:tcPr>
                  <w:tcW w:w="751" w:type="pct"/>
                  <w:tcBorders>
                    <w:top w:val="single" w:color="auto" w:sz="2" w:space="0"/>
                    <w:left w:val="single" w:color="auto" w:sz="2" w:space="0"/>
                    <w:bottom w:val="single" w:color="auto" w:sz="2" w:space="0"/>
                    <w:right w:val="single" w:color="auto" w:sz="2" w:space="0"/>
                  </w:tcBorders>
                  <w:vAlign w:val="center"/>
                </w:tcPr>
                <w:p>
                  <w:pPr>
                    <w:adjustRightInd w:val="0"/>
                    <w:jc w:val="center"/>
                    <w:rPr>
                      <w:rFonts w:hint="eastAsia"/>
                      <w:bCs/>
                      <w:color w:val="auto"/>
                      <w:sz w:val="21"/>
                      <w:szCs w:val="21"/>
                      <w:highlight w:val="none"/>
                    </w:rPr>
                  </w:pPr>
                  <w:r>
                    <w:rPr>
                      <w:rFonts w:hint="eastAsia"/>
                      <w:bCs/>
                      <w:color w:val="auto"/>
                      <w:sz w:val="21"/>
                      <w:szCs w:val="21"/>
                      <w:highlight w:val="none"/>
                      <w:lang w:eastAsia="zh-CN"/>
                    </w:rPr>
                    <w:t>蒲吕街道沙心村民房</w:t>
                  </w:r>
                  <w:r>
                    <w:rPr>
                      <w:rFonts w:hint="eastAsia"/>
                      <w:bCs/>
                      <w:color w:val="auto"/>
                      <w:sz w:val="21"/>
                      <w:szCs w:val="21"/>
                      <w:highlight w:val="none"/>
                      <w:lang w:val="en-US" w:eastAsia="zh-CN"/>
                    </w:rPr>
                    <w:t>1</w:t>
                  </w:r>
                </w:p>
              </w:tc>
              <w:tc>
                <w:tcPr>
                  <w:tcW w:w="751" w:type="pct"/>
                  <w:tcBorders>
                    <w:top w:val="single" w:color="auto" w:sz="2" w:space="0"/>
                    <w:left w:val="single" w:color="auto" w:sz="2" w:space="0"/>
                    <w:bottom w:val="single" w:color="auto" w:sz="2" w:space="0"/>
                    <w:right w:val="single" w:color="auto" w:sz="2" w:space="0"/>
                  </w:tcBorders>
                  <w:vAlign w:val="center"/>
                </w:tcPr>
                <w:p>
                  <w:pPr>
                    <w:adjustRightIn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b w:val="0"/>
                      <w:bCs/>
                      <w:color w:val="auto"/>
                      <w:sz w:val="21"/>
                      <w:szCs w:val="21"/>
                      <w:highlight w:val="none"/>
                      <w:lang w:eastAsia="zh-CN"/>
                    </w:rPr>
                    <w:t>西南侧约</w:t>
                  </w:r>
                  <w:r>
                    <w:rPr>
                      <w:rFonts w:hint="eastAsia"/>
                      <w:b w:val="0"/>
                      <w:bCs/>
                      <w:color w:val="auto"/>
                      <w:sz w:val="21"/>
                      <w:szCs w:val="21"/>
                      <w:highlight w:val="none"/>
                      <w:lang w:val="en-US" w:eastAsia="zh-CN"/>
                    </w:rPr>
                    <w:t>10m</w:t>
                  </w:r>
                </w:p>
              </w:tc>
              <w:tc>
                <w:tcPr>
                  <w:tcW w:w="639" w:type="pct"/>
                  <w:tcBorders>
                    <w:top w:val="single" w:color="auto" w:sz="2" w:space="0"/>
                    <w:left w:val="single" w:color="auto" w:sz="2" w:space="0"/>
                    <w:bottom w:val="single" w:color="auto" w:sz="2" w:space="0"/>
                    <w:right w:val="single" w:color="auto" w:sz="2" w:space="0"/>
                  </w:tcBorders>
                  <w:vAlign w:val="center"/>
                </w:tcPr>
                <w:p>
                  <w:pPr>
                    <w:jc w:val="center"/>
                    <w:rPr>
                      <w:color w:val="auto"/>
                      <w:sz w:val="21"/>
                      <w:szCs w:val="21"/>
                      <w:highlight w:val="none"/>
                      <w:lang w:bidi="en-US"/>
                    </w:rPr>
                  </w:pPr>
                  <w:r>
                    <w:rPr>
                      <w:rFonts w:hint="eastAsia"/>
                      <w:color w:val="auto"/>
                      <w:sz w:val="21"/>
                      <w:szCs w:val="21"/>
                      <w:highlight w:val="none"/>
                      <w:lang w:bidi="en-US"/>
                    </w:rPr>
                    <w:t>约</w:t>
                  </w:r>
                  <w:r>
                    <w:rPr>
                      <w:rFonts w:hint="eastAsia"/>
                      <w:color w:val="auto"/>
                      <w:sz w:val="21"/>
                      <w:szCs w:val="21"/>
                      <w:highlight w:val="none"/>
                      <w:lang w:val="en-US" w:eastAsia="zh-CN" w:bidi="en-US"/>
                    </w:rPr>
                    <w:t>21</w:t>
                  </w:r>
                  <w:r>
                    <w:rPr>
                      <w:color w:val="auto"/>
                      <w:sz w:val="21"/>
                      <w:szCs w:val="21"/>
                      <w:highlight w:val="none"/>
                      <w:lang w:bidi="en-US"/>
                    </w:rPr>
                    <w:t>m</w:t>
                  </w:r>
                </w:p>
              </w:tc>
              <w:tc>
                <w:tcPr>
                  <w:tcW w:w="425" w:type="pct"/>
                  <w:tcBorders>
                    <w:top w:val="single" w:color="auto" w:sz="2" w:space="0"/>
                    <w:left w:val="single" w:color="auto" w:sz="2" w:space="0"/>
                    <w:bottom w:val="single" w:color="auto" w:sz="2" w:space="0"/>
                    <w:right w:val="single" w:color="auto" w:sz="2" w:space="0"/>
                  </w:tcBorders>
                  <w:vAlign w:val="center"/>
                </w:tcPr>
                <w:p>
                  <w:pPr>
                    <w:jc w:val="center"/>
                    <w:rPr>
                      <w:rFonts w:hint="eastAsia" w:ascii="Times New Roman" w:hAnsi="Times New Roman" w:eastAsia="宋体" w:cs="Times New Roman"/>
                      <w:color w:val="auto"/>
                      <w:sz w:val="21"/>
                      <w:szCs w:val="21"/>
                      <w:highlight w:val="none"/>
                      <w:lang w:bidi="en-US"/>
                    </w:rPr>
                  </w:pPr>
                  <w:r>
                    <w:rPr>
                      <w:rFonts w:hint="eastAsia" w:ascii="Times New Roman" w:hAnsi="Times New Roman" w:eastAsia="宋体" w:cs="Times New Roman"/>
                      <w:color w:val="auto"/>
                      <w:sz w:val="21"/>
                      <w:szCs w:val="21"/>
                      <w:highlight w:val="none"/>
                      <w:lang w:val="en-US" w:eastAsia="zh-CN" w:bidi="en-US"/>
                    </w:rPr>
                    <w:t>47.</w:t>
                  </w:r>
                  <w:r>
                    <w:rPr>
                      <w:rFonts w:hint="eastAsia" w:cs="Times New Roman"/>
                      <w:color w:val="auto"/>
                      <w:sz w:val="21"/>
                      <w:szCs w:val="21"/>
                      <w:highlight w:val="none"/>
                      <w:lang w:val="en-US" w:eastAsia="zh-CN" w:bidi="en-US"/>
                    </w:rPr>
                    <w:t>2</w:t>
                  </w:r>
                  <w:r>
                    <w:rPr>
                      <w:rFonts w:hint="eastAsia" w:ascii="Times New Roman" w:hAnsi="Times New Roman" w:eastAsia="宋体" w:cs="Times New Roman"/>
                      <w:color w:val="auto"/>
                      <w:sz w:val="21"/>
                      <w:szCs w:val="21"/>
                      <w:highlight w:val="none"/>
                      <w:lang w:val="en-US" w:eastAsia="zh-CN" w:bidi="en-US"/>
                    </w:rPr>
                    <w:t xml:space="preserve"> </w:t>
                  </w:r>
                </w:p>
              </w:tc>
              <w:tc>
                <w:tcPr>
                  <w:tcW w:w="378" w:type="pct"/>
                  <w:tcBorders>
                    <w:top w:val="single" w:color="auto" w:sz="2" w:space="0"/>
                    <w:left w:val="single" w:color="auto" w:sz="2" w:space="0"/>
                    <w:bottom w:val="single" w:color="auto" w:sz="2" w:space="0"/>
                    <w:right w:val="single" w:color="auto" w:sz="2" w:space="0"/>
                  </w:tcBorders>
                  <w:vAlign w:val="center"/>
                </w:tcPr>
                <w:p>
                  <w:pPr>
                    <w:jc w:val="center"/>
                    <w:rPr>
                      <w:rFonts w:hint="eastAsia" w:ascii="Times New Roman" w:hAnsi="Times New Roman" w:eastAsia="宋体" w:cs="Times New Roman"/>
                      <w:color w:val="auto"/>
                      <w:sz w:val="21"/>
                      <w:szCs w:val="21"/>
                      <w:highlight w:val="none"/>
                      <w:lang w:bidi="en-US"/>
                    </w:rPr>
                  </w:pPr>
                  <w:r>
                    <w:rPr>
                      <w:rFonts w:hint="eastAsia" w:ascii="Times New Roman" w:hAnsi="Times New Roman" w:eastAsia="宋体" w:cs="Times New Roman"/>
                      <w:color w:val="auto"/>
                      <w:sz w:val="21"/>
                      <w:szCs w:val="21"/>
                      <w:highlight w:val="none"/>
                      <w:lang w:bidi="en-US"/>
                    </w:rPr>
                    <w:t>48</w:t>
                  </w:r>
                </w:p>
              </w:tc>
              <w:tc>
                <w:tcPr>
                  <w:tcW w:w="380" w:type="pct"/>
                  <w:tcBorders>
                    <w:top w:val="single" w:color="auto" w:sz="2" w:space="0"/>
                    <w:left w:val="single" w:color="auto" w:sz="2" w:space="0"/>
                    <w:bottom w:val="single" w:color="auto" w:sz="2" w:space="0"/>
                    <w:right w:val="single" w:color="auto" w:sz="2" w:space="0"/>
                  </w:tcBorders>
                  <w:vAlign w:val="center"/>
                </w:tcPr>
                <w:p>
                  <w:pPr>
                    <w:jc w:val="center"/>
                    <w:rPr>
                      <w:rFonts w:hint="eastAsia" w:ascii="Times New Roman" w:hAnsi="Times New Roman" w:eastAsia="宋体" w:cs="Times New Roman"/>
                      <w:color w:val="auto"/>
                      <w:sz w:val="21"/>
                      <w:szCs w:val="21"/>
                      <w:highlight w:val="none"/>
                      <w:lang w:eastAsia="zh-CN" w:bidi="en-US"/>
                    </w:rPr>
                  </w:pPr>
                  <w:r>
                    <w:rPr>
                      <w:rFonts w:hint="eastAsia" w:ascii="Times New Roman" w:hAnsi="Times New Roman" w:eastAsia="宋体" w:cs="Times New Roman"/>
                      <w:color w:val="auto"/>
                      <w:sz w:val="21"/>
                      <w:szCs w:val="21"/>
                      <w:highlight w:val="none"/>
                      <w:lang w:bidi="en-US"/>
                    </w:rPr>
                    <w:t>41</w:t>
                  </w:r>
                </w:p>
              </w:tc>
              <w:tc>
                <w:tcPr>
                  <w:tcW w:w="605"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 xml:space="preserve">50.6 </w:t>
                  </w:r>
                </w:p>
              </w:tc>
              <w:tc>
                <w:tcPr>
                  <w:tcW w:w="594"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bidi="en-US"/>
                    </w:rPr>
                  </w:pPr>
                  <w:r>
                    <w:rPr>
                      <w:rFonts w:hint="default" w:ascii="Times New Roman" w:hAnsi="Times New Roman" w:eastAsia="宋体" w:cs="Times New Roman"/>
                      <w:i w:val="0"/>
                      <w:iCs w:val="0"/>
                      <w:color w:val="auto"/>
                      <w:kern w:val="0"/>
                      <w:sz w:val="21"/>
                      <w:szCs w:val="21"/>
                      <w:u w:val="none"/>
                      <w:lang w:val="en-US" w:eastAsia="zh-CN" w:bidi="ar"/>
                    </w:rPr>
                    <w:t xml:space="preserve">48.1 </w:t>
                  </w:r>
                </w:p>
              </w:tc>
              <w:tc>
                <w:tcPr>
                  <w:tcW w:w="324" w:type="pct"/>
                  <w:tcBorders>
                    <w:top w:val="single" w:color="auto" w:sz="2" w:space="0"/>
                    <w:left w:val="single" w:color="auto" w:sz="2" w:space="0"/>
                    <w:bottom w:val="single" w:color="auto" w:sz="2" w:space="0"/>
                    <w:right w:val="single" w:color="auto" w:sz="2" w:space="0"/>
                  </w:tcBorders>
                  <w:vAlign w:val="center"/>
                </w:tcPr>
                <w:p>
                  <w:pPr>
                    <w:jc w:val="center"/>
                    <w:rPr>
                      <w:rFonts w:hint="eastAsia"/>
                      <w:color w:val="auto"/>
                      <w:sz w:val="21"/>
                      <w:szCs w:val="21"/>
                      <w:highlight w:val="none"/>
                      <w:lang w:bidi="en-US"/>
                    </w:rPr>
                  </w:pPr>
                  <w:r>
                    <w:rPr>
                      <w:rFonts w:hint="eastAsia"/>
                      <w:color w:val="auto"/>
                      <w:sz w:val="21"/>
                      <w:szCs w:val="21"/>
                      <w:highlight w:val="none"/>
                      <w:lang w:val="en-US" w:eastAsia="zh-CN" w:bidi="en-US"/>
                    </w:rPr>
                    <w:t>65</w:t>
                  </w:r>
                </w:p>
              </w:tc>
              <w:tc>
                <w:tcPr>
                  <w:tcW w:w="336" w:type="pct"/>
                  <w:tcBorders>
                    <w:top w:val="single" w:color="auto" w:sz="2" w:space="0"/>
                    <w:left w:val="single" w:color="auto" w:sz="2" w:space="0"/>
                    <w:bottom w:val="single" w:color="auto" w:sz="2" w:space="0"/>
                    <w:right w:val="nil"/>
                  </w:tcBorders>
                  <w:vAlign w:val="center"/>
                </w:tcPr>
                <w:p>
                  <w:pPr>
                    <w:jc w:val="center"/>
                    <w:rPr>
                      <w:rFonts w:hint="eastAsia"/>
                      <w:color w:val="auto"/>
                      <w:sz w:val="21"/>
                      <w:szCs w:val="21"/>
                      <w:highlight w:val="none"/>
                      <w:lang w:bidi="en-US"/>
                    </w:rPr>
                  </w:pPr>
                  <w:r>
                    <w:rPr>
                      <w:rFonts w:hint="eastAsia"/>
                      <w:color w:val="auto"/>
                      <w:sz w:val="21"/>
                      <w:szCs w:val="21"/>
                      <w:highlight w:val="none"/>
                      <w:lang w:val="en-US" w:eastAsia="zh-CN" w:bidi="en-US"/>
                    </w:rPr>
                    <w:t>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23" w:hRule="atLeast"/>
                <w:jc w:val="center"/>
              </w:trPr>
              <w:tc>
                <w:tcPr>
                  <w:tcW w:w="243" w:type="pct"/>
                  <w:tcBorders>
                    <w:top w:val="single" w:color="auto" w:sz="2" w:space="0"/>
                    <w:left w:val="nil"/>
                    <w:bottom w:val="single" w:color="auto" w:sz="2" w:space="0"/>
                    <w:right w:val="single" w:color="auto" w:sz="2" w:space="0"/>
                  </w:tcBorders>
                  <w:vAlign w:val="center"/>
                </w:tcPr>
                <w:p>
                  <w:pPr>
                    <w:widowControl/>
                    <w:jc w:val="center"/>
                    <w:rPr>
                      <w:color w:val="auto"/>
                      <w:sz w:val="21"/>
                      <w:szCs w:val="21"/>
                      <w:highlight w:val="none"/>
                    </w:rPr>
                  </w:pPr>
                  <w:r>
                    <w:rPr>
                      <w:rFonts w:hint="eastAsia"/>
                      <w:color w:val="auto"/>
                      <w:sz w:val="21"/>
                      <w:szCs w:val="21"/>
                      <w:highlight w:val="none"/>
                    </w:rPr>
                    <w:t>2</w:t>
                  </w:r>
                </w:p>
              </w:tc>
              <w:tc>
                <w:tcPr>
                  <w:tcW w:w="751" w:type="pct"/>
                  <w:tcBorders>
                    <w:top w:val="single" w:color="auto" w:sz="2" w:space="0"/>
                    <w:left w:val="single" w:color="auto" w:sz="2" w:space="0"/>
                    <w:bottom w:val="single" w:color="auto" w:sz="2" w:space="0"/>
                    <w:right w:val="single" w:color="auto" w:sz="2" w:space="0"/>
                  </w:tcBorders>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eastAsia="zh-CN"/>
                    </w:rPr>
                    <w:t>蒲吕街道沙心村民房</w:t>
                  </w:r>
                  <w:r>
                    <w:rPr>
                      <w:rFonts w:hint="eastAsia"/>
                      <w:bCs/>
                      <w:color w:val="auto"/>
                      <w:sz w:val="21"/>
                      <w:szCs w:val="21"/>
                      <w:highlight w:val="none"/>
                      <w:lang w:val="en-US" w:eastAsia="zh-CN"/>
                    </w:rPr>
                    <w:t>2</w:t>
                  </w:r>
                </w:p>
              </w:tc>
              <w:tc>
                <w:tcPr>
                  <w:tcW w:w="751" w:type="pct"/>
                  <w:tcBorders>
                    <w:top w:val="single" w:color="auto" w:sz="2" w:space="0"/>
                    <w:left w:val="single" w:color="auto" w:sz="2" w:space="0"/>
                    <w:bottom w:val="single" w:color="auto" w:sz="2" w:space="0"/>
                    <w:right w:val="single" w:color="auto" w:sz="2" w:space="0"/>
                  </w:tcBorders>
                  <w:vAlign w:val="center"/>
                </w:tcPr>
                <w:p>
                  <w:pPr>
                    <w:adjustRightInd w:val="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b w:val="0"/>
                      <w:bCs/>
                      <w:color w:val="auto"/>
                      <w:sz w:val="21"/>
                      <w:szCs w:val="21"/>
                      <w:highlight w:val="none"/>
                      <w:lang w:eastAsia="zh-CN"/>
                    </w:rPr>
                    <w:t>西北侧约</w:t>
                  </w:r>
                  <w:r>
                    <w:rPr>
                      <w:rFonts w:hint="eastAsia"/>
                      <w:b w:val="0"/>
                      <w:bCs/>
                      <w:color w:val="auto"/>
                      <w:sz w:val="21"/>
                      <w:szCs w:val="21"/>
                      <w:highlight w:val="none"/>
                      <w:lang w:val="en-US" w:eastAsia="zh-CN"/>
                    </w:rPr>
                    <w:t>75m</w:t>
                  </w:r>
                </w:p>
              </w:tc>
              <w:tc>
                <w:tcPr>
                  <w:tcW w:w="639" w:type="pct"/>
                  <w:tcBorders>
                    <w:top w:val="single" w:color="auto" w:sz="2" w:space="0"/>
                    <w:left w:val="single" w:color="auto" w:sz="2" w:space="0"/>
                    <w:bottom w:val="single" w:color="auto" w:sz="2" w:space="0"/>
                    <w:right w:val="single" w:color="auto" w:sz="2" w:space="0"/>
                  </w:tcBorders>
                  <w:vAlign w:val="center"/>
                </w:tcPr>
                <w:p>
                  <w:pPr>
                    <w:jc w:val="center"/>
                    <w:rPr>
                      <w:color w:val="auto"/>
                      <w:sz w:val="21"/>
                      <w:szCs w:val="21"/>
                      <w:highlight w:val="none"/>
                      <w:lang w:bidi="en-US"/>
                    </w:rPr>
                  </w:pPr>
                  <w:r>
                    <w:rPr>
                      <w:rFonts w:hint="eastAsia"/>
                      <w:color w:val="auto"/>
                      <w:sz w:val="21"/>
                      <w:szCs w:val="21"/>
                      <w:highlight w:val="none"/>
                      <w:lang w:bidi="en-US"/>
                    </w:rPr>
                    <w:t>约</w:t>
                  </w:r>
                  <w:r>
                    <w:rPr>
                      <w:rFonts w:hint="eastAsia"/>
                      <w:color w:val="auto"/>
                      <w:sz w:val="21"/>
                      <w:szCs w:val="21"/>
                      <w:highlight w:val="none"/>
                      <w:lang w:val="en-US" w:eastAsia="zh-CN" w:bidi="en-US"/>
                    </w:rPr>
                    <w:t>95</w:t>
                  </w:r>
                  <w:r>
                    <w:rPr>
                      <w:color w:val="auto"/>
                      <w:sz w:val="21"/>
                      <w:szCs w:val="21"/>
                      <w:highlight w:val="none"/>
                      <w:lang w:bidi="en-US"/>
                    </w:rPr>
                    <w:t>m</w:t>
                  </w:r>
                </w:p>
              </w:tc>
              <w:tc>
                <w:tcPr>
                  <w:tcW w:w="425" w:type="pct"/>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color w:val="auto"/>
                      <w:sz w:val="21"/>
                      <w:szCs w:val="21"/>
                      <w:highlight w:val="none"/>
                      <w:lang w:val="en-US" w:bidi="en-US"/>
                    </w:rPr>
                  </w:pPr>
                  <w:r>
                    <w:rPr>
                      <w:rFonts w:hint="eastAsia" w:cs="Times New Roman"/>
                      <w:color w:val="auto"/>
                      <w:sz w:val="21"/>
                      <w:szCs w:val="21"/>
                      <w:highlight w:val="none"/>
                      <w:lang w:val="en-US" w:eastAsia="zh-CN" w:bidi="en-US"/>
                    </w:rPr>
                    <w:t>32.8</w:t>
                  </w:r>
                </w:p>
              </w:tc>
              <w:tc>
                <w:tcPr>
                  <w:tcW w:w="378" w:type="pct"/>
                  <w:tcBorders>
                    <w:top w:val="single" w:color="auto" w:sz="2" w:space="0"/>
                    <w:left w:val="single" w:color="auto" w:sz="2" w:space="0"/>
                    <w:bottom w:val="single" w:color="auto" w:sz="2" w:space="0"/>
                    <w:right w:val="single" w:color="auto" w:sz="2" w:space="0"/>
                  </w:tcBorders>
                  <w:vAlign w:val="center"/>
                </w:tcPr>
                <w:p>
                  <w:pPr>
                    <w:jc w:val="center"/>
                    <w:rPr>
                      <w:rFonts w:hint="eastAsia" w:ascii="Times New Roman" w:hAnsi="Times New Roman" w:eastAsia="宋体" w:cs="Times New Roman"/>
                      <w:color w:val="auto"/>
                      <w:sz w:val="21"/>
                      <w:szCs w:val="21"/>
                      <w:highlight w:val="none"/>
                      <w:lang w:eastAsia="zh-CN" w:bidi="en-US"/>
                    </w:rPr>
                  </w:pPr>
                  <w:r>
                    <w:rPr>
                      <w:rFonts w:hint="eastAsia" w:ascii="Times New Roman" w:hAnsi="Times New Roman" w:eastAsia="宋体" w:cs="Times New Roman"/>
                      <w:color w:val="auto"/>
                      <w:sz w:val="21"/>
                      <w:szCs w:val="21"/>
                      <w:highlight w:val="none"/>
                      <w:lang w:bidi="en-US"/>
                    </w:rPr>
                    <w:t>4</w:t>
                  </w:r>
                  <w:r>
                    <w:rPr>
                      <w:rFonts w:hint="eastAsia" w:ascii="Times New Roman" w:hAnsi="Times New Roman" w:eastAsia="宋体" w:cs="Times New Roman"/>
                      <w:color w:val="auto"/>
                      <w:sz w:val="21"/>
                      <w:szCs w:val="21"/>
                      <w:highlight w:val="none"/>
                      <w:lang w:val="en-US" w:eastAsia="zh-CN" w:bidi="en-US"/>
                    </w:rPr>
                    <w:t>8</w:t>
                  </w:r>
                </w:p>
              </w:tc>
              <w:tc>
                <w:tcPr>
                  <w:tcW w:w="380" w:type="pct"/>
                  <w:tcBorders>
                    <w:top w:val="single" w:color="auto" w:sz="2" w:space="0"/>
                    <w:left w:val="single" w:color="auto" w:sz="2" w:space="0"/>
                    <w:bottom w:val="single" w:color="auto" w:sz="2" w:space="0"/>
                    <w:right w:val="single" w:color="auto" w:sz="2" w:space="0"/>
                  </w:tcBorders>
                  <w:vAlign w:val="center"/>
                </w:tcPr>
                <w:p>
                  <w:pPr>
                    <w:jc w:val="center"/>
                    <w:rPr>
                      <w:rFonts w:hint="eastAsia" w:ascii="Times New Roman" w:hAnsi="Times New Roman" w:eastAsia="宋体" w:cs="Times New Roman"/>
                      <w:color w:val="auto"/>
                      <w:sz w:val="21"/>
                      <w:szCs w:val="21"/>
                      <w:highlight w:val="none"/>
                      <w:lang w:bidi="en-US"/>
                    </w:rPr>
                  </w:pPr>
                  <w:r>
                    <w:rPr>
                      <w:rFonts w:hint="eastAsia" w:ascii="Times New Roman" w:hAnsi="Times New Roman" w:eastAsia="宋体" w:cs="Times New Roman"/>
                      <w:color w:val="auto"/>
                      <w:sz w:val="21"/>
                      <w:szCs w:val="21"/>
                      <w:highlight w:val="none"/>
                      <w:lang w:bidi="en-US"/>
                    </w:rPr>
                    <w:t>41</w:t>
                  </w:r>
                </w:p>
              </w:tc>
              <w:tc>
                <w:tcPr>
                  <w:tcW w:w="605"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bidi="en-US"/>
                    </w:rPr>
                  </w:pPr>
                  <w:r>
                    <w:rPr>
                      <w:rFonts w:hint="default" w:ascii="Times New Roman" w:hAnsi="Times New Roman" w:eastAsia="宋体" w:cs="Times New Roman"/>
                      <w:i w:val="0"/>
                      <w:iCs w:val="0"/>
                      <w:color w:val="auto"/>
                      <w:kern w:val="0"/>
                      <w:sz w:val="21"/>
                      <w:szCs w:val="21"/>
                      <w:u w:val="none"/>
                      <w:lang w:val="en-US" w:eastAsia="zh-CN" w:bidi="ar"/>
                    </w:rPr>
                    <w:t xml:space="preserve">48.1 </w:t>
                  </w:r>
                </w:p>
              </w:tc>
              <w:tc>
                <w:tcPr>
                  <w:tcW w:w="594"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 xml:space="preserve">41.6 </w:t>
                  </w:r>
                </w:p>
              </w:tc>
              <w:tc>
                <w:tcPr>
                  <w:tcW w:w="324" w:type="pct"/>
                  <w:tcBorders>
                    <w:top w:val="single" w:color="auto" w:sz="2" w:space="0"/>
                    <w:left w:val="single" w:color="auto" w:sz="2" w:space="0"/>
                    <w:bottom w:val="single" w:color="auto" w:sz="2" w:space="0"/>
                    <w:right w:val="single" w:color="auto" w:sz="2" w:space="0"/>
                  </w:tcBorders>
                  <w:vAlign w:val="center"/>
                </w:tcPr>
                <w:p>
                  <w:pPr>
                    <w:jc w:val="center"/>
                    <w:rPr>
                      <w:rFonts w:hint="eastAsia"/>
                      <w:color w:val="auto"/>
                      <w:sz w:val="21"/>
                      <w:szCs w:val="21"/>
                      <w:highlight w:val="none"/>
                      <w:lang w:bidi="en-US"/>
                    </w:rPr>
                  </w:pPr>
                  <w:r>
                    <w:rPr>
                      <w:rFonts w:hint="eastAsia"/>
                      <w:color w:val="auto"/>
                      <w:sz w:val="21"/>
                      <w:szCs w:val="21"/>
                      <w:highlight w:val="none"/>
                      <w:lang w:val="en-US" w:eastAsia="zh-CN" w:bidi="en-US"/>
                    </w:rPr>
                    <w:t>65</w:t>
                  </w:r>
                </w:p>
              </w:tc>
              <w:tc>
                <w:tcPr>
                  <w:tcW w:w="336" w:type="pct"/>
                  <w:tcBorders>
                    <w:top w:val="single" w:color="auto" w:sz="2" w:space="0"/>
                    <w:left w:val="single" w:color="auto" w:sz="2" w:space="0"/>
                    <w:bottom w:val="single" w:color="auto" w:sz="2" w:space="0"/>
                    <w:right w:val="nil"/>
                  </w:tcBorders>
                  <w:vAlign w:val="center"/>
                </w:tcPr>
                <w:p>
                  <w:pPr>
                    <w:jc w:val="center"/>
                    <w:rPr>
                      <w:rFonts w:hint="eastAsia"/>
                      <w:color w:val="auto"/>
                      <w:sz w:val="21"/>
                      <w:szCs w:val="21"/>
                      <w:highlight w:val="none"/>
                      <w:lang w:bidi="en-US"/>
                    </w:rPr>
                  </w:pPr>
                  <w:r>
                    <w:rPr>
                      <w:rFonts w:hint="eastAsia"/>
                      <w:color w:val="auto"/>
                      <w:sz w:val="21"/>
                      <w:szCs w:val="21"/>
                      <w:highlight w:val="none"/>
                      <w:lang w:val="en-US" w:eastAsia="zh-CN" w:bidi="en-US"/>
                    </w:rPr>
                    <w:t>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243" w:type="pct"/>
                  <w:tcBorders>
                    <w:top w:val="single" w:color="auto" w:sz="2" w:space="0"/>
                    <w:left w:val="nil"/>
                    <w:bottom w:val="single" w:color="auto" w:sz="2" w:space="0"/>
                    <w:right w:val="single" w:color="auto" w:sz="2" w:space="0"/>
                  </w:tcBorders>
                  <w:vAlign w:val="center"/>
                </w:tcPr>
                <w:p>
                  <w:pPr>
                    <w:jc w:val="center"/>
                    <w:rPr>
                      <w:color w:val="auto"/>
                      <w:sz w:val="21"/>
                      <w:szCs w:val="21"/>
                      <w:highlight w:val="none"/>
                      <w:lang w:bidi="en-US"/>
                    </w:rPr>
                  </w:pPr>
                  <w:r>
                    <w:rPr>
                      <w:color w:val="auto"/>
                      <w:sz w:val="21"/>
                      <w:szCs w:val="21"/>
                      <w:highlight w:val="none"/>
                      <w:lang w:bidi="en-US"/>
                    </w:rPr>
                    <w:t>3</w:t>
                  </w:r>
                </w:p>
              </w:tc>
              <w:tc>
                <w:tcPr>
                  <w:tcW w:w="751" w:type="pct"/>
                  <w:tcBorders>
                    <w:top w:val="single" w:color="auto" w:sz="2" w:space="0"/>
                    <w:left w:val="single" w:color="auto" w:sz="2" w:space="0"/>
                    <w:bottom w:val="single" w:color="auto" w:sz="2" w:space="0"/>
                    <w:right w:val="single" w:color="auto" w:sz="2" w:space="0"/>
                  </w:tcBorders>
                  <w:vAlign w:val="center"/>
                </w:tcPr>
                <w:p>
                  <w:pPr>
                    <w:adjustRightInd w:val="0"/>
                    <w:jc w:val="center"/>
                    <w:rPr>
                      <w:rFonts w:hint="eastAsia"/>
                      <w:bCs/>
                      <w:color w:val="auto"/>
                      <w:sz w:val="21"/>
                      <w:szCs w:val="21"/>
                      <w:highlight w:val="none"/>
                    </w:rPr>
                  </w:pPr>
                  <w:r>
                    <w:rPr>
                      <w:rFonts w:hint="eastAsia"/>
                      <w:bCs/>
                      <w:color w:val="auto"/>
                      <w:sz w:val="21"/>
                      <w:szCs w:val="21"/>
                      <w:highlight w:val="none"/>
                      <w:lang w:eastAsia="zh-CN"/>
                    </w:rPr>
                    <w:t>蒲吕街道沙心村民房</w:t>
                  </w:r>
                  <w:r>
                    <w:rPr>
                      <w:rFonts w:hint="eastAsia"/>
                      <w:bCs/>
                      <w:color w:val="auto"/>
                      <w:sz w:val="21"/>
                      <w:szCs w:val="21"/>
                      <w:highlight w:val="none"/>
                      <w:lang w:val="en-US" w:eastAsia="zh-CN"/>
                    </w:rPr>
                    <w:t>3</w:t>
                  </w:r>
                </w:p>
              </w:tc>
              <w:tc>
                <w:tcPr>
                  <w:tcW w:w="751" w:type="pct"/>
                  <w:tcBorders>
                    <w:top w:val="single" w:color="auto" w:sz="2" w:space="0"/>
                    <w:left w:val="single" w:color="auto" w:sz="2" w:space="0"/>
                    <w:bottom w:val="single" w:color="auto" w:sz="2" w:space="0"/>
                    <w:right w:val="single" w:color="auto" w:sz="2" w:space="0"/>
                  </w:tcBorders>
                  <w:vAlign w:val="center"/>
                </w:tcPr>
                <w:p>
                  <w:pPr>
                    <w:adjustRightInd w:val="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b w:val="0"/>
                      <w:bCs/>
                      <w:color w:val="auto"/>
                      <w:sz w:val="21"/>
                      <w:szCs w:val="21"/>
                      <w:highlight w:val="none"/>
                      <w:lang w:eastAsia="zh-CN"/>
                    </w:rPr>
                    <w:t>东北侧约</w:t>
                  </w:r>
                  <w:r>
                    <w:rPr>
                      <w:rFonts w:hint="eastAsia"/>
                      <w:b w:val="0"/>
                      <w:bCs/>
                      <w:color w:val="auto"/>
                      <w:sz w:val="21"/>
                      <w:szCs w:val="21"/>
                      <w:highlight w:val="none"/>
                      <w:lang w:val="en-US" w:eastAsia="zh-CN"/>
                    </w:rPr>
                    <w:t>70m</w:t>
                  </w:r>
                </w:p>
              </w:tc>
              <w:tc>
                <w:tcPr>
                  <w:tcW w:w="639" w:type="pct"/>
                  <w:tcBorders>
                    <w:top w:val="single" w:color="auto" w:sz="2" w:space="0"/>
                    <w:left w:val="single" w:color="auto" w:sz="2" w:space="0"/>
                    <w:bottom w:val="single" w:color="auto" w:sz="2" w:space="0"/>
                    <w:right w:val="single" w:color="auto" w:sz="2" w:space="0"/>
                  </w:tcBorders>
                  <w:vAlign w:val="center"/>
                </w:tcPr>
                <w:p>
                  <w:pPr>
                    <w:jc w:val="center"/>
                    <w:rPr>
                      <w:color w:val="auto"/>
                      <w:sz w:val="21"/>
                      <w:szCs w:val="21"/>
                      <w:highlight w:val="none"/>
                      <w:lang w:bidi="en-US"/>
                    </w:rPr>
                  </w:pPr>
                  <w:r>
                    <w:rPr>
                      <w:rFonts w:hint="eastAsia"/>
                      <w:color w:val="auto"/>
                      <w:sz w:val="21"/>
                      <w:szCs w:val="21"/>
                      <w:highlight w:val="none"/>
                      <w:lang w:bidi="en-US"/>
                    </w:rPr>
                    <w:t>约</w:t>
                  </w:r>
                  <w:r>
                    <w:rPr>
                      <w:rFonts w:hint="eastAsia"/>
                      <w:color w:val="auto"/>
                      <w:sz w:val="21"/>
                      <w:szCs w:val="21"/>
                      <w:highlight w:val="none"/>
                      <w:lang w:val="en-US" w:eastAsia="zh-CN" w:bidi="en-US"/>
                    </w:rPr>
                    <w:t>94</w:t>
                  </w:r>
                  <w:r>
                    <w:rPr>
                      <w:color w:val="auto"/>
                      <w:sz w:val="21"/>
                      <w:szCs w:val="21"/>
                      <w:highlight w:val="none"/>
                      <w:lang w:bidi="en-US"/>
                    </w:rPr>
                    <w:t>m</w:t>
                  </w:r>
                </w:p>
              </w:tc>
              <w:tc>
                <w:tcPr>
                  <w:tcW w:w="425" w:type="pct"/>
                  <w:tcBorders>
                    <w:top w:val="single" w:color="auto" w:sz="2" w:space="0"/>
                    <w:left w:val="single" w:color="auto" w:sz="2" w:space="0"/>
                    <w:bottom w:val="single" w:color="auto" w:sz="2" w:space="0"/>
                    <w:right w:val="single" w:color="auto" w:sz="2" w:space="0"/>
                  </w:tcBorders>
                  <w:vAlign w:val="center"/>
                </w:tcPr>
                <w:p>
                  <w:pPr>
                    <w:jc w:val="center"/>
                    <w:rPr>
                      <w:rFonts w:hint="eastAsia" w:ascii="Times New Roman" w:hAnsi="Times New Roman" w:eastAsia="宋体" w:cs="Times New Roman"/>
                      <w:color w:val="auto"/>
                      <w:sz w:val="21"/>
                      <w:szCs w:val="21"/>
                      <w:highlight w:val="none"/>
                      <w:lang w:bidi="en-US"/>
                    </w:rPr>
                  </w:pPr>
                  <w:r>
                    <w:rPr>
                      <w:rFonts w:hint="eastAsia" w:ascii="Times New Roman" w:hAnsi="Times New Roman" w:eastAsia="宋体" w:cs="Times New Roman"/>
                      <w:color w:val="auto"/>
                      <w:sz w:val="21"/>
                      <w:szCs w:val="21"/>
                      <w:highlight w:val="none"/>
                      <w:lang w:val="en-US" w:eastAsia="zh-CN" w:bidi="en-US"/>
                    </w:rPr>
                    <w:t>3</w:t>
                  </w:r>
                  <w:r>
                    <w:rPr>
                      <w:rFonts w:hint="eastAsia" w:cs="Times New Roman"/>
                      <w:color w:val="auto"/>
                      <w:sz w:val="21"/>
                      <w:szCs w:val="21"/>
                      <w:highlight w:val="none"/>
                      <w:lang w:val="en-US" w:eastAsia="zh-CN" w:bidi="en-US"/>
                    </w:rPr>
                    <w:t>3.8</w:t>
                  </w:r>
                  <w:r>
                    <w:rPr>
                      <w:rFonts w:hint="eastAsia" w:ascii="Times New Roman" w:hAnsi="Times New Roman" w:eastAsia="宋体" w:cs="Times New Roman"/>
                      <w:color w:val="auto"/>
                      <w:sz w:val="21"/>
                      <w:szCs w:val="21"/>
                      <w:highlight w:val="none"/>
                      <w:lang w:val="en-US" w:eastAsia="zh-CN" w:bidi="en-US"/>
                    </w:rPr>
                    <w:t xml:space="preserve"> </w:t>
                  </w:r>
                </w:p>
              </w:tc>
              <w:tc>
                <w:tcPr>
                  <w:tcW w:w="378" w:type="pct"/>
                  <w:tcBorders>
                    <w:top w:val="single" w:color="auto" w:sz="2" w:space="0"/>
                    <w:left w:val="single" w:color="auto" w:sz="2" w:space="0"/>
                    <w:bottom w:val="single" w:color="auto" w:sz="2" w:space="0"/>
                    <w:right w:val="single" w:color="auto" w:sz="2" w:space="0"/>
                  </w:tcBorders>
                  <w:vAlign w:val="center"/>
                </w:tcPr>
                <w:p>
                  <w:pPr>
                    <w:jc w:val="center"/>
                    <w:rPr>
                      <w:rFonts w:hint="eastAsia" w:ascii="Times New Roman" w:hAnsi="Times New Roman" w:eastAsia="宋体" w:cs="Times New Roman"/>
                      <w:color w:val="auto"/>
                      <w:sz w:val="21"/>
                      <w:szCs w:val="21"/>
                      <w:highlight w:val="none"/>
                      <w:lang w:eastAsia="zh-CN" w:bidi="en-US"/>
                    </w:rPr>
                  </w:pPr>
                  <w:r>
                    <w:rPr>
                      <w:rFonts w:hint="eastAsia" w:ascii="Times New Roman" w:hAnsi="Times New Roman" w:eastAsia="宋体" w:cs="Times New Roman"/>
                      <w:color w:val="auto"/>
                      <w:sz w:val="21"/>
                      <w:szCs w:val="21"/>
                      <w:highlight w:val="none"/>
                      <w:lang w:bidi="en-US"/>
                    </w:rPr>
                    <w:t>4</w:t>
                  </w:r>
                  <w:r>
                    <w:rPr>
                      <w:rFonts w:hint="eastAsia" w:ascii="Times New Roman" w:hAnsi="Times New Roman" w:eastAsia="宋体" w:cs="Times New Roman"/>
                      <w:color w:val="auto"/>
                      <w:sz w:val="21"/>
                      <w:szCs w:val="21"/>
                      <w:highlight w:val="none"/>
                      <w:lang w:val="en-US" w:eastAsia="zh-CN" w:bidi="en-US"/>
                    </w:rPr>
                    <w:t>9</w:t>
                  </w:r>
                </w:p>
              </w:tc>
              <w:tc>
                <w:tcPr>
                  <w:tcW w:w="380" w:type="pct"/>
                  <w:tcBorders>
                    <w:top w:val="single" w:color="auto" w:sz="2" w:space="0"/>
                    <w:left w:val="single" w:color="auto" w:sz="2" w:space="0"/>
                    <w:bottom w:val="single" w:color="auto" w:sz="2" w:space="0"/>
                    <w:right w:val="single" w:color="auto" w:sz="2" w:space="0"/>
                  </w:tcBorders>
                  <w:vAlign w:val="center"/>
                </w:tcPr>
                <w:p>
                  <w:pPr>
                    <w:jc w:val="center"/>
                    <w:rPr>
                      <w:rFonts w:hint="eastAsia" w:ascii="Times New Roman" w:hAnsi="Times New Roman" w:eastAsia="宋体" w:cs="Times New Roman"/>
                      <w:color w:val="auto"/>
                      <w:sz w:val="21"/>
                      <w:szCs w:val="21"/>
                      <w:highlight w:val="none"/>
                      <w:lang w:bidi="en-US"/>
                    </w:rPr>
                  </w:pPr>
                  <w:r>
                    <w:rPr>
                      <w:rFonts w:hint="eastAsia" w:ascii="Times New Roman" w:hAnsi="Times New Roman" w:eastAsia="宋体" w:cs="Times New Roman"/>
                      <w:color w:val="auto"/>
                      <w:sz w:val="21"/>
                      <w:szCs w:val="21"/>
                      <w:highlight w:val="none"/>
                      <w:lang w:bidi="en-US"/>
                    </w:rPr>
                    <w:t>41</w:t>
                  </w:r>
                </w:p>
              </w:tc>
              <w:tc>
                <w:tcPr>
                  <w:tcW w:w="605"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bidi="en-US"/>
                    </w:rPr>
                  </w:pPr>
                  <w:r>
                    <w:rPr>
                      <w:rFonts w:hint="default" w:ascii="Times New Roman" w:hAnsi="Times New Roman" w:eastAsia="宋体" w:cs="Times New Roman"/>
                      <w:i w:val="0"/>
                      <w:iCs w:val="0"/>
                      <w:color w:val="auto"/>
                      <w:kern w:val="0"/>
                      <w:sz w:val="21"/>
                      <w:szCs w:val="21"/>
                      <w:u w:val="none"/>
                      <w:lang w:val="en-US" w:eastAsia="zh-CN" w:bidi="ar"/>
                    </w:rPr>
                    <w:t xml:space="preserve">49.1 </w:t>
                  </w:r>
                </w:p>
              </w:tc>
              <w:tc>
                <w:tcPr>
                  <w:tcW w:w="594"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 xml:space="preserve">41.8 </w:t>
                  </w:r>
                </w:p>
              </w:tc>
              <w:tc>
                <w:tcPr>
                  <w:tcW w:w="324" w:type="pct"/>
                  <w:tcBorders>
                    <w:top w:val="single" w:color="auto" w:sz="2" w:space="0"/>
                    <w:left w:val="single" w:color="auto" w:sz="2" w:space="0"/>
                    <w:bottom w:val="single" w:color="auto" w:sz="2" w:space="0"/>
                    <w:right w:val="single" w:color="auto" w:sz="2" w:space="0"/>
                  </w:tcBorders>
                  <w:vAlign w:val="center"/>
                </w:tcPr>
                <w:p>
                  <w:pPr>
                    <w:jc w:val="center"/>
                    <w:rPr>
                      <w:rFonts w:hint="default"/>
                      <w:color w:val="auto"/>
                      <w:sz w:val="21"/>
                      <w:szCs w:val="21"/>
                      <w:highlight w:val="none"/>
                      <w:lang w:val="en-US" w:eastAsia="zh-CN" w:bidi="en-US"/>
                    </w:rPr>
                  </w:pPr>
                  <w:r>
                    <w:rPr>
                      <w:rFonts w:hint="eastAsia"/>
                      <w:color w:val="auto"/>
                      <w:sz w:val="21"/>
                      <w:szCs w:val="21"/>
                      <w:highlight w:val="none"/>
                      <w:lang w:val="en-US" w:eastAsia="zh-CN" w:bidi="en-US"/>
                    </w:rPr>
                    <w:t>65</w:t>
                  </w:r>
                </w:p>
              </w:tc>
              <w:tc>
                <w:tcPr>
                  <w:tcW w:w="336" w:type="pct"/>
                  <w:tcBorders>
                    <w:top w:val="single" w:color="auto" w:sz="2" w:space="0"/>
                    <w:left w:val="single" w:color="auto" w:sz="2" w:space="0"/>
                    <w:bottom w:val="single" w:color="auto" w:sz="2" w:space="0"/>
                    <w:right w:val="nil"/>
                  </w:tcBorders>
                  <w:vAlign w:val="center"/>
                </w:tcPr>
                <w:p>
                  <w:pPr>
                    <w:jc w:val="center"/>
                    <w:rPr>
                      <w:rFonts w:hint="default"/>
                      <w:color w:val="auto"/>
                      <w:sz w:val="21"/>
                      <w:szCs w:val="21"/>
                      <w:highlight w:val="none"/>
                      <w:lang w:val="en-US" w:eastAsia="zh-CN" w:bidi="en-US"/>
                    </w:rPr>
                  </w:pPr>
                  <w:r>
                    <w:rPr>
                      <w:rFonts w:hint="eastAsia"/>
                      <w:color w:val="auto"/>
                      <w:sz w:val="21"/>
                      <w:szCs w:val="21"/>
                      <w:highlight w:val="none"/>
                      <w:lang w:val="en-US" w:eastAsia="zh-CN" w:bidi="en-US"/>
                    </w:rPr>
                    <w:t>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6" w:hRule="atLeast"/>
                <w:jc w:val="center"/>
              </w:trPr>
              <w:tc>
                <w:tcPr>
                  <w:tcW w:w="243" w:type="pct"/>
                  <w:tcBorders>
                    <w:top w:val="single" w:color="auto" w:sz="2" w:space="0"/>
                    <w:left w:val="nil"/>
                    <w:bottom w:val="single" w:color="auto" w:sz="2" w:space="0"/>
                    <w:right w:val="single" w:color="auto" w:sz="2" w:space="0"/>
                  </w:tcBorders>
                  <w:vAlign w:val="center"/>
                </w:tcPr>
                <w:p>
                  <w:pPr>
                    <w:jc w:val="center"/>
                    <w:rPr>
                      <w:rFonts w:hint="eastAsia" w:eastAsia="宋体"/>
                      <w:color w:val="auto"/>
                      <w:sz w:val="21"/>
                      <w:szCs w:val="21"/>
                      <w:highlight w:val="none"/>
                      <w:lang w:val="en-US" w:eastAsia="zh-CN" w:bidi="en-US"/>
                    </w:rPr>
                  </w:pPr>
                  <w:r>
                    <w:rPr>
                      <w:rFonts w:hint="eastAsia"/>
                      <w:color w:val="auto"/>
                      <w:sz w:val="21"/>
                      <w:szCs w:val="21"/>
                      <w:highlight w:val="none"/>
                      <w:lang w:val="en-US" w:eastAsia="zh-CN" w:bidi="en-US"/>
                    </w:rPr>
                    <w:t>4</w:t>
                  </w:r>
                </w:p>
              </w:tc>
              <w:tc>
                <w:tcPr>
                  <w:tcW w:w="751" w:type="pct"/>
                  <w:tcBorders>
                    <w:top w:val="single" w:color="auto" w:sz="2" w:space="0"/>
                    <w:left w:val="single" w:color="auto" w:sz="2" w:space="0"/>
                    <w:bottom w:val="single" w:color="auto" w:sz="2" w:space="0"/>
                    <w:right w:val="single" w:color="auto" w:sz="2" w:space="0"/>
                  </w:tcBorders>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eastAsia="zh-CN"/>
                    </w:rPr>
                    <w:t>蒲吕街道沙心村民房</w:t>
                  </w:r>
                  <w:r>
                    <w:rPr>
                      <w:rFonts w:hint="eastAsia"/>
                      <w:bCs/>
                      <w:color w:val="auto"/>
                      <w:sz w:val="21"/>
                      <w:szCs w:val="21"/>
                      <w:highlight w:val="none"/>
                      <w:lang w:val="en-US" w:eastAsia="zh-CN"/>
                    </w:rPr>
                    <w:t>4</w:t>
                  </w:r>
                </w:p>
              </w:tc>
              <w:tc>
                <w:tcPr>
                  <w:tcW w:w="751" w:type="pct"/>
                  <w:tcBorders>
                    <w:top w:val="single" w:color="auto" w:sz="2" w:space="0"/>
                    <w:left w:val="single" w:color="auto" w:sz="2" w:space="0"/>
                    <w:bottom w:val="single" w:color="auto" w:sz="2" w:space="0"/>
                    <w:right w:val="single" w:color="auto" w:sz="2" w:space="0"/>
                  </w:tcBorders>
                  <w:vAlign w:val="center"/>
                </w:tcPr>
                <w:p>
                  <w:pPr>
                    <w:adjustRightInd w:val="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b w:val="0"/>
                      <w:bCs/>
                      <w:color w:val="auto"/>
                      <w:sz w:val="21"/>
                      <w:szCs w:val="21"/>
                      <w:highlight w:val="none"/>
                      <w:lang w:eastAsia="zh-CN"/>
                    </w:rPr>
                    <w:t>东南侧约</w:t>
                  </w:r>
                  <w:r>
                    <w:rPr>
                      <w:rFonts w:hint="eastAsia"/>
                      <w:b w:val="0"/>
                      <w:bCs/>
                      <w:color w:val="auto"/>
                      <w:sz w:val="21"/>
                      <w:szCs w:val="21"/>
                      <w:highlight w:val="none"/>
                      <w:lang w:val="en-US" w:eastAsia="zh-CN"/>
                    </w:rPr>
                    <w:t>130m</w:t>
                  </w:r>
                </w:p>
              </w:tc>
              <w:tc>
                <w:tcPr>
                  <w:tcW w:w="639" w:type="pct"/>
                  <w:tcBorders>
                    <w:top w:val="single" w:color="auto" w:sz="2" w:space="0"/>
                    <w:left w:val="single" w:color="auto" w:sz="2" w:space="0"/>
                    <w:bottom w:val="single" w:color="auto" w:sz="2" w:space="0"/>
                    <w:right w:val="single" w:color="auto" w:sz="2" w:space="0"/>
                  </w:tcBorders>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约162m</w:t>
                  </w:r>
                </w:p>
              </w:tc>
              <w:tc>
                <w:tcPr>
                  <w:tcW w:w="425" w:type="pct"/>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eastAsia" w:cs="Times New Roman"/>
                      <w:color w:val="auto"/>
                      <w:sz w:val="21"/>
                      <w:szCs w:val="21"/>
                      <w:highlight w:val="none"/>
                      <w:lang w:val="en-US" w:eastAsia="zh-CN" w:bidi="en-US"/>
                    </w:rPr>
                    <w:t>29.8</w:t>
                  </w:r>
                </w:p>
              </w:tc>
              <w:tc>
                <w:tcPr>
                  <w:tcW w:w="378" w:type="pct"/>
                  <w:tcBorders>
                    <w:top w:val="single" w:color="auto" w:sz="2" w:space="0"/>
                    <w:left w:val="single" w:color="auto" w:sz="2" w:space="0"/>
                    <w:bottom w:val="single" w:color="auto" w:sz="2" w:space="0"/>
                    <w:right w:val="single" w:color="auto" w:sz="2" w:space="0"/>
                  </w:tcBorders>
                  <w:vAlign w:val="center"/>
                </w:tcPr>
                <w:p>
                  <w:pPr>
                    <w:jc w:val="center"/>
                    <w:rPr>
                      <w:rFonts w:hint="eastAsia" w:ascii="Times New Roman" w:hAnsi="Times New Roman" w:eastAsia="宋体" w:cs="Times New Roman"/>
                      <w:color w:val="auto"/>
                      <w:sz w:val="21"/>
                      <w:szCs w:val="21"/>
                      <w:highlight w:val="none"/>
                      <w:lang w:bidi="en-US"/>
                    </w:rPr>
                  </w:pPr>
                  <w:r>
                    <w:rPr>
                      <w:rFonts w:hint="eastAsia" w:ascii="Times New Roman" w:hAnsi="Times New Roman" w:eastAsia="宋体" w:cs="Times New Roman"/>
                      <w:color w:val="auto"/>
                      <w:sz w:val="21"/>
                      <w:szCs w:val="21"/>
                      <w:highlight w:val="none"/>
                      <w:lang w:bidi="en-US"/>
                    </w:rPr>
                    <w:t>48</w:t>
                  </w:r>
                </w:p>
              </w:tc>
              <w:tc>
                <w:tcPr>
                  <w:tcW w:w="380" w:type="pct"/>
                  <w:tcBorders>
                    <w:top w:val="single" w:color="auto" w:sz="2" w:space="0"/>
                    <w:left w:val="single" w:color="auto" w:sz="2" w:space="0"/>
                    <w:bottom w:val="single" w:color="auto" w:sz="2" w:space="0"/>
                    <w:right w:val="single" w:color="auto" w:sz="2" w:space="0"/>
                  </w:tcBorders>
                  <w:vAlign w:val="center"/>
                </w:tcPr>
                <w:p>
                  <w:pPr>
                    <w:jc w:val="center"/>
                    <w:rPr>
                      <w:rFonts w:hint="eastAsia" w:ascii="Times New Roman" w:hAnsi="Times New Roman" w:eastAsia="宋体" w:cs="Times New Roman"/>
                      <w:color w:val="auto"/>
                      <w:sz w:val="21"/>
                      <w:szCs w:val="21"/>
                      <w:highlight w:val="none"/>
                      <w:lang w:bidi="en-US"/>
                    </w:rPr>
                  </w:pPr>
                  <w:r>
                    <w:rPr>
                      <w:rFonts w:hint="eastAsia" w:ascii="Times New Roman" w:hAnsi="Times New Roman" w:eastAsia="宋体" w:cs="Times New Roman"/>
                      <w:color w:val="auto"/>
                      <w:sz w:val="21"/>
                      <w:szCs w:val="21"/>
                      <w:highlight w:val="none"/>
                      <w:lang w:bidi="en-US"/>
                    </w:rPr>
                    <w:t>40</w:t>
                  </w:r>
                </w:p>
              </w:tc>
              <w:tc>
                <w:tcPr>
                  <w:tcW w:w="605"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bidi="en-US"/>
                    </w:rPr>
                  </w:pPr>
                  <w:r>
                    <w:rPr>
                      <w:rFonts w:hint="default" w:ascii="Times New Roman" w:hAnsi="Times New Roman" w:eastAsia="宋体" w:cs="Times New Roman"/>
                      <w:i w:val="0"/>
                      <w:iCs w:val="0"/>
                      <w:color w:val="auto"/>
                      <w:kern w:val="0"/>
                      <w:sz w:val="21"/>
                      <w:szCs w:val="21"/>
                      <w:u w:val="none"/>
                      <w:lang w:val="en-US" w:eastAsia="zh-CN" w:bidi="ar"/>
                    </w:rPr>
                    <w:t xml:space="preserve">48.1 </w:t>
                  </w:r>
                </w:p>
              </w:tc>
              <w:tc>
                <w:tcPr>
                  <w:tcW w:w="594"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 xml:space="preserve">40.4 </w:t>
                  </w:r>
                </w:p>
              </w:tc>
              <w:tc>
                <w:tcPr>
                  <w:tcW w:w="324" w:type="pct"/>
                  <w:tcBorders>
                    <w:top w:val="single" w:color="auto" w:sz="2" w:space="0"/>
                    <w:left w:val="single" w:color="auto" w:sz="2" w:space="0"/>
                    <w:bottom w:val="single" w:color="auto" w:sz="2" w:space="0"/>
                    <w:right w:val="single" w:color="auto" w:sz="2" w:space="0"/>
                  </w:tcBorders>
                  <w:vAlign w:val="center"/>
                </w:tcPr>
                <w:p>
                  <w:pPr>
                    <w:jc w:val="center"/>
                    <w:rPr>
                      <w:rFonts w:hint="eastAsia"/>
                      <w:color w:val="auto"/>
                      <w:sz w:val="21"/>
                      <w:szCs w:val="21"/>
                      <w:highlight w:val="none"/>
                      <w:lang w:val="en-US" w:eastAsia="zh-CN" w:bidi="en-US"/>
                    </w:rPr>
                  </w:pPr>
                  <w:r>
                    <w:rPr>
                      <w:rFonts w:hint="eastAsia"/>
                      <w:color w:val="auto"/>
                      <w:sz w:val="21"/>
                      <w:szCs w:val="21"/>
                      <w:highlight w:val="none"/>
                      <w:lang w:bidi="en-US"/>
                    </w:rPr>
                    <w:t>55</w:t>
                  </w:r>
                </w:p>
              </w:tc>
              <w:tc>
                <w:tcPr>
                  <w:tcW w:w="336" w:type="pct"/>
                  <w:tcBorders>
                    <w:top w:val="single" w:color="auto" w:sz="2" w:space="0"/>
                    <w:left w:val="single" w:color="auto" w:sz="2" w:space="0"/>
                    <w:bottom w:val="single" w:color="auto" w:sz="2" w:space="0"/>
                    <w:right w:val="nil"/>
                  </w:tcBorders>
                  <w:vAlign w:val="center"/>
                </w:tcPr>
                <w:p>
                  <w:pPr>
                    <w:jc w:val="center"/>
                    <w:rPr>
                      <w:rFonts w:hint="eastAsia"/>
                      <w:color w:val="auto"/>
                      <w:sz w:val="21"/>
                      <w:szCs w:val="21"/>
                      <w:highlight w:val="none"/>
                      <w:lang w:val="en-US" w:eastAsia="zh-CN" w:bidi="en-US"/>
                    </w:rPr>
                  </w:pPr>
                  <w:r>
                    <w:rPr>
                      <w:rFonts w:hint="eastAsia"/>
                      <w:color w:val="auto"/>
                      <w:sz w:val="21"/>
                      <w:szCs w:val="21"/>
                      <w:highlight w:val="none"/>
                      <w:lang w:bidi="en-US"/>
                    </w:rPr>
                    <w:t>45</w:t>
                  </w:r>
                </w:p>
              </w:tc>
            </w:tr>
          </w:tbl>
          <w:p>
            <w:pPr>
              <w:pStyle w:val="7"/>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textAlignment w:val="auto"/>
              <w:rPr>
                <w:color w:val="auto"/>
                <w:highlight w:val="none"/>
              </w:rPr>
            </w:pPr>
            <w:r>
              <w:rPr>
                <w:rFonts w:hint="eastAsia"/>
                <w:color w:val="auto"/>
                <w:highlight w:val="none"/>
              </w:rPr>
              <w:t>由表</w:t>
            </w:r>
            <w:r>
              <w:rPr>
                <w:rFonts w:hint="eastAsia"/>
                <w:color w:val="auto"/>
                <w:highlight w:val="none"/>
                <w:lang w:val="en-US" w:eastAsia="zh-CN"/>
              </w:rPr>
              <w:t>4-7</w:t>
            </w:r>
            <w:r>
              <w:rPr>
                <w:rFonts w:hint="eastAsia"/>
                <w:color w:val="auto"/>
                <w:highlight w:val="none"/>
              </w:rPr>
              <w:t>预测可知，本工程建成投运后，变电站周围的敏感目标能满足《声环境质量标准》（</w:t>
            </w:r>
            <w:r>
              <w:rPr>
                <w:color w:val="auto"/>
                <w:highlight w:val="none"/>
              </w:rPr>
              <w:t>GB3096-2008</w:t>
            </w:r>
            <w:r>
              <w:rPr>
                <w:rFonts w:hint="eastAsia"/>
                <w:color w:val="auto"/>
                <w:highlight w:val="none"/>
              </w:rPr>
              <w:t>）</w:t>
            </w:r>
            <w:r>
              <w:rPr>
                <w:color w:val="auto"/>
                <w:highlight w:val="none"/>
              </w:rPr>
              <w:t>1</w:t>
            </w:r>
            <w:r>
              <w:rPr>
                <w:rFonts w:hint="eastAsia"/>
                <w:color w:val="auto"/>
                <w:highlight w:val="none"/>
              </w:rPr>
              <w:t>类</w:t>
            </w:r>
            <w:r>
              <w:rPr>
                <w:rFonts w:hint="eastAsia"/>
                <w:color w:val="auto"/>
                <w:highlight w:val="none"/>
                <w:lang w:eastAsia="zh-CN"/>
              </w:rPr>
              <w:t>、</w:t>
            </w:r>
            <w:r>
              <w:rPr>
                <w:rFonts w:hint="eastAsia"/>
                <w:color w:val="auto"/>
                <w:highlight w:val="none"/>
                <w:lang w:val="en-US" w:eastAsia="zh-CN"/>
              </w:rPr>
              <w:t>3类</w:t>
            </w:r>
            <w:r>
              <w:rPr>
                <w:rFonts w:hint="eastAsia"/>
                <w:color w:val="auto"/>
                <w:highlight w:val="none"/>
              </w:rPr>
              <w:t>标准。</w:t>
            </w:r>
          </w:p>
          <w:p>
            <w:pPr>
              <w:pStyle w:val="66"/>
              <w:snapToGrid w:val="0"/>
              <w:spacing w:line="360" w:lineRule="auto"/>
              <w:ind w:firstLine="482"/>
              <w:jc w:val="left"/>
              <w:rPr>
                <w:b/>
                <w:color w:val="auto"/>
                <w:szCs w:val="24"/>
                <w:highlight w:val="none"/>
              </w:rPr>
            </w:pPr>
            <w:r>
              <w:rPr>
                <w:rFonts w:hint="eastAsia"/>
                <w:b/>
                <w:color w:val="auto"/>
                <w:szCs w:val="24"/>
                <w:highlight w:val="none"/>
              </w:rPr>
              <w:t>（2）</w:t>
            </w:r>
            <w:r>
              <w:rPr>
                <w:rFonts w:hint="eastAsia"/>
                <w:b/>
                <w:color w:val="auto"/>
                <w:szCs w:val="24"/>
                <w:highlight w:val="none"/>
                <w:lang w:eastAsia="zh-CN"/>
              </w:rPr>
              <w:t>220kV全德变电站</w:t>
            </w:r>
            <w:r>
              <w:rPr>
                <w:rFonts w:hint="eastAsia"/>
                <w:b/>
                <w:color w:val="auto"/>
                <w:szCs w:val="24"/>
                <w:highlight w:val="none"/>
              </w:rPr>
              <w:t>间隔扩建</w:t>
            </w:r>
          </w:p>
          <w:p>
            <w:pPr>
              <w:adjustRightInd w:val="0"/>
              <w:snapToGrid w:val="0"/>
              <w:spacing w:line="360" w:lineRule="auto"/>
              <w:ind w:firstLine="480" w:firstLineChars="200"/>
              <w:rPr>
                <w:color w:val="auto"/>
                <w:sz w:val="24"/>
                <w:highlight w:val="none"/>
              </w:rPr>
            </w:pPr>
            <w:r>
              <w:rPr>
                <w:rFonts w:hint="eastAsia"/>
                <w:color w:val="auto"/>
                <w:sz w:val="24"/>
                <w:highlight w:val="none"/>
              </w:rPr>
              <w:t>本工程</w:t>
            </w:r>
            <w:r>
              <w:rPr>
                <w:rFonts w:hint="eastAsia"/>
                <w:color w:val="auto"/>
                <w:sz w:val="24"/>
                <w:highlight w:val="none"/>
                <w:lang w:eastAsia="zh-CN"/>
              </w:rPr>
              <w:t>220kV全德变电站</w:t>
            </w:r>
            <w:r>
              <w:rPr>
                <w:rFonts w:hint="eastAsia"/>
                <w:color w:val="auto"/>
                <w:sz w:val="24"/>
                <w:highlight w:val="none"/>
              </w:rPr>
              <w:t>于现有场地内扩建</w:t>
            </w:r>
            <w:r>
              <w:rPr>
                <w:color w:val="auto"/>
                <w:sz w:val="24"/>
                <w:highlight w:val="none"/>
              </w:rPr>
              <w:t>2</w:t>
            </w:r>
            <w:r>
              <w:rPr>
                <w:rFonts w:hint="eastAsia"/>
                <w:color w:val="auto"/>
                <w:sz w:val="24"/>
                <w:highlight w:val="none"/>
              </w:rPr>
              <w:t>个</w:t>
            </w:r>
            <w:r>
              <w:rPr>
                <w:rFonts w:hint="eastAsia"/>
                <w:color w:val="auto"/>
                <w:sz w:val="24"/>
                <w:highlight w:val="none"/>
                <w:lang w:val="en-US" w:eastAsia="zh-CN"/>
              </w:rPr>
              <w:t>11</w:t>
            </w:r>
            <w:r>
              <w:rPr>
                <w:rFonts w:hint="eastAsia"/>
                <w:color w:val="auto"/>
                <w:sz w:val="24"/>
                <w:highlight w:val="none"/>
              </w:rPr>
              <w:t>0kV出线间隔及配套设备如SF6断路器、电流互感器、电压互感器等。</w:t>
            </w:r>
            <w:r>
              <w:rPr>
                <w:rFonts w:hint="eastAsia"/>
                <w:color w:val="auto"/>
                <w:sz w:val="24"/>
                <w:highlight w:val="none"/>
                <w:lang w:eastAsia="zh-CN"/>
              </w:rPr>
              <w:t>220kV全德变电站</w:t>
            </w:r>
            <w:r>
              <w:rPr>
                <w:rFonts w:hint="eastAsia"/>
                <w:color w:val="auto"/>
                <w:sz w:val="24"/>
                <w:highlight w:val="none"/>
              </w:rPr>
              <w:t>间隔扩建工程增加声污染源设备有限，间隔扩建后对变电站出线间隔侧的声环境影响不大。间隔扩建工程建成投运后，</w:t>
            </w:r>
            <w:r>
              <w:rPr>
                <w:rFonts w:hint="eastAsia"/>
                <w:color w:val="auto"/>
                <w:sz w:val="24"/>
                <w:highlight w:val="none"/>
                <w:lang w:eastAsia="zh-CN"/>
              </w:rPr>
              <w:t>220kV全德变电站</w:t>
            </w:r>
            <w:r>
              <w:rPr>
                <w:rFonts w:hint="eastAsia"/>
                <w:color w:val="auto"/>
                <w:sz w:val="24"/>
                <w:highlight w:val="none"/>
              </w:rPr>
              <w:t>扩建侧厂界噪声仍可保证达标排放，变电站扩建侧敏感点声环境质量仍可达《声环境质量标准》（GB3096-2008）</w:t>
            </w:r>
            <w:r>
              <w:rPr>
                <w:rFonts w:hint="eastAsia"/>
                <w:color w:val="auto"/>
                <w:sz w:val="24"/>
                <w:highlight w:val="none"/>
                <w:lang w:val="en-US" w:eastAsia="zh-CN"/>
              </w:rPr>
              <w:t>1</w:t>
            </w:r>
            <w:r>
              <w:rPr>
                <w:rFonts w:hint="eastAsia"/>
                <w:color w:val="auto"/>
                <w:sz w:val="24"/>
                <w:highlight w:val="none"/>
              </w:rPr>
              <w:t>类区标准。</w:t>
            </w:r>
          </w:p>
          <w:p>
            <w:pPr>
              <w:pStyle w:val="66"/>
              <w:snapToGrid w:val="0"/>
              <w:spacing w:line="360" w:lineRule="auto"/>
              <w:ind w:firstLine="482"/>
              <w:jc w:val="left"/>
              <w:rPr>
                <w:b/>
                <w:color w:val="auto"/>
                <w:szCs w:val="24"/>
                <w:highlight w:val="none"/>
              </w:rPr>
            </w:pPr>
            <w:r>
              <w:rPr>
                <w:rFonts w:hint="eastAsia"/>
                <w:b/>
                <w:color w:val="auto"/>
                <w:szCs w:val="24"/>
                <w:highlight w:val="none"/>
              </w:rPr>
              <w:t>（</w:t>
            </w:r>
            <w:r>
              <w:rPr>
                <w:b/>
                <w:color w:val="auto"/>
                <w:szCs w:val="24"/>
                <w:highlight w:val="none"/>
              </w:rPr>
              <w:t>3</w:t>
            </w:r>
            <w:r>
              <w:rPr>
                <w:rFonts w:hint="eastAsia"/>
                <w:b/>
                <w:color w:val="auto"/>
                <w:szCs w:val="24"/>
                <w:highlight w:val="none"/>
              </w:rPr>
              <w:t>）输电线</w:t>
            </w:r>
          </w:p>
          <w:p>
            <w:pPr>
              <w:spacing w:line="460" w:lineRule="exact"/>
              <w:ind w:firstLine="480" w:firstLineChars="200"/>
              <w:rPr>
                <w:rFonts w:hint="eastAsia"/>
                <w:color w:val="auto"/>
                <w:sz w:val="24"/>
              </w:rPr>
            </w:pPr>
            <w:r>
              <w:rPr>
                <w:rFonts w:hint="eastAsia"/>
                <w:color w:val="auto"/>
                <w:sz w:val="24"/>
              </w:rPr>
              <w:t>送电线路的可听噪声主要是由导线表面空气中的局部放电（电晕）产生的。一般说来，在干燥天气条件下，导线通常运行在电晕起始电压水平以下，线路上只有很少的电源，因此也就不可能造成明显的可听噪声。但在潮湿和阴雨天气条件下，因为水滴在导线表面或附近的存在，使局部的电场强度增加，从而容易产生电晕放电，由于电晕放电的效应之一为噪声，因此便产生了线路的可听噪声。</w:t>
            </w:r>
          </w:p>
          <w:p>
            <w:pPr>
              <w:spacing w:line="460" w:lineRule="exact"/>
              <w:ind w:firstLine="480" w:firstLineChars="200"/>
              <w:rPr>
                <w:rFonts w:hint="eastAsia"/>
                <w:color w:val="auto"/>
                <w:sz w:val="24"/>
              </w:rPr>
            </w:pPr>
            <w:r>
              <w:rPr>
                <w:rFonts w:hint="eastAsia"/>
                <w:color w:val="auto"/>
                <w:sz w:val="24"/>
              </w:rPr>
              <w:t>送电线路下的可听噪声除了与天气条件有关外，还与导线的几何结构有关，即导线截面积增大，则噪声值降低。</w:t>
            </w:r>
          </w:p>
          <w:p>
            <w:pPr>
              <w:spacing w:line="460" w:lineRule="exact"/>
              <w:ind w:firstLine="480" w:firstLineChars="200"/>
              <w:rPr>
                <w:color w:val="auto"/>
                <w:sz w:val="24"/>
              </w:rPr>
            </w:pPr>
            <w:r>
              <w:rPr>
                <w:color w:val="auto"/>
                <w:sz w:val="24"/>
              </w:rPr>
              <w:t>本次评价输电线路声环境影响评价主要采用类比</w:t>
            </w:r>
            <w:r>
              <w:rPr>
                <w:rFonts w:hint="eastAsia"/>
                <w:color w:val="auto"/>
                <w:sz w:val="24"/>
                <w:lang w:eastAsia="zh-CN"/>
              </w:rPr>
              <w:t>分析和定量分析的</w:t>
            </w:r>
            <w:r>
              <w:rPr>
                <w:color w:val="auto"/>
                <w:sz w:val="24"/>
              </w:rPr>
              <w:t>方法进行。</w:t>
            </w:r>
          </w:p>
          <w:p>
            <w:pPr>
              <w:spacing w:line="460" w:lineRule="exact"/>
              <w:ind w:firstLine="480" w:firstLineChars="200"/>
              <w:rPr>
                <w:color w:val="auto"/>
                <w:sz w:val="24"/>
              </w:rPr>
            </w:pPr>
            <w:r>
              <w:rPr>
                <w:rFonts w:hint="eastAsia"/>
                <w:color w:val="auto"/>
                <w:sz w:val="24"/>
                <w:lang w:val="en-US" w:eastAsia="zh-CN"/>
              </w:rPr>
              <w:t>1</w:t>
            </w:r>
            <w:r>
              <w:rPr>
                <w:rFonts w:hint="eastAsia"/>
                <w:color w:val="auto"/>
                <w:sz w:val="24"/>
                <w:lang w:eastAsia="zh-CN"/>
              </w:rPr>
              <w:t>）</w:t>
            </w:r>
            <w:r>
              <w:rPr>
                <w:rFonts w:hint="eastAsia"/>
                <w:color w:val="auto"/>
                <w:sz w:val="24"/>
              </w:rPr>
              <w:t>类比条件分析</w:t>
            </w:r>
          </w:p>
          <w:p>
            <w:pPr>
              <w:spacing w:line="460" w:lineRule="exact"/>
              <w:ind w:firstLine="480" w:firstLineChars="200"/>
              <w:rPr>
                <w:color w:val="auto"/>
                <w:sz w:val="24"/>
              </w:rPr>
            </w:pPr>
            <w:r>
              <w:rPr>
                <w:rFonts w:hint="eastAsia"/>
                <w:color w:val="auto"/>
                <w:sz w:val="24"/>
              </w:rPr>
              <w:t>本次评价选取110kV蒿裕陈线</w:t>
            </w:r>
            <w:r>
              <w:rPr>
                <w:rFonts w:hint="eastAsia"/>
                <w:color w:val="auto"/>
                <w:sz w:val="24"/>
                <w:lang w:val="en-US" w:eastAsia="zh-CN"/>
              </w:rPr>
              <w:t>-</w:t>
            </w:r>
            <w:r>
              <w:rPr>
                <w:rFonts w:hint="eastAsia"/>
                <w:color w:val="auto"/>
                <w:sz w:val="24"/>
              </w:rPr>
              <w:t>T陈线</w:t>
            </w:r>
            <w:r>
              <w:rPr>
                <w:rFonts w:hint="eastAsia"/>
                <w:color w:val="auto"/>
                <w:sz w:val="24"/>
                <w:lang w:val="en-US" w:eastAsia="zh-CN"/>
              </w:rPr>
              <w:t>和</w:t>
            </w:r>
            <w:r>
              <w:rPr>
                <w:rFonts w:hint="eastAsia"/>
                <w:color w:val="auto"/>
                <w:sz w:val="24"/>
              </w:rPr>
              <w:t>110kV</w:t>
            </w:r>
            <w:r>
              <w:rPr>
                <w:rFonts w:hint="eastAsia"/>
                <w:color w:val="auto"/>
                <w:sz w:val="24"/>
                <w:lang w:eastAsia="zh-CN"/>
              </w:rPr>
              <w:t>巴东</w:t>
            </w:r>
            <w:r>
              <w:rPr>
                <w:rFonts w:hint="eastAsia" w:ascii="宋体" w:hAnsi="宋体" w:eastAsia="宋体" w:cs="宋体"/>
                <w:color w:val="auto"/>
                <w:sz w:val="24"/>
                <w:lang w:eastAsia="zh-CN"/>
              </w:rPr>
              <w:t>Ⅰ</w:t>
            </w:r>
            <w:r>
              <w:rPr>
                <w:rFonts w:hint="eastAsia"/>
                <w:color w:val="auto"/>
                <w:sz w:val="24"/>
                <w:lang w:eastAsia="zh-CN"/>
              </w:rPr>
              <w:t>线、</w:t>
            </w:r>
            <w:r>
              <w:rPr>
                <w:rFonts w:hint="eastAsia" w:ascii="宋体" w:hAnsi="宋体" w:eastAsia="宋体" w:cs="宋体"/>
                <w:color w:val="auto"/>
                <w:sz w:val="24"/>
                <w:lang w:eastAsia="zh-CN"/>
              </w:rPr>
              <w:t>Ⅱ</w:t>
            </w:r>
            <w:r>
              <w:rPr>
                <w:rFonts w:hint="eastAsia"/>
                <w:color w:val="auto"/>
                <w:sz w:val="24"/>
                <w:lang w:eastAsia="zh-CN"/>
              </w:rPr>
              <w:t>线分别</w:t>
            </w:r>
            <w:r>
              <w:rPr>
                <w:rFonts w:hint="eastAsia"/>
                <w:color w:val="auto"/>
                <w:sz w:val="24"/>
              </w:rPr>
              <w:t>作为本项目</w:t>
            </w:r>
            <w:r>
              <w:rPr>
                <w:rFonts w:hint="eastAsia"/>
                <w:color w:val="auto"/>
                <w:sz w:val="24"/>
                <w:lang w:eastAsia="zh-CN"/>
              </w:rPr>
              <w:t>单回段、双回段</w:t>
            </w:r>
            <w:r>
              <w:rPr>
                <w:rFonts w:hint="eastAsia"/>
                <w:color w:val="auto"/>
                <w:sz w:val="24"/>
              </w:rPr>
              <w:t>的类比监测对象，</w:t>
            </w:r>
            <w:r>
              <w:rPr>
                <w:rFonts w:hint="eastAsia"/>
                <w:color w:val="auto"/>
                <w:sz w:val="24"/>
                <w:lang w:eastAsia="zh-CN"/>
              </w:rPr>
              <w:t>具体</w:t>
            </w:r>
            <w:r>
              <w:rPr>
                <w:rFonts w:hint="eastAsia"/>
                <w:color w:val="auto"/>
                <w:sz w:val="24"/>
              </w:rPr>
              <w:t>类比参数见表</w:t>
            </w:r>
            <w:r>
              <w:rPr>
                <w:color w:val="auto"/>
                <w:sz w:val="24"/>
              </w:rPr>
              <w:t>4-</w:t>
            </w:r>
            <w:r>
              <w:rPr>
                <w:rFonts w:hint="eastAsia"/>
                <w:color w:val="auto"/>
                <w:sz w:val="24"/>
                <w:lang w:val="en-US" w:eastAsia="zh-CN"/>
              </w:rPr>
              <w:t>8、表4-9</w:t>
            </w:r>
            <w:r>
              <w:rPr>
                <w:rFonts w:hint="eastAsia"/>
                <w:color w:val="auto"/>
                <w:sz w:val="24"/>
              </w:rPr>
              <w:t>。</w:t>
            </w:r>
          </w:p>
          <w:p>
            <w:pPr>
              <w:adjustRightInd w:val="0"/>
              <w:snapToGrid w:val="0"/>
              <w:ind w:firstLine="482"/>
              <w:jc w:val="center"/>
              <w:rPr>
                <w:b/>
                <w:bCs/>
                <w:color w:val="auto"/>
                <w:sz w:val="24"/>
              </w:rPr>
            </w:pPr>
            <w:r>
              <w:rPr>
                <w:rFonts w:hint="eastAsia"/>
                <w:b/>
                <w:bCs/>
                <w:color w:val="auto"/>
                <w:sz w:val="24"/>
              </w:rPr>
              <w:t>表</w:t>
            </w:r>
            <w:r>
              <w:rPr>
                <w:b/>
                <w:bCs/>
                <w:color w:val="auto"/>
                <w:sz w:val="24"/>
              </w:rPr>
              <w:t>4-</w:t>
            </w:r>
            <w:r>
              <w:rPr>
                <w:rFonts w:hint="eastAsia"/>
                <w:b/>
                <w:bCs/>
                <w:color w:val="auto"/>
                <w:sz w:val="24"/>
                <w:lang w:val="en-US" w:eastAsia="zh-CN"/>
              </w:rPr>
              <w:t>8</w:t>
            </w:r>
            <w:r>
              <w:rPr>
                <w:b/>
                <w:bCs/>
                <w:color w:val="auto"/>
                <w:sz w:val="24"/>
              </w:rPr>
              <w:t xml:space="preserve">  </w:t>
            </w:r>
            <w:r>
              <w:rPr>
                <w:rFonts w:hint="eastAsia"/>
                <w:b/>
                <w:bCs/>
                <w:color w:val="auto"/>
                <w:sz w:val="24"/>
                <w:lang w:eastAsia="zh-CN"/>
              </w:rPr>
              <w:t>单回段线路</w:t>
            </w:r>
            <w:r>
              <w:rPr>
                <w:rFonts w:hint="eastAsia"/>
                <w:b/>
                <w:bCs/>
                <w:color w:val="auto"/>
                <w:sz w:val="24"/>
              </w:rPr>
              <w:t>类比参数一览表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60"/>
              <w:gridCol w:w="1288"/>
              <w:gridCol w:w="2273"/>
              <w:gridCol w:w="2582"/>
              <w:gridCol w:w="11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96" w:type="pct"/>
                  <w:vMerge w:val="restart"/>
                  <w:noWrap w:val="0"/>
                  <w:vAlign w:val="center"/>
                </w:tcPr>
                <w:p>
                  <w:pPr>
                    <w:adjustRightInd w:val="0"/>
                    <w:snapToGrid w:val="0"/>
                    <w:jc w:val="center"/>
                    <w:rPr>
                      <w:b/>
                      <w:bCs/>
                      <w:color w:val="auto"/>
                      <w:szCs w:val="21"/>
                    </w:rPr>
                  </w:pPr>
                  <w:r>
                    <w:rPr>
                      <w:rFonts w:hint="eastAsia"/>
                      <w:b/>
                      <w:bCs/>
                      <w:color w:val="auto"/>
                      <w:szCs w:val="21"/>
                    </w:rPr>
                    <w:t>序号</w:t>
                  </w:r>
                </w:p>
              </w:tc>
              <w:tc>
                <w:tcPr>
                  <w:tcW w:w="828" w:type="pct"/>
                  <w:vMerge w:val="restart"/>
                  <w:noWrap w:val="0"/>
                  <w:vAlign w:val="center"/>
                </w:tcPr>
                <w:p>
                  <w:pPr>
                    <w:adjustRightInd w:val="0"/>
                    <w:snapToGrid w:val="0"/>
                    <w:jc w:val="center"/>
                    <w:rPr>
                      <w:b/>
                      <w:bCs/>
                      <w:color w:val="auto"/>
                      <w:szCs w:val="21"/>
                    </w:rPr>
                  </w:pPr>
                  <w:r>
                    <w:rPr>
                      <w:rFonts w:hint="eastAsia"/>
                      <w:b/>
                      <w:bCs/>
                      <w:color w:val="auto"/>
                      <w:szCs w:val="21"/>
                    </w:rPr>
                    <w:t>线路名称</w:t>
                  </w:r>
                </w:p>
              </w:tc>
              <w:tc>
                <w:tcPr>
                  <w:tcW w:w="1461" w:type="pct"/>
                  <w:noWrap w:val="0"/>
                  <w:vAlign w:val="center"/>
                </w:tcPr>
                <w:p>
                  <w:pPr>
                    <w:jc w:val="center"/>
                    <w:rPr>
                      <w:rFonts w:hint="eastAsia"/>
                      <w:b/>
                      <w:bCs/>
                      <w:color w:val="auto"/>
                      <w:szCs w:val="21"/>
                    </w:rPr>
                  </w:pPr>
                  <w:r>
                    <w:rPr>
                      <w:rFonts w:hint="eastAsia"/>
                      <w:b/>
                      <w:bCs/>
                      <w:color w:val="auto"/>
                      <w:szCs w:val="21"/>
                    </w:rPr>
                    <w:t>本项目线路</w:t>
                  </w:r>
                </w:p>
              </w:tc>
              <w:tc>
                <w:tcPr>
                  <w:tcW w:w="1660" w:type="pct"/>
                  <w:noWrap w:val="0"/>
                  <w:vAlign w:val="center"/>
                </w:tcPr>
                <w:p>
                  <w:pPr>
                    <w:jc w:val="center"/>
                    <w:rPr>
                      <w:rFonts w:hint="eastAsia"/>
                      <w:b/>
                      <w:bCs/>
                      <w:color w:val="auto"/>
                      <w:szCs w:val="21"/>
                    </w:rPr>
                  </w:pPr>
                  <w:r>
                    <w:rPr>
                      <w:rFonts w:hint="eastAsia"/>
                      <w:b/>
                      <w:bCs/>
                      <w:color w:val="auto"/>
                      <w:szCs w:val="21"/>
                    </w:rPr>
                    <w:t>类比线路</w:t>
                  </w:r>
                </w:p>
              </w:tc>
              <w:tc>
                <w:tcPr>
                  <w:tcW w:w="752" w:type="pct"/>
                  <w:vMerge w:val="restart"/>
                  <w:noWrap w:val="0"/>
                  <w:vAlign w:val="center"/>
                </w:tcPr>
                <w:p>
                  <w:pPr>
                    <w:jc w:val="center"/>
                    <w:rPr>
                      <w:b/>
                      <w:bCs/>
                      <w:color w:val="auto"/>
                      <w:szCs w:val="21"/>
                    </w:rPr>
                  </w:pPr>
                  <w:r>
                    <w:rPr>
                      <w:rFonts w:hint="eastAsia"/>
                      <w:b/>
                      <w:bCs/>
                      <w:color w:val="auto"/>
                      <w:szCs w:val="21"/>
                    </w:rPr>
                    <w:t>优劣性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96" w:type="pct"/>
                  <w:vMerge w:val="continue"/>
                  <w:noWrap w:val="0"/>
                  <w:vAlign w:val="center"/>
                </w:tcPr>
                <w:p>
                  <w:pPr>
                    <w:adjustRightInd w:val="0"/>
                    <w:snapToGrid w:val="0"/>
                    <w:jc w:val="center"/>
                    <w:rPr>
                      <w:rFonts w:hint="eastAsia"/>
                      <w:b/>
                      <w:bCs/>
                      <w:color w:val="auto"/>
                      <w:szCs w:val="21"/>
                    </w:rPr>
                  </w:pPr>
                </w:p>
              </w:tc>
              <w:tc>
                <w:tcPr>
                  <w:tcW w:w="828" w:type="pct"/>
                  <w:vMerge w:val="continue"/>
                  <w:noWrap w:val="0"/>
                  <w:vAlign w:val="center"/>
                </w:tcPr>
                <w:p>
                  <w:pPr>
                    <w:adjustRightInd w:val="0"/>
                    <w:snapToGrid w:val="0"/>
                    <w:jc w:val="center"/>
                    <w:rPr>
                      <w:rFonts w:hint="eastAsia"/>
                      <w:b/>
                      <w:bCs/>
                      <w:color w:val="auto"/>
                      <w:szCs w:val="21"/>
                    </w:rPr>
                  </w:pPr>
                </w:p>
              </w:tc>
              <w:tc>
                <w:tcPr>
                  <w:tcW w:w="1461" w:type="pct"/>
                  <w:noWrap w:val="0"/>
                  <w:vAlign w:val="center"/>
                </w:tcPr>
                <w:p>
                  <w:pPr>
                    <w:jc w:val="center"/>
                    <w:rPr>
                      <w:rFonts w:hint="eastAsia" w:eastAsia="宋体"/>
                      <w:b/>
                      <w:bCs/>
                      <w:color w:val="auto"/>
                      <w:szCs w:val="21"/>
                      <w:lang w:eastAsia="zh-CN"/>
                    </w:rPr>
                  </w:pPr>
                  <w:r>
                    <w:rPr>
                      <w:rFonts w:hint="eastAsia"/>
                      <w:b/>
                      <w:bCs/>
                      <w:color w:val="auto"/>
                      <w:szCs w:val="21"/>
                      <w:lang w:eastAsia="zh-CN"/>
                    </w:rPr>
                    <w:t>单回段</w:t>
                  </w:r>
                </w:p>
              </w:tc>
              <w:tc>
                <w:tcPr>
                  <w:tcW w:w="1660" w:type="pct"/>
                  <w:noWrap w:val="0"/>
                  <w:vAlign w:val="center"/>
                </w:tcPr>
                <w:p>
                  <w:pPr>
                    <w:jc w:val="center"/>
                    <w:rPr>
                      <w:b/>
                      <w:bCs/>
                      <w:color w:val="auto"/>
                      <w:szCs w:val="21"/>
                    </w:rPr>
                  </w:pPr>
                  <w:r>
                    <w:rPr>
                      <w:rFonts w:hint="eastAsia"/>
                      <w:b/>
                      <w:bCs/>
                      <w:color w:val="auto"/>
                      <w:szCs w:val="21"/>
                    </w:rPr>
                    <w:t>110kV蒿裕陈线</w:t>
                  </w:r>
                  <w:r>
                    <w:rPr>
                      <w:rFonts w:hint="eastAsia"/>
                      <w:b/>
                      <w:bCs/>
                      <w:color w:val="auto"/>
                      <w:szCs w:val="21"/>
                      <w:lang w:val="en-US" w:eastAsia="zh-CN"/>
                    </w:rPr>
                    <w:t>-</w:t>
                  </w:r>
                  <w:r>
                    <w:rPr>
                      <w:rFonts w:hint="eastAsia"/>
                      <w:b/>
                      <w:bCs/>
                      <w:color w:val="auto"/>
                      <w:szCs w:val="21"/>
                    </w:rPr>
                    <w:t>T陈线</w:t>
                  </w:r>
                </w:p>
              </w:tc>
              <w:tc>
                <w:tcPr>
                  <w:tcW w:w="752" w:type="pct"/>
                  <w:vMerge w:val="continue"/>
                  <w:noWrap w:val="0"/>
                  <w:vAlign w:val="center"/>
                </w:tcPr>
                <w:p>
                  <w:pPr>
                    <w:jc w:val="center"/>
                    <w:rPr>
                      <w:rFonts w:hint="eastAsia"/>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96" w:type="pct"/>
                  <w:noWrap w:val="0"/>
                  <w:vAlign w:val="center"/>
                </w:tcPr>
                <w:p>
                  <w:pPr>
                    <w:adjustRightInd w:val="0"/>
                    <w:snapToGrid w:val="0"/>
                    <w:jc w:val="center"/>
                    <w:rPr>
                      <w:color w:val="auto"/>
                      <w:szCs w:val="21"/>
                    </w:rPr>
                  </w:pPr>
                  <w:r>
                    <w:rPr>
                      <w:color w:val="auto"/>
                      <w:szCs w:val="21"/>
                    </w:rPr>
                    <w:t>1</w:t>
                  </w:r>
                </w:p>
              </w:tc>
              <w:tc>
                <w:tcPr>
                  <w:tcW w:w="828" w:type="pct"/>
                  <w:noWrap w:val="0"/>
                  <w:vAlign w:val="center"/>
                </w:tcPr>
                <w:p>
                  <w:pPr>
                    <w:adjustRightInd w:val="0"/>
                    <w:snapToGrid w:val="0"/>
                    <w:jc w:val="center"/>
                    <w:rPr>
                      <w:color w:val="auto"/>
                      <w:szCs w:val="21"/>
                    </w:rPr>
                  </w:pPr>
                  <w:r>
                    <w:rPr>
                      <w:rFonts w:hint="eastAsia"/>
                      <w:color w:val="auto"/>
                      <w:szCs w:val="21"/>
                    </w:rPr>
                    <w:t>电压等级</w:t>
                  </w:r>
                </w:p>
              </w:tc>
              <w:tc>
                <w:tcPr>
                  <w:tcW w:w="1461" w:type="pct"/>
                  <w:noWrap w:val="0"/>
                  <w:vAlign w:val="center"/>
                </w:tcPr>
                <w:p>
                  <w:pPr>
                    <w:adjustRightInd w:val="0"/>
                    <w:snapToGrid w:val="0"/>
                    <w:jc w:val="center"/>
                    <w:rPr>
                      <w:color w:val="auto"/>
                      <w:szCs w:val="21"/>
                    </w:rPr>
                  </w:pPr>
                  <w:r>
                    <w:rPr>
                      <w:color w:val="auto"/>
                      <w:szCs w:val="21"/>
                    </w:rPr>
                    <w:t>110kV</w:t>
                  </w:r>
                </w:p>
              </w:tc>
              <w:tc>
                <w:tcPr>
                  <w:tcW w:w="1660" w:type="pct"/>
                  <w:noWrap w:val="0"/>
                  <w:vAlign w:val="center"/>
                </w:tcPr>
                <w:p>
                  <w:pPr>
                    <w:adjustRightInd w:val="0"/>
                    <w:snapToGrid w:val="0"/>
                    <w:jc w:val="center"/>
                    <w:rPr>
                      <w:i w:val="0"/>
                      <w:iCs w:val="0"/>
                      <w:color w:val="auto"/>
                      <w:kern w:val="2"/>
                      <w:sz w:val="22"/>
                      <w:szCs w:val="22"/>
                      <w:lang w:val="en-US" w:eastAsia="zh-CN" w:bidi="ar-SA"/>
                    </w:rPr>
                  </w:pPr>
                  <w:r>
                    <w:rPr>
                      <w:i w:val="0"/>
                      <w:iCs w:val="0"/>
                      <w:color w:val="auto"/>
                    </w:rPr>
                    <w:t>110kV</w:t>
                  </w:r>
                </w:p>
              </w:tc>
              <w:tc>
                <w:tcPr>
                  <w:tcW w:w="752" w:type="pct"/>
                  <w:noWrap w:val="0"/>
                  <w:vAlign w:val="center"/>
                </w:tcPr>
                <w:p>
                  <w:pPr>
                    <w:adjustRightInd w:val="0"/>
                    <w:snapToGrid w:val="0"/>
                    <w:jc w:val="center"/>
                    <w:rPr>
                      <w:color w:val="auto"/>
                      <w:szCs w:val="21"/>
                    </w:rPr>
                  </w:pPr>
                  <w:r>
                    <w:rPr>
                      <w:rFonts w:hint="eastAsia"/>
                      <w:color w:val="auto"/>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96" w:type="pct"/>
                  <w:noWrap w:val="0"/>
                  <w:vAlign w:val="center"/>
                </w:tcPr>
                <w:p>
                  <w:pPr>
                    <w:adjustRightInd w:val="0"/>
                    <w:snapToGrid w:val="0"/>
                    <w:jc w:val="center"/>
                    <w:rPr>
                      <w:color w:val="auto"/>
                      <w:szCs w:val="21"/>
                    </w:rPr>
                  </w:pPr>
                  <w:r>
                    <w:rPr>
                      <w:color w:val="auto"/>
                      <w:szCs w:val="21"/>
                    </w:rPr>
                    <w:t>2</w:t>
                  </w:r>
                </w:p>
              </w:tc>
              <w:tc>
                <w:tcPr>
                  <w:tcW w:w="828" w:type="pct"/>
                  <w:noWrap w:val="0"/>
                  <w:vAlign w:val="center"/>
                </w:tcPr>
                <w:p>
                  <w:pPr>
                    <w:adjustRightInd w:val="0"/>
                    <w:snapToGrid w:val="0"/>
                    <w:jc w:val="center"/>
                    <w:rPr>
                      <w:color w:val="auto"/>
                      <w:szCs w:val="21"/>
                    </w:rPr>
                  </w:pPr>
                  <w:r>
                    <w:rPr>
                      <w:rFonts w:hint="eastAsia"/>
                      <w:color w:val="auto"/>
                      <w:szCs w:val="21"/>
                    </w:rPr>
                    <w:t>回路数</w:t>
                  </w:r>
                </w:p>
              </w:tc>
              <w:tc>
                <w:tcPr>
                  <w:tcW w:w="1461" w:type="pct"/>
                  <w:noWrap w:val="0"/>
                  <w:vAlign w:val="center"/>
                </w:tcPr>
                <w:p>
                  <w:pPr>
                    <w:adjustRightInd w:val="0"/>
                    <w:snapToGrid w:val="0"/>
                    <w:jc w:val="center"/>
                    <w:rPr>
                      <w:color w:val="auto"/>
                      <w:szCs w:val="21"/>
                    </w:rPr>
                  </w:pPr>
                  <w:r>
                    <w:rPr>
                      <w:rFonts w:hint="eastAsia"/>
                      <w:color w:val="auto"/>
                      <w:szCs w:val="21"/>
                    </w:rPr>
                    <w:t>单回</w:t>
                  </w:r>
                </w:p>
              </w:tc>
              <w:tc>
                <w:tcPr>
                  <w:tcW w:w="1660" w:type="pct"/>
                  <w:noWrap w:val="0"/>
                  <w:vAlign w:val="center"/>
                </w:tcPr>
                <w:p>
                  <w:pPr>
                    <w:adjustRightInd w:val="0"/>
                    <w:snapToGrid w:val="0"/>
                    <w:jc w:val="center"/>
                    <w:rPr>
                      <w:rFonts w:hint="eastAsia" w:eastAsia="宋体"/>
                      <w:i w:val="0"/>
                      <w:iCs w:val="0"/>
                      <w:color w:val="auto"/>
                      <w:kern w:val="2"/>
                      <w:sz w:val="22"/>
                      <w:szCs w:val="22"/>
                      <w:lang w:val="en-US" w:eastAsia="zh-CN" w:bidi="ar-SA"/>
                    </w:rPr>
                  </w:pPr>
                  <w:r>
                    <w:rPr>
                      <w:rFonts w:hint="eastAsia"/>
                      <w:i w:val="0"/>
                      <w:iCs w:val="0"/>
                      <w:color w:val="auto"/>
                      <w:lang w:eastAsia="zh-CN"/>
                    </w:rPr>
                    <w:t>单回</w:t>
                  </w:r>
                </w:p>
              </w:tc>
              <w:tc>
                <w:tcPr>
                  <w:tcW w:w="752" w:type="pct"/>
                  <w:noWrap w:val="0"/>
                  <w:vAlign w:val="center"/>
                </w:tcPr>
                <w:p>
                  <w:pPr>
                    <w:adjustRightInd w:val="0"/>
                    <w:snapToGrid w:val="0"/>
                    <w:jc w:val="center"/>
                    <w:rPr>
                      <w:color w:val="auto"/>
                      <w:szCs w:val="21"/>
                    </w:rPr>
                  </w:pPr>
                  <w:r>
                    <w:rPr>
                      <w:rFonts w:hint="eastAsia"/>
                      <w:color w:val="auto"/>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96" w:type="pct"/>
                  <w:noWrap w:val="0"/>
                  <w:vAlign w:val="center"/>
                </w:tcPr>
                <w:p>
                  <w:pPr>
                    <w:adjustRightInd w:val="0"/>
                    <w:snapToGrid w:val="0"/>
                    <w:jc w:val="center"/>
                    <w:rPr>
                      <w:color w:val="auto"/>
                      <w:szCs w:val="21"/>
                      <w:highlight w:val="none"/>
                    </w:rPr>
                  </w:pPr>
                  <w:r>
                    <w:rPr>
                      <w:color w:val="auto"/>
                      <w:szCs w:val="21"/>
                      <w:highlight w:val="none"/>
                    </w:rPr>
                    <w:t>3</w:t>
                  </w:r>
                </w:p>
              </w:tc>
              <w:tc>
                <w:tcPr>
                  <w:tcW w:w="828" w:type="pct"/>
                  <w:noWrap w:val="0"/>
                  <w:vAlign w:val="center"/>
                </w:tcPr>
                <w:p>
                  <w:pPr>
                    <w:adjustRightInd w:val="0"/>
                    <w:snapToGrid w:val="0"/>
                    <w:jc w:val="center"/>
                    <w:rPr>
                      <w:color w:val="auto"/>
                      <w:szCs w:val="21"/>
                      <w:highlight w:val="none"/>
                    </w:rPr>
                  </w:pPr>
                  <w:r>
                    <w:rPr>
                      <w:rFonts w:hint="eastAsia"/>
                      <w:color w:val="auto"/>
                      <w:szCs w:val="21"/>
                      <w:highlight w:val="none"/>
                    </w:rPr>
                    <w:t>导线排列方式</w:t>
                  </w:r>
                </w:p>
              </w:tc>
              <w:tc>
                <w:tcPr>
                  <w:tcW w:w="1461" w:type="pct"/>
                  <w:noWrap w:val="0"/>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三角排列</w:t>
                  </w:r>
                </w:p>
              </w:tc>
              <w:tc>
                <w:tcPr>
                  <w:tcW w:w="1660" w:type="pct"/>
                  <w:noWrap w:val="0"/>
                  <w:vAlign w:val="center"/>
                </w:tcPr>
                <w:p>
                  <w:pPr>
                    <w:adjustRightInd w:val="0"/>
                    <w:snapToGrid w:val="0"/>
                    <w:jc w:val="center"/>
                    <w:rPr>
                      <w:i w:val="0"/>
                      <w:iCs w:val="0"/>
                      <w:color w:val="auto"/>
                      <w:kern w:val="2"/>
                      <w:sz w:val="22"/>
                      <w:szCs w:val="22"/>
                      <w:highlight w:val="none"/>
                      <w:lang w:val="en-US" w:eastAsia="zh-CN" w:bidi="ar-SA"/>
                    </w:rPr>
                  </w:pPr>
                  <w:r>
                    <w:rPr>
                      <w:rFonts w:hint="eastAsia"/>
                      <w:color w:val="auto"/>
                      <w:szCs w:val="21"/>
                      <w:highlight w:val="none"/>
                      <w:lang w:eastAsia="zh-CN"/>
                    </w:rPr>
                    <w:t>三角排列</w:t>
                  </w:r>
                </w:p>
              </w:tc>
              <w:tc>
                <w:tcPr>
                  <w:tcW w:w="752" w:type="pct"/>
                  <w:noWrap w:val="0"/>
                  <w:vAlign w:val="center"/>
                </w:tcPr>
                <w:p>
                  <w:pPr>
                    <w:adjustRightInd w:val="0"/>
                    <w:snapToGrid w:val="0"/>
                    <w:jc w:val="center"/>
                    <w:rPr>
                      <w:color w:val="auto"/>
                      <w:szCs w:val="21"/>
                      <w:highlight w:val="none"/>
                    </w:rPr>
                  </w:pPr>
                  <w:r>
                    <w:rPr>
                      <w:rFonts w:hint="eastAsia"/>
                      <w:color w:val="auto"/>
                      <w:szCs w:val="21"/>
                      <w:highlight w:val="none"/>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96" w:type="pct"/>
                  <w:noWrap w:val="0"/>
                  <w:vAlign w:val="center"/>
                </w:tcPr>
                <w:p>
                  <w:pPr>
                    <w:adjustRightInd w:val="0"/>
                    <w:snapToGrid w:val="0"/>
                    <w:jc w:val="center"/>
                    <w:rPr>
                      <w:color w:val="auto"/>
                      <w:szCs w:val="21"/>
                    </w:rPr>
                  </w:pPr>
                  <w:r>
                    <w:rPr>
                      <w:color w:val="auto"/>
                      <w:szCs w:val="21"/>
                    </w:rPr>
                    <w:t>4</w:t>
                  </w:r>
                </w:p>
              </w:tc>
              <w:tc>
                <w:tcPr>
                  <w:tcW w:w="828" w:type="pct"/>
                  <w:noWrap w:val="0"/>
                  <w:vAlign w:val="center"/>
                </w:tcPr>
                <w:p>
                  <w:pPr>
                    <w:adjustRightInd w:val="0"/>
                    <w:snapToGrid w:val="0"/>
                    <w:jc w:val="center"/>
                    <w:rPr>
                      <w:color w:val="auto"/>
                      <w:szCs w:val="21"/>
                    </w:rPr>
                  </w:pPr>
                  <w:r>
                    <w:rPr>
                      <w:rFonts w:hint="eastAsia"/>
                      <w:color w:val="auto"/>
                      <w:szCs w:val="21"/>
                    </w:rPr>
                    <w:t>导线分裂形式</w:t>
                  </w:r>
                </w:p>
              </w:tc>
              <w:tc>
                <w:tcPr>
                  <w:tcW w:w="1461" w:type="pct"/>
                  <w:noWrap w:val="0"/>
                  <w:vAlign w:val="center"/>
                </w:tcPr>
                <w:p>
                  <w:pPr>
                    <w:jc w:val="center"/>
                    <w:rPr>
                      <w:color w:val="auto"/>
                      <w:szCs w:val="21"/>
                    </w:rPr>
                  </w:pPr>
                  <w:r>
                    <w:rPr>
                      <w:rFonts w:hint="eastAsia"/>
                      <w:color w:val="auto"/>
                      <w:szCs w:val="21"/>
                    </w:rPr>
                    <w:t>单分裂</w:t>
                  </w:r>
                </w:p>
              </w:tc>
              <w:tc>
                <w:tcPr>
                  <w:tcW w:w="1660" w:type="pct"/>
                  <w:noWrap w:val="0"/>
                  <w:vAlign w:val="center"/>
                </w:tcPr>
                <w:p>
                  <w:pPr>
                    <w:adjustRightInd w:val="0"/>
                    <w:snapToGrid w:val="0"/>
                    <w:jc w:val="center"/>
                    <w:rPr>
                      <w:i w:val="0"/>
                      <w:iCs w:val="0"/>
                      <w:color w:val="auto"/>
                      <w:kern w:val="2"/>
                      <w:sz w:val="22"/>
                      <w:szCs w:val="22"/>
                      <w:lang w:val="en-US" w:eastAsia="zh-CN" w:bidi="ar-SA"/>
                    </w:rPr>
                  </w:pPr>
                  <w:r>
                    <w:rPr>
                      <w:rFonts w:hint="eastAsia"/>
                      <w:i w:val="0"/>
                      <w:iCs w:val="0"/>
                      <w:color w:val="auto"/>
                    </w:rPr>
                    <w:t>单分裂</w:t>
                  </w:r>
                </w:p>
              </w:tc>
              <w:tc>
                <w:tcPr>
                  <w:tcW w:w="752" w:type="pct"/>
                  <w:noWrap w:val="0"/>
                  <w:vAlign w:val="center"/>
                </w:tcPr>
                <w:p>
                  <w:pPr>
                    <w:adjustRightInd w:val="0"/>
                    <w:snapToGrid w:val="0"/>
                    <w:jc w:val="center"/>
                    <w:rPr>
                      <w:color w:val="auto"/>
                      <w:szCs w:val="21"/>
                    </w:rPr>
                  </w:pPr>
                  <w:r>
                    <w:rPr>
                      <w:rFonts w:hint="eastAsia"/>
                      <w:color w:val="auto"/>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96" w:type="pct"/>
                  <w:noWrap w:val="0"/>
                  <w:vAlign w:val="center"/>
                </w:tcPr>
                <w:p>
                  <w:pPr>
                    <w:adjustRightInd w:val="0"/>
                    <w:snapToGrid w:val="0"/>
                    <w:jc w:val="center"/>
                    <w:rPr>
                      <w:color w:val="auto"/>
                      <w:szCs w:val="21"/>
                    </w:rPr>
                  </w:pPr>
                  <w:r>
                    <w:rPr>
                      <w:color w:val="auto"/>
                      <w:szCs w:val="21"/>
                    </w:rPr>
                    <w:t>5</w:t>
                  </w:r>
                </w:p>
              </w:tc>
              <w:tc>
                <w:tcPr>
                  <w:tcW w:w="828" w:type="pct"/>
                  <w:noWrap w:val="0"/>
                  <w:vAlign w:val="center"/>
                </w:tcPr>
                <w:p>
                  <w:pPr>
                    <w:adjustRightInd w:val="0"/>
                    <w:snapToGrid w:val="0"/>
                    <w:jc w:val="center"/>
                    <w:rPr>
                      <w:color w:val="auto"/>
                      <w:szCs w:val="21"/>
                    </w:rPr>
                  </w:pPr>
                  <w:r>
                    <w:rPr>
                      <w:rFonts w:hint="eastAsia"/>
                      <w:color w:val="auto"/>
                      <w:szCs w:val="21"/>
                    </w:rPr>
                    <w:t>导线型号</w:t>
                  </w:r>
                </w:p>
              </w:tc>
              <w:tc>
                <w:tcPr>
                  <w:tcW w:w="1461" w:type="pct"/>
                  <w:noWrap w:val="0"/>
                  <w:vAlign w:val="center"/>
                </w:tcPr>
                <w:p>
                  <w:pPr>
                    <w:adjustRightInd w:val="0"/>
                    <w:snapToGrid w:val="0"/>
                    <w:jc w:val="center"/>
                    <w:rPr>
                      <w:color w:val="auto"/>
                      <w:szCs w:val="21"/>
                    </w:rPr>
                  </w:pPr>
                  <w:r>
                    <w:rPr>
                      <w:rFonts w:hint="eastAsia"/>
                      <w:color w:val="auto"/>
                      <w:sz w:val="21"/>
                      <w:szCs w:val="21"/>
                      <w:lang w:eastAsia="zh-CN"/>
                    </w:rPr>
                    <w:t>JL3/G1A-300/40</w:t>
                  </w:r>
                </w:p>
              </w:tc>
              <w:tc>
                <w:tcPr>
                  <w:tcW w:w="1660" w:type="pct"/>
                  <w:noWrap w:val="0"/>
                  <w:vAlign w:val="center"/>
                </w:tcPr>
                <w:p>
                  <w:pPr>
                    <w:adjustRightInd w:val="0"/>
                    <w:snapToGrid w:val="0"/>
                    <w:jc w:val="center"/>
                    <w:rPr>
                      <w:i w:val="0"/>
                      <w:iCs w:val="0"/>
                      <w:color w:val="auto"/>
                      <w:kern w:val="2"/>
                      <w:sz w:val="22"/>
                      <w:szCs w:val="22"/>
                      <w:highlight w:val="yellow"/>
                      <w:lang w:val="en-US" w:eastAsia="zh-CN" w:bidi="ar-SA"/>
                    </w:rPr>
                  </w:pPr>
                  <w:r>
                    <w:rPr>
                      <w:rFonts w:hint="eastAsia"/>
                      <w:color w:val="auto"/>
                      <w:szCs w:val="21"/>
                    </w:rPr>
                    <w:t>L</w:t>
                  </w:r>
                  <w:r>
                    <w:rPr>
                      <w:color w:val="auto"/>
                      <w:szCs w:val="21"/>
                    </w:rPr>
                    <w:t>GJ-240/30</w:t>
                  </w:r>
                </w:p>
              </w:tc>
              <w:tc>
                <w:tcPr>
                  <w:tcW w:w="752" w:type="pct"/>
                  <w:noWrap w:val="0"/>
                  <w:vAlign w:val="center"/>
                </w:tcPr>
                <w:p>
                  <w:pPr>
                    <w:adjustRightInd w:val="0"/>
                    <w:snapToGrid w:val="0"/>
                    <w:jc w:val="center"/>
                    <w:rPr>
                      <w:color w:val="auto"/>
                      <w:szCs w:val="21"/>
                      <w:highlight w:val="none"/>
                    </w:rPr>
                  </w:pPr>
                  <w:r>
                    <w:rPr>
                      <w:rFonts w:hint="eastAsia"/>
                      <w:color w:val="auto"/>
                      <w:szCs w:val="21"/>
                      <w:highlight w:val="none"/>
                    </w:rPr>
                    <w:t>相似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96" w:type="pct"/>
                  <w:noWrap w:val="0"/>
                  <w:vAlign w:val="center"/>
                </w:tcPr>
                <w:p>
                  <w:pPr>
                    <w:adjustRightInd w:val="0"/>
                    <w:snapToGrid w:val="0"/>
                    <w:jc w:val="center"/>
                    <w:rPr>
                      <w:color w:val="auto"/>
                      <w:szCs w:val="21"/>
                    </w:rPr>
                  </w:pPr>
                  <w:r>
                    <w:rPr>
                      <w:color w:val="auto"/>
                      <w:szCs w:val="21"/>
                    </w:rPr>
                    <w:t>6</w:t>
                  </w:r>
                </w:p>
              </w:tc>
              <w:tc>
                <w:tcPr>
                  <w:tcW w:w="828" w:type="pct"/>
                  <w:noWrap w:val="0"/>
                  <w:vAlign w:val="center"/>
                </w:tcPr>
                <w:p>
                  <w:pPr>
                    <w:adjustRightInd w:val="0"/>
                    <w:snapToGrid w:val="0"/>
                    <w:jc w:val="center"/>
                    <w:rPr>
                      <w:color w:val="auto"/>
                      <w:szCs w:val="21"/>
                    </w:rPr>
                  </w:pPr>
                  <w:r>
                    <w:rPr>
                      <w:rFonts w:hint="eastAsia"/>
                      <w:color w:val="auto"/>
                      <w:szCs w:val="21"/>
                    </w:rPr>
                    <w:t>导线高度</w:t>
                  </w:r>
                </w:p>
              </w:tc>
              <w:tc>
                <w:tcPr>
                  <w:tcW w:w="1461"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7</w:t>
                  </w:r>
                  <w:r>
                    <w:rPr>
                      <w:color w:val="auto"/>
                      <w:szCs w:val="21"/>
                    </w:rPr>
                    <w:t>m</w:t>
                  </w:r>
                  <w:r>
                    <w:rPr>
                      <w:rFonts w:hint="eastAsia" w:ascii="Times New Roman" w:hAnsi="Times New Roman" w:eastAsia="宋体" w:cs="Times New Roman"/>
                      <w:color w:val="auto"/>
                      <w:szCs w:val="21"/>
                      <w:highlight w:val="none"/>
                      <w:lang w:eastAsia="zh-CN"/>
                    </w:rPr>
                    <w:t>（</w:t>
                  </w:r>
                  <w:r>
                    <w:rPr>
                      <w:rFonts w:hint="eastAsia" w:cs="Times New Roman"/>
                      <w:color w:val="auto"/>
                      <w:szCs w:val="21"/>
                      <w:highlight w:val="none"/>
                      <w:lang w:eastAsia="zh-CN"/>
                    </w:rPr>
                    <w:t>根据规范，</w:t>
                  </w:r>
                  <w:r>
                    <w:rPr>
                      <w:rFonts w:hint="eastAsia" w:ascii="Times New Roman" w:hAnsi="Times New Roman" w:eastAsia="宋体" w:cs="Times New Roman"/>
                      <w:color w:val="auto"/>
                      <w:szCs w:val="21"/>
                      <w:highlight w:val="none"/>
                      <w:lang w:eastAsia="zh-CN"/>
                    </w:rPr>
                    <w:t>为线路</w:t>
                  </w:r>
                  <w:r>
                    <w:rPr>
                      <w:rFonts w:hint="default" w:ascii="Times New Roman" w:hAnsi="Times New Roman" w:eastAsia="宋体" w:cs="Times New Roman"/>
                      <w:color w:val="auto"/>
                      <w:szCs w:val="21"/>
                      <w:highlight w:val="none"/>
                      <w:lang w:eastAsia="zh-CN"/>
                    </w:rPr>
                    <w:t>在经过居民区时，</w:t>
                  </w:r>
                  <w:r>
                    <w:rPr>
                      <w:rFonts w:hint="eastAsia" w:ascii="Times New Roman" w:hAnsi="Times New Roman" w:eastAsia="宋体" w:cs="Times New Roman"/>
                      <w:color w:val="auto"/>
                      <w:szCs w:val="21"/>
                      <w:highlight w:val="none"/>
                      <w:lang w:eastAsia="zh-CN"/>
                    </w:rPr>
                    <w:t>最低</w:t>
                  </w:r>
                  <w:r>
                    <w:rPr>
                      <w:rFonts w:hint="default" w:ascii="Times New Roman" w:hAnsi="Times New Roman" w:eastAsia="宋体" w:cs="Times New Roman"/>
                      <w:color w:val="auto"/>
                      <w:szCs w:val="21"/>
                      <w:highlight w:val="none"/>
                      <w:lang w:eastAsia="zh-CN"/>
                    </w:rPr>
                    <w:t>离地高度</w:t>
                  </w:r>
                  <w:r>
                    <w:rPr>
                      <w:rFonts w:hint="eastAsia" w:ascii="Times New Roman" w:hAnsi="Times New Roman" w:eastAsia="宋体" w:cs="Times New Roman"/>
                      <w:color w:val="auto"/>
                      <w:szCs w:val="21"/>
                      <w:highlight w:val="none"/>
                      <w:lang w:eastAsia="zh-CN"/>
                    </w:rPr>
                    <w:t>）</w:t>
                  </w:r>
                </w:p>
              </w:tc>
              <w:tc>
                <w:tcPr>
                  <w:tcW w:w="1660" w:type="pct"/>
                  <w:noWrap w:val="0"/>
                  <w:vAlign w:val="center"/>
                </w:tcPr>
                <w:p>
                  <w:pPr>
                    <w:adjustRightInd w:val="0"/>
                    <w:snapToGrid w:val="0"/>
                    <w:jc w:val="center"/>
                    <w:rPr>
                      <w:i w:val="0"/>
                      <w:iCs w:val="0"/>
                      <w:color w:val="auto"/>
                      <w:kern w:val="2"/>
                      <w:sz w:val="22"/>
                      <w:szCs w:val="22"/>
                      <w:lang w:val="en-US" w:eastAsia="zh-CN" w:bidi="ar-SA"/>
                    </w:rPr>
                  </w:pPr>
                  <w:r>
                    <w:rPr>
                      <w:rFonts w:hint="eastAsia"/>
                      <w:i w:val="0"/>
                      <w:iCs w:val="0"/>
                      <w:color w:val="auto"/>
                      <w:lang w:val="en-US" w:eastAsia="zh-CN"/>
                    </w:rPr>
                    <w:t>18</w:t>
                  </w:r>
                  <w:r>
                    <w:rPr>
                      <w:i w:val="0"/>
                      <w:iCs w:val="0"/>
                      <w:color w:val="auto"/>
                    </w:rPr>
                    <w:t>m</w:t>
                  </w:r>
                </w:p>
              </w:tc>
              <w:tc>
                <w:tcPr>
                  <w:tcW w:w="752"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类比线路优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296" w:type="pct"/>
                  <w:noWrap w:val="0"/>
                  <w:vAlign w:val="center"/>
                </w:tcPr>
                <w:p>
                  <w:pPr>
                    <w:jc w:val="center"/>
                    <w:rPr>
                      <w:rFonts w:hint="eastAsia"/>
                      <w:color w:val="auto"/>
                      <w:szCs w:val="21"/>
                    </w:rPr>
                  </w:pPr>
                  <w:r>
                    <w:rPr>
                      <w:rFonts w:hint="eastAsia"/>
                      <w:color w:val="auto"/>
                      <w:szCs w:val="21"/>
                    </w:rPr>
                    <w:t>7</w:t>
                  </w:r>
                </w:p>
              </w:tc>
              <w:tc>
                <w:tcPr>
                  <w:tcW w:w="828" w:type="pct"/>
                  <w:noWrap w:val="0"/>
                  <w:vAlign w:val="center"/>
                </w:tcPr>
                <w:p>
                  <w:pPr>
                    <w:tabs>
                      <w:tab w:val="center" w:pos="4153"/>
                      <w:tab w:val="right" w:pos="8306"/>
                    </w:tabs>
                    <w:jc w:val="center"/>
                    <w:rPr>
                      <w:rFonts w:hint="eastAsia"/>
                      <w:color w:val="auto"/>
                      <w:szCs w:val="21"/>
                    </w:rPr>
                  </w:pPr>
                  <w:r>
                    <w:rPr>
                      <w:color w:val="auto"/>
                      <w:szCs w:val="21"/>
                    </w:rPr>
                    <w:t>周围环境</w:t>
                  </w:r>
                </w:p>
              </w:tc>
              <w:tc>
                <w:tcPr>
                  <w:tcW w:w="1461" w:type="pct"/>
                  <w:noWrap w:val="0"/>
                  <w:vAlign w:val="center"/>
                </w:tcPr>
                <w:p>
                  <w:pPr>
                    <w:tabs>
                      <w:tab w:val="center" w:pos="4153"/>
                      <w:tab w:val="right" w:pos="8306"/>
                    </w:tabs>
                    <w:jc w:val="center"/>
                    <w:rPr>
                      <w:color w:val="auto"/>
                      <w:szCs w:val="21"/>
                    </w:rPr>
                  </w:pPr>
                  <w:r>
                    <w:rPr>
                      <w:color w:val="auto"/>
                      <w:szCs w:val="21"/>
                    </w:rPr>
                    <w:t>农村区域</w:t>
                  </w:r>
                </w:p>
              </w:tc>
              <w:tc>
                <w:tcPr>
                  <w:tcW w:w="1660" w:type="pct"/>
                  <w:noWrap w:val="0"/>
                  <w:vAlign w:val="center"/>
                </w:tcPr>
                <w:p>
                  <w:pPr>
                    <w:tabs>
                      <w:tab w:val="center" w:pos="4153"/>
                      <w:tab w:val="right" w:pos="8306"/>
                    </w:tabs>
                    <w:jc w:val="center"/>
                    <w:rPr>
                      <w:rFonts w:hint="eastAsia"/>
                      <w:color w:val="auto"/>
                      <w:szCs w:val="21"/>
                    </w:rPr>
                  </w:pPr>
                  <w:r>
                    <w:rPr>
                      <w:color w:val="auto"/>
                      <w:szCs w:val="21"/>
                    </w:rPr>
                    <w:t>农村区域</w:t>
                  </w:r>
                </w:p>
              </w:tc>
              <w:tc>
                <w:tcPr>
                  <w:tcW w:w="752" w:type="pct"/>
                  <w:noWrap w:val="0"/>
                  <w:vAlign w:val="center"/>
                </w:tcPr>
                <w:p>
                  <w:pPr>
                    <w:tabs>
                      <w:tab w:val="center" w:pos="4153"/>
                      <w:tab w:val="right" w:pos="8306"/>
                    </w:tabs>
                    <w:jc w:val="center"/>
                    <w:rPr>
                      <w:rFonts w:hint="eastAsia"/>
                      <w:color w:val="auto"/>
                      <w:szCs w:val="21"/>
                    </w:rPr>
                  </w:pPr>
                  <w:r>
                    <w:rPr>
                      <w:rFonts w:hint="eastAsia"/>
                      <w:color w:val="auto"/>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296" w:type="pct"/>
                  <w:noWrap w:val="0"/>
                  <w:vAlign w:val="center"/>
                </w:tcPr>
                <w:p>
                  <w:pPr>
                    <w:jc w:val="center"/>
                    <w:rPr>
                      <w:rFonts w:hint="eastAsia"/>
                      <w:color w:val="auto"/>
                      <w:szCs w:val="21"/>
                    </w:rPr>
                  </w:pPr>
                  <w:r>
                    <w:rPr>
                      <w:rFonts w:hint="eastAsia"/>
                      <w:color w:val="auto"/>
                      <w:szCs w:val="21"/>
                    </w:rPr>
                    <w:t>8</w:t>
                  </w:r>
                </w:p>
              </w:tc>
              <w:tc>
                <w:tcPr>
                  <w:tcW w:w="828" w:type="pct"/>
                  <w:noWrap w:val="0"/>
                  <w:vAlign w:val="center"/>
                </w:tcPr>
                <w:p>
                  <w:pPr>
                    <w:tabs>
                      <w:tab w:val="center" w:pos="4153"/>
                      <w:tab w:val="right" w:pos="8306"/>
                    </w:tabs>
                    <w:jc w:val="center"/>
                    <w:rPr>
                      <w:rFonts w:hint="eastAsia"/>
                      <w:color w:val="auto"/>
                      <w:szCs w:val="21"/>
                    </w:rPr>
                  </w:pPr>
                  <w:r>
                    <w:rPr>
                      <w:color w:val="auto"/>
                      <w:szCs w:val="21"/>
                    </w:rPr>
                    <w:t>环境</w:t>
                  </w:r>
                  <w:r>
                    <w:rPr>
                      <w:rFonts w:hint="eastAsia"/>
                      <w:color w:val="auto"/>
                      <w:szCs w:val="21"/>
                    </w:rPr>
                    <w:t>条件</w:t>
                  </w:r>
                </w:p>
              </w:tc>
              <w:tc>
                <w:tcPr>
                  <w:tcW w:w="1461" w:type="pct"/>
                  <w:noWrap w:val="0"/>
                  <w:vAlign w:val="center"/>
                </w:tcPr>
                <w:p>
                  <w:pPr>
                    <w:jc w:val="center"/>
                    <w:rPr>
                      <w:color w:val="auto"/>
                      <w:szCs w:val="21"/>
                    </w:rPr>
                  </w:pPr>
                  <w:r>
                    <w:rPr>
                      <w:color w:val="auto"/>
                      <w:szCs w:val="21"/>
                    </w:rPr>
                    <w:t>亚热带湿润性季风性气候，年平均气温</w:t>
                  </w:r>
                  <w:r>
                    <w:rPr>
                      <w:rFonts w:hint="eastAsia"/>
                      <w:color w:val="auto"/>
                      <w:szCs w:val="21"/>
                    </w:rPr>
                    <w:t>18.3</w:t>
                  </w:r>
                  <w:r>
                    <w:rPr>
                      <w:color w:val="auto"/>
                      <w:szCs w:val="21"/>
                    </w:rPr>
                    <w:t>℃，多年相对湿度80%</w:t>
                  </w:r>
                </w:p>
              </w:tc>
              <w:tc>
                <w:tcPr>
                  <w:tcW w:w="1660" w:type="pct"/>
                  <w:noWrap w:val="0"/>
                  <w:vAlign w:val="center"/>
                </w:tcPr>
                <w:p>
                  <w:pPr>
                    <w:tabs>
                      <w:tab w:val="center" w:pos="4153"/>
                      <w:tab w:val="right" w:pos="8306"/>
                    </w:tabs>
                    <w:jc w:val="center"/>
                    <w:rPr>
                      <w:rFonts w:hint="eastAsia"/>
                      <w:color w:val="auto"/>
                      <w:szCs w:val="21"/>
                    </w:rPr>
                  </w:pPr>
                  <w:r>
                    <w:rPr>
                      <w:rFonts w:ascii="Helvetica" w:hAnsi="Helvetica" w:eastAsia="Helvetica" w:cs="Helvetica"/>
                      <w:i w:val="0"/>
                      <w:iCs w:val="0"/>
                      <w:caps w:val="0"/>
                      <w:color w:val="auto"/>
                      <w:spacing w:val="0"/>
                      <w:sz w:val="21"/>
                      <w:szCs w:val="21"/>
                      <w:shd w:val="clear" w:fill="FFFFFF"/>
                    </w:rPr>
                    <w:t>亚热带湿润季风气候。年平均气温16.7℃，</w:t>
                  </w:r>
                  <w:r>
                    <w:rPr>
                      <w:color w:val="auto"/>
                      <w:szCs w:val="21"/>
                    </w:rPr>
                    <w:t>多年相对湿度8</w:t>
                  </w:r>
                  <w:r>
                    <w:rPr>
                      <w:rFonts w:hint="eastAsia"/>
                      <w:color w:val="auto"/>
                      <w:szCs w:val="21"/>
                      <w:lang w:val="en-US" w:eastAsia="zh-CN"/>
                    </w:rPr>
                    <w:t>5</w:t>
                  </w:r>
                  <w:r>
                    <w:rPr>
                      <w:color w:val="auto"/>
                      <w:szCs w:val="21"/>
                    </w:rPr>
                    <w:t>%</w:t>
                  </w:r>
                </w:p>
              </w:tc>
              <w:tc>
                <w:tcPr>
                  <w:tcW w:w="752" w:type="pct"/>
                  <w:noWrap w:val="0"/>
                  <w:vAlign w:val="center"/>
                </w:tcPr>
                <w:p>
                  <w:pPr>
                    <w:tabs>
                      <w:tab w:val="center" w:pos="4153"/>
                      <w:tab w:val="right" w:pos="8306"/>
                    </w:tabs>
                    <w:jc w:val="center"/>
                    <w:rPr>
                      <w:rFonts w:hint="eastAsia"/>
                      <w:color w:val="auto"/>
                      <w:szCs w:val="21"/>
                    </w:rPr>
                  </w:pPr>
                  <w:r>
                    <w:rPr>
                      <w:rFonts w:hint="eastAsia"/>
                      <w:color w:val="auto"/>
                      <w:szCs w:val="21"/>
                      <w:lang w:eastAsia="zh-CN"/>
                    </w:rPr>
                    <w:t>相似</w:t>
                  </w:r>
                </w:p>
              </w:tc>
            </w:tr>
          </w:tbl>
          <w:p>
            <w:pPr>
              <w:adjustRightInd w:val="0"/>
              <w:snapToGrid w:val="0"/>
              <w:ind w:firstLine="482"/>
              <w:jc w:val="center"/>
              <w:rPr>
                <w:rFonts w:hint="eastAsia"/>
                <w:b/>
                <w:bCs/>
                <w:color w:val="auto"/>
                <w:sz w:val="24"/>
              </w:rPr>
            </w:pPr>
          </w:p>
          <w:p>
            <w:pPr>
              <w:adjustRightInd w:val="0"/>
              <w:snapToGrid w:val="0"/>
              <w:ind w:firstLine="482"/>
              <w:jc w:val="center"/>
              <w:rPr>
                <w:b/>
                <w:bCs/>
                <w:color w:val="auto"/>
                <w:sz w:val="24"/>
              </w:rPr>
            </w:pPr>
            <w:r>
              <w:rPr>
                <w:rFonts w:hint="eastAsia"/>
                <w:b/>
                <w:bCs/>
                <w:color w:val="auto"/>
                <w:sz w:val="24"/>
              </w:rPr>
              <w:t>表</w:t>
            </w:r>
            <w:r>
              <w:rPr>
                <w:b/>
                <w:bCs/>
                <w:color w:val="auto"/>
                <w:sz w:val="24"/>
              </w:rPr>
              <w:t>4-</w:t>
            </w:r>
            <w:r>
              <w:rPr>
                <w:rFonts w:hint="eastAsia"/>
                <w:b/>
                <w:bCs/>
                <w:color w:val="auto"/>
                <w:sz w:val="24"/>
                <w:lang w:val="en-US" w:eastAsia="zh-CN"/>
              </w:rPr>
              <w:t>9</w:t>
            </w:r>
            <w:r>
              <w:rPr>
                <w:b/>
                <w:bCs/>
                <w:color w:val="auto"/>
                <w:sz w:val="24"/>
              </w:rPr>
              <w:t xml:space="preserve">  </w:t>
            </w:r>
            <w:r>
              <w:rPr>
                <w:rFonts w:hint="eastAsia"/>
                <w:b/>
                <w:bCs/>
                <w:color w:val="auto"/>
                <w:sz w:val="24"/>
                <w:lang w:eastAsia="zh-CN"/>
              </w:rPr>
              <w:t>双回段线路</w:t>
            </w:r>
            <w:r>
              <w:rPr>
                <w:rFonts w:hint="eastAsia"/>
                <w:b/>
                <w:bCs/>
                <w:color w:val="auto"/>
                <w:sz w:val="24"/>
              </w:rPr>
              <w:t>类比参数一览表</w:t>
            </w:r>
          </w:p>
          <w:tbl>
            <w:tblPr>
              <w:tblStyle w:val="2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58"/>
              <w:gridCol w:w="1288"/>
              <w:gridCol w:w="2272"/>
              <w:gridCol w:w="2584"/>
              <w:gridCol w:w="11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95" w:type="pct"/>
                  <w:vMerge w:val="restart"/>
                  <w:noWrap w:val="0"/>
                  <w:vAlign w:val="center"/>
                </w:tcPr>
                <w:p>
                  <w:pPr>
                    <w:adjustRightInd w:val="0"/>
                    <w:snapToGrid w:val="0"/>
                    <w:jc w:val="center"/>
                    <w:rPr>
                      <w:b/>
                      <w:bCs/>
                      <w:color w:val="auto"/>
                      <w:szCs w:val="21"/>
                    </w:rPr>
                  </w:pPr>
                  <w:r>
                    <w:rPr>
                      <w:rFonts w:hint="eastAsia"/>
                      <w:b/>
                      <w:bCs/>
                      <w:color w:val="auto"/>
                      <w:szCs w:val="21"/>
                    </w:rPr>
                    <w:t>序号</w:t>
                  </w:r>
                </w:p>
              </w:tc>
              <w:tc>
                <w:tcPr>
                  <w:tcW w:w="828" w:type="pct"/>
                  <w:vMerge w:val="restart"/>
                  <w:noWrap w:val="0"/>
                  <w:vAlign w:val="center"/>
                </w:tcPr>
                <w:p>
                  <w:pPr>
                    <w:adjustRightInd w:val="0"/>
                    <w:snapToGrid w:val="0"/>
                    <w:jc w:val="center"/>
                    <w:rPr>
                      <w:b/>
                      <w:bCs/>
                      <w:color w:val="auto"/>
                      <w:szCs w:val="21"/>
                    </w:rPr>
                  </w:pPr>
                  <w:r>
                    <w:rPr>
                      <w:rFonts w:hint="eastAsia"/>
                      <w:b/>
                      <w:bCs/>
                      <w:color w:val="auto"/>
                      <w:szCs w:val="21"/>
                    </w:rPr>
                    <w:t>线路名称</w:t>
                  </w:r>
                </w:p>
              </w:tc>
              <w:tc>
                <w:tcPr>
                  <w:tcW w:w="1461" w:type="pct"/>
                  <w:noWrap w:val="0"/>
                  <w:vAlign w:val="center"/>
                </w:tcPr>
                <w:p>
                  <w:pPr>
                    <w:jc w:val="center"/>
                    <w:rPr>
                      <w:rFonts w:hint="eastAsia"/>
                      <w:b/>
                      <w:bCs/>
                      <w:color w:val="auto"/>
                      <w:szCs w:val="21"/>
                    </w:rPr>
                  </w:pPr>
                  <w:r>
                    <w:rPr>
                      <w:rFonts w:hint="eastAsia"/>
                      <w:b/>
                      <w:bCs/>
                      <w:color w:val="auto"/>
                      <w:szCs w:val="21"/>
                    </w:rPr>
                    <w:t>本项目线路</w:t>
                  </w:r>
                </w:p>
              </w:tc>
              <w:tc>
                <w:tcPr>
                  <w:tcW w:w="1661" w:type="pct"/>
                  <w:noWrap w:val="0"/>
                  <w:vAlign w:val="center"/>
                </w:tcPr>
                <w:p>
                  <w:pPr>
                    <w:jc w:val="center"/>
                    <w:rPr>
                      <w:rFonts w:hint="eastAsia"/>
                      <w:b/>
                      <w:bCs/>
                      <w:color w:val="auto"/>
                      <w:szCs w:val="21"/>
                    </w:rPr>
                  </w:pPr>
                  <w:r>
                    <w:rPr>
                      <w:rFonts w:hint="eastAsia"/>
                      <w:b/>
                      <w:bCs/>
                      <w:color w:val="auto"/>
                      <w:szCs w:val="21"/>
                    </w:rPr>
                    <w:t>类比线路</w:t>
                  </w:r>
                </w:p>
              </w:tc>
              <w:tc>
                <w:tcPr>
                  <w:tcW w:w="752" w:type="pct"/>
                  <w:vMerge w:val="restart"/>
                  <w:noWrap w:val="0"/>
                  <w:vAlign w:val="center"/>
                </w:tcPr>
                <w:p>
                  <w:pPr>
                    <w:jc w:val="center"/>
                    <w:rPr>
                      <w:b/>
                      <w:bCs/>
                      <w:color w:val="auto"/>
                      <w:szCs w:val="21"/>
                    </w:rPr>
                  </w:pPr>
                  <w:r>
                    <w:rPr>
                      <w:rFonts w:hint="eastAsia"/>
                      <w:b/>
                      <w:bCs/>
                      <w:color w:val="auto"/>
                      <w:szCs w:val="21"/>
                    </w:rPr>
                    <w:t>优劣性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95" w:type="pct"/>
                  <w:vMerge w:val="continue"/>
                  <w:noWrap w:val="0"/>
                  <w:vAlign w:val="center"/>
                </w:tcPr>
                <w:p>
                  <w:pPr>
                    <w:adjustRightInd w:val="0"/>
                    <w:snapToGrid w:val="0"/>
                    <w:jc w:val="center"/>
                    <w:rPr>
                      <w:rFonts w:hint="eastAsia"/>
                      <w:b/>
                      <w:bCs/>
                      <w:color w:val="auto"/>
                      <w:szCs w:val="21"/>
                    </w:rPr>
                  </w:pPr>
                </w:p>
              </w:tc>
              <w:tc>
                <w:tcPr>
                  <w:tcW w:w="828" w:type="pct"/>
                  <w:vMerge w:val="continue"/>
                  <w:noWrap w:val="0"/>
                  <w:vAlign w:val="center"/>
                </w:tcPr>
                <w:p>
                  <w:pPr>
                    <w:adjustRightInd w:val="0"/>
                    <w:snapToGrid w:val="0"/>
                    <w:jc w:val="center"/>
                    <w:rPr>
                      <w:rFonts w:hint="eastAsia"/>
                      <w:b/>
                      <w:bCs/>
                      <w:color w:val="auto"/>
                      <w:szCs w:val="21"/>
                    </w:rPr>
                  </w:pPr>
                </w:p>
              </w:tc>
              <w:tc>
                <w:tcPr>
                  <w:tcW w:w="1461" w:type="pct"/>
                  <w:noWrap w:val="0"/>
                  <w:vAlign w:val="center"/>
                </w:tcPr>
                <w:p>
                  <w:pPr>
                    <w:jc w:val="center"/>
                    <w:rPr>
                      <w:rFonts w:hint="eastAsia" w:eastAsia="宋体"/>
                      <w:b/>
                      <w:bCs/>
                      <w:color w:val="auto"/>
                      <w:szCs w:val="21"/>
                      <w:lang w:eastAsia="zh-CN"/>
                    </w:rPr>
                  </w:pPr>
                  <w:r>
                    <w:rPr>
                      <w:rFonts w:hint="eastAsia"/>
                      <w:b/>
                      <w:bCs/>
                      <w:color w:val="auto"/>
                      <w:szCs w:val="21"/>
                      <w:lang w:eastAsia="zh-CN"/>
                    </w:rPr>
                    <w:t>双回段</w:t>
                  </w:r>
                </w:p>
              </w:tc>
              <w:tc>
                <w:tcPr>
                  <w:tcW w:w="1661" w:type="pct"/>
                  <w:noWrap w:val="0"/>
                  <w:vAlign w:val="center"/>
                </w:tcPr>
                <w:p>
                  <w:pPr>
                    <w:jc w:val="center"/>
                    <w:rPr>
                      <w:b/>
                      <w:bCs/>
                      <w:color w:val="auto"/>
                      <w:szCs w:val="21"/>
                    </w:rPr>
                  </w:pPr>
                  <w:r>
                    <w:rPr>
                      <w:rFonts w:hint="eastAsia"/>
                      <w:b/>
                      <w:bCs/>
                      <w:color w:val="auto"/>
                      <w:szCs w:val="21"/>
                    </w:rPr>
                    <w:t>110kV</w:t>
                  </w:r>
                  <w:r>
                    <w:rPr>
                      <w:rFonts w:hint="eastAsia"/>
                      <w:b/>
                      <w:bCs/>
                      <w:color w:val="auto"/>
                      <w:szCs w:val="21"/>
                      <w:lang w:eastAsia="zh-CN"/>
                    </w:rPr>
                    <w:t>巴东Ⅰ线、Ⅱ线</w:t>
                  </w:r>
                </w:p>
              </w:tc>
              <w:tc>
                <w:tcPr>
                  <w:tcW w:w="752" w:type="pct"/>
                  <w:vMerge w:val="continue"/>
                  <w:noWrap w:val="0"/>
                  <w:vAlign w:val="center"/>
                </w:tcPr>
                <w:p>
                  <w:pPr>
                    <w:jc w:val="center"/>
                    <w:rPr>
                      <w:rFonts w:hint="eastAsia"/>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95" w:type="pct"/>
                  <w:noWrap w:val="0"/>
                  <w:vAlign w:val="center"/>
                </w:tcPr>
                <w:p>
                  <w:pPr>
                    <w:adjustRightInd w:val="0"/>
                    <w:snapToGrid w:val="0"/>
                    <w:jc w:val="center"/>
                    <w:rPr>
                      <w:color w:val="auto"/>
                      <w:szCs w:val="21"/>
                    </w:rPr>
                  </w:pPr>
                  <w:r>
                    <w:rPr>
                      <w:color w:val="auto"/>
                      <w:szCs w:val="21"/>
                    </w:rPr>
                    <w:t>1</w:t>
                  </w:r>
                </w:p>
              </w:tc>
              <w:tc>
                <w:tcPr>
                  <w:tcW w:w="828" w:type="pct"/>
                  <w:noWrap w:val="0"/>
                  <w:vAlign w:val="center"/>
                </w:tcPr>
                <w:p>
                  <w:pPr>
                    <w:adjustRightInd w:val="0"/>
                    <w:snapToGrid w:val="0"/>
                    <w:jc w:val="center"/>
                    <w:rPr>
                      <w:color w:val="auto"/>
                      <w:szCs w:val="21"/>
                    </w:rPr>
                  </w:pPr>
                  <w:r>
                    <w:rPr>
                      <w:rFonts w:hint="eastAsia"/>
                      <w:color w:val="auto"/>
                      <w:szCs w:val="21"/>
                    </w:rPr>
                    <w:t>电压等级</w:t>
                  </w:r>
                </w:p>
              </w:tc>
              <w:tc>
                <w:tcPr>
                  <w:tcW w:w="1461" w:type="pct"/>
                  <w:noWrap w:val="0"/>
                  <w:vAlign w:val="center"/>
                </w:tcPr>
                <w:p>
                  <w:pPr>
                    <w:adjustRightInd w:val="0"/>
                    <w:snapToGrid w:val="0"/>
                    <w:jc w:val="center"/>
                    <w:rPr>
                      <w:color w:val="auto"/>
                      <w:szCs w:val="21"/>
                    </w:rPr>
                  </w:pPr>
                  <w:r>
                    <w:rPr>
                      <w:color w:val="auto"/>
                      <w:szCs w:val="21"/>
                    </w:rPr>
                    <w:t>110kV</w:t>
                  </w:r>
                </w:p>
              </w:tc>
              <w:tc>
                <w:tcPr>
                  <w:tcW w:w="1661" w:type="pct"/>
                  <w:noWrap w:val="0"/>
                  <w:vAlign w:val="center"/>
                </w:tcPr>
                <w:p>
                  <w:pPr>
                    <w:adjustRightInd w:val="0"/>
                    <w:snapToGrid w:val="0"/>
                    <w:jc w:val="center"/>
                    <w:rPr>
                      <w:i w:val="0"/>
                      <w:iCs w:val="0"/>
                      <w:color w:val="auto"/>
                      <w:kern w:val="2"/>
                      <w:sz w:val="22"/>
                      <w:szCs w:val="22"/>
                      <w:lang w:val="en-US" w:eastAsia="zh-CN" w:bidi="ar-SA"/>
                    </w:rPr>
                  </w:pPr>
                  <w:r>
                    <w:rPr>
                      <w:i w:val="0"/>
                      <w:iCs w:val="0"/>
                      <w:color w:val="auto"/>
                    </w:rPr>
                    <w:t>110kV</w:t>
                  </w:r>
                </w:p>
              </w:tc>
              <w:tc>
                <w:tcPr>
                  <w:tcW w:w="752" w:type="pct"/>
                  <w:noWrap w:val="0"/>
                  <w:vAlign w:val="center"/>
                </w:tcPr>
                <w:p>
                  <w:pPr>
                    <w:adjustRightInd w:val="0"/>
                    <w:snapToGrid w:val="0"/>
                    <w:jc w:val="center"/>
                    <w:rPr>
                      <w:color w:val="auto"/>
                      <w:szCs w:val="21"/>
                    </w:rPr>
                  </w:pPr>
                  <w:r>
                    <w:rPr>
                      <w:rFonts w:hint="eastAsia"/>
                      <w:color w:val="auto"/>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95" w:type="pct"/>
                  <w:noWrap w:val="0"/>
                  <w:vAlign w:val="center"/>
                </w:tcPr>
                <w:p>
                  <w:pPr>
                    <w:adjustRightInd w:val="0"/>
                    <w:snapToGrid w:val="0"/>
                    <w:jc w:val="center"/>
                    <w:rPr>
                      <w:color w:val="auto"/>
                      <w:szCs w:val="21"/>
                    </w:rPr>
                  </w:pPr>
                  <w:r>
                    <w:rPr>
                      <w:color w:val="auto"/>
                      <w:szCs w:val="21"/>
                    </w:rPr>
                    <w:t>2</w:t>
                  </w:r>
                </w:p>
              </w:tc>
              <w:tc>
                <w:tcPr>
                  <w:tcW w:w="828" w:type="pct"/>
                  <w:noWrap w:val="0"/>
                  <w:vAlign w:val="center"/>
                </w:tcPr>
                <w:p>
                  <w:pPr>
                    <w:adjustRightInd w:val="0"/>
                    <w:snapToGrid w:val="0"/>
                    <w:jc w:val="center"/>
                    <w:rPr>
                      <w:color w:val="auto"/>
                      <w:szCs w:val="21"/>
                    </w:rPr>
                  </w:pPr>
                  <w:r>
                    <w:rPr>
                      <w:rFonts w:hint="eastAsia"/>
                      <w:color w:val="auto"/>
                      <w:szCs w:val="21"/>
                    </w:rPr>
                    <w:t>回路数</w:t>
                  </w:r>
                </w:p>
              </w:tc>
              <w:tc>
                <w:tcPr>
                  <w:tcW w:w="1461" w:type="pct"/>
                  <w:noWrap w:val="0"/>
                  <w:vAlign w:val="center"/>
                </w:tcPr>
                <w:p>
                  <w:pPr>
                    <w:adjustRightInd w:val="0"/>
                    <w:snapToGrid w:val="0"/>
                    <w:jc w:val="center"/>
                    <w:rPr>
                      <w:color w:val="auto"/>
                      <w:szCs w:val="21"/>
                    </w:rPr>
                  </w:pPr>
                  <w:r>
                    <w:rPr>
                      <w:rFonts w:hint="eastAsia"/>
                      <w:color w:val="auto"/>
                      <w:szCs w:val="21"/>
                      <w:lang w:eastAsia="zh-CN"/>
                    </w:rPr>
                    <w:t>双</w:t>
                  </w:r>
                  <w:r>
                    <w:rPr>
                      <w:rFonts w:hint="eastAsia"/>
                      <w:color w:val="auto"/>
                      <w:szCs w:val="21"/>
                    </w:rPr>
                    <w:t>回</w:t>
                  </w:r>
                </w:p>
              </w:tc>
              <w:tc>
                <w:tcPr>
                  <w:tcW w:w="1661" w:type="pct"/>
                  <w:noWrap w:val="0"/>
                  <w:vAlign w:val="center"/>
                </w:tcPr>
                <w:p>
                  <w:pPr>
                    <w:adjustRightInd w:val="0"/>
                    <w:snapToGrid w:val="0"/>
                    <w:jc w:val="center"/>
                    <w:rPr>
                      <w:rFonts w:hint="eastAsia" w:eastAsia="宋体"/>
                      <w:i w:val="0"/>
                      <w:iCs w:val="0"/>
                      <w:color w:val="auto"/>
                      <w:kern w:val="2"/>
                      <w:sz w:val="22"/>
                      <w:szCs w:val="22"/>
                      <w:lang w:val="en-US" w:eastAsia="zh-CN" w:bidi="ar-SA"/>
                    </w:rPr>
                  </w:pPr>
                  <w:r>
                    <w:rPr>
                      <w:rFonts w:hint="eastAsia"/>
                      <w:color w:val="auto"/>
                      <w:szCs w:val="21"/>
                      <w:lang w:eastAsia="zh-CN"/>
                    </w:rPr>
                    <w:t>双</w:t>
                  </w:r>
                  <w:r>
                    <w:rPr>
                      <w:rFonts w:hint="eastAsia"/>
                      <w:i w:val="0"/>
                      <w:iCs w:val="0"/>
                      <w:color w:val="auto"/>
                      <w:lang w:eastAsia="zh-CN"/>
                    </w:rPr>
                    <w:t>回</w:t>
                  </w:r>
                </w:p>
              </w:tc>
              <w:tc>
                <w:tcPr>
                  <w:tcW w:w="752" w:type="pct"/>
                  <w:noWrap w:val="0"/>
                  <w:vAlign w:val="center"/>
                </w:tcPr>
                <w:p>
                  <w:pPr>
                    <w:adjustRightInd w:val="0"/>
                    <w:snapToGrid w:val="0"/>
                    <w:jc w:val="center"/>
                    <w:rPr>
                      <w:color w:val="auto"/>
                      <w:szCs w:val="21"/>
                    </w:rPr>
                  </w:pPr>
                  <w:r>
                    <w:rPr>
                      <w:rFonts w:hint="eastAsia"/>
                      <w:color w:val="auto"/>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95" w:type="pct"/>
                  <w:noWrap w:val="0"/>
                  <w:vAlign w:val="center"/>
                </w:tcPr>
                <w:p>
                  <w:pPr>
                    <w:adjustRightInd w:val="0"/>
                    <w:snapToGrid w:val="0"/>
                    <w:jc w:val="center"/>
                    <w:rPr>
                      <w:color w:val="auto"/>
                      <w:szCs w:val="21"/>
                    </w:rPr>
                  </w:pPr>
                  <w:r>
                    <w:rPr>
                      <w:color w:val="auto"/>
                      <w:szCs w:val="21"/>
                    </w:rPr>
                    <w:t>3</w:t>
                  </w:r>
                </w:p>
              </w:tc>
              <w:tc>
                <w:tcPr>
                  <w:tcW w:w="828" w:type="pct"/>
                  <w:noWrap w:val="0"/>
                  <w:vAlign w:val="center"/>
                </w:tcPr>
                <w:p>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导线排列方式</w:t>
                  </w:r>
                </w:p>
              </w:tc>
              <w:tc>
                <w:tcPr>
                  <w:tcW w:w="146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鼓形塔</w:t>
                  </w:r>
                </w:p>
              </w:tc>
              <w:tc>
                <w:tcPr>
                  <w:tcW w:w="1661" w:type="pct"/>
                  <w:noWrap w:val="0"/>
                  <w:vAlign w:val="center"/>
                </w:tcPr>
                <w:p>
                  <w:pPr>
                    <w:adjustRightInd w:val="0"/>
                    <w:snapToGrid w:val="0"/>
                    <w:jc w:val="center"/>
                    <w:rPr>
                      <w:rFonts w:ascii="Times New Roman" w:hAnsi="Times New Roman" w:eastAsia="宋体" w:cs="Times New Roman"/>
                      <w:i w:val="0"/>
                      <w:iCs w:val="0"/>
                      <w:color w:val="auto"/>
                      <w:kern w:val="2"/>
                      <w:sz w:val="22"/>
                      <w:szCs w:val="22"/>
                      <w:highlight w:val="none"/>
                      <w:lang w:val="en-US" w:eastAsia="zh-CN" w:bidi="ar-SA"/>
                    </w:rPr>
                  </w:pPr>
                  <w:r>
                    <w:rPr>
                      <w:rFonts w:hint="eastAsia"/>
                      <w:color w:val="auto"/>
                      <w:szCs w:val="21"/>
                      <w:highlight w:val="none"/>
                      <w:lang w:eastAsia="zh-CN"/>
                    </w:rPr>
                    <w:t>鼓形塔</w:t>
                  </w:r>
                </w:p>
              </w:tc>
              <w:tc>
                <w:tcPr>
                  <w:tcW w:w="752" w:type="pct"/>
                  <w:noWrap w:val="0"/>
                  <w:vAlign w:val="center"/>
                </w:tcPr>
                <w:p>
                  <w:pPr>
                    <w:adjustRightInd w:val="0"/>
                    <w:snapToGrid w:val="0"/>
                    <w:jc w:val="center"/>
                    <w:rPr>
                      <w:color w:val="auto"/>
                      <w:szCs w:val="21"/>
                    </w:rPr>
                  </w:pPr>
                  <w:r>
                    <w:rPr>
                      <w:rFonts w:hint="eastAsia"/>
                      <w:color w:val="auto"/>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95" w:type="pct"/>
                  <w:noWrap w:val="0"/>
                  <w:vAlign w:val="center"/>
                </w:tcPr>
                <w:p>
                  <w:pPr>
                    <w:adjustRightInd w:val="0"/>
                    <w:snapToGrid w:val="0"/>
                    <w:jc w:val="center"/>
                    <w:rPr>
                      <w:color w:val="auto"/>
                      <w:szCs w:val="21"/>
                    </w:rPr>
                  </w:pPr>
                  <w:r>
                    <w:rPr>
                      <w:color w:val="auto"/>
                      <w:szCs w:val="21"/>
                    </w:rPr>
                    <w:t>4</w:t>
                  </w:r>
                </w:p>
              </w:tc>
              <w:tc>
                <w:tcPr>
                  <w:tcW w:w="828" w:type="pct"/>
                  <w:noWrap w:val="0"/>
                  <w:vAlign w:val="center"/>
                </w:tcPr>
                <w:p>
                  <w:pPr>
                    <w:adjustRightInd w:val="0"/>
                    <w:snapToGrid w:val="0"/>
                    <w:jc w:val="center"/>
                    <w:rPr>
                      <w:color w:val="auto"/>
                      <w:szCs w:val="21"/>
                    </w:rPr>
                  </w:pPr>
                  <w:r>
                    <w:rPr>
                      <w:rFonts w:hint="eastAsia"/>
                      <w:color w:val="auto"/>
                      <w:szCs w:val="21"/>
                    </w:rPr>
                    <w:t>导线分裂形式</w:t>
                  </w:r>
                </w:p>
              </w:tc>
              <w:tc>
                <w:tcPr>
                  <w:tcW w:w="1461" w:type="pct"/>
                  <w:noWrap w:val="0"/>
                  <w:vAlign w:val="center"/>
                </w:tcPr>
                <w:p>
                  <w:pPr>
                    <w:jc w:val="center"/>
                    <w:rPr>
                      <w:color w:val="auto"/>
                      <w:szCs w:val="21"/>
                    </w:rPr>
                  </w:pPr>
                  <w:r>
                    <w:rPr>
                      <w:rFonts w:hint="eastAsia"/>
                      <w:color w:val="auto"/>
                      <w:szCs w:val="21"/>
                    </w:rPr>
                    <w:t>单分裂</w:t>
                  </w:r>
                </w:p>
              </w:tc>
              <w:tc>
                <w:tcPr>
                  <w:tcW w:w="1661" w:type="pct"/>
                  <w:noWrap w:val="0"/>
                  <w:vAlign w:val="center"/>
                </w:tcPr>
                <w:p>
                  <w:pPr>
                    <w:adjustRightInd w:val="0"/>
                    <w:snapToGrid w:val="0"/>
                    <w:jc w:val="center"/>
                    <w:rPr>
                      <w:i w:val="0"/>
                      <w:iCs w:val="0"/>
                      <w:color w:val="auto"/>
                      <w:kern w:val="2"/>
                      <w:sz w:val="22"/>
                      <w:szCs w:val="22"/>
                      <w:lang w:val="en-US" w:eastAsia="zh-CN" w:bidi="ar-SA"/>
                    </w:rPr>
                  </w:pPr>
                  <w:r>
                    <w:rPr>
                      <w:rFonts w:hint="eastAsia"/>
                      <w:i w:val="0"/>
                      <w:iCs w:val="0"/>
                      <w:color w:val="auto"/>
                    </w:rPr>
                    <w:t>单分裂</w:t>
                  </w:r>
                </w:p>
              </w:tc>
              <w:tc>
                <w:tcPr>
                  <w:tcW w:w="752" w:type="pct"/>
                  <w:noWrap w:val="0"/>
                  <w:vAlign w:val="center"/>
                </w:tcPr>
                <w:p>
                  <w:pPr>
                    <w:adjustRightInd w:val="0"/>
                    <w:snapToGrid w:val="0"/>
                    <w:jc w:val="center"/>
                    <w:rPr>
                      <w:color w:val="auto"/>
                      <w:szCs w:val="21"/>
                    </w:rPr>
                  </w:pPr>
                  <w:r>
                    <w:rPr>
                      <w:rFonts w:hint="eastAsia"/>
                      <w:color w:val="auto"/>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95" w:type="pct"/>
                  <w:noWrap w:val="0"/>
                  <w:vAlign w:val="center"/>
                </w:tcPr>
                <w:p>
                  <w:pPr>
                    <w:adjustRightInd w:val="0"/>
                    <w:snapToGrid w:val="0"/>
                    <w:jc w:val="center"/>
                    <w:rPr>
                      <w:color w:val="auto"/>
                      <w:szCs w:val="21"/>
                    </w:rPr>
                  </w:pPr>
                  <w:r>
                    <w:rPr>
                      <w:color w:val="auto"/>
                      <w:szCs w:val="21"/>
                    </w:rPr>
                    <w:t>5</w:t>
                  </w:r>
                </w:p>
              </w:tc>
              <w:tc>
                <w:tcPr>
                  <w:tcW w:w="828" w:type="pct"/>
                  <w:noWrap w:val="0"/>
                  <w:vAlign w:val="center"/>
                </w:tcPr>
                <w:p>
                  <w:pPr>
                    <w:adjustRightInd w:val="0"/>
                    <w:snapToGrid w:val="0"/>
                    <w:jc w:val="center"/>
                    <w:rPr>
                      <w:color w:val="auto"/>
                      <w:szCs w:val="21"/>
                    </w:rPr>
                  </w:pPr>
                  <w:r>
                    <w:rPr>
                      <w:rFonts w:hint="eastAsia"/>
                      <w:color w:val="auto"/>
                      <w:szCs w:val="21"/>
                    </w:rPr>
                    <w:t>导线型号</w:t>
                  </w:r>
                </w:p>
              </w:tc>
              <w:tc>
                <w:tcPr>
                  <w:tcW w:w="1461" w:type="pct"/>
                  <w:noWrap w:val="0"/>
                  <w:vAlign w:val="center"/>
                </w:tcPr>
                <w:p>
                  <w:pPr>
                    <w:adjustRightInd w:val="0"/>
                    <w:snapToGrid w:val="0"/>
                    <w:jc w:val="center"/>
                    <w:rPr>
                      <w:color w:val="auto"/>
                      <w:szCs w:val="21"/>
                    </w:rPr>
                  </w:pPr>
                  <w:r>
                    <w:rPr>
                      <w:rFonts w:hint="eastAsia"/>
                      <w:color w:val="auto"/>
                      <w:sz w:val="21"/>
                      <w:szCs w:val="21"/>
                      <w:lang w:eastAsia="zh-CN"/>
                    </w:rPr>
                    <w:t>JL3/G1A-300/40</w:t>
                  </w:r>
                </w:p>
              </w:tc>
              <w:tc>
                <w:tcPr>
                  <w:tcW w:w="1661" w:type="pct"/>
                  <w:noWrap w:val="0"/>
                  <w:vAlign w:val="center"/>
                </w:tcPr>
                <w:p>
                  <w:pPr>
                    <w:adjustRightInd w:val="0"/>
                    <w:snapToGrid w:val="0"/>
                    <w:jc w:val="center"/>
                    <w:rPr>
                      <w:i w:val="0"/>
                      <w:iCs w:val="0"/>
                      <w:color w:val="auto"/>
                      <w:kern w:val="2"/>
                      <w:sz w:val="22"/>
                      <w:szCs w:val="22"/>
                      <w:highlight w:val="yellow"/>
                      <w:lang w:val="en-US" w:eastAsia="zh-CN" w:bidi="ar-SA"/>
                    </w:rPr>
                  </w:pPr>
                  <w:r>
                    <w:rPr>
                      <w:rFonts w:hint="eastAsia"/>
                      <w:color w:val="auto"/>
                      <w:sz w:val="21"/>
                      <w:szCs w:val="21"/>
                      <w:lang w:eastAsia="zh-CN"/>
                    </w:rPr>
                    <w:t>JL3/G1A-300/40</w:t>
                  </w:r>
                </w:p>
              </w:tc>
              <w:tc>
                <w:tcPr>
                  <w:tcW w:w="752" w:type="pct"/>
                  <w:noWrap w:val="0"/>
                  <w:vAlign w:val="center"/>
                </w:tcPr>
                <w:p>
                  <w:pPr>
                    <w:adjustRightInd w:val="0"/>
                    <w:snapToGrid w:val="0"/>
                    <w:jc w:val="center"/>
                    <w:rPr>
                      <w:color w:val="auto"/>
                      <w:szCs w:val="21"/>
                      <w:highlight w:val="none"/>
                    </w:rPr>
                  </w:pPr>
                  <w:r>
                    <w:rPr>
                      <w:rFonts w:hint="eastAsia"/>
                      <w:color w:val="auto"/>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95" w:type="pct"/>
                  <w:noWrap w:val="0"/>
                  <w:vAlign w:val="center"/>
                </w:tcPr>
                <w:p>
                  <w:pPr>
                    <w:adjustRightInd w:val="0"/>
                    <w:snapToGrid w:val="0"/>
                    <w:jc w:val="center"/>
                    <w:rPr>
                      <w:color w:val="auto"/>
                      <w:szCs w:val="21"/>
                    </w:rPr>
                  </w:pPr>
                  <w:r>
                    <w:rPr>
                      <w:color w:val="auto"/>
                      <w:szCs w:val="21"/>
                    </w:rPr>
                    <w:t>6</w:t>
                  </w:r>
                </w:p>
              </w:tc>
              <w:tc>
                <w:tcPr>
                  <w:tcW w:w="828" w:type="pct"/>
                  <w:noWrap w:val="0"/>
                  <w:vAlign w:val="center"/>
                </w:tcPr>
                <w:p>
                  <w:pPr>
                    <w:adjustRightInd w:val="0"/>
                    <w:snapToGrid w:val="0"/>
                    <w:jc w:val="center"/>
                    <w:rPr>
                      <w:color w:val="auto"/>
                      <w:szCs w:val="21"/>
                    </w:rPr>
                  </w:pPr>
                  <w:r>
                    <w:rPr>
                      <w:rFonts w:hint="eastAsia"/>
                      <w:color w:val="auto"/>
                      <w:szCs w:val="21"/>
                    </w:rPr>
                    <w:t>导线高度</w:t>
                  </w:r>
                </w:p>
              </w:tc>
              <w:tc>
                <w:tcPr>
                  <w:tcW w:w="1461" w:type="pct"/>
                  <w:noWrap w:val="0"/>
                  <w:vAlign w:val="center"/>
                </w:tcPr>
                <w:p>
                  <w:pPr>
                    <w:adjustRightInd w:val="0"/>
                    <w:snapToGrid w:val="0"/>
                    <w:jc w:val="center"/>
                    <w:rPr>
                      <w:color w:val="auto"/>
                      <w:szCs w:val="21"/>
                    </w:rPr>
                  </w:pPr>
                  <w:r>
                    <w:rPr>
                      <w:rFonts w:hint="eastAsia"/>
                      <w:color w:val="auto"/>
                      <w:szCs w:val="21"/>
                      <w:lang w:val="en-US" w:eastAsia="zh-CN"/>
                    </w:rPr>
                    <w:t>7</w:t>
                  </w:r>
                  <w:r>
                    <w:rPr>
                      <w:color w:val="auto"/>
                      <w:szCs w:val="21"/>
                    </w:rPr>
                    <w:t>m</w:t>
                  </w:r>
                  <w:r>
                    <w:rPr>
                      <w:rFonts w:hint="eastAsia" w:ascii="Times New Roman" w:hAnsi="Times New Roman" w:eastAsia="宋体" w:cs="Times New Roman"/>
                      <w:color w:val="auto"/>
                      <w:szCs w:val="21"/>
                      <w:highlight w:val="none"/>
                      <w:lang w:eastAsia="zh-CN"/>
                    </w:rPr>
                    <w:t>（</w:t>
                  </w:r>
                  <w:r>
                    <w:rPr>
                      <w:rFonts w:hint="eastAsia" w:cs="Times New Roman"/>
                      <w:color w:val="auto"/>
                      <w:szCs w:val="21"/>
                      <w:highlight w:val="none"/>
                      <w:lang w:eastAsia="zh-CN"/>
                    </w:rPr>
                    <w:t>根据规范，</w:t>
                  </w:r>
                  <w:r>
                    <w:rPr>
                      <w:rFonts w:hint="eastAsia" w:ascii="Times New Roman" w:hAnsi="Times New Roman" w:eastAsia="宋体" w:cs="Times New Roman"/>
                      <w:color w:val="auto"/>
                      <w:szCs w:val="21"/>
                      <w:highlight w:val="none"/>
                      <w:lang w:eastAsia="zh-CN"/>
                    </w:rPr>
                    <w:t>为线路</w:t>
                  </w:r>
                  <w:r>
                    <w:rPr>
                      <w:rFonts w:hint="default" w:ascii="Times New Roman" w:hAnsi="Times New Roman" w:eastAsia="宋体" w:cs="Times New Roman"/>
                      <w:color w:val="auto"/>
                      <w:szCs w:val="21"/>
                      <w:highlight w:val="none"/>
                      <w:lang w:eastAsia="zh-CN"/>
                    </w:rPr>
                    <w:t>在经过居民区时，</w:t>
                  </w:r>
                  <w:r>
                    <w:rPr>
                      <w:rFonts w:hint="eastAsia" w:ascii="Times New Roman" w:hAnsi="Times New Roman" w:eastAsia="宋体" w:cs="Times New Roman"/>
                      <w:color w:val="auto"/>
                      <w:szCs w:val="21"/>
                      <w:highlight w:val="none"/>
                      <w:lang w:eastAsia="zh-CN"/>
                    </w:rPr>
                    <w:t>最低</w:t>
                  </w:r>
                  <w:r>
                    <w:rPr>
                      <w:rFonts w:hint="default" w:ascii="Times New Roman" w:hAnsi="Times New Roman" w:eastAsia="宋体" w:cs="Times New Roman"/>
                      <w:color w:val="auto"/>
                      <w:szCs w:val="21"/>
                      <w:highlight w:val="none"/>
                      <w:lang w:eastAsia="zh-CN"/>
                    </w:rPr>
                    <w:t>离地高度</w:t>
                  </w:r>
                  <w:r>
                    <w:rPr>
                      <w:rFonts w:hint="eastAsia" w:ascii="Times New Roman" w:hAnsi="Times New Roman" w:eastAsia="宋体" w:cs="Times New Roman"/>
                      <w:color w:val="auto"/>
                      <w:szCs w:val="21"/>
                      <w:highlight w:val="none"/>
                      <w:lang w:eastAsia="zh-CN"/>
                    </w:rPr>
                    <w:t>）</w:t>
                  </w:r>
                </w:p>
              </w:tc>
              <w:tc>
                <w:tcPr>
                  <w:tcW w:w="1661" w:type="pct"/>
                  <w:noWrap w:val="0"/>
                  <w:vAlign w:val="center"/>
                </w:tcPr>
                <w:p>
                  <w:pPr>
                    <w:adjustRightInd w:val="0"/>
                    <w:snapToGrid w:val="0"/>
                    <w:jc w:val="center"/>
                    <w:rPr>
                      <w:i w:val="0"/>
                      <w:iCs w:val="0"/>
                      <w:color w:val="auto"/>
                      <w:kern w:val="2"/>
                      <w:sz w:val="22"/>
                      <w:szCs w:val="22"/>
                      <w:lang w:val="en-US" w:eastAsia="zh-CN" w:bidi="ar-SA"/>
                    </w:rPr>
                  </w:pPr>
                  <w:r>
                    <w:rPr>
                      <w:rFonts w:hint="eastAsia"/>
                      <w:i w:val="0"/>
                      <w:iCs w:val="0"/>
                      <w:color w:val="auto"/>
                      <w:lang w:val="en-US" w:eastAsia="zh-CN"/>
                    </w:rPr>
                    <w:t>21</w:t>
                  </w:r>
                  <w:r>
                    <w:rPr>
                      <w:i w:val="0"/>
                      <w:iCs w:val="0"/>
                      <w:color w:val="auto"/>
                    </w:rPr>
                    <w:t>m</w:t>
                  </w:r>
                </w:p>
              </w:tc>
              <w:tc>
                <w:tcPr>
                  <w:tcW w:w="752"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类比线路优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95" w:type="pct"/>
                  <w:noWrap w:val="0"/>
                  <w:vAlign w:val="center"/>
                </w:tcPr>
                <w:p>
                  <w:pPr>
                    <w:jc w:val="center"/>
                    <w:rPr>
                      <w:rFonts w:hint="eastAsia"/>
                      <w:color w:val="auto"/>
                      <w:szCs w:val="21"/>
                    </w:rPr>
                  </w:pPr>
                  <w:r>
                    <w:rPr>
                      <w:rFonts w:hint="eastAsia"/>
                      <w:color w:val="auto"/>
                      <w:szCs w:val="21"/>
                    </w:rPr>
                    <w:t>7</w:t>
                  </w:r>
                </w:p>
              </w:tc>
              <w:tc>
                <w:tcPr>
                  <w:tcW w:w="828" w:type="pct"/>
                  <w:noWrap w:val="0"/>
                  <w:vAlign w:val="center"/>
                </w:tcPr>
                <w:p>
                  <w:pPr>
                    <w:tabs>
                      <w:tab w:val="center" w:pos="4153"/>
                      <w:tab w:val="right" w:pos="8306"/>
                    </w:tabs>
                    <w:jc w:val="center"/>
                    <w:rPr>
                      <w:rFonts w:hint="eastAsia"/>
                      <w:color w:val="auto"/>
                      <w:szCs w:val="21"/>
                    </w:rPr>
                  </w:pPr>
                  <w:r>
                    <w:rPr>
                      <w:color w:val="auto"/>
                      <w:szCs w:val="21"/>
                    </w:rPr>
                    <w:t>周围环境</w:t>
                  </w:r>
                </w:p>
              </w:tc>
              <w:tc>
                <w:tcPr>
                  <w:tcW w:w="1461" w:type="pct"/>
                  <w:noWrap w:val="0"/>
                  <w:vAlign w:val="center"/>
                </w:tcPr>
                <w:p>
                  <w:pPr>
                    <w:tabs>
                      <w:tab w:val="center" w:pos="4153"/>
                      <w:tab w:val="right" w:pos="8306"/>
                    </w:tabs>
                    <w:jc w:val="center"/>
                    <w:rPr>
                      <w:color w:val="auto"/>
                      <w:szCs w:val="21"/>
                    </w:rPr>
                  </w:pPr>
                  <w:r>
                    <w:rPr>
                      <w:color w:val="auto"/>
                      <w:szCs w:val="21"/>
                    </w:rPr>
                    <w:t>农村区域</w:t>
                  </w:r>
                </w:p>
              </w:tc>
              <w:tc>
                <w:tcPr>
                  <w:tcW w:w="1661" w:type="pct"/>
                  <w:noWrap w:val="0"/>
                  <w:vAlign w:val="center"/>
                </w:tcPr>
                <w:p>
                  <w:pPr>
                    <w:tabs>
                      <w:tab w:val="center" w:pos="4153"/>
                      <w:tab w:val="right" w:pos="8306"/>
                    </w:tabs>
                    <w:jc w:val="center"/>
                    <w:rPr>
                      <w:rFonts w:hint="eastAsia"/>
                      <w:color w:val="auto"/>
                      <w:szCs w:val="21"/>
                    </w:rPr>
                  </w:pPr>
                  <w:r>
                    <w:rPr>
                      <w:color w:val="auto"/>
                      <w:szCs w:val="21"/>
                    </w:rPr>
                    <w:t>农村区域</w:t>
                  </w:r>
                </w:p>
              </w:tc>
              <w:tc>
                <w:tcPr>
                  <w:tcW w:w="752" w:type="pct"/>
                  <w:noWrap w:val="0"/>
                  <w:vAlign w:val="center"/>
                </w:tcPr>
                <w:p>
                  <w:pPr>
                    <w:tabs>
                      <w:tab w:val="center" w:pos="4153"/>
                      <w:tab w:val="right" w:pos="8306"/>
                    </w:tabs>
                    <w:jc w:val="center"/>
                    <w:rPr>
                      <w:rFonts w:hint="eastAsia"/>
                      <w:color w:val="auto"/>
                      <w:szCs w:val="21"/>
                    </w:rPr>
                  </w:pPr>
                  <w:r>
                    <w:rPr>
                      <w:rFonts w:hint="eastAsia"/>
                      <w:color w:val="auto"/>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295" w:type="pct"/>
                  <w:noWrap w:val="0"/>
                  <w:vAlign w:val="center"/>
                </w:tcPr>
                <w:p>
                  <w:pPr>
                    <w:jc w:val="center"/>
                    <w:rPr>
                      <w:rFonts w:hint="eastAsia"/>
                      <w:color w:val="auto"/>
                      <w:szCs w:val="21"/>
                    </w:rPr>
                  </w:pPr>
                  <w:r>
                    <w:rPr>
                      <w:rFonts w:hint="eastAsia"/>
                      <w:color w:val="auto"/>
                      <w:szCs w:val="21"/>
                    </w:rPr>
                    <w:t>8</w:t>
                  </w:r>
                </w:p>
              </w:tc>
              <w:tc>
                <w:tcPr>
                  <w:tcW w:w="828" w:type="pct"/>
                  <w:noWrap w:val="0"/>
                  <w:vAlign w:val="center"/>
                </w:tcPr>
                <w:p>
                  <w:pPr>
                    <w:tabs>
                      <w:tab w:val="center" w:pos="4153"/>
                      <w:tab w:val="right" w:pos="8306"/>
                    </w:tabs>
                    <w:jc w:val="center"/>
                    <w:rPr>
                      <w:rFonts w:hint="eastAsia"/>
                      <w:color w:val="auto"/>
                      <w:szCs w:val="21"/>
                    </w:rPr>
                  </w:pPr>
                  <w:r>
                    <w:rPr>
                      <w:color w:val="auto"/>
                      <w:szCs w:val="21"/>
                    </w:rPr>
                    <w:t>环境</w:t>
                  </w:r>
                  <w:r>
                    <w:rPr>
                      <w:rFonts w:hint="eastAsia"/>
                      <w:color w:val="auto"/>
                      <w:szCs w:val="21"/>
                    </w:rPr>
                    <w:t>条件</w:t>
                  </w:r>
                </w:p>
              </w:tc>
              <w:tc>
                <w:tcPr>
                  <w:tcW w:w="1461" w:type="pct"/>
                  <w:noWrap w:val="0"/>
                  <w:vAlign w:val="center"/>
                </w:tcPr>
                <w:p>
                  <w:pPr>
                    <w:jc w:val="center"/>
                    <w:rPr>
                      <w:color w:val="auto"/>
                      <w:szCs w:val="21"/>
                    </w:rPr>
                  </w:pPr>
                  <w:r>
                    <w:rPr>
                      <w:color w:val="auto"/>
                      <w:szCs w:val="21"/>
                    </w:rPr>
                    <w:t>亚热带湿润性季风性气候，年平均气温</w:t>
                  </w:r>
                  <w:r>
                    <w:rPr>
                      <w:rFonts w:hint="eastAsia"/>
                      <w:color w:val="auto"/>
                      <w:szCs w:val="21"/>
                    </w:rPr>
                    <w:t>18.3</w:t>
                  </w:r>
                  <w:r>
                    <w:rPr>
                      <w:color w:val="auto"/>
                      <w:szCs w:val="21"/>
                    </w:rPr>
                    <w:t>℃，多年相对湿度80%</w:t>
                  </w:r>
                </w:p>
              </w:tc>
              <w:tc>
                <w:tcPr>
                  <w:tcW w:w="1661" w:type="pct"/>
                  <w:noWrap w:val="0"/>
                  <w:vAlign w:val="center"/>
                </w:tcPr>
                <w:p>
                  <w:pPr>
                    <w:tabs>
                      <w:tab w:val="center" w:pos="4153"/>
                      <w:tab w:val="right" w:pos="8306"/>
                    </w:tabs>
                    <w:jc w:val="center"/>
                    <w:rPr>
                      <w:rFonts w:hint="eastAsia"/>
                      <w:color w:val="auto"/>
                      <w:szCs w:val="21"/>
                    </w:rPr>
                  </w:pPr>
                  <w:r>
                    <w:rPr>
                      <w:color w:val="auto"/>
                      <w:szCs w:val="21"/>
                    </w:rPr>
                    <w:t>亚热带湿润性季风性气候，年平均气温</w:t>
                  </w:r>
                  <w:r>
                    <w:rPr>
                      <w:rFonts w:hint="eastAsia"/>
                      <w:color w:val="auto"/>
                      <w:szCs w:val="21"/>
                      <w:lang w:val="en-US" w:eastAsia="zh-CN"/>
                    </w:rPr>
                    <w:t>1</w:t>
                  </w:r>
                  <w:r>
                    <w:rPr>
                      <w:rFonts w:hint="eastAsia"/>
                      <w:color w:val="auto"/>
                      <w:szCs w:val="21"/>
                    </w:rPr>
                    <w:t>6.8～17.5℃之间</w:t>
                  </w:r>
                  <w:r>
                    <w:rPr>
                      <w:color w:val="auto"/>
                      <w:szCs w:val="21"/>
                    </w:rPr>
                    <w:t>，多年相对湿度8</w:t>
                  </w:r>
                  <w:r>
                    <w:rPr>
                      <w:rFonts w:hint="eastAsia"/>
                      <w:color w:val="auto"/>
                      <w:szCs w:val="21"/>
                      <w:lang w:val="en-US" w:eastAsia="zh-CN"/>
                    </w:rPr>
                    <w:t>5</w:t>
                  </w:r>
                  <w:r>
                    <w:rPr>
                      <w:color w:val="auto"/>
                      <w:szCs w:val="21"/>
                    </w:rPr>
                    <w:t>%</w:t>
                  </w:r>
                </w:p>
              </w:tc>
              <w:tc>
                <w:tcPr>
                  <w:tcW w:w="752" w:type="pct"/>
                  <w:noWrap w:val="0"/>
                  <w:vAlign w:val="center"/>
                </w:tcPr>
                <w:p>
                  <w:pPr>
                    <w:tabs>
                      <w:tab w:val="center" w:pos="4153"/>
                      <w:tab w:val="right" w:pos="8306"/>
                    </w:tabs>
                    <w:jc w:val="center"/>
                    <w:rPr>
                      <w:rFonts w:hint="eastAsia" w:eastAsia="宋体"/>
                      <w:color w:val="auto"/>
                      <w:szCs w:val="21"/>
                      <w:lang w:eastAsia="zh-CN"/>
                    </w:rPr>
                  </w:pPr>
                  <w:r>
                    <w:rPr>
                      <w:rFonts w:hint="eastAsia"/>
                      <w:color w:val="auto"/>
                      <w:szCs w:val="21"/>
                      <w:lang w:eastAsia="zh-CN"/>
                    </w:rPr>
                    <w:t>相似</w:t>
                  </w:r>
                </w:p>
              </w:tc>
            </w:tr>
          </w:tbl>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由表4-8、表4-9可知，</w:t>
            </w:r>
            <w:bookmarkStart w:id="19" w:name="_Hlk53410009"/>
            <w:r>
              <w:rPr>
                <w:rFonts w:hint="eastAsia"/>
                <w:color w:val="auto"/>
                <w:sz w:val="24"/>
                <w:lang w:val="en-US" w:eastAsia="zh-CN"/>
              </w:rPr>
              <w:t>本项目单回段、双回段架空线路与相应的类比线路相比：</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A、具有相同的电压等级、回路数、导线分裂形式、排列方式；</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B、根据相关规范，拟建线路架设高度为线路在经过居民区时，最低离地高度（7m），经咨询设计单位，综合考虑项目沿线的地形地貌地质环境、交叉跨越等多方面的情况，本项目线路近地导线离地高度设计主要考虑控制在18m及以上。因此，从类比条件角度来看，虽然导线对地高度与本工程存在一定差异，但总体可反映项目建成后产生的声环境影响。</w:t>
            </w:r>
          </w:p>
          <w:bookmarkEnd w:id="19"/>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因此，从类比条件角度来看，本项目选择110kV蒿裕陈线-T陈线和110kV巴东Ⅰ线、Ⅱ线分别作为本项目单回段、双回段的类比监测对象进行类比分析是可行的。</w:t>
            </w:r>
          </w:p>
          <w:p>
            <w:pPr>
              <w:spacing w:line="360" w:lineRule="auto"/>
              <w:ind w:firstLine="480" w:firstLineChars="200"/>
              <w:rPr>
                <w:color w:val="auto"/>
                <w:sz w:val="24"/>
              </w:rPr>
            </w:pPr>
            <w:r>
              <w:rPr>
                <w:rFonts w:hint="eastAsia"/>
                <w:color w:val="auto"/>
                <w:sz w:val="24"/>
                <w:lang w:val="en-US" w:eastAsia="zh-CN"/>
              </w:rPr>
              <w:t>2</w:t>
            </w:r>
            <w:r>
              <w:rPr>
                <w:rFonts w:hint="eastAsia"/>
                <w:color w:val="auto"/>
                <w:sz w:val="24"/>
                <w:lang w:eastAsia="zh-CN"/>
              </w:rPr>
              <w:t>）</w:t>
            </w:r>
            <w:r>
              <w:rPr>
                <w:rFonts w:hint="eastAsia"/>
                <w:color w:val="auto"/>
                <w:sz w:val="24"/>
              </w:rPr>
              <w:t>监测结果</w:t>
            </w:r>
          </w:p>
          <w:p>
            <w:pPr>
              <w:spacing w:line="360" w:lineRule="auto"/>
              <w:ind w:firstLine="480" w:firstLineChars="200"/>
              <w:rPr>
                <w:color w:val="auto"/>
                <w:sz w:val="24"/>
              </w:rPr>
            </w:pPr>
            <w:r>
              <w:rPr>
                <w:rFonts w:hint="eastAsia"/>
                <w:color w:val="auto"/>
                <w:sz w:val="24"/>
              </w:rPr>
              <w:t>类比线路由</w:t>
            </w:r>
            <w:r>
              <w:rPr>
                <w:rFonts w:hint="eastAsia"/>
                <w:color w:val="auto"/>
                <w:sz w:val="24"/>
                <w:lang w:eastAsia="zh-CN"/>
              </w:rPr>
              <w:t>武汉中电工程检测有限公司</w:t>
            </w:r>
            <w:r>
              <w:rPr>
                <w:color w:val="auto"/>
                <w:sz w:val="24"/>
              </w:rPr>
              <w:t>20</w:t>
            </w:r>
            <w:r>
              <w:rPr>
                <w:rFonts w:hint="eastAsia"/>
                <w:color w:val="auto"/>
                <w:sz w:val="24"/>
                <w:lang w:val="en-US" w:eastAsia="zh-CN"/>
              </w:rPr>
              <w:t>21</w:t>
            </w:r>
            <w:r>
              <w:rPr>
                <w:rFonts w:hint="eastAsia"/>
                <w:color w:val="auto"/>
                <w:sz w:val="24"/>
              </w:rPr>
              <w:t>年</w:t>
            </w:r>
            <w:r>
              <w:rPr>
                <w:color w:val="auto"/>
                <w:sz w:val="24"/>
              </w:rPr>
              <w:t>10</w:t>
            </w:r>
            <w:r>
              <w:rPr>
                <w:rFonts w:hint="eastAsia"/>
                <w:color w:val="auto"/>
                <w:sz w:val="24"/>
              </w:rPr>
              <w:t>月</w:t>
            </w:r>
            <w:r>
              <w:rPr>
                <w:rFonts w:hint="eastAsia"/>
                <w:color w:val="auto"/>
                <w:sz w:val="24"/>
                <w:lang w:val="en-US" w:eastAsia="zh-CN"/>
              </w:rPr>
              <w:t>19</w:t>
            </w:r>
            <w:r>
              <w:rPr>
                <w:rFonts w:hint="eastAsia"/>
                <w:color w:val="auto"/>
                <w:sz w:val="24"/>
              </w:rPr>
              <w:t>日</w:t>
            </w:r>
            <w:r>
              <w:rPr>
                <w:rFonts w:hint="eastAsia"/>
                <w:color w:val="auto"/>
                <w:sz w:val="24"/>
                <w:lang w:val="en-US" w:eastAsia="zh-CN"/>
              </w:rPr>
              <w:t>~20</w:t>
            </w:r>
            <w:r>
              <w:rPr>
                <w:rFonts w:hint="eastAsia"/>
                <w:color w:val="auto"/>
                <w:sz w:val="24"/>
              </w:rPr>
              <w:t>日监测，报告编号：WHZD-WH20210950-P2201-01。监测</w:t>
            </w:r>
            <w:r>
              <w:rPr>
                <w:rFonts w:hint="eastAsia"/>
                <w:color w:val="auto"/>
                <w:sz w:val="24"/>
                <w:lang w:eastAsia="zh-CN"/>
              </w:rPr>
              <w:t>期间</w:t>
            </w:r>
            <w:r>
              <w:rPr>
                <w:rFonts w:hint="eastAsia"/>
                <w:color w:val="auto"/>
                <w:sz w:val="24"/>
              </w:rPr>
              <w:t>线路正常运行，类比监测条件见下表</w:t>
            </w:r>
            <w:r>
              <w:rPr>
                <w:color w:val="auto"/>
                <w:sz w:val="24"/>
              </w:rPr>
              <w:t>4-</w:t>
            </w:r>
            <w:r>
              <w:rPr>
                <w:rFonts w:hint="eastAsia"/>
                <w:color w:val="auto"/>
                <w:sz w:val="24"/>
                <w:lang w:val="en-US" w:eastAsia="zh-CN"/>
              </w:rPr>
              <w:t>10</w:t>
            </w:r>
            <w:r>
              <w:rPr>
                <w:rFonts w:hint="eastAsia"/>
                <w:color w:val="auto"/>
                <w:sz w:val="24"/>
              </w:rPr>
              <w:t>，监测结果见表</w:t>
            </w:r>
            <w:r>
              <w:rPr>
                <w:color w:val="auto"/>
                <w:sz w:val="24"/>
              </w:rPr>
              <w:t>4-</w:t>
            </w:r>
            <w:r>
              <w:rPr>
                <w:rFonts w:hint="eastAsia"/>
                <w:color w:val="auto"/>
                <w:sz w:val="24"/>
                <w:lang w:val="en-US" w:eastAsia="zh-CN"/>
              </w:rPr>
              <w:t>11、表4-12</w:t>
            </w:r>
            <w:r>
              <w:rPr>
                <w:rFonts w:hint="eastAsia"/>
                <w:color w:val="auto"/>
                <w:sz w:val="24"/>
              </w:rPr>
              <w:t>。</w:t>
            </w:r>
          </w:p>
          <w:p>
            <w:pPr>
              <w:jc w:val="center"/>
              <w:rPr>
                <w:color w:val="auto"/>
                <w:sz w:val="26"/>
                <w:szCs w:val="26"/>
              </w:rPr>
            </w:pPr>
            <w:bookmarkStart w:id="20" w:name="_Hlk55407471"/>
            <w:r>
              <w:rPr>
                <w:rFonts w:hint="eastAsia"/>
                <w:b/>
                <w:bCs/>
                <w:color w:val="auto"/>
                <w:sz w:val="24"/>
              </w:rPr>
              <w:t>表</w:t>
            </w:r>
            <w:r>
              <w:rPr>
                <w:b/>
                <w:bCs/>
                <w:color w:val="auto"/>
                <w:sz w:val="24"/>
              </w:rPr>
              <w:t>4-</w:t>
            </w:r>
            <w:r>
              <w:rPr>
                <w:rFonts w:hint="eastAsia"/>
                <w:b/>
                <w:bCs/>
                <w:color w:val="auto"/>
                <w:sz w:val="24"/>
                <w:lang w:val="en-US" w:eastAsia="zh-CN"/>
              </w:rPr>
              <w:t>10</w:t>
            </w:r>
            <w:r>
              <w:rPr>
                <w:b/>
                <w:bCs/>
                <w:color w:val="auto"/>
                <w:sz w:val="24"/>
              </w:rPr>
              <w:t xml:space="preserve">  </w:t>
            </w:r>
            <w:r>
              <w:rPr>
                <w:rFonts w:hint="eastAsia"/>
                <w:b/>
                <w:bCs/>
                <w:color w:val="auto"/>
                <w:sz w:val="24"/>
              </w:rPr>
              <w:t>类比线路监测条件</w:t>
            </w:r>
          </w:p>
          <w:bookmarkEnd w:id="20"/>
          <w:tbl>
            <w:tblPr>
              <w:tblStyle w:val="28"/>
              <w:tblW w:w="48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95"/>
              <w:gridCol w:w="1648"/>
              <w:gridCol w:w="1613"/>
              <w:gridCol w:w="1587"/>
              <w:gridCol w:w="16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225" w:type="dxa"/>
                  <w:vMerge w:val="restart"/>
                  <w:noWrap w:val="0"/>
                  <w:vAlign w:val="center"/>
                </w:tcPr>
                <w:p>
                  <w:pPr>
                    <w:jc w:val="center"/>
                    <w:rPr>
                      <w:b/>
                      <w:bCs/>
                      <w:color w:val="auto"/>
                      <w:szCs w:val="21"/>
                    </w:rPr>
                  </w:pPr>
                  <w:r>
                    <w:rPr>
                      <w:rFonts w:hint="eastAsia"/>
                      <w:b/>
                      <w:bCs/>
                      <w:color w:val="auto"/>
                      <w:szCs w:val="21"/>
                    </w:rPr>
                    <w:t>线路电压等级与名称</w:t>
                  </w:r>
                </w:p>
              </w:tc>
              <w:tc>
                <w:tcPr>
                  <w:tcW w:w="7012" w:type="dxa"/>
                  <w:gridSpan w:val="4"/>
                  <w:noWrap w:val="0"/>
                  <w:vAlign w:val="center"/>
                </w:tcPr>
                <w:p>
                  <w:pPr>
                    <w:jc w:val="center"/>
                    <w:rPr>
                      <w:rFonts w:hint="default" w:eastAsia="宋体"/>
                      <w:b/>
                      <w:bCs/>
                      <w:color w:val="auto"/>
                      <w:szCs w:val="21"/>
                      <w:lang w:val="en-US" w:eastAsia="zh-CN"/>
                    </w:rPr>
                  </w:pPr>
                  <w:r>
                    <w:rPr>
                      <w:rFonts w:hint="eastAsia"/>
                      <w:b/>
                      <w:bCs/>
                      <w:color w:val="auto"/>
                      <w:szCs w:val="21"/>
                      <w:lang w:val="en-US" w:eastAsia="zh-CN"/>
                    </w:rPr>
                    <w:t>2021.10.20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225" w:type="dxa"/>
                  <w:vMerge w:val="continue"/>
                  <w:noWrap w:val="0"/>
                  <w:vAlign w:val="center"/>
                </w:tcPr>
                <w:p>
                  <w:pPr>
                    <w:widowControl/>
                    <w:jc w:val="center"/>
                    <w:rPr>
                      <w:b/>
                      <w:bCs/>
                      <w:color w:val="auto"/>
                      <w:szCs w:val="21"/>
                    </w:rPr>
                  </w:pPr>
                </w:p>
              </w:tc>
              <w:tc>
                <w:tcPr>
                  <w:tcW w:w="1753" w:type="dxa"/>
                  <w:noWrap w:val="0"/>
                  <w:vAlign w:val="center"/>
                </w:tcPr>
                <w:p>
                  <w:pPr>
                    <w:jc w:val="center"/>
                    <w:rPr>
                      <w:b/>
                      <w:bCs/>
                      <w:color w:val="auto"/>
                      <w:szCs w:val="21"/>
                    </w:rPr>
                  </w:pPr>
                  <w:r>
                    <w:rPr>
                      <w:rFonts w:hint="eastAsia"/>
                      <w:b/>
                      <w:bCs/>
                      <w:color w:val="auto"/>
                      <w:szCs w:val="21"/>
                    </w:rPr>
                    <w:t>电压（</w:t>
                  </w:r>
                  <w:r>
                    <w:rPr>
                      <w:b/>
                      <w:bCs/>
                      <w:color w:val="auto"/>
                      <w:szCs w:val="21"/>
                    </w:rPr>
                    <w:t>kV</w:t>
                  </w:r>
                  <w:r>
                    <w:rPr>
                      <w:rFonts w:hint="eastAsia"/>
                      <w:b/>
                      <w:bCs/>
                      <w:color w:val="auto"/>
                      <w:szCs w:val="21"/>
                    </w:rPr>
                    <w:t>）</w:t>
                  </w:r>
                </w:p>
              </w:tc>
              <w:tc>
                <w:tcPr>
                  <w:tcW w:w="1753" w:type="dxa"/>
                  <w:noWrap w:val="0"/>
                  <w:vAlign w:val="center"/>
                </w:tcPr>
                <w:p>
                  <w:pPr>
                    <w:jc w:val="center"/>
                    <w:rPr>
                      <w:b/>
                      <w:bCs/>
                      <w:color w:val="auto"/>
                      <w:szCs w:val="21"/>
                    </w:rPr>
                  </w:pPr>
                  <w:r>
                    <w:rPr>
                      <w:rFonts w:hint="eastAsia"/>
                      <w:b/>
                      <w:bCs/>
                      <w:color w:val="auto"/>
                      <w:szCs w:val="21"/>
                    </w:rPr>
                    <w:t>电流（</w:t>
                  </w:r>
                  <w:r>
                    <w:rPr>
                      <w:b/>
                      <w:bCs/>
                      <w:color w:val="auto"/>
                      <w:szCs w:val="21"/>
                    </w:rPr>
                    <w:t>A</w:t>
                  </w:r>
                  <w:r>
                    <w:rPr>
                      <w:rFonts w:hint="eastAsia"/>
                      <w:b/>
                      <w:bCs/>
                      <w:color w:val="auto"/>
                      <w:szCs w:val="21"/>
                    </w:rPr>
                    <w:t>）</w:t>
                  </w:r>
                </w:p>
              </w:tc>
              <w:tc>
                <w:tcPr>
                  <w:tcW w:w="1753" w:type="dxa"/>
                  <w:noWrap w:val="0"/>
                  <w:vAlign w:val="center"/>
                </w:tcPr>
                <w:p>
                  <w:pPr>
                    <w:jc w:val="center"/>
                    <w:rPr>
                      <w:b/>
                      <w:bCs/>
                      <w:color w:val="auto"/>
                      <w:szCs w:val="21"/>
                    </w:rPr>
                  </w:pPr>
                  <w:r>
                    <w:rPr>
                      <w:rFonts w:hint="eastAsia"/>
                      <w:b/>
                      <w:bCs/>
                      <w:color w:val="auto"/>
                      <w:szCs w:val="21"/>
                    </w:rPr>
                    <w:t>有功</w:t>
                  </w:r>
                  <w:r>
                    <w:rPr>
                      <w:b/>
                      <w:bCs/>
                      <w:color w:val="auto"/>
                      <w:szCs w:val="21"/>
                    </w:rPr>
                    <w:t>(MW)</w:t>
                  </w:r>
                </w:p>
              </w:tc>
              <w:tc>
                <w:tcPr>
                  <w:tcW w:w="1753" w:type="dxa"/>
                  <w:noWrap w:val="0"/>
                  <w:vAlign w:val="center"/>
                </w:tcPr>
                <w:p>
                  <w:pPr>
                    <w:jc w:val="center"/>
                    <w:rPr>
                      <w:b/>
                      <w:bCs/>
                      <w:color w:val="auto"/>
                      <w:szCs w:val="21"/>
                    </w:rPr>
                  </w:pPr>
                  <w:r>
                    <w:rPr>
                      <w:rFonts w:hint="eastAsia"/>
                      <w:b/>
                      <w:bCs/>
                      <w:color w:val="auto"/>
                      <w:szCs w:val="21"/>
                    </w:rPr>
                    <w:t>无功</w:t>
                  </w:r>
                  <w:r>
                    <w:rPr>
                      <w:b/>
                      <w:bCs/>
                      <w:color w:val="auto"/>
                      <w:szCs w:val="21"/>
                    </w:rPr>
                    <w:t>(MW)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225" w:type="dxa"/>
                  <w:noWrap w:val="0"/>
                  <w:vAlign w:val="center"/>
                </w:tcPr>
                <w:p>
                  <w:pPr>
                    <w:jc w:val="center"/>
                    <w:rPr>
                      <w:rFonts w:hint="eastAsia" w:eastAsia="宋体"/>
                      <w:i w:val="0"/>
                      <w:iCs w:val="0"/>
                      <w:color w:val="auto"/>
                      <w:kern w:val="2"/>
                      <w:sz w:val="20"/>
                      <w:szCs w:val="20"/>
                      <w:lang w:val="en-US" w:eastAsia="zh-CN" w:bidi="ar-SA"/>
                    </w:rPr>
                  </w:pPr>
                  <w:r>
                    <w:rPr>
                      <w:rFonts w:hint="eastAsia"/>
                      <w:i w:val="0"/>
                      <w:iCs w:val="0"/>
                      <w:color w:val="auto"/>
                      <w:sz w:val="20"/>
                      <w:szCs w:val="20"/>
                      <w:lang w:eastAsia="zh-CN"/>
                    </w:rPr>
                    <w:t>110kV蒿裕陈线-T陈线</w:t>
                  </w:r>
                </w:p>
              </w:tc>
              <w:tc>
                <w:tcPr>
                  <w:tcW w:w="1753" w:type="dxa"/>
                  <w:noWrap w:val="0"/>
                  <w:vAlign w:val="center"/>
                </w:tcPr>
                <w:p>
                  <w:pPr>
                    <w:jc w:val="center"/>
                    <w:rPr>
                      <w:rFonts w:hint="default" w:eastAsia="宋体"/>
                      <w:i w:val="0"/>
                      <w:iCs w:val="0"/>
                      <w:color w:val="auto"/>
                      <w:kern w:val="2"/>
                      <w:sz w:val="20"/>
                      <w:szCs w:val="20"/>
                      <w:lang w:val="en-US" w:eastAsia="zh-CN" w:bidi="ar-SA"/>
                    </w:rPr>
                  </w:pPr>
                  <w:r>
                    <w:rPr>
                      <w:rFonts w:hint="eastAsia"/>
                      <w:i w:val="0"/>
                      <w:iCs w:val="0"/>
                      <w:color w:val="auto"/>
                      <w:sz w:val="20"/>
                      <w:szCs w:val="20"/>
                      <w:lang w:val="en-US" w:eastAsia="zh-CN"/>
                    </w:rPr>
                    <w:t>115.88~116.14</w:t>
                  </w:r>
                </w:p>
              </w:tc>
              <w:tc>
                <w:tcPr>
                  <w:tcW w:w="1753" w:type="dxa"/>
                  <w:noWrap w:val="0"/>
                  <w:vAlign w:val="center"/>
                </w:tcPr>
                <w:p>
                  <w:pPr>
                    <w:jc w:val="center"/>
                    <w:rPr>
                      <w:rFonts w:hint="default" w:eastAsia="宋体"/>
                      <w:i w:val="0"/>
                      <w:iCs w:val="0"/>
                      <w:color w:val="auto"/>
                      <w:kern w:val="2"/>
                      <w:sz w:val="20"/>
                      <w:szCs w:val="20"/>
                      <w:lang w:val="en-US" w:eastAsia="zh-CN" w:bidi="ar-SA"/>
                    </w:rPr>
                  </w:pPr>
                  <w:r>
                    <w:rPr>
                      <w:rFonts w:hint="eastAsia"/>
                      <w:i w:val="0"/>
                      <w:iCs w:val="0"/>
                      <w:color w:val="auto"/>
                      <w:sz w:val="20"/>
                      <w:szCs w:val="20"/>
                      <w:lang w:val="en-US" w:eastAsia="zh-CN"/>
                    </w:rPr>
                    <w:t>35.96~36.42</w:t>
                  </w:r>
                </w:p>
              </w:tc>
              <w:tc>
                <w:tcPr>
                  <w:tcW w:w="1753" w:type="dxa"/>
                  <w:noWrap w:val="0"/>
                  <w:vAlign w:val="center"/>
                </w:tcPr>
                <w:p>
                  <w:pPr>
                    <w:jc w:val="center"/>
                    <w:rPr>
                      <w:rFonts w:hint="default" w:eastAsia="宋体"/>
                      <w:i w:val="0"/>
                      <w:iCs w:val="0"/>
                      <w:color w:val="auto"/>
                      <w:kern w:val="2"/>
                      <w:sz w:val="20"/>
                      <w:szCs w:val="20"/>
                      <w:lang w:val="en-US" w:eastAsia="zh-CN" w:bidi="ar-SA"/>
                    </w:rPr>
                  </w:pPr>
                  <w:r>
                    <w:rPr>
                      <w:rFonts w:hint="eastAsia"/>
                      <w:i w:val="0"/>
                      <w:iCs w:val="0"/>
                      <w:color w:val="auto"/>
                      <w:sz w:val="20"/>
                      <w:szCs w:val="20"/>
                      <w:lang w:val="en-US" w:eastAsia="zh-CN"/>
                    </w:rPr>
                    <w:t>-7.12~8.63</w:t>
                  </w:r>
                </w:p>
              </w:tc>
              <w:tc>
                <w:tcPr>
                  <w:tcW w:w="1753" w:type="dxa"/>
                  <w:noWrap w:val="0"/>
                  <w:vAlign w:val="center"/>
                </w:tcPr>
                <w:p>
                  <w:pPr>
                    <w:jc w:val="center"/>
                    <w:rPr>
                      <w:i w:val="0"/>
                      <w:iCs w:val="0"/>
                      <w:color w:val="auto"/>
                      <w:kern w:val="2"/>
                      <w:sz w:val="20"/>
                      <w:szCs w:val="20"/>
                      <w:lang w:val="en-US" w:eastAsia="zh-CN" w:bidi="ar-SA"/>
                    </w:rPr>
                  </w:pPr>
                  <w:r>
                    <w:rPr>
                      <w:rFonts w:hint="eastAsia"/>
                      <w:i w:val="0"/>
                      <w:iCs w:val="0"/>
                      <w:color w:val="auto"/>
                      <w:sz w:val="20"/>
                      <w:szCs w:val="20"/>
                      <w:lang w:val="en-US" w:eastAsia="zh-CN"/>
                    </w:rPr>
                    <w:t>1.23~3.14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225" w:type="dxa"/>
                  <w:noWrap w:val="0"/>
                  <w:vAlign w:val="center"/>
                </w:tcPr>
                <w:p>
                  <w:pPr>
                    <w:jc w:val="center"/>
                    <w:rPr>
                      <w:rFonts w:hint="eastAsia"/>
                      <w:i w:val="0"/>
                      <w:iCs w:val="0"/>
                      <w:color w:val="auto"/>
                      <w:sz w:val="20"/>
                      <w:szCs w:val="20"/>
                      <w:lang w:eastAsia="zh-CN"/>
                    </w:rPr>
                  </w:pPr>
                  <w:r>
                    <w:rPr>
                      <w:rFonts w:hint="eastAsia"/>
                      <w:i w:val="0"/>
                      <w:iCs w:val="0"/>
                      <w:color w:val="auto"/>
                      <w:sz w:val="20"/>
                      <w:szCs w:val="20"/>
                      <w:lang w:eastAsia="zh-CN"/>
                    </w:rPr>
                    <w:t>110kV巴东Ⅰ线线</w:t>
                  </w:r>
                </w:p>
              </w:tc>
              <w:tc>
                <w:tcPr>
                  <w:tcW w:w="1753" w:type="dxa"/>
                  <w:noWrap w:val="0"/>
                  <w:vAlign w:val="center"/>
                </w:tcPr>
                <w:p>
                  <w:pPr>
                    <w:jc w:val="center"/>
                    <w:rPr>
                      <w:rFonts w:hint="default"/>
                      <w:i w:val="0"/>
                      <w:iCs w:val="0"/>
                      <w:color w:val="auto"/>
                      <w:sz w:val="20"/>
                      <w:szCs w:val="20"/>
                      <w:lang w:val="en-US" w:eastAsia="zh-CN"/>
                    </w:rPr>
                  </w:pPr>
                  <w:r>
                    <w:rPr>
                      <w:rFonts w:hint="eastAsia"/>
                      <w:i w:val="0"/>
                      <w:iCs w:val="0"/>
                      <w:color w:val="auto"/>
                      <w:sz w:val="20"/>
                      <w:szCs w:val="20"/>
                      <w:lang w:val="en-US" w:eastAsia="zh-CN"/>
                    </w:rPr>
                    <w:t>113.75~115.53</w:t>
                  </w:r>
                </w:p>
              </w:tc>
              <w:tc>
                <w:tcPr>
                  <w:tcW w:w="1753" w:type="dxa"/>
                  <w:noWrap w:val="0"/>
                  <w:vAlign w:val="center"/>
                </w:tcPr>
                <w:p>
                  <w:pPr>
                    <w:jc w:val="center"/>
                    <w:rPr>
                      <w:rFonts w:hint="default"/>
                      <w:i w:val="0"/>
                      <w:iCs w:val="0"/>
                      <w:color w:val="auto"/>
                      <w:sz w:val="20"/>
                      <w:szCs w:val="20"/>
                      <w:lang w:val="en-US" w:eastAsia="zh-CN"/>
                    </w:rPr>
                  </w:pPr>
                  <w:r>
                    <w:rPr>
                      <w:rFonts w:hint="eastAsia"/>
                      <w:i w:val="0"/>
                      <w:iCs w:val="0"/>
                      <w:color w:val="auto"/>
                      <w:sz w:val="20"/>
                      <w:szCs w:val="20"/>
                      <w:lang w:val="en-US" w:eastAsia="zh-CN"/>
                    </w:rPr>
                    <w:t>26.14~29.47</w:t>
                  </w:r>
                </w:p>
              </w:tc>
              <w:tc>
                <w:tcPr>
                  <w:tcW w:w="1753" w:type="dxa"/>
                  <w:noWrap w:val="0"/>
                  <w:vAlign w:val="center"/>
                </w:tcPr>
                <w:p>
                  <w:pPr>
                    <w:jc w:val="center"/>
                    <w:rPr>
                      <w:rFonts w:hint="default"/>
                      <w:i w:val="0"/>
                      <w:iCs w:val="0"/>
                      <w:color w:val="auto"/>
                      <w:sz w:val="20"/>
                      <w:szCs w:val="20"/>
                      <w:lang w:val="en-US" w:eastAsia="zh-CN"/>
                    </w:rPr>
                  </w:pPr>
                  <w:r>
                    <w:rPr>
                      <w:rFonts w:hint="eastAsia"/>
                      <w:i w:val="0"/>
                      <w:iCs w:val="0"/>
                      <w:color w:val="auto"/>
                      <w:sz w:val="20"/>
                      <w:szCs w:val="20"/>
                      <w:lang w:val="en-US" w:eastAsia="zh-CN"/>
                    </w:rPr>
                    <w:t>0.55~2.32</w:t>
                  </w:r>
                </w:p>
              </w:tc>
              <w:tc>
                <w:tcPr>
                  <w:tcW w:w="1753" w:type="dxa"/>
                  <w:noWrap w:val="0"/>
                  <w:vAlign w:val="center"/>
                </w:tcPr>
                <w:p>
                  <w:pPr>
                    <w:jc w:val="center"/>
                    <w:rPr>
                      <w:rFonts w:hint="default"/>
                      <w:i w:val="0"/>
                      <w:iCs w:val="0"/>
                      <w:color w:val="auto"/>
                      <w:sz w:val="20"/>
                      <w:szCs w:val="20"/>
                      <w:lang w:val="en-US" w:eastAsia="zh-CN"/>
                    </w:rPr>
                  </w:pPr>
                  <w:r>
                    <w:rPr>
                      <w:rFonts w:hint="eastAsia"/>
                      <w:i w:val="0"/>
                      <w:iCs w:val="0"/>
                      <w:color w:val="auto"/>
                      <w:sz w:val="20"/>
                      <w:szCs w:val="20"/>
                      <w:lang w:val="en-US" w:eastAsia="zh-CN"/>
                    </w:rPr>
                    <w:t>-4.35~-3.62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225" w:type="dxa"/>
                  <w:noWrap w:val="0"/>
                  <w:vAlign w:val="center"/>
                </w:tcPr>
                <w:p>
                  <w:pPr>
                    <w:jc w:val="center"/>
                    <w:rPr>
                      <w:rFonts w:hint="eastAsia"/>
                      <w:i w:val="0"/>
                      <w:iCs w:val="0"/>
                      <w:color w:val="auto"/>
                      <w:sz w:val="20"/>
                      <w:szCs w:val="20"/>
                      <w:lang w:eastAsia="zh-CN"/>
                    </w:rPr>
                  </w:pPr>
                  <w:r>
                    <w:rPr>
                      <w:rFonts w:hint="eastAsia"/>
                      <w:i w:val="0"/>
                      <w:iCs w:val="0"/>
                      <w:color w:val="auto"/>
                      <w:sz w:val="20"/>
                      <w:szCs w:val="20"/>
                      <w:lang w:eastAsia="zh-CN"/>
                    </w:rPr>
                    <w:t>110kV巴东Ⅱ线</w:t>
                  </w:r>
                </w:p>
              </w:tc>
              <w:tc>
                <w:tcPr>
                  <w:tcW w:w="1753" w:type="dxa"/>
                  <w:noWrap w:val="0"/>
                  <w:vAlign w:val="center"/>
                </w:tcPr>
                <w:p>
                  <w:pPr>
                    <w:jc w:val="center"/>
                    <w:rPr>
                      <w:rFonts w:hint="default"/>
                      <w:i w:val="0"/>
                      <w:iCs w:val="0"/>
                      <w:color w:val="auto"/>
                      <w:sz w:val="20"/>
                      <w:szCs w:val="20"/>
                      <w:lang w:val="en-US" w:eastAsia="zh-CN"/>
                    </w:rPr>
                  </w:pPr>
                  <w:r>
                    <w:rPr>
                      <w:rFonts w:hint="eastAsia"/>
                      <w:i w:val="0"/>
                      <w:iCs w:val="0"/>
                      <w:color w:val="auto"/>
                      <w:sz w:val="20"/>
                      <w:szCs w:val="20"/>
                      <w:lang w:val="en-US" w:eastAsia="zh-CN"/>
                    </w:rPr>
                    <w:t>114.13~116.75</w:t>
                  </w:r>
                </w:p>
              </w:tc>
              <w:tc>
                <w:tcPr>
                  <w:tcW w:w="1753" w:type="dxa"/>
                  <w:noWrap w:val="0"/>
                  <w:vAlign w:val="center"/>
                </w:tcPr>
                <w:p>
                  <w:pPr>
                    <w:jc w:val="center"/>
                    <w:rPr>
                      <w:rFonts w:hint="default"/>
                      <w:i w:val="0"/>
                      <w:iCs w:val="0"/>
                      <w:color w:val="auto"/>
                      <w:sz w:val="20"/>
                      <w:szCs w:val="20"/>
                      <w:lang w:val="en-US" w:eastAsia="zh-CN"/>
                    </w:rPr>
                  </w:pPr>
                  <w:r>
                    <w:rPr>
                      <w:rFonts w:hint="eastAsia"/>
                      <w:i w:val="0"/>
                      <w:iCs w:val="0"/>
                      <w:color w:val="auto"/>
                      <w:sz w:val="20"/>
                      <w:szCs w:val="20"/>
                      <w:lang w:val="en-US" w:eastAsia="zh-CN"/>
                    </w:rPr>
                    <w:t>26.82~27.89</w:t>
                  </w:r>
                </w:p>
              </w:tc>
              <w:tc>
                <w:tcPr>
                  <w:tcW w:w="1753" w:type="dxa"/>
                  <w:noWrap w:val="0"/>
                  <w:vAlign w:val="center"/>
                </w:tcPr>
                <w:p>
                  <w:pPr>
                    <w:jc w:val="center"/>
                    <w:rPr>
                      <w:rFonts w:hint="default"/>
                      <w:i w:val="0"/>
                      <w:iCs w:val="0"/>
                      <w:color w:val="auto"/>
                      <w:sz w:val="20"/>
                      <w:szCs w:val="20"/>
                      <w:lang w:val="en-US" w:eastAsia="zh-CN"/>
                    </w:rPr>
                  </w:pPr>
                  <w:r>
                    <w:rPr>
                      <w:rFonts w:hint="eastAsia"/>
                      <w:i w:val="0"/>
                      <w:iCs w:val="0"/>
                      <w:color w:val="auto"/>
                      <w:sz w:val="20"/>
                      <w:szCs w:val="20"/>
                      <w:lang w:val="en-US" w:eastAsia="zh-CN"/>
                    </w:rPr>
                    <w:t>0.13~3.59</w:t>
                  </w:r>
                </w:p>
              </w:tc>
              <w:tc>
                <w:tcPr>
                  <w:tcW w:w="1753" w:type="dxa"/>
                  <w:noWrap w:val="0"/>
                  <w:vAlign w:val="center"/>
                </w:tcPr>
                <w:p>
                  <w:pPr>
                    <w:jc w:val="center"/>
                    <w:rPr>
                      <w:rFonts w:hint="default"/>
                      <w:i w:val="0"/>
                      <w:iCs w:val="0"/>
                      <w:color w:val="auto"/>
                      <w:sz w:val="20"/>
                      <w:szCs w:val="20"/>
                      <w:lang w:val="en-US" w:eastAsia="zh-CN"/>
                    </w:rPr>
                  </w:pPr>
                  <w:r>
                    <w:rPr>
                      <w:rFonts w:hint="eastAsia"/>
                      <w:i w:val="0"/>
                      <w:iCs w:val="0"/>
                      <w:color w:val="auto"/>
                      <w:sz w:val="20"/>
                      <w:szCs w:val="20"/>
                      <w:lang w:val="en-US" w:eastAsia="zh-CN"/>
                    </w:rPr>
                    <w:t>3.48~5.51</w:t>
                  </w:r>
                </w:p>
              </w:tc>
            </w:tr>
          </w:tbl>
          <w:p>
            <w:pPr>
              <w:adjustRightInd w:val="0"/>
              <w:snapToGrid w:val="0"/>
              <w:spacing w:before="120" w:beforeLines="50" w:line="360" w:lineRule="auto"/>
              <w:jc w:val="center"/>
              <w:rPr>
                <w:rFonts w:hint="eastAsia"/>
                <w:b/>
                <w:bCs/>
                <w:i w:val="0"/>
                <w:iCs w:val="0"/>
                <w:color w:val="auto"/>
                <w:sz w:val="24"/>
              </w:rPr>
            </w:pPr>
          </w:p>
          <w:p>
            <w:pPr>
              <w:adjustRightInd w:val="0"/>
              <w:snapToGrid w:val="0"/>
              <w:spacing w:before="120" w:beforeLines="50" w:line="360" w:lineRule="auto"/>
              <w:jc w:val="center"/>
              <w:rPr>
                <w:b/>
                <w:bCs/>
                <w:i w:val="0"/>
                <w:iCs w:val="0"/>
                <w:color w:val="auto"/>
                <w:sz w:val="24"/>
              </w:rPr>
            </w:pPr>
            <w:r>
              <w:rPr>
                <w:rFonts w:hint="eastAsia"/>
                <w:b/>
                <w:bCs/>
                <w:i w:val="0"/>
                <w:iCs w:val="0"/>
                <w:color w:val="auto"/>
                <w:sz w:val="24"/>
              </w:rPr>
              <w:t>表</w:t>
            </w:r>
            <w:r>
              <w:rPr>
                <w:b/>
                <w:bCs/>
                <w:i w:val="0"/>
                <w:iCs w:val="0"/>
                <w:color w:val="auto"/>
                <w:sz w:val="24"/>
              </w:rPr>
              <w:t>4-</w:t>
            </w:r>
            <w:r>
              <w:rPr>
                <w:rFonts w:hint="eastAsia"/>
                <w:b/>
                <w:bCs/>
                <w:i w:val="0"/>
                <w:iCs w:val="0"/>
                <w:color w:val="auto"/>
                <w:sz w:val="24"/>
                <w:lang w:val="en-US" w:eastAsia="zh-CN"/>
              </w:rPr>
              <w:t>11</w:t>
            </w:r>
            <w:r>
              <w:rPr>
                <w:b/>
                <w:bCs/>
                <w:i w:val="0"/>
                <w:iCs w:val="0"/>
                <w:color w:val="auto"/>
                <w:sz w:val="24"/>
              </w:rPr>
              <w:t xml:space="preserve">  </w:t>
            </w:r>
            <w:r>
              <w:rPr>
                <w:rFonts w:hint="eastAsia"/>
                <w:b/>
                <w:bCs/>
                <w:i w:val="0"/>
                <w:iCs w:val="0"/>
                <w:color w:val="auto"/>
                <w:sz w:val="24"/>
              </w:rPr>
              <w:t>110kV蒿裕陈线-T陈线噪声监测结果</w:t>
            </w:r>
          </w:p>
          <w:tbl>
            <w:tblPr>
              <w:tblStyle w:val="28"/>
              <w:tblW w:w="48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21"/>
              <w:gridCol w:w="2636"/>
              <w:gridCol w:w="23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vMerge w:val="restart"/>
                  <w:noWrap w:val="0"/>
                  <w:vAlign w:val="center"/>
                </w:tcPr>
                <w:p>
                  <w:pPr>
                    <w:pStyle w:val="98"/>
                    <w:spacing w:line="240" w:lineRule="auto"/>
                    <w:ind w:firstLine="0" w:firstLineChars="0"/>
                    <w:jc w:val="center"/>
                    <w:rPr>
                      <w:rFonts w:ascii="Times New Roman" w:hAnsi="Times New Roman" w:cs="Times New Roman"/>
                      <w:b/>
                      <w:bCs/>
                      <w:i w:val="0"/>
                      <w:iCs w:val="0"/>
                      <w:color w:val="auto"/>
                      <w:sz w:val="21"/>
                      <w:szCs w:val="21"/>
                    </w:rPr>
                  </w:pPr>
                  <w:r>
                    <w:rPr>
                      <w:rFonts w:hint="eastAsia" w:ascii="Times New Roman" w:hAnsi="Times New Roman" w:cs="Times New Roman"/>
                      <w:b/>
                      <w:bCs/>
                      <w:i w:val="0"/>
                      <w:iCs w:val="0"/>
                      <w:color w:val="auto"/>
                      <w:sz w:val="21"/>
                      <w:szCs w:val="21"/>
                    </w:rPr>
                    <w:t>与线路距离</w:t>
                  </w:r>
                </w:p>
              </w:tc>
              <w:tc>
                <w:tcPr>
                  <w:tcW w:w="2788" w:type="dxa"/>
                  <w:noWrap w:val="0"/>
                  <w:vAlign w:val="center"/>
                </w:tcPr>
                <w:p>
                  <w:pPr>
                    <w:pStyle w:val="98"/>
                    <w:spacing w:line="240" w:lineRule="auto"/>
                    <w:ind w:firstLine="0" w:firstLineChars="0"/>
                    <w:jc w:val="center"/>
                    <w:rPr>
                      <w:rFonts w:ascii="Times New Roman" w:hAnsi="Times New Roman" w:cs="Times New Roman"/>
                      <w:b/>
                      <w:bCs/>
                      <w:i w:val="0"/>
                      <w:iCs w:val="0"/>
                      <w:color w:val="auto"/>
                      <w:sz w:val="21"/>
                      <w:szCs w:val="21"/>
                    </w:rPr>
                  </w:pPr>
                  <w:r>
                    <w:rPr>
                      <w:rFonts w:hint="eastAsia" w:ascii="Times New Roman" w:hAnsi="Times New Roman" w:cs="Times New Roman"/>
                      <w:b/>
                      <w:bCs/>
                      <w:i w:val="0"/>
                      <w:iCs w:val="0"/>
                      <w:color w:val="auto"/>
                      <w:sz w:val="21"/>
                      <w:szCs w:val="21"/>
                    </w:rPr>
                    <w:t>昼间</w:t>
                  </w:r>
                </w:p>
              </w:tc>
              <w:tc>
                <w:tcPr>
                  <w:tcW w:w="2517" w:type="dxa"/>
                  <w:noWrap w:val="0"/>
                  <w:vAlign w:val="center"/>
                </w:tcPr>
                <w:p>
                  <w:pPr>
                    <w:pStyle w:val="98"/>
                    <w:spacing w:line="240" w:lineRule="auto"/>
                    <w:ind w:firstLine="0" w:firstLineChars="0"/>
                    <w:jc w:val="center"/>
                    <w:rPr>
                      <w:rFonts w:ascii="Times New Roman" w:hAnsi="Times New Roman" w:cs="Times New Roman"/>
                      <w:b/>
                      <w:bCs/>
                      <w:i w:val="0"/>
                      <w:iCs w:val="0"/>
                      <w:color w:val="auto"/>
                      <w:sz w:val="21"/>
                      <w:szCs w:val="21"/>
                    </w:rPr>
                  </w:pPr>
                  <w:r>
                    <w:rPr>
                      <w:rFonts w:hint="eastAsia" w:ascii="Times New Roman" w:hAnsi="Times New Roman" w:cs="Times New Roman"/>
                      <w:b/>
                      <w:bCs/>
                      <w:i w:val="0"/>
                      <w:iCs w:val="0"/>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vMerge w:val="continue"/>
                  <w:noWrap w:val="0"/>
                  <w:vAlign w:val="center"/>
                </w:tcPr>
                <w:p>
                  <w:pPr>
                    <w:widowControl/>
                    <w:jc w:val="left"/>
                    <w:rPr>
                      <w:b/>
                      <w:bCs/>
                      <w:i w:val="0"/>
                      <w:iCs w:val="0"/>
                      <w:color w:val="auto"/>
                      <w:sz w:val="21"/>
                      <w:szCs w:val="21"/>
                    </w:rPr>
                  </w:pPr>
                </w:p>
              </w:tc>
              <w:tc>
                <w:tcPr>
                  <w:tcW w:w="2788" w:type="dxa"/>
                  <w:noWrap w:val="0"/>
                  <w:vAlign w:val="center"/>
                </w:tcPr>
                <w:p>
                  <w:pPr>
                    <w:pStyle w:val="98"/>
                    <w:spacing w:line="240" w:lineRule="auto"/>
                    <w:ind w:firstLine="0" w:firstLineChars="0"/>
                    <w:jc w:val="center"/>
                    <w:rPr>
                      <w:rFonts w:ascii="Times New Roman" w:hAnsi="Times New Roman" w:cs="Times New Roman"/>
                      <w:b/>
                      <w:bCs/>
                      <w:i w:val="0"/>
                      <w:iCs w:val="0"/>
                      <w:color w:val="auto"/>
                      <w:sz w:val="21"/>
                      <w:szCs w:val="21"/>
                    </w:rPr>
                  </w:pPr>
                  <w:r>
                    <w:rPr>
                      <w:rFonts w:ascii="Times New Roman" w:hAnsi="Times New Roman" w:cs="Times New Roman"/>
                      <w:b/>
                      <w:bCs/>
                      <w:i w:val="0"/>
                      <w:iCs w:val="0"/>
                      <w:color w:val="auto"/>
                      <w:sz w:val="21"/>
                      <w:szCs w:val="21"/>
                    </w:rPr>
                    <w:t>Leq dB(A)</w:t>
                  </w:r>
                </w:p>
              </w:tc>
              <w:tc>
                <w:tcPr>
                  <w:tcW w:w="2517" w:type="dxa"/>
                  <w:noWrap w:val="0"/>
                  <w:vAlign w:val="center"/>
                </w:tcPr>
                <w:p>
                  <w:pPr>
                    <w:pStyle w:val="98"/>
                    <w:spacing w:line="240" w:lineRule="auto"/>
                    <w:ind w:firstLine="0" w:firstLineChars="0"/>
                    <w:jc w:val="center"/>
                    <w:rPr>
                      <w:rFonts w:ascii="Times New Roman" w:hAnsi="Times New Roman" w:cs="Times New Roman"/>
                      <w:b/>
                      <w:bCs/>
                      <w:i w:val="0"/>
                      <w:iCs w:val="0"/>
                      <w:color w:val="auto"/>
                      <w:sz w:val="21"/>
                      <w:szCs w:val="21"/>
                    </w:rPr>
                  </w:pPr>
                  <w:r>
                    <w:rPr>
                      <w:rFonts w:ascii="Times New Roman" w:hAnsi="Times New Roman" w:cs="Times New Roman"/>
                      <w:b/>
                      <w:bCs/>
                      <w:i w:val="0"/>
                      <w:iCs w:val="0"/>
                      <w:color w:val="auto"/>
                      <w:sz w:val="21"/>
                      <w:szCs w:val="21"/>
                    </w:rPr>
                    <w:t>Leq 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lang w:eastAsia="zh-CN"/>
                    </w:rPr>
                    <w:t>距线路中心</w:t>
                  </w:r>
                  <w:r>
                    <w:rPr>
                      <w:rFonts w:ascii="Times New Roman" w:hAnsi="Times New Roman" w:cs="Times New Roman"/>
                      <w:i w:val="0"/>
                      <w:iCs w:val="0"/>
                      <w:color w:val="auto"/>
                      <w:sz w:val="21"/>
                      <w:szCs w:val="21"/>
                    </w:rPr>
                    <w:t>0m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42.8</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hint="eastAsia" w:ascii="Times New Roman" w:hAnsi="Times New Roman" w:cs="Times New Roman"/>
                      <w:i w:val="0"/>
                      <w:iCs w:val="0"/>
                      <w:color w:val="auto"/>
                      <w:sz w:val="21"/>
                      <w:szCs w:val="21"/>
                      <w:lang w:eastAsia="zh-CN"/>
                    </w:rPr>
                  </w:pPr>
                  <w:r>
                    <w:rPr>
                      <w:rFonts w:hint="eastAsia" w:ascii="Times New Roman" w:hAnsi="Times New Roman" w:cs="Times New Roman"/>
                      <w:i w:val="0"/>
                      <w:iCs w:val="0"/>
                      <w:color w:val="auto"/>
                      <w:sz w:val="21"/>
                      <w:szCs w:val="21"/>
                      <w:lang w:eastAsia="zh-CN"/>
                    </w:rPr>
                    <w:t>距线路中心</w:t>
                  </w:r>
                  <w:r>
                    <w:rPr>
                      <w:rFonts w:hint="eastAsia" w:ascii="Times New Roman" w:hAnsi="Times New Roman" w:cs="Times New Roman"/>
                      <w:i w:val="0"/>
                      <w:iCs w:val="0"/>
                      <w:color w:val="auto"/>
                      <w:sz w:val="21"/>
                      <w:szCs w:val="21"/>
                      <w:lang w:val="en-US" w:eastAsia="zh-CN"/>
                    </w:rPr>
                    <w:t>1</w:t>
                  </w:r>
                  <w:r>
                    <w:rPr>
                      <w:rFonts w:ascii="Times New Roman" w:hAnsi="Times New Roman" w:cs="Times New Roman"/>
                      <w:i w:val="0"/>
                      <w:iCs w:val="0"/>
                      <w:color w:val="auto"/>
                      <w:sz w:val="21"/>
                      <w:szCs w:val="21"/>
                    </w:rPr>
                    <w:t>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42.9</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hint="eastAsia" w:ascii="Times New Roman" w:hAnsi="Times New Roman" w:cs="Times New Roman"/>
                      <w:i w:val="0"/>
                      <w:iCs w:val="0"/>
                      <w:color w:val="auto"/>
                      <w:sz w:val="21"/>
                      <w:szCs w:val="21"/>
                      <w:lang w:eastAsia="zh-CN"/>
                    </w:rPr>
                  </w:pPr>
                  <w:r>
                    <w:rPr>
                      <w:rFonts w:hint="eastAsia" w:ascii="Times New Roman" w:hAnsi="Times New Roman" w:cs="Times New Roman"/>
                      <w:i w:val="0"/>
                      <w:iCs w:val="0"/>
                      <w:color w:val="auto"/>
                      <w:sz w:val="21"/>
                      <w:szCs w:val="21"/>
                      <w:lang w:eastAsia="zh-CN"/>
                    </w:rPr>
                    <w:t>距线路中心</w:t>
                  </w:r>
                  <w:r>
                    <w:rPr>
                      <w:rFonts w:hint="eastAsia" w:ascii="Times New Roman" w:hAnsi="Times New Roman" w:cs="Times New Roman"/>
                      <w:i w:val="0"/>
                      <w:iCs w:val="0"/>
                      <w:color w:val="auto"/>
                      <w:sz w:val="21"/>
                      <w:szCs w:val="21"/>
                      <w:lang w:val="en-US" w:eastAsia="zh-CN"/>
                    </w:rPr>
                    <w:t>2</w:t>
                  </w:r>
                  <w:r>
                    <w:rPr>
                      <w:rFonts w:ascii="Times New Roman" w:hAnsi="Times New Roman" w:cs="Times New Roman"/>
                      <w:i w:val="0"/>
                      <w:iCs w:val="0"/>
                      <w:color w:val="auto"/>
                      <w:sz w:val="21"/>
                      <w:szCs w:val="21"/>
                    </w:rPr>
                    <w:t>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43.6</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hint="eastAsia" w:ascii="Times New Roman" w:hAnsi="Times New Roman" w:eastAsia="宋体" w:cs="Times New Roman"/>
                      <w:i w:val="0"/>
                      <w:iCs w:val="0"/>
                      <w:color w:val="auto"/>
                      <w:sz w:val="21"/>
                      <w:szCs w:val="21"/>
                      <w:lang w:eastAsia="zh-CN"/>
                    </w:rPr>
                  </w:pPr>
                  <w:r>
                    <w:rPr>
                      <w:rFonts w:hint="eastAsia" w:ascii="Times New Roman" w:hAnsi="Times New Roman" w:cs="Times New Roman"/>
                      <w:i w:val="0"/>
                      <w:iCs w:val="0"/>
                      <w:color w:val="auto"/>
                      <w:sz w:val="21"/>
                      <w:szCs w:val="21"/>
                      <w:lang w:eastAsia="zh-CN"/>
                    </w:rPr>
                    <w:t>距线路中心</w:t>
                  </w:r>
                  <w:r>
                    <w:rPr>
                      <w:rFonts w:hint="eastAsia" w:ascii="Times New Roman" w:hAnsi="Times New Roman" w:cs="Times New Roman"/>
                      <w:i w:val="0"/>
                      <w:iCs w:val="0"/>
                      <w:color w:val="auto"/>
                      <w:sz w:val="21"/>
                      <w:szCs w:val="21"/>
                      <w:lang w:val="en-US" w:eastAsia="zh-CN"/>
                    </w:rPr>
                    <w:t>3</w:t>
                  </w:r>
                  <w:r>
                    <w:rPr>
                      <w:rFonts w:ascii="Times New Roman" w:hAnsi="Times New Roman" w:cs="Times New Roman"/>
                      <w:i w:val="0"/>
                      <w:iCs w:val="0"/>
                      <w:color w:val="auto"/>
                      <w:sz w:val="21"/>
                      <w:szCs w:val="21"/>
                    </w:rPr>
                    <w:t>m</w:t>
                  </w:r>
                  <w:r>
                    <w:rPr>
                      <w:rFonts w:hint="eastAsia" w:ascii="Times New Roman" w:hAnsi="Times New Roman" w:cs="Times New Roman"/>
                      <w:i w:val="0"/>
                      <w:iCs w:val="0"/>
                      <w:color w:val="auto"/>
                      <w:sz w:val="21"/>
                      <w:szCs w:val="21"/>
                      <w:lang w:eastAsia="zh-CN"/>
                    </w:rPr>
                    <w:t>（边导线下）</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42.7</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39.5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lang w:eastAsia="zh-CN"/>
                    </w:rPr>
                    <w:t>距边导线</w:t>
                  </w:r>
                  <w:r>
                    <w:rPr>
                      <w:rFonts w:ascii="Times New Roman" w:hAnsi="Times New Roman" w:cs="Times New Roman"/>
                      <w:i w:val="0"/>
                      <w:iCs w:val="0"/>
                      <w:color w:val="auto"/>
                      <w:sz w:val="21"/>
                      <w:szCs w:val="21"/>
                    </w:rPr>
                    <w:t>5m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43.1</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lang w:eastAsia="zh-CN"/>
                    </w:rPr>
                    <w:t>距边导线</w:t>
                  </w:r>
                  <w:r>
                    <w:rPr>
                      <w:rFonts w:ascii="Times New Roman" w:hAnsi="Times New Roman" w:cs="Times New Roman"/>
                      <w:i w:val="0"/>
                      <w:iCs w:val="0"/>
                      <w:color w:val="auto"/>
                      <w:sz w:val="21"/>
                      <w:szCs w:val="21"/>
                    </w:rPr>
                    <w:t>10m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43.6</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lang w:eastAsia="zh-CN"/>
                    </w:rPr>
                    <w:t>距边导线</w:t>
                  </w:r>
                  <w:r>
                    <w:rPr>
                      <w:rFonts w:ascii="Times New Roman" w:hAnsi="Times New Roman" w:cs="Times New Roman"/>
                      <w:i w:val="0"/>
                      <w:iCs w:val="0"/>
                      <w:color w:val="auto"/>
                      <w:sz w:val="21"/>
                      <w:szCs w:val="21"/>
                    </w:rPr>
                    <w:t>15m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43.2</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lang w:eastAsia="zh-CN"/>
                    </w:rPr>
                    <w:t>距边导线</w:t>
                  </w:r>
                  <w:r>
                    <w:rPr>
                      <w:rFonts w:ascii="Times New Roman" w:hAnsi="Times New Roman" w:cs="Times New Roman"/>
                      <w:i w:val="0"/>
                      <w:iCs w:val="0"/>
                      <w:color w:val="auto"/>
                      <w:sz w:val="21"/>
                      <w:szCs w:val="21"/>
                    </w:rPr>
                    <w:t>20m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42.8</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lang w:eastAsia="zh-CN"/>
                    </w:rPr>
                    <w:t>距边导线</w:t>
                  </w:r>
                  <w:r>
                    <w:rPr>
                      <w:rFonts w:ascii="Times New Roman" w:hAnsi="Times New Roman" w:cs="Times New Roman"/>
                      <w:i w:val="0"/>
                      <w:iCs w:val="0"/>
                      <w:color w:val="auto"/>
                      <w:sz w:val="21"/>
                      <w:szCs w:val="21"/>
                    </w:rPr>
                    <w:t>25m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43.1</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39.9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lang w:eastAsia="zh-CN"/>
                    </w:rPr>
                    <w:t>距边导线</w:t>
                  </w:r>
                  <w:r>
                    <w:rPr>
                      <w:rFonts w:ascii="Times New Roman" w:hAnsi="Times New Roman" w:cs="Times New Roman"/>
                      <w:i w:val="0"/>
                      <w:iCs w:val="0"/>
                      <w:color w:val="auto"/>
                      <w:sz w:val="21"/>
                      <w:szCs w:val="21"/>
                    </w:rPr>
                    <w:t>30m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42.9</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39.7</w:t>
                  </w:r>
                </w:p>
              </w:tc>
            </w:tr>
          </w:tbl>
          <w:p>
            <w:pPr>
              <w:adjustRightInd w:val="0"/>
              <w:snapToGrid w:val="0"/>
              <w:spacing w:before="120" w:beforeLines="50" w:line="360" w:lineRule="auto"/>
              <w:jc w:val="center"/>
              <w:rPr>
                <w:b/>
                <w:bCs/>
                <w:i w:val="0"/>
                <w:iCs w:val="0"/>
                <w:color w:val="auto"/>
                <w:sz w:val="24"/>
              </w:rPr>
            </w:pPr>
            <w:r>
              <w:rPr>
                <w:rFonts w:hint="eastAsia"/>
                <w:b/>
                <w:bCs/>
                <w:i w:val="0"/>
                <w:iCs w:val="0"/>
                <w:color w:val="auto"/>
                <w:sz w:val="24"/>
              </w:rPr>
              <w:t>表</w:t>
            </w:r>
            <w:r>
              <w:rPr>
                <w:b/>
                <w:bCs/>
                <w:i w:val="0"/>
                <w:iCs w:val="0"/>
                <w:color w:val="auto"/>
                <w:sz w:val="24"/>
              </w:rPr>
              <w:t>4-</w:t>
            </w:r>
            <w:r>
              <w:rPr>
                <w:rFonts w:hint="eastAsia"/>
                <w:b/>
                <w:bCs/>
                <w:i w:val="0"/>
                <w:iCs w:val="0"/>
                <w:color w:val="auto"/>
                <w:sz w:val="24"/>
                <w:lang w:val="en-US" w:eastAsia="zh-CN"/>
              </w:rPr>
              <w:t>12</w:t>
            </w:r>
            <w:r>
              <w:rPr>
                <w:b/>
                <w:bCs/>
                <w:i w:val="0"/>
                <w:iCs w:val="0"/>
                <w:color w:val="auto"/>
                <w:sz w:val="24"/>
              </w:rPr>
              <w:t xml:space="preserve">  </w:t>
            </w:r>
            <w:r>
              <w:rPr>
                <w:rFonts w:hint="eastAsia"/>
                <w:b/>
                <w:bCs/>
                <w:i w:val="0"/>
                <w:iCs w:val="0"/>
                <w:color w:val="auto"/>
                <w:sz w:val="24"/>
              </w:rPr>
              <w:t>110kV巴东Ⅰ线、Ⅱ线噪声监测结果</w:t>
            </w:r>
          </w:p>
          <w:tbl>
            <w:tblPr>
              <w:tblStyle w:val="28"/>
              <w:tblW w:w="48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21"/>
              <w:gridCol w:w="2636"/>
              <w:gridCol w:w="23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vMerge w:val="restart"/>
                  <w:noWrap w:val="0"/>
                  <w:vAlign w:val="center"/>
                </w:tcPr>
                <w:p>
                  <w:pPr>
                    <w:pStyle w:val="98"/>
                    <w:spacing w:line="240" w:lineRule="auto"/>
                    <w:ind w:firstLine="0" w:firstLineChars="0"/>
                    <w:jc w:val="center"/>
                    <w:rPr>
                      <w:rFonts w:ascii="Times New Roman" w:hAnsi="Times New Roman" w:cs="Times New Roman"/>
                      <w:b/>
                      <w:bCs/>
                      <w:i w:val="0"/>
                      <w:iCs w:val="0"/>
                      <w:color w:val="auto"/>
                      <w:sz w:val="21"/>
                      <w:szCs w:val="21"/>
                    </w:rPr>
                  </w:pPr>
                  <w:r>
                    <w:rPr>
                      <w:rFonts w:hint="eastAsia" w:ascii="Times New Roman" w:hAnsi="Times New Roman" w:cs="Times New Roman"/>
                      <w:b/>
                      <w:bCs/>
                      <w:i w:val="0"/>
                      <w:iCs w:val="0"/>
                      <w:color w:val="auto"/>
                      <w:sz w:val="21"/>
                      <w:szCs w:val="21"/>
                    </w:rPr>
                    <w:t>与线路距离</w:t>
                  </w:r>
                </w:p>
              </w:tc>
              <w:tc>
                <w:tcPr>
                  <w:tcW w:w="2788" w:type="dxa"/>
                  <w:noWrap w:val="0"/>
                  <w:vAlign w:val="center"/>
                </w:tcPr>
                <w:p>
                  <w:pPr>
                    <w:pStyle w:val="98"/>
                    <w:spacing w:line="240" w:lineRule="auto"/>
                    <w:ind w:firstLine="0" w:firstLineChars="0"/>
                    <w:jc w:val="center"/>
                    <w:rPr>
                      <w:rFonts w:ascii="Times New Roman" w:hAnsi="Times New Roman" w:cs="Times New Roman"/>
                      <w:b/>
                      <w:bCs/>
                      <w:i w:val="0"/>
                      <w:iCs w:val="0"/>
                      <w:color w:val="auto"/>
                      <w:sz w:val="21"/>
                      <w:szCs w:val="21"/>
                    </w:rPr>
                  </w:pPr>
                  <w:r>
                    <w:rPr>
                      <w:rFonts w:hint="eastAsia" w:ascii="Times New Roman" w:hAnsi="Times New Roman" w:cs="Times New Roman"/>
                      <w:b/>
                      <w:bCs/>
                      <w:i w:val="0"/>
                      <w:iCs w:val="0"/>
                      <w:color w:val="auto"/>
                      <w:sz w:val="21"/>
                      <w:szCs w:val="21"/>
                    </w:rPr>
                    <w:t>昼间</w:t>
                  </w:r>
                </w:p>
              </w:tc>
              <w:tc>
                <w:tcPr>
                  <w:tcW w:w="2517" w:type="dxa"/>
                  <w:noWrap w:val="0"/>
                  <w:vAlign w:val="center"/>
                </w:tcPr>
                <w:p>
                  <w:pPr>
                    <w:pStyle w:val="98"/>
                    <w:spacing w:line="240" w:lineRule="auto"/>
                    <w:ind w:firstLine="0" w:firstLineChars="0"/>
                    <w:jc w:val="center"/>
                    <w:rPr>
                      <w:rFonts w:ascii="Times New Roman" w:hAnsi="Times New Roman" w:cs="Times New Roman"/>
                      <w:b/>
                      <w:bCs/>
                      <w:i w:val="0"/>
                      <w:iCs w:val="0"/>
                      <w:color w:val="auto"/>
                      <w:sz w:val="21"/>
                      <w:szCs w:val="21"/>
                    </w:rPr>
                  </w:pPr>
                  <w:r>
                    <w:rPr>
                      <w:rFonts w:hint="eastAsia" w:ascii="Times New Roman" w:hAnsi="Times New Roman" w:cs="Times New Roman"/>
                      <w:b/>
                      <w:bCs/>
                      <w:i w:val="0"/>
                      <w:iCs w:val="0"/>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vMerge w:val="continue"/>
                  <w:noWrap w:val="0"/>
                  <w:vAlign w:val="center"/>
                </w:tcPr>
                <w:p>
                  <w:pPr>
                    <w:widowControl/>
                    <w:jc w:val="left"/>
                    <w:rPr>
                      <w:b/>
                      <w:bCs/>
                      <w:i w:val="0"/>
                      <w:iCs w:val="0"/>
                      <w:color w:val="auto"/>
                      <w:sz w:val="21"/>
                      <w:szCs w:val="21"/>
                    </w:rPr>
                  </w:pPr>
                </w:p>
              </w:tc>
              <w:tc>
                <w:tcPr>
                  <w:tcW w:w="2788" w:type="dxa"/>
                  <w:noWrap w:val="0"/>
                  <w:vAlign w:val="center"/>
                </w:tcPr>
                <w:p>
                  <w:pPr>
                    <w:pStyle w:val="98"/>
                    <w:spacing w:line="240" w:lineRule="auto"/>
                    <w:ind w:firstLine="0" w:firstLineChars="0"/>
                    <w:jc w:val="center"/>
                    <w:rPr>
                      <w:rFonts w:ascii="Times New Roman" w:hAnsi="Times New Roman" w:cs="Times New Roman"/>
                      <w:b/>
                      <w:bCs/>
                      <w:i w:val="0"/>
                      <w:iCs w:val="0"/>
                      <w:color w:val="auto"/>
                      <w:sz w:val="21"/>
                      <w:szCs w:val="21"/>
                    </w:rPr>
                  </w:pPr>
                  <w:r>
                    <w:rPr>
                      <w:rFonts w:ascii="Times New Roman" w:hAnsi="Times New Roman" w:cs="Times New Roman"/>
                      <w:b/>
                      <w:bCs/>
                      <w:i w:val="0"/>
                      <w:iCs w:val="0"/>
                      <w:color w:val="auto"/>
                      <w:sz w:val="21"/>
                      <w:szCs w:val="21"/>
                    </w:rPr>
                    <w:t>Leq dB(A)</w:t>
                  </w:r>
                </w:p>
              </w:tc>
              <w:tc>
                <w:tcPr>
                  <w:tcW w:w="2517" w:type="dxa"/>
                  <w:noWrap w:val="0"/>
                  <w:vAlign w:val="center"/>
                </w:tcPr>
                <w:p>
                  <w:pPr>
                    <w:pStyle w:val="98"/>
                    <w:spacing w:line="240" w:lineRule="auto"/>
                    <w:ind w:firstLine="0" w:firstLineChars="0"/>
                    <w:jc w:val="center"/>
                    <w:rPr>
                      <w:rFonts w:ascii="Times New Roman" w:hAnsi="Times New Roman" w:cs="Times New Roman"/>
                      <w:b/>
                      <w:bCs/>
                      <w:i w:val="0"/>
                      <w:iCs w:val="0"/>
                      <w:color w:val="auto"/>
                      <w:sz w:val="21"/>
                      <w:szCs w:val="21"/>
                    </w:rPr>
                  </w:pPr>
                  <w:r>
                    <w:rPr>
                      <w:rFonts w:ascii="Times New Roman" w:hAnsi="Times New Roman" w:cs="Times New Roman"/>
                      <w:b/>
                      <w:bCs/>
                      <w:i w:val="0"/>
                      <w:iCs w:val="0"/>
                      <w:color w:val="auto"/>
                      <w:sz w:val="21"/>
                      <w:szCs w:val="21"/>
                    </w:rPr>
                    <w:t>Leq 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lang w:eastAsia="zh-CN"/>
                    </w:rPr>
                    <w:t>距线路中心</w:t>
                  </w:r>
                  <w:r>
                    <w:rPr>
                      <w:rFonts w:ascii="Times New Roman" w:hAnsi="Times New Roman" w:cs="Times New Roman"/>
                      <w:i w:val="0"/>
                      <w:iCs w:val="0"/>
                      <w:color w:val="auto"/>
                      <w:sz w:val="21"/>
                      <w:szCs w:val="21"/>
                    </w:rPr>
                    <w:t>0m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44.7</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hint="eastAsia" w:ascii="Times New Roman" w:hAnsi="Times New Roman" w:cs="Times New Roman"/>
                      <w:i w:val="0"/>
                      <w:iCs w:val="0"/>
                      <w:color w:val="auto"/>
                      <w:sz w:val="21"/>
                      <w:szCs w:val="21"/>
                      <w:lang w:eastAsia="zh-CN"/>
                    </w:rPr>
                  </w:pPr>
                  <w:r>
                    <w:rPr>
                      <w:rFonts w:hint="eastAsia" w:ascii="Times New Roman" w:hAnsi="Times New Roman" w:cs="Times New Roman"/>
                      <w:i w:val="0"/>
                      <w:iCs w:val="0"/>
                      <w:color w:val="auto"/>
                      <w:sz w:val="21"/>
                      <w:szCs w:val="21"/>
                      <w:lang w:eastAsia="zh-CN"/>
                    </w:rPr>
                    <w:t>距线路中心</w:t>
                  </w:r>
                  <w:r>
                    <w:rPr>
                      <w:rFonts w:hint="eastAsia" w:ascii="Times New Roman" w:hAnsi="Times New Roman" w:cs="Times New Roman"/>
                      <w:i w:val="0"/>
                      <w:iCs w:val="0"/>
                      <w:color w:val="auto"/>
                      <w:sz w:val="21"/>
                      <w:szCs w:val="21"/>
                      <w:lang w:val="en-US" w:eastAsia="zh-CN"/>
                    </w:rPr>
                    <w:t>1</w:t>
                  </w:r>
                  <w:r>
                    <w:rPr>
                      <w:rFonts w:ascii="Times New Roman" w:hAnsi="Times New Roman" w:cs="Times New Roman"/>
                      <w:i w:val="0"/>
                      <w:iCs w:val="0"/>
                      <w:color w:val="auto"/>
                      <w:sz w:val="21"/>
                      <w:szCs w:val="21"/>
                    </w:rPr>
                    <w:t>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44.9</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hint="eastAsia" w:ascii="Times New Roman" w:hAnsi="Times New Roman" w:cs="Times New Roman"/>
                      <w:i w:val="0"/>
                      <w:iCs w:val="0"/>
                      <w:color w:val="auto"/>
                      <w:sz w:val="21"/>
                      <w:szCs w:val="21"/>
                      <w:lang w:eastAsia="zh-CN"/>
                    </w:rPr>
                  </w:pPr>
                  <w:r>
                    <w:rPr>
                      <w:rFonts w:hint="eastAsia" w:ascii="Times New Roman" w:hAnsi="Times New Roman" w:cs="Times New Roman"/>
                      <w:i w:val="0"/>
                      <w:iCs w:val="0"/>
                      <w:color w:val="auto"/>
                      <w:sz w:val="21"/>
                      <w:szCs w:val="21"/>
                      <w:lang w:eastAsia="zh-CN"/>
                    </w:rPr>
                    <w:t>距线路中心</w:t>
                  </w:r>
                  <w:r>
                    <w:rPr>
                      <w:rFonts w:hint="eastAsia" w:ascii="Times New Roman" w:hAnsi="Times New Roman" w:cs="Times New Roman"/>
                      <w:i w:val="0"/>
                      <w:iCs w:val="0"/>
                      <w:color w:val="auto"/>
                      <w:sz w:val="21"/>
                      <w:szCs w:val="21"/>
                      <w:lang w:val="en-US" w:eastAsia="zh-CN"/>
                    </w:rPr>
                    <w:t>2</w:t>
                  </w:r>
                  <w:r>
                    <w:rPr>
                      <w:rFonts w:ascii="Times New Roman" w:hAnsi="Times New Roman" w:cs="Times New Roman"/>
                      <w:i w:val="0"/>
                      <w:iCs w:val="0"/>
                      <w:color w:val="auto"/>
                      <w:sz w:val="21"/>
                      <w:szCs w:val="21"/>
                    </w:rPr>
                    <w:t>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44.3</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hint="eastAsia" w:ascii="Times New Roman" w:hAnsi="Times New Roman" w:cs="Times New Roman"/>
                      <w:i w:val="0"/>
                      <w:iCs w:val="0"/>
                      <w:color w:val="auto"/>
                      <w:sz w:val="21"/>
                      <w:szCs w:val="21"/>
                      <w:lang w:eastAsia="zh-CN"/>
                    </w:rPr>
                  </w:pPr>
                  <w:r>
                    <w:rPr>
                      <w:rFonts w:hint="eastAsia" w:ascii="Times New Roman" w:hAnsi="Times New Roman" w:cs="Times New Roman"/>
                      <w:i w:val="0"/>
                      <w:iCs w:val="0"/>
                      <w:color w:val="auto"/>
                      <w:sz w:val="21"/>
                      <w:szCs w:val="21"/>
                      <w:lang w:eastAsia="zh-CN"/>
                    </w:rPr>
                    <w:t>距线路中心</w:t>
                  </w:r>
                  <w:r>
                    <w:rPr>
                      <w:rFonts w:hint="eastAsia" w:ascii="Times New Roman" w:hAnsi="Times New Roman" w:cs="Times New Roman"/>
                      <w:i w:val="0"/>
                      <w:iCs w:val="0"/>
                      <w:color w:val="auto"/>
                      <w:sz w:val="21"/>
                      <w:szCs w:val="21"/>
                      <w:lang w:val="en-US" w:eastAsia="zh-CN"/>
                    </w:rPr>
                    <w:t>3</w:t>
                  </w:r>
                  <w:r>
                    <w:rPr>
                      <w:rFonts w:ascii="Times New Roman" w:hAnsi="Times New Roman" w:cs="Times New Roman"/>
                      <w:i w:val="0"/>
                      <w:iCs w:val="0"/>
                      <w:color w:val="auto"/>
                      <w:sz w:val="21"/>
                      <w:szCs w:val="21"/>
                    </w:rPr>
                    <w:t>m</w:t>
                  </w:r>
                </w:p>
              </w:tc>
              <w:tc>
                <w:tcPr>
                  <w:tcW w:w="2788" w:type="dxa"/>
                  <w:noWrap w:val="0"/>
                  <w:vAlign w:val="center"/>
                </w:tcPr>
                <w:p>
                  <w:pPr>
                    <w:pStyle w:val="98"/>
                    <w:spacing w:line="240" w:lineRule="auto"/>
                    <w:ind w:firstLine="0" w:firstLineChars="0"/>
                    <w:jc w:val="center"/>
                    <w:rPr>
                      <w:rFonts w:hint="default" w:ascii="Times New Roman" w:hAnsi="Times New Roman"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44.5</w:t>
                  </w:r>
                </w:p>
              </w:tc>
              <w:tc>
                <w:tcPr>
                  <w:tcW w:w="2517" w:type="dxa"/>
                  <w:noWrap w:val="0"/>
                  <w:vAlign w:val="center"/>
                </w:tcPr>
                <w:p>
                  <w:pPr>
                    <w:pStyle w:val="98"/>
                    <w:spacing w:line="240" w:lineRule="auto"/>
                    <w:ind w:firstLine="0" w:firstLineChars="0"/>
                    <w:jc w:val="center"/>
                    <w:rPr>
                      <w:rFonts w:hint="default" w:ascii="Times New Roman" w:hAnsi="Times New Roman"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hint="eastAsia" w:ascii="Times New Roman" w:hAnsi="Times New Roman" w:eastAsia="宋体" w:cs="Times New Roman"/>
                      <w:i w:val="0"/>
                      <w:iCs w:val="0"/>
                      <w:color w:val="auto"/>
                      <w:sz w:val="21"/>
                      <w:szCs w:val="21"/>
                      <w:lang w:eastAsia="zh-CN"/>
                    </w:rPr>
                  </w:pPr>
                  <w:r>
                    <w:rPr>
                      <w:rFonts w:hint="eastAsia" w:ascii="Times New Roman" w:hAnsi="Times New Roman" w:cs="Times New Roman"/>
                      <w:i w:val="0"/>
                      <w:iCs w:val="0"/>
                      <w:color w:val="auto"/>
                      <w:sz w:val="21"/>
                      <w:szCs w:val="21"/>
                      <w:lang w:eastAsia="zh-CN"/>
                    </w:rPr>
                    <w:t>距线路中心</w:t>
                  </w:r>
                  <w:r>
                    <w:rPr>
                      <w:rFonts w:hint="eastAsia" w:ascii="Times New Roman" w:hAnsi="Times New Roman" w:cs="Times New Roman"/>
                      <w:i w:val="0"/>
                      <w:iCs w:val="0"/>
                      <w:color w:val="auto"/>
                      <w:sz w:val="21"/>
                      <w:szCs w:val="21"/>
                      <w:lang w:val="en-US" w:eastAsia="zh-CN"/>
                    </w:rPr>
                    <w:t>4</w:t>
                  </w:r>
                  <w:r>
                    <w:rPr>
                      <w:rFonts w:ascii="Times New Roman" w:hAnsi="Times New Roman" w:cs="Times New Roman"/>
                      <w:i w:val="0"/>
                      <w:iCs w:val="0"/>
                      <w:color w:val="auto"/>
                      <w:sz w:val="21"/>
                      <w:szCs w:val="21"/>
                    </w:rPr>
                    <w:t>m</w:t>
                  </w:r>
                  <w:r>
                    <w:rPr>
                      <w:rFonts w:hint="eastAsia" w:ascii="Times New Roman" w:hAnsi="Times New Roman" w:cs="Times New Roman"/>
                      <w:i w:val="0"/>
                      <w:iCs w:val="0"/>
                      <w:color w:val="auto"/>
                      <w:sz w:val="21"/>
                      <w:szCs w:val="21"/>
                      <w:lang w:eastAsia="zh-CN"/>
                    </w:rPr>
                    <w:t>（边导线下）</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44.3</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lang w:eastAsia="zh-CN"/>
                    </w:rPr>
                    <w:t>距边导线</w:t>
                  </w:r>
                  <w:r>
                    <w:rPr>
                      <w:rFonts w:ascii="Times New Roman" w:hAnsi="Times New Roman" w:cs="Times New Roman"/>
                      <w:i w:val="0"/>
                      <w:iCs w:val="0"/>
                      <w:color w:val="auto"/>
                      <w:sz w:val="21"/>
                      <w:szCs w:val="21"/>
                    </w:rPr>
                    <w:t>5m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43.9</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lang w:eastAsia="zh-CN"/>
                    </w:rPr>
                    <w:t>距边导线</w:t>
                  </w:r>
                  <w:r>
                    <w:rPr>
                      <w:rFonts w:ascii="Times New Roman" w:hAnsi="Times New Roman" w:cs="Times New Roman"/>
                      <w:i w:val="0"/>
                      <w:iCs w:val="0"/>
                      <w:color w:val="auto"/>
                      <w:sz w:val="21"/>
                      <w:szCs w:val="21"/>
                    </w:rPr>
                    <w:t>10m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44.2</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lang w:eastAsia="zh-CN"/>
                    </w:rPr>
                    <w:t>距边导线</w:t>
                  </w:r>
                  <w:r>
                    <w:rPr>
                      <w:rFonts w:ascii="Times New Roman" w:hAnsi="Times New Roman" w:cs="Times New Roman"/>
                      <w:i w:val="0"/>
                      <w:iCs w:val="0"/>
                      <w:color w:val="auto"/>
                      <w:sz w:val="21"/>
                      <w:szCs w:val="21"/>
                    </w:rPr>
                    <w:t>15m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44.6</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lang w:eastAsia="zh-CN"/>
                    </w:rPr>
                    <w:t>距边导线</w:t>
                  </w:r>
                  <w:r>
                    <w:rPr>
                      <w:rFonts w:ascii="Times New Roman" w:hAnsi="Times New Roman" w:cs="Times New Roman"/>
                      <w:i w:val="0"/>
                      <w:iCs w:val="0"/>
                      <w:color w:val="auto"/>
                      <w:sz w:val="21"/>
                      <w:szCs w:val="21"/>
                    </w:rPr>
                    <w:t>20m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43.8</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lang w:eastAsia="zh-CN"/>
                    </w:rPr>
                    <w:t>距边导线</w:t>
                  </w:r>
                  <w:r>
                    <w:rPr>
                      <w:rFonts w:ascii="Times New Roman" w:hAnsi="Times New Roman" w:cs="Times New Roman"/>
                      <w:i w:val="0"/>
                      <w:iCs w:val="0"/>
                      <w:color w:val="auto"/>
                      <w:sz w:val="21"/>
                      <w:szCs w:val="21"/>
                    </w:rPr>
                    <w:t>25m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44.7</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noWrap w:val="0"/>
                  <w:vAlign w:val="center"/>
                </w:tcPr>
                <w:p>
                  <w:pPr>
                    <w:pStyle w:val="98"/>
                    <w:spacing w:line="240" w:lineRule="auto"/>
                    <w:ind w:firstLine="0" w:firstLineChars="0"/>
                    <w:jc w:val="center"/>
                    <w:rPr>
                      <w:rFonts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lang w:eastAsia="zh-CN"/>
                    </w:rPr>
                    <w:t>距边导线</w:t>
                  </w:r>
                  <w:r>
                    <w:rPr>
                      <w:rFonts w:ascii="Times New Roman" w:hAnsi="Times New Roman" w:cs="Times New Roman"/>
                      <w:i w:val="0"/>
                      <w:iCs w:val="0"/>
                      <w:color w:val="auto"/>
                      <w:sz w:val="21"/>
                      <w:szCs w:val="21"/>
                    </w:rPr>
                    <w:t>30m</w:t>
                  </w:r>
                </w:p>
              </w:tc>
              <w:tc>
                <w:tcPr>
                  <w:tcW w:w="2788"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44.2</w:t>
                  </w:r>
                </w:p>
              </w:tc>
              <w:tc>
                <w:tcPr>
                  <w:tcW w:w="2517" w:type="dxa"/>
                  <w:noWrap w:val="0"/>
                  <w:vAlign w:val="center"/>
                </w:tcPr>
                <w:p>
                  <w:pPr>
                    <w:pStyle w:val="98"/>
                    <w:spacing w:line="240" w:lineRule="auto"/>
                    <w:ind w:firstLine="0" w:firstLine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42.1</w:t>
                  </w:r>
                </w:p>
              </w:tc>
            </w:tr>
          </w:tbl>
          <w:p>
            <w:pPr>
              <w:pStyle w:val="98"/>
              <w:spacing w:line="240" w:lineRule="auto"/>
              <w:ind w:firstLine="520"/>
              <w:rPr>
                <w:rFonts w:ascii="Times New Roman" w:hAnsi="Times New Roman" w:cs="Times New Roman"/>
                <w:color w:val="auto"/>
                <w:sz w:val="26"/>
                <w:szCs w:val="26"/>
                <w:highlight w:val="none"/>
              </w:rPr>
            </w:pPr>
          </w:p>
          <w:p>
            <w:pPr>
              <w:spacing w:line="360" w:lineRule="auto"/>
              <w:ind w:firstLine="480" w:firstLineChars="200"/>
              <w:rPr>
                <w:rFonts w:hint="eastAsia"/>
                <w:color w:val="auto"/>
                <w:sz w:val="24"/>
                <w:highlight w:val="none"/>
                <w:lang w:val="en-US" w:eastAsia="zh-CN"/>
              </w:rPr>
            </w:pPr>
            <w:r>
              <w:rPr>
                <w:rFonts w:hint="eastAsia"/>
                <w:color w:val="auto"/>
                <w:sz w:val="24"/>
                <w:highlight w:val="none"/>
              </w:rPr>
              <w:t>由表4-</w:t>
            </w:r>
            <w:r>
              <w:rPr>
                <w:rFonts w:hint="eastAsia"/>
                <w:color w:val="auto"/>
                <w:sz w:val="24"/>
                <w:highlight w:val="none"/>
                <w:lang w:val="en-US" w:eastAsia="zh-CN"/>
              </w:rPr>
              <w:t>11</w:t>
            </w:r>
            <w:r>
              <w:rPr>
                <w:rFonts w:hint="eastAsia"/>
                <w:color w:val="auto"/>
                <w:sz w:val="24"/>
                <w:highlight w:val="none"/>
              </w:rPr>
              <w:t>类比监测结果可知，110kV蒿裕陈线-T陈线运行期噪声断面监测值昼间在4</w:t>
            </w:r>
            <w:r>
              <w:rPr>
                <w:rFonts w:hint="eastAsia"/>
                <w:color w:val="auto"/>
                <w:sz w:val="24"/>
                <w:highlight w:val="none"/>
                <w:lang w:val="en-US" w:eastAsia="zh-CN"/>
              </w:rPr>
              <w:t>2.7</w:t>
            </w:r>
            <w:r>
              <w:rPr>
                <w:rFonts w:hint="eastAsia"/>
                <w:color w:val="auto"/>
                <w:sz w:val="24"/>
                <w:highlight w:val="none"/>
              </w:rPr>
              <w:t xml:space="preserve"> dB(A)~4</w:t>
            </w:r>
            <w:r>
              <w:rPr>
                <w:rFonts w:hint="eastAsia"/>
                <w:color w:val="auto"/>
                <w:sz w:val="24"/>
                <w:highlight w:val="none"/>
                <w:lang w:val="en-US" w:eastAsia="zh-CN"/>
              </w:rPr>
              <w:t>3.6</w:t>
            </w:r>
            <w:r>
              <w:rPr>
                <w:rFonts w:hint="eastAsia"/>
                <w:color w:val="auto"/>
                <w:sz w:val="24"/>
                <w:highlight w:val="none"/>
              </w:rPr>
              <w:t>dB(A)之间、夜间在39.</w:t>
            </w:r>
            <w:r>
              <w:rPr>
                <w:rFonts w:hint="eastAsia"/>
                <w:color w:val="auto"/>
                <w:sz w:val="24"/>
                <w:highlight w:val="none"/>
                <w:lang w:val="en-US" w:eastAsia="zh-CN"/>
              </w:rPr>
              <w:t>5</w:t>
            </w:r>
            <w:r>
              <w:rPr>
                <w:rFonts w:hint="eastAsia"/>
                <w:color w:val="auto"/>
                <w:sz w:val="24"/>
                <w:highlight w:val="none"/>
              </w:rPr>
              <w:t xml:space="preserve"> dB(A)~</w:t>
            </w:r>
            <w:r>
              <w:rPr>
                <w:rFonts w:hint="eastAsia"/>
                <w:color w:val="auto"/>
                <w:sz w:val="24"/>
                <w:highlight w:val="none"/>
                <w:lang w:val="en-US" w:eastAsia="zh-CN"/>
              </w:rPr>
              <w:t>40.7</w:t>
            </w:r>
            <w:r>
              <w:rPr>
                <w:rFonts w:hint="eastAsia"/>
                <w:color w:val="auto"/>
                <w:sz w:val="24"/>
                <w:highlight w:val="none"/>
              </w:rPr>
              <w:t>dB(A)之间，满足《声环境质量标准》（GB3096－2008）1类标准</w:t>
            </w:r>
            <w:r>
              <w:rPr>
                <w:rFonts w:hint="eastAsia"/>
                <w:color w:val="auto"/>
                <w:sz w:val="24"/>
                <w:highlight w:val="none"/>
                <w:lang w:eastAsia="zh-CN"/>
              </w:rPr>
              <w:t>（昼间</w:t>
            </w:r>
            <w:r>
              <w:rPr>
                <w:rFonts w:hint="eastAsia"/>
                <w:color w:val="auto"/>
                <w:sz w:val="24"/>
                <w:highlight w:val="none"/>
                <w:lang w:val="en-US" w:eastAsia="zh-CN"/>
              </w:rPr>
              <w:t>55</w:t>
            </w:r>
            <w:r>
              <w:rPr>
                <w:rFonts w:hint="eastAsia"/>
                <w:color w:val="auto"/>
                <w:sz w:val="24"/>
                <w:highlight w:val="none"/>
              </w:rPr>
              <w:t>dB(A)</w:t>
            </w:r>
            <w:r>
              <w:rPr>
                <w:rFonts w:hint="eastAsia"/>
                <w:color w:val="auto"/>
                <w:sz w:val="24"/>
                <w:highlight w:val="none"/>
                <w:lang w:val="en-US" w:eastAsia="zh-CN"/>
              </w:rPr>
              <w:t>，夜间45</w:t>
            </w:r>
            <w:r>
              <w:rPr>
                <w:rFonts w:hint="eastAsia"/>
                <w:color w:val="auto"/>
                <w:sz w:val="24"/>
                <w:highlight w:val="none"/>
              </w:rPr>
              <w:t>dB(A)</w:t>
            </w:r>
            <w:r>
              <w:rPr>
                <w:rFonts w:hint="eastAsia"/>
                <w:color w:val="auto"/>
                <w:sz w:val="24"/>
                <w:highlight w:val="none"/>
                <w:lang w:eastAsia="zh-CN"/>
              </w:rPr>
              <w:t>）。</w:t>
            </w:r>
            <w:r>
              <w:rPr>
                <w:rFonts w:hint="eastAsia"/>
                <w:color w:val="auto"/>
                <w:sz w:val="24"/>
                <w:highlight w:val="none"/>
              </w:rPr>
              <w:t>随着距离的增加，昼间、夜间噪声衰减不明显。</w:t>
            </w:r>
          </w:p>
          <w:p>
            <w:pPr>
              <w:spacing w:line="360" w:lineRule="auto"/>
              <w:ind w:firstLine="480" w:firstLineChars="200"/>
              <w:rPr>
                <w:rFonts w:hint="eastAsia"/>
                <w:color w:val="auto"/>
                <w:sz w:val="24"/>
                <w:highlight w:val="none"/>
                <w:lang w:val="en-US" w:eastAsia="zh-CN"/>
              </w:rPr>
            </w:pPr>
            <w:r>
              <w:rPr>
                <w:rFonts w:hint="eastAsia"/>
                <w:color w:val="auto"/>
                <w:sz w:val="24"/>
                <w:highlight w:val="none"/>
              </w:rPr>
              <w:t>由表4-</w:t>
            </w:r>
            <w:r>
              <w:rPr>
                <w:rFonts w:hint="eastAsia"/>
                <w:color w:val="auto"/>
                <w:sz w:val="24"/>
                <w:highlight w:val="none"/>
                <w:lang w:val="en-US" w:eastAsia="zh-CN"/>
              </w:rPr>
              <w:t>12</w:t>
            </w:r>
            <w:r>
              <w:rPr>
                <w:rFonts w:hint="eastAsia"/>
                <w:color w:val="auto"/>
                <w:sz w:val="24"/>
                <w:highlight w:val="none"/>
              </w:rPr>
              <w:t>类比监测结果可知，110kV巴东Ⅰ线、Ⅱ线运行期噪声断面监测值昼间在43.8dB(A)~44.9dB(A)之间、夜间在</w:t>
            </w:r>
            <w:r>
              <w:rPr>
                <w:rFonts w:hint="eastAsia"/>
                <w:color w:val="auto"/>
                <w:sz w:val="24"/>
                <w:highlight w:val="none"/>
                <w:lang w:val="en-US" w:eastAsia="zh-CN"/>
              </w:rPr>
              <w:t>41.4</w:t>
            </w:r>
            <w:r>
              <w:rPr>
                <w:rFonts w:hint="eastAsia"/>
                <w:color w:val="auto"/>
                <w:sz w:val="24"/>
                <w:highlight w:val="none"/>
              </w:rPr>
              <w:t xml:space="preserve"> dB(A)~42.5dB(A)之间，满足《声环境质量标准》（GB3096－2008）1类</w:t>
            </w:r>
            <w:r>
              <w:rPr>
                <w:rFonts w:hint="eastAsia"/>
                <w:color w:val="auto"/>
                <w:sz w:val="24"/>
                <w:highlight w:val="none"/>
                <w:lang w:eastAsia="zh-CN"/>
              </w:rPr>
              <w:t>（昼间</w:t>
            </w:r>
            <w:r>
              <w:rPr>
                <w:rFonts w:hint="eastAsia"/>
                <w:color w:val="auto"/>
                <w:sz w:val="24"/>
                <w:highlight w:val="none"/>
                <w:lang w:val="en-US" w:eastAsia="zh-CN"/>
              </w:rPr>
              <w:t>55</w:t>
            </w:r>
            <w:r>
              <w:rPr>
                <w:rFonts w:hint="eastAsia"/>
                <w:color w:val="auto"/>
                <w:sz w:val="24"/>
                <w:highlight w:val="none"/>
              </w:rPr>
              <w:t>dB(A)</w:t>
            </w:r>
            <w:r>
              <w:rPr>
                <w:rFonts w:hint="eastAsia"/>
                <w:color w:val="auto"/>
                <w:sz w:val="24"/>
                <w:highlight w:val="none"/>
                <w:lang w:val="en-US" w:eastAsia="zh-CN"/>
              </w:rPr>
              <w:t>，夜间45</w:t>
            </w:r>
            <w:r>
              <w:rPr>
                <w:rFonts w:hint="eastAsia"/>
                <w:color w:val="auto"/>
                <w:sz w:val="24"/>
                <w:highlight w:val="none"/>
              </w:rPr>
              <w:t>dB(A)</w:t>
            </w:r>
            <w:r>
              <w:rPr>
                <w:rFonts w:hint="eastAsia"/>
                <w:color w:val="auto"/>
                <w:sz w:val="24"/>
                <w:highlight w:val="none"/>
                <w:lang w:eastAsia="zh-CN"/>
              </w:rPr>
              <w:t>）。</w:t>
            </w:r>
            <w:r>
              <w:rPr>
                <w:rFonts w:hint="eastAsia"/>
                <w:color w:val="auto"/>
                <w:sz w:val="24"/>
                <w:highlight w:val="none"/>
              </w:rPr>
              <w:t>标准要求</w:t>
            </w:r>
            <w:r>
              <w:rPr>
                <w:rFonts w:hint="eastAsia"/>
                <w:color w:val="auto"/>
                <w:sz w:val="24"/>
                <w:highlight w:val="none"/>
                <w:lang w:eastAsia="zh-CN"/>
              </w:rPr>
              <w:t>。</w:t>
            </w:r>
            <w:r>
              <w:rPr>
                <w:rFonts w:hint="eastAsia"/>
                <w:color w:val="auto"/>
                <w:sz w:val="24"/>
                <w:highlight w:val="none"/>
              </w:rPr>
              <w:t>随着距离的增加，昼间、夜间噪声衰减不明显。</w:t>
            </w:r>
          </w:p>
          <w:p>
            <w:pPr>
              <w:spacing w:line="360" w:lineRule="auto"/>
              <w:ind w:firstLine="480" w:firstLineChars="200"/>
              <w:rPr>
                <w:color w:val="auto"/>
                <w:sz w:val="24"/>
                <w:highlight w:val="none"/>
              </w:rPr>
            </w:pPr>
            <w:r>
              <w:rPr>
                <w:rFonts w:hint="eastAsia"/>
                <w:color w:val="auto"/>
                <w:sz w:val="24"/>
                <w:highlight w:val="none"/>
              </w:rPr>
              <w:t>结合以上结果可知，本项目架空段建成投运后，线路运行期间对沿线声环境影响满足《声环境质量标准》（</w:t>
            </w:r>
            <w:r>
              <w:rPr>
                <w:color w:val="auto"/>
                <w:sz w:val="24"/>
                <w:highlight w:val="none"/>
              </w:rPr>
              <w:t>GB3096</w:t>
            </w:r>
            <w:r>
              <w:rPr>
                <w:rFonts w:hint="eastAsia"/>
                <w:color w:val="auto"/>
                <w:sz w:val="24"/>
                <w:highlight w:val="none"/>
              </w:rPr>
              <w:t>－</w:t>
            </w:r>
            <w:r>
              <w:rPr>
                <w:color w:val="auto"/>
                <w:sz w:val="24"/>
                <w:highlight w:val="none"/>
              </w:rPr>
              <w:t>2008</w:t>
            </w:r>
            <w:r>
              <w:rPr>
                <w:rFonts w:hint="eastAsia"/>
                <w:color w:val="auto"/>
                <w:sz w:val="24"/>
                <w:highlight w:val="none"/>
              </w:rPr>
              <w:t>）1类</w:t>
            </w:r>
            <w:r>
              <w:rPr>
                <w:rFonts w:hint="eastAsia"/>
                <w:color w:val="auto"/>
                <w:sz w:val="24"/>
                <w:highlight w:val="none"/>
                <w:lang w:eastAsia="zh-CN"/>
              </w:rPr>
              <w:t>、</w:t>
            </w:r>
            <w:r>
              <w:rPr>
                <w:rFonts w:hint="eastAsia"/>
                <w:color w:val="auto"/>
                <w:sz w:val="24"/>
                <w:highlight w:val="none"/>
                <w:lang w:val="en-US" w:eastAsia="zh-CN"/>
              </w:rPr>
              <w:t>3类、4a类</w:t>
            </w:r>
            <w:r>
              <w:rPr>
                <w:rFonts w:hint="eastAsia"/>
                <w:color w:val="auto"/>
                <w:sz w:val="24"/>
                <w:highlight w:val="none"/>
              </w:rPr>
              <w:t>标准要求。</w:t>
            </w:r>
          </w:p>
          <w:p>
            <w:pPr>
              <w:spacing w:line="360" w:lineRule="auto"/>
              <w:ind w:firstLine="480" w:firstLineChars="200"/>
              <w:rPr>
                <w:color w:val="auto"/>
                <w:sz w:val="24"/>
                <w:highlight w:val="none"/>
              </w:rPr>
            </w:pPr>
            <w:r>
              <w:rPr>
                <w:rFonts w:hint="eastAsia"/>
                <w:color w:val="auto"/>
                <w:sz w:val="24"/>
                <w:highlight w:val="none"/>
              </w:rPr>
              <w:t>3）环境保护目标声环境影响分析</w:t>
            </w:r>
          </w:p>
          <w:p>
            <w:pPr>
              <w:spacing w:line="360" w:lineRule="auto"/>
              <w:ind w:firstLine="480" w:firstLineChars="200"/>
              <w:rPr>
                <w:rFonts w:hint="eastAsia"/>
                <w:bCs/>
                <w:color w:val="auto"/>
                <w:sz w:val="24"/>
                <w:highlight w:val="none"/>
              </w:rPr>
            </w:pPr>
            <w:r>
              <w:rPr>
                <w:rFonts w:hint="eastAsia"/>
                <w:color w:val="auto"/>
                <w:sz w:val="24"/>
                <w:highlight w:val="none"/>
              </w:rPr>
              <w:t>根据类比监测对象</w:t>
            </w:r>
            <w:r>
              <w:rPr>
                <w:rFonts w:hint="eastAsia"/>
                <w:bCs/>
                <w:color w:val="auto"/>
                <w:sz w:val="24"/>
                <w:highlight w:val="none"/>
                <w:lang w:eastAsia="zh-CN"/>
              </w:rPr>
              <w:t>110kV蒿裕陈线-T陈线和</w:t>
            </w:r>
            <w:r>
              <w:rPr>
                <w:rFonts w:hint="eastAsia"/>
                <w:color w:val="auto"/>
                <w:sz w:val="24"/>
                <w:highlight w:val="none"/>
              </w:rPr>
              <w:t>110kV巴东Ⅰ线、Ⅱ线</w:t>
            </w:r>
            <w:r>
              <w:rPr>
                <w:rFonts w:hint="eastAsia"/>
                <w:bCs/>
                <w:color w:val="auto"/>
                <w:sz w:val="24"/>
                <w:highlight w:val="none"/>
              </w:rPr>
              <w:t>监测结果，本评价对</w:t>
            </w:r>
            <w:r>
              <w:rPr>
                <w:rFonts w:hint="eastAsia"/>
                <w:bCs/>
                <w:color w:val="auto"/>
                <w:sz w:val="24"/>
                <w:highlight w:val="none"/>
                <w:lang w:eastAsia="zh-CN"/>
              </w:rPr>
              <w:t>拟建</w:t>
            </w:r>
            <w:r>
              <w:rPr>
                <w:rFonts w:hint="eastAsia"/>
                <w:bCs/>
                <w:color w:val="auto"/>
                <w:sz w:val="24"/>
                <w:highlight w:val="none"/>
              </w:rPr>
              <w:t>线路沿线声环境保护目标进行定量声环境影响分析，</w:t>
            </w:r>
            <w:r>
              <w:rPr>
                <w:rFonts w:hint="eastAsia"/>
                <w:bCs/>
                <w:color w:val="auto"/>
                <w:sz w:val="24"/>
                <w:highlight w:val="none"/>
                <w:lang w:eastAsia="zh-CN"/>
              </w:rPr>
              <w:t>叠加背景值</w:t>
            </w:r>
            <w:r>
              <w:rPr>
                <w:rFonts w:hint="eastAsia"/>
                <w:bCs/>
                <w:color w:val="auto"/>
                <w:sz w:val="24"/>
                <w:highlight w:val="none"/>
              </w:rPr>
              <w:t>进行预测。</w:t>
            </w:r>
          </w:p>
          <w:p>
            <w:pPr>
              <w:adjustRightInd w:val="0"/>
              <w:snapToGrid w:val="0"/>
              <w:spacing w:line="360" w:lineRule="auto"/>
              <w:ind w:firstLine="482"/>
              <w:jc w:val="center"/>
              <w:rPr>
                <w:b/>
                <w:bCs/>
                <w:color w:val="auto"/>
                <w:sz w:val="24"/>
                <w:highlight w:val="none"/>
              </w:rPr>
            </w:pPr>
            <w:r>
              <w:rPr>
                <w:rFonts w:hint="eastAsia"/>
                <w:b/>
                <w:bCs/>
                <w:color w:val="auto"/>
                <w:sz w:val="24"/>
                <w:highlight w:val="none"/>
              </w:rPr>
              <w:t>表4</w:t>
            </w:r>
            <w:r>
              <w:rPr>
                <w:b/>
                <w:bCs/>
                <w:color w:val="auto"/>
                <w:sz w:val="24"/>
                <w:highlight w:val="none"/>
              </w:rPr>
              <w:t>-</w:t>
            </w:r>
            <w:r>
              <w:rPr>
                <w:rFonts w:hint="eastAsia"/>
                <w:b/>
                <w:bCs/>
                <w:color w:val="auto"/>
                <w:sz w:val="24"/>
                <w:highlight w:val="none"/>
                <w:lang w:val="en-US" w:eastAsia="zh-CN"/>
              </w:rPr>
              <w:t>13</w:t>
            </w:r>
            <w:r>
              <w:rPr>
                <w:b/>
                <w:bCs/>
                <w:color w:val="auto"/>
                <w:sz w:val="24"/>
                <w:highlight w:val="none"/>
              </w:rPr>
              <w:t xml:space="preserve"> </w:t>
            </w:r>
            <w:r>
              <w:rPr>
                <w:rFonts w:hint="eastAsia"/>
                <w:b/>
                <w:bCs/>
                <w:color w:val="auto"/>
                <w:sz w:val="24"/>
                <w:highlight w:val="none"/>
              </w:rPr>
              <w:t>主要声环境保护目标预测一览表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05"/>
              <w:gridCol w:w="1319"/>
              <w:gridCol w:w="1450"/>
              <w:gridCol w:w="406"/>
              <w:gridCol w:w="413"/>
              <w:gridCol w:w="387"/>
              <w:gridCol w:w="394"/>
              <w:gridCol w:w="386"/>
              <w:gridCol w:w="396"/>
              <w:gridCol w:w="384"/>
              <w:gridCol w:w="398"/>
              <w:gridCol w:w="781"/>
              <w:gridCol w:w="7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305" w:type="dxa"/>
                  <w:vMerge w:val="restar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编号</w:t>
                  </w:r>
                </w:p>
              </w:tc>
              <w:tc>
                <w:tcPr>
                  <w:tcW w:w="1319" w:type="dxa"/>
                  <w:vMerge w:val="restar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保护目标名称</w:t>
                  </w:r>
                </w:p>
              </w:tc>
              <w:tc>
                <w:tcPr>
                  <w:tcW w:w="1450" w:type="dxa"/>
                  <w:vMerge w:val="restar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与本项目</w:t>
                  </w:r>
                  <w:r>
                    <w:rPr>
                      <w:rFonts w:hint="eastAsia" w:cs="Times New Roman"/>
                      <w:color w:val="auto"/>
                      <w:sz w:val="21"/>
                      <w:szCs w:val="21"/>
                      <w:highlight w:val="none"/>
                      <w:lang w:eastAsia="zh-CN"/>
                    </w:rPr>
                    <w:t>边导线</w:t>
                  </w:r>
                  <w:r>
                    <w:rPr>
                      <w:rFonts w:hint="default" w:ascii="Times New Roman" w:hAnsi="Times New Roman" w:cs="Times New Roman"/>
                      <w:color w:val="auto"/>
                      <w:sz w:val="21"/>
                      <w:szCs w:val="21"/>
                      <w:highlight w:val="none"/>
                    </w:rPr>
                    <w:t>的最近水平距离</w:t>
                  </w:r>
                </w:p>
              </w:tc>
              <w:tc>
                <w:tcPr>
                  <w:tcW w:w="819" w:type="dxa"/>
                  <w:gridSpan w:val="2"/>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贡献值</w:t>
                  </w:r>
                </w:p>
              </w:tc>
              <w:tc>
                <w:tcPr>
                  <w:tcW w:w="781" w:type="dxa"/>
                  <w:gridSpan w:val="2"/>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背景值</w:t>
                  </w:r>
                </w:p>
              </w:tc>
              <w:tc>
                <w:tcPr>
                  <w:tcW w:w="782" w:type="dxa"/>
                  <w:gridSpan w:val="2"/>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预测值</w:t>
                  </w:r>
                </w:p>
              </w:tc>
              <w:tc>
                <w:tcPr>
                  <w:tcW w:w="782" w:type="dxa"/>
                  <w:gridSpan w:val="2"/>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标准限值</w:t>
                  </w:r>
                </w:p>
              </w:tc>
              <w:tc>
                <w:tcPr>
                  <w:tcW w:w="781" w:type="dxa"/>
                  <w:vMerge w:val="restart"/>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备注</w:t>
                  </w:r>
                </w:p>
              </w:tc>
              <w:tc>
                <w:tcPr>
                  <w:tcW w:w="756" w:type="dxa"/>
                  <w:vMerge w:val="restart"/>
                  <w:noWrap w:val="0"/>
                  <w:vAlign w:val="center"/>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线路段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5" w:type="dxa"/>
                  <w:vMerge w:val="continue"/>
                  <w:noWrap w:val="0"/>
                  <w:vAlign w:val="center"/>
                </w:tcPr>
                <w:p>
                  <w:pPr>
                    <w:widowControl/>
                    <w:jc w:val="left"/>
                    <w:rPr>
                      <w:rFonts w:hint="default" w:ascii="Times New Roman" w:hAnsi="Times New Roman" w:cs="Times New Roman"/>
                      <w:color w:val="auto"/>
                      <w:sz w:val="21"/>
                      <w:szCs w:val="21"/>
                      <w:highlight w:val="none"/>
                    </w:rPr>
                  </w:pPr>
                </w:p>
              </w:tc>
              <w:tc>
                <w:tcPr>
                  <w:tcW w:w="1319" w:type="dxa"/>
                  <w:vMerge w:val="continue"/>
                  <w:noWrap w:val="0"/>
                  <w:vAlign w:val="center"/>
                </w:tcPr>
                <w:p>
                  <w:pPr>
                    <w:widowControl/>
                    <w:jc w:val="left"/>
                    <w:rPr>
                      <w:rFonts w:hint="default" w:ascii="Times New Roman" w:hAnsi="Times New Roman" w:cs="Times New Roman"/>
                      <w:color w:val="auto"/>
                      <w:sz w:val="21"/>
                      <w:szCs w:val="21"/>
                      <w:highlight w:val="none"/>
                    </w:rPr>
                  </w:pPr>
                </w:p>
              </w:tc>
              <w:tc>
                <w:tcPr>
                  <w:tcW w:w="1450" w:type="dxa"/>
                  <w:vMerge w:val="continue"/>
                  <w:noWrap w:val="0"/>
                  <w:vAlign w:val="center"/>
                </w:tcPr>
                <w:p>
                  <w:pPr>
                    <w:widowControl/>
                    <w:jc w:val="left"/>
                    <w:rPr>
                      <w:rFonts w:hint="default" w:ascii="Times New Roman" w:hAnsi="Times New Roman" w:cs="Times New Roman"/>
                      <w:color w:val="auto"/>
                      <w:sz w:val="21"/>
                      <w:szCs w:val="21"/>
                      <w:highlight w:val="none"/>
                    </w:rPr>
                  </w:pPr>
                </w:p>
              </w:tc>
              <w:tc>
                <w:tcPr>
                  <w:tcW w:w="406"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w:t>
                  </w:r>
                </w:p>
              </w:tc>
              <w:tc>
                <w:tcPr>
                  <w:tcW w:w="413"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w:t>
                  </w:r>
                </w:p>
              </w:tc>
              <w:tc>
                <w:tcPr>
                  <w:tcW w:w="387"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w:t>
                  </w:r>
                </w:p>
              </w:tc>
              <w:tc>
                <w:tcPr>
                  <w:tcW w:w="394"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w:t>
                  </w:r>
                </w:p>
              </w:tc>
              <w:tc>
                <w:tcPr>
                  <w:tcW w:w="386"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w:t>
                  </w:r>
                </w:p>
              </w:tc>
              <w:tc>
                <w:tcPr>
                  <w:tcW w:w="396"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w:t>
                  </w:r>
                </w:p>
              </w:tc>
              <w:tc>
                <w:tcPr>
                  <w:tcW w:w="384"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w:t>
                  </w:r>
                </w:p>
              </w:tc>
              <w:tc>
                <w:tcPr>
                  <w:tcW w:w="398"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w:t>
                  </w:r>
                </w:p>
              </w:tc>
              <w:tc>
                <w:tcPr>
                  <w:tcW w:w="781" w:type="dxa"/>
                  <w:vMerge w:val="continue"/>
                  <w:noWrap w:val="0"/>
                  <w:vAlign w:val="center"/>
                </w:tcPr>
                <w:p>
                  <w:pPr>
                    <w:jc w:val="center"/>
                    <w:rPr>
                      <w:rFonts w:hint="default" w:ascii="Times New Roman" w:hAnsi="Times New Roman" w:cs="Times New Roman"/>
                      <w:color w:val="auto"/>
                      <w:sz w:val="21"/>
                      <w:szCs w:val="21"/>
                      <w:highlight w:val="none"/>
                    </w:rPr>
                  </w:pPr>
                </w:p>
              </w:tc>
              <w:tc>
                <w:tcPr>
                  <w:tcW w:w="756" w:type="dxa"/>
                  <w:vMerge w:val="continue"/>
                  <w:noWrap w:val="0"/>
                  <w:vAlign w:val="center"/>
                </w:tcPr>
                <w:p>
                  <w:pPr>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5" w:type="dxa"/>
                  <w:noWrap w:val="0"/>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1</w:t>
                  </w:r>
                </w:p>
              </w:tc>
              <w:tc>
                <w:tcPr>
                  <w:tcW w:w="1319" w:type="dxa"/>
                  <w:noWrap w:val="0"/>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eastAsia="zh-CN"/>
                    </w:rPr>
                    <w:t>二坪镇红庙村民房</w:t>
                  </w:r>
                  <w:r>
                    <w:rPr>
                      <w:rFonts w:hint="eastAsia" w:cs="Times New Roman"/>
                      <w:bCs/>
                      <w:color w:val="auto"/>
                      <w:sz w:val="21"/>
                      <w:szCs w:val="21"/>
                      <w:highlight w:val="none"/>
                      <w:lang w:val="en-US" w:eastAsia="zh-CN"/>
                    </w:rPr>
                    <w:t>2</w:t>
                  </w:r>
                </w:p>
              </w:tc>
              <w:tc>
                <w:tcPr>
                  <w:tcW w:w="1450" w:type="dxa"/>
                  <w:noWrap w:val="0"/>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eastAsia="zh-CN"/>
                    </w:rPr>
                    <w:t>西侧约</w:t>
                  </w:r>
                  <w:r>
                    <w:rPr>
                      <w:rFonts w:hint="default" w:ascii="Times New Roman" w:hAnsi="Times New Roman" w:cs="Times New Roman"/>
                      <w:bCs/>
                      <w:color w:val="auto"/>
                      <w:sz w:val="21"/>
                      <w:szCs w:val="21"/>
                      <w:highlight w:val="none"/>
                      <w:lang w:val="en-US" w:eastAsia="zh-CN"/>
                    </w:rPr>
                    <w:t>10~30m</w:t>
                  </w:r>
                </w:p>
              </w:tc>
              <w:tc>
                <w:tcPr>
                  <w:tcW w:w="406" w:type="dxa"/>
                  <w:noWrap w:val="0"/>
                  <w:vAlign w:val="center"/>
                </w:tcPr>
                <w:p>
                  <w:pPr>
                    <w:pStyle w:val="98"/>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i w:val="0"/>
                      <w:iCs w:val="0"/>
                      <w:color w:val="auto"/>
                      <w:sz w:val="21"/>
                      <w:szCs w:val="21"/>
                      <w:lang w:val="en-US" w:eastAsia="zh-CN"/>
                    </w:rPr>
                    <w:t>44.7</w:t>
                  </w:r>
                </w:p>
              </w:tc>
              <w:tc>
                <w:tcPr>
                  <w:tcW w:w="413" w:type="dxa"/>
                  <w:noWrap w:val="0"/>
                  <w:vAlign w:val="center"/>
                </w:tcPr>
                <w:p>
                  <w:pPr>
                    <w:pStyle w:val="98"/>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i w:val="0"/>
                      <w:iCs w:val="0"/>
                      <w:color w:val="auto"/>
                      <w:sz w:val="21"/>
                      <w:szCs w:val="21"/>
                      <w:lang w:val="en-US" w:eastAsia="zh-CN"/>
                    </w:rPr>
                    <w:t>42.5</w:t>
                  </w:r>
                </w:p>
              </w:tc>
              <w:tc>
                <w:tcPr>
                  <w:tcW w:w="387" w:type="dxa"/>
                  <w:noWrap w:val="0"/>
                  <w:vAlign w:val="center"/>
                </w:tcPr>
                <w:p>
                  <w:pPr>
                    <w:spacing w:line="360" w:lineRule="exact"/>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rPr>
                    <w:t>4</w:t>
                  </w:r>
                  <w:r>
                    <w:rPr>
                      <w:color w:val="auto"/>
                      <w:sz w:val="21"/>
                      <w:szCs w:val="21"/>
                      <w:highlight w:val="none"/>
                    </w:rPr>
                    <w:t>7</w:t>
                  </w:r>
                </w:p>
              </w:tc>
              <w:tc>
                <w:tcPr>
                  <w:tcW w:w="394" w:type="dxa"/>
                  <w:noWrap w:val="0"/>
                  <w:vAlign w:val="center"/>
                </w:tcPr>
                <w:p>
                  <w:pPr>
                    <w:spacing w:line="360" w:lineRule="exact"/>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41</w:t>
                  </w:r>
                </w:p>
              </w:tc>
              <w:tc>
                <w:tcPr>
                  <w:tcW w:w="3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49.0 </w:t>
                  </w:r>
                </w:p>
              </w:tc>
              <w:tc>
                <w:tcPr>
                  <w:tcW w:w="3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44.8 </w:t>
                  </w:r>
                </w:p>
              </w:tc>
              <w:tc>
                <w:tcPr>
                  <w:tcW w:w="384"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w:t>
                  </w:r>
                </w:p>
              </w:tc>
              <w:tc>
                <w:tcPr>
                  <w:tcW w:w="398"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w:t>
                  </w:r>
                </w:p>
              </w:tc>
              <w:tc>
                <w:tcPr>
                  <w:tcW w:w="781" w:type="dxa"/>
                  <w:noWrap w:val="0"/>
                  <w:vAlign w:val="center"/>
                </w:tcPr>
                <w:p>
                  <w:pPr>
                    <w:adjustRightIn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类</w:t>
                  </w:r>
                </w:p>
              </w:tc>
              <w:tc>
                <w:tcPr>
                  <w:tcW w:w="756" w:type="dxa"/>
                  <w:vMerge w:val="restart"/>
                  <w:noWrap w:val="0"/>
                  <w:vAlign w:val="center"/>
                </w:tcPr>
                <w:p>
                  <w:pPr>
                    <w:adjustRightIn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双回段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5" w:type="dxa"/>
                  <w:noWrap w:val="0"/>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2</w:t>
                  </w:r>
                </w:p>
              </w:tc>
              <w:tc>
                <w:tcPr>
                  <w:tcW w:w="1319" w:type="dxa"/>
                  <w:noWrap w:val="0"/>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eastAsia="zh-CN"/>
                    </w:rPr>
                    <w:t>东城街道飞凤村民房</w:t>
                  </w:r>
                </w:p>
              </w:tc>
              <w:tc>
                <w:tcPr>
                  <w:tcW w:w="1450" w:type="dxa"/>
                  <w:noWrap w:val="0"/>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线路</w:t>
                  </w:r>
                  <w:r>
                    <w:rPr>
                      <w:rFonts w:hint="default" w:ascii="Times New Roman" w:hAnsi="Times New Roman" w:cs="Times New Roman"/>
                      <w:bCs/>
                      <w:color w:val="auto"/>
                      <w:sz w:val="21"/>
                      <w:szCs w:val="21"/>
                      <w:highlight w:val="none"/>
                      <w:lang w:eastAsia="zh-CN"/>
                    </w:rPr>
                    <w:t>东侧</w:t>
                  </w:r>
                  <w:r>
                    <w:rPr>
                      <w:rFonts w:hint="default" w:ascii="Times New Roman" w:hAnsi="Times New Roman" w:cs="Times New Roman"/>
                      <w:bCs/>
                      <w:color w:val="auto"/>
                      <w:sz w:val="21"/>
                      <w:szCs w:val="21"/>
                      <w:highlight w:val="none"/>
                    </w:rPr>
                    <w:t>约1</w:t>
                  </w:r>
                  <w:r>
                    <w:rPr>
                      <w:rFonts w:hint="default" w:ascii="Times New Roman" w:hAnsi="Times New Roman" w:cs="Times New Roman"/>
                      <w:bCs/>
                      <w:color w:val="auto"/>
                      <w:sz w:val="21"/>
                      <w:szCs w:val="21"/>
                      <w:highlight w:val="none"/>
                      <w:lang w:val="en-US" w:eastAsia="zh-CN"/>
                    </w:rPr>
                    <w:t>0</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30</w:t>
                  </w:r>
                  <w:r>
                    <w:rPr>
                      <w:rFonts w:hint="default" w:ascii="Times New Roman" w:hAnsi="Times New Roman" w:cs="Times New Roman"/>
                      <w:bCs/>
                      <w:color w:val="auto"/>
                      <w:sz w:val="21"/>
                      <w:szCs w:val="21"/>
                      <w:highlight w:val="none"/>
                    </w:rPr>
                    <w:t xml:space="preserve">m </w:t>
                  </w:r>
                </w:p>
              </w:tc>
              <w:tc>
                <w:tcPr>
                  <w:tcW w:w="406" w:type="dxa"/>
                  <w:noWrap w:val="0"/>
                  <w:vAlign w:val="center"/>
                </w:tcPr>
                <w:p>
                  <w:pPr>
                    <w:pStyle w:val="98"/>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i w:val="0"/>
                      <w:iCs w:val="0"/>
                      <w:color w:val="auto"/>
                      <w:sz w:val="21"/>
                      <w:szCs w:val="21"/>
                      <w:lang w:val="en-US" w:eastAsia="zh-CN"/>
                    </w:rPr>
                    <w:t>44.7</w:t>
                  </w:r>
                </w:p>
              </w:tc>
              <w:tc>
                <w:tcPr>
                  <w:tcW w:w="413" w:type="dxa"/>
                  <w:noWrap w:val="0"/>
                  <w:vAlign w:val="center"/>
                </w:tcPr>
                <w:p>
                  <w:pPr>
                    <w:pStyle w:val="98"/>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i w:val="0"/>
                      <w:iCs w:val="0"/>
                      <w:color w:val="auto"/>
                      <w:sz w:val="21"/>
                      <w:szCs w:val="21"/>
                      <w:lang w:val="en-US" w:eastAsia="zh-CN"/>
                    </w:rPr>
                    <w:t>42.5</w:t>
                  </w:r>
                </w:p>
              </w:tc>
              <w:tc>
                <w:tcPr>
                  <w:tcW w:w="387" w:type="dxa"/>
                  <w:noWrap w:val="0"/>
                  <w:vAlign w:val="center"/>
                </w:tcPr>
                <w:p>
                  <w:pPr>
                    <w:spacing w:line="360" w:lineRule="exact"/>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rPr>
                    <w:t>4</w:t>
                  </w:r>
                  <w:r>
                    <w:rPr>
                      <w:color w:val="auto"/>
                      <w:sz w:val="21"/>
                      <w:szCs w:val="21"/>
                      <w:highlight w:val="none"/>
                    </w:rPr>
                    <w:t>6</w:t>
                  </w:r>
                </w:p>
              </w:tc>
              <w:tc>
                <w:tcPr>
                  <w:tcW w:w="394" w:type="dxa"/>
                  <w:noWrap w:val="0"/>
                  <w:vAlign w:val="center"/>
                </w:tcPr>
                <w:p>
                  <w:pPr>
                    <w:spacing w:line="360" w:lineRule="exact"/>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lang w:val="en-US" w:eastAsia="zh-CN"/>
                    </w:rPr>
                    <w:t>40</w:t>
                  </w:r>
                </w:p>
              </w:tc>
              <w:tc>
                <w:tcPr>
                  <w:tcW w:w="3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48.4 </w:t>
                  </w:r>
                </w:p>
              </w:tc>
              <w:tc>
                <w:tcPr>
                  <w:tcW w:w="3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44.4 </w:t>
                  </w:r>
                </w:p>
              </w:tc>
              <w:tc>
                <w:tcPr>
                  <w:tcW w:w="384"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55</w:t>
                  </w:r>
                </w:p>
              </w:tc>
              <w:tc>
                <w:tcPr>
                  <w:tcW w:w="398"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45</w:t>
                  </w:r>
                </w:p>
              </w:tc>
              <w:tc>
                <w:tcPr>
                  <w:tcW w:w="781" w:type="dxa"/>
                  <w:noWrap w:val="0"/>
                  <w:vAlign w:val="center"/>
                </w:tcPr>
                <w:p>
                  <w:pPr>
                    <w:adjustRightIn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类</w:t>
                  </w:r>
                </w:p>
              </w:tc>
              <w:tc>
                <w:tcPr>
                  <w:tcW w:w="756" w:type="dxa"/>
                  <w:vMerge w:val="continue"/>
                  <w:noWrap w:val="0"/>
                  <w:vAlign w:val="center"/>
                </w:tcPr>
                <w:p>
                  <w:pPr>
                    <w:adjustRightInd w:val="0"/>
                    <w:jc w:val="center"/>
                    <w:rPr>
                      <w:rFonts w:hint="default" w:ascii="Times New Roman" w:hAnsi="Times New Roman" w:cs="Times New Roman"/>
                      <w:bCs/>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5" w:type="dxa"/>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3</w:t>
                  </w:r>
                </w:p>
              </w:tc>
              <w:tc>
                <w:tcPr>
                  <w:tcW w:w="1319" w:type="dxa"/>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eastAsia="zh-CN"/>
                    </w:rPr>
                    <w:t>蒲吕街道沙心村民房</w:t>
                  </w:r>
                  <w:r>
                    <w:rPr>
                      <w:rFonts w:hint="eastAsia" w:cs="Times New Roman"/>
                      <w:bCs/>
                      <w:color w:val="auto"/>
                      <w:sz w:val="21"/>
                      <w:szCs w:val="21"/>
                      <w:highlight w:val="none"/>
                      <w:lang w:val="en-US" w:eastAsia="zh-CN"/>
                    </w:rPr>
                    <w:t>5</w:t>
                  </w:r>
                </w:p>
              </w:tc>
              <w:tc>
                <w:tcPr>
                  <w:tcW w:w="1450" w:type="dxa"/>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eastAsia="zh-CN"/>
                    </w:rPr>
                    <w:t>线路两侧，最近</w:t>
                  </w:r>
                  <w:r>
                    <w:rPr>
                      <w:rFonts w:hint="default" w:ascii="Times New Roman" w:hAnsi="Times New Roman" w:cs="Times New Roman"/>
                      <w:bCs/>
                      <w:color w:val="auto"/>
                      <w:sz w:val="21"/>
                      <w:szCs w:val="21"/>
                      <w:highlight w:val="none"/>
                      <w:lang w:val="en-US" w:eastAsia="zh-CN"/>
                    </w:rPr>
                    <w:t>9m</w:t>
                  </w:r>
                </w:p>
              </w:tc>
              <w:tc>
                <w:tcPr>
                  <w:tcW w:w="406" w:type="dxa"/>
                  <w:vAlign w:val="center"/>
                </w:tcPr>
                <w:p>
                  <w:pPr>
                    <w:pStyle w:val="98"/>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i w:val="0"/>
                      <w:iCs w:val="0"/>
                      <w:color w:val="auto"/>
                      <w:sz w:val="21"/>
                      <w:szCs w:val="21"/>
                      <w:lang w:val="en-US" w:eastAsia="zh-CN"/>
                    </w:rPr>
                    <w:t>44.2</w:t>
                  </w:r>
                </w:p>
              </w:tc>
              <w:tc>
                <w:tcPr>
                  <w:tcW w:w="413" w:type="dxa"/>
                  <w:vAlign w:val="center"/>
                </w:tcPr>
                <w:p>
                  <w:pPr>
                    <w:pStyle w:val="98"/>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i w:val="0"/>
                      <w:iCs w:val="0"/>
                      <w:color w:val="auto"/>
                      <w:sz w:val="21"/>
                      <w:szCs w:val="21"/>
                      <w:lang w:val="en-US" w:eastAsia="zh-CN"/>
                    </w:rPr>
                    <w:t>42.1</w:t>
                  </w:r>
                </w:p>
              </w:tc>
              <w:tc>
                <w:tcPr>
                  <w:tcW w:w="387" w:type="dxa"/>
                  <w:vAlign w:val="center"/>
                </w:tcPr>
                <w:p>
                  <w:pPr>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4</w:t>
                  </w:r>
                  <w:r>
                    <w:rPr>
                      <w:color w:val="auto"/>
                      <w:sz w:val="21"/>
                      <w:szCs w:val="21"/>
                      <w:highlight w:val="none"/>
                    </w:rPr>
                    <w:t>7</w:t>
                  </w:r>
                </w:p>
              </w:tc>
              <w:tc>
                <w:tcPr>
                  <w:tcW w:w="394" w:type="dxa"/>
                  <w:vAlign w:val="center"/>
                </w:tcPr>
                <w:p>
                  <w:pPr>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41</w:t>
                  </w:r>
                </w:p>
              </w:tc>
              <w:tc>
                <w:tcPr>
                  <w:tcW w:w="38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48.8 </w:t>
                  </w:r>
                </w:p>
              </w:tc>
              <w:tc>
                <w:tcPr>
                  <w:tcW w:w="39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44.6 </w:t>
                  </w:r>
                </w:p>
              </w:tc>
              <w:tc>
                <w:tcPr>
                  <w:tcW w:w="384"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55</w:t>
                  </w:r>
                </w:p>
              </w:tc>
              <w:tc>
                <w:tcPr>
                  <w:tcW w:w="398"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45</w:t>
                  </w:r>
                </w:p>
              </w:tc>
              <w:tc>
                <w:tcPr>
                  <w:tcW w:w="781" w:type="dxa"/>
                  <w:vAlign w:val="center"/>
                </w:tcPr>
                <w:p>
                  <w:pPr>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类</w:t>
                  </w:r>
                </w:p>
              </w:tc>
              <w:tc>
                <w:tcPr>
                  <w:tcW w:w="756" w:type="dxa"/>
                  <w:vMerge w:val="continue"/>
                  <w:vAlign w:val="center"/>
                </w:tcPr>
                <w:p>
                  <w:pPr>
                    <w:adjustRightInd w:val="0"/>
                    <w:jc w:val="center"/>
                    <w:rPr>
                      <w:rFonts w:hint="default" w:ascii="Times New Roman" w:hAnsi="Times New Roman" w:cs="Times New Roman"/>
                      <w:bCs/>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5" w:type="dxa"/>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4</w:t>
                  </w:r>
                </w:p>
              </w:tc>
              <w:tc>
                <w:tcPr>
                  <w:tcW w:w="1319" w:type="dxa"/>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eastAsia="zh-CN"/>
                    </w:rPr>
                    <w:t>蒲吕街道沙心村民房</w:t>
                  </w:r>
                  <w:r>
                    <w:rPr>
                      <w:rFonts w:hint="eastAsia" w:cs="Times New Roman"/>
                      <w:bCs/>
                      <w:color w:val="auto"/>
                      <w:sz w:val="21"/>
                      <w:szCs w:val="21"/>
                      <w:highlight w:val="none"/>
                      <w:lang w:val="en-US" w:eastAsia="zh-CN"/>
                    </w:rPr>
                    <w:t>6</w:t>
                  </w:r>
                </w:p>
              </w:tc>
              <w:tc>
                <w:tcPr>
                  <w:tcW w:w="1450" w:type="dxa"/>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eastAsia="zh-CN"/>
                    </w:rPr>
                    <w:t>线路两侧，最近约</w:t>
                  </w:r>
                  <w:r>
                    <w:rPr>
                      <w:rFonts w:hint="default" w:ascii="Times New Roman" w:hAnsi="Times New Roman" w:cs="Times New Roman"/>
                      <w:bCs/>
                      <w:color w:val="auto"/>
                      <w:sz w:val="21"/>
                      <w:szCs w:val="21"/>
                      <w:highlight w:val="none"/>
                      <w:lang w:val="en-US" w:eastAsia="zh-CN"/>
                    </w:rPr>
                    <w:t>14m</w:t>
                  </w:r>
                </w:p>
              </w:tc>
              <w:tc>
                <w:tcPr>
                  <w:tcW w:w="406" w:type="dxa"/>
                  <w:vAlign w:val="center"/>
                </w:tcPr>
                <w:p>
                  <w:pPr>
                    <w:pStyle w:val="98"/>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i w:val="0"/>
                      <w:iCs w:val="0"/>
                      <w:color w:val="auto"/>
                      <w:sz w:val="21"/>
                      <w:szCs w:val="21"/>
                      <w:lang w:val="en-US" w:eastAsia="zh-CN"/>
                    </w:rPr>
                    <w:t>44.6</w:t>
                  </w:r>
                </w:p>
              </w:tc>
              <w:tc>
                <w:tcPr>
                  <w:tcW w:w="413" w:type="dxa"/>
                  <w:vAlign w:val="center"/>
                </w:tcPr>
                <w:p>
                  <w:pPr>
                    <w:pStyle w:val="98"/>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i w:val="0"/>
                      <w:iCs w:val="0"/>
                      <w:color w:val="auto"/>
                      <w:sz w:val="21"/>
                      <w:szCs w:val="21"/>
                      <w:lang w:val="en-US" w:eastAsia="zh-CN"/>
                    </w:rPr>
                    <w:t>42.1</w:t>
                  </w:r>
                </w:p>
              </w:tc>
              <w:tc>
                <w:tcPr>
                  <w:tcW w:w="387" w:type="dxa"/>
                  <w:vAlign w:val="center"/>
                </w:tcPr>
                <w:p>
                  <w:pPr>
                    <w:spacing w:line="360" w:lineRule="exact"/>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rPr>
                    <w:t>6</w:t>
                  </w:r>
                  <w:r>
                    <w:rPr>
                      <w:color w:val="auto"/>
                      <w:sz w:val="21"/>
                      <w:szCs w:val="21"/>
                      <w:highlight w:val="none"/>
                    </w:rPr>
                    <w:t>5</w:t>
                  </w:r>
                </w:p>
              </w:tc>
              <w:tc>
                <w:tcPr>
                  <w:tcW w:w="394" w:type="dxa"/>
                  <w:vAlign w:val="center"/>
                </w:tcPr>
                <w:p>
                  <w:pPr>
                    <w:spacing w:line="360" w:lineRule="exact"/>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rPr>
                    <w:t>4</w:t>
                  </w:r>
                  <w:r>
                    <w:rPr>
                      <w:color w:val="auto"/>
                      <w:sz w:val="21"/>
                      <w:szCs w:val="21"/>
                      <w:highlight w:val="none"/>
                    </w:rPr>
                    <w:t>8</w:t>
                  </w:r>
                </w:p>
              </w:tc>
              <w:tc>
                <w:tcPr>
                  <w:tcW w:w="38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65.0 </w:t>
                  </w:r>
                </w:p>
              </w:tc>
              <w:tc>
                <w:tcPr>
                  <w:tcW w:w="39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49.0 </w:t>
                  </w:r>
                </w:p>
              </w:tc>
              <w:tc>
                <w:tcPr>
                  <w:tcW w:w="384" w:type="dxa"/>
                  <w:vAlign w:val="center"/>
                </w:tcPr>
                <w:p>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70</w:t>
                  </w:r>
                </w:p>
              </w:tc>
              <w:tc>
                <w:tcPr>
                  <w:tcW w:w="398" w:type="dxa"/>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5</w:t>
                  </w:r>
                </w:p>
              </w:tc>
              <w:tc>
                <w:tcPr>
                  <w:tcW w:w="781" w:type="dxa"/>
                  <w:vAlign w:val="center"/>
                </w:tcPr>
                <w:p>
                  <w:pPr>
                    <w:adjustRightIn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4a类</w:t>
                  </w:r>
                </w:p>
              </w:tc>
              <w:tc>
                <w:tcPr>
                  <w:tcW w:w="756" w:type="dxa"/>
                  <w:vMerge w:val="continue"/>
                  <w:vAlign w:val="center"/>
                </w:tcPr>
                <w:p>
                  <w:pPr>
                    <w:adjustRightInd w:val="0"/>
                    <w:jc w:val="center"/>
                    <w:rPr>
                      <w:rFonts w:hint="default" w:ascii="Times New Roman" w:hAnsi="Times New Roman" w:cs="Times New Roman"/>
                      <w:bCs/>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5" w:type="dxa"/>
                  <w:vAlign w:val="center"/>
                </w:tcPr>
                <w:p>
                  <w:pPr>
                    <w:adjustRightIn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5</w:t>
                  </w:r>
                </w:p>
              </w:tc>
              <w:tc>
                <w:tcPr>
                  <w:tcW w:w="1319" w:type="dxa"/>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eastAsia="zh-CN"/>
                    </w:rPr>
                    <w:t>蒲吕街道沙心村民房</w:t>
                  </w:r>
                  <w:r>
                    <w:rPr>
                      <w:rFonts w:hint="eastAsia" w:cs="Times New Roman"/>
                      <w:bCs/>
                      <w:color w:val="auto"/>
                      <w:sz w:val="21"/>
                      <w:szCs w:val="21"/>
                      <w:highlight w:val="none"/>
                      <w:lang w:val="en-US" w:eastAsia="zh-CN"/>
                    </w:rPr>
                    <w:t>7</w:t>
                  </w:r>
                </w:p>
              </w:tc>
              <w:tc>
                <w:tcPr>
                  <w:tcW w:w="1450" w:type="dxa"/>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eastAsia="zh-CN"/>
                    </w:rPr>
                    <w:t>线路两侧，最近约</w:t>
                  </w:r>
                  <w:r>
                    <w:rPr>
                      <w:rFonts w:hint="default" w:ascii="Times New Roman" w:hAnsi="Times New Roman" w:cs="Times New Roman"/>
                      <w:bCs/>
                      <w:color w:val="auto"/>
                      <w:sz w:val="21"/>
                      <w:szCs w:val="21"/>
                      <w:highlight w:val="none"/>
                      <w:lang w:val="en-US" w:eastAsia="zh-CN"/>
                    </w:rPr>
                    <w:t>14m</w:t>
                  </w:r>
                </w:p>
              </w:tc>
              <w:tc>
                <w:tcPr>
                  <w:tcW w:w="406" w:type="dxa"/>
                  <w:vAlign w:val="center"/>
                </w:tcPr>
                <w:p>
                  <w:pPr>
                    <w:pStyle w:val="98"/>
                    <w:spacing w:line="240" w:lineRule="auto"/>
                    <w:ind w:firstLine="0" w:firstLineChars="0"/>
                    <w:jc w:val="center"/>
                    <w:rPr>
                      <w:rFonts w:hint="eastAsia" w:ascii="Times New Roman" w:hAnsi="Times New Roman"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44.6</w:t>
                  </w:r>
                </w:p>
              </w:tc>
              <w:tc>
                <w:tcPr>
                  <w:tcW w:w="413" w:type="dxa"/>
                  <w:vAlign w:val="center"/>
                </w:tcPr>
                <w:p>
                  <w:pPr>
                    <w:pStyle w:val="98"/>
                    <w:spacing w:line="240" w:lineRule="auto"/>
                    <w:ind w:firstLine="0" w:firstLineChars="0"/>
                    <w:jc w:val="center"/>
                    <w:rPr>
                      <w:rFonts w:hint="eastAsia" w:ascii="Times New Roman" w:hAnsi="Times New Roman"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42.1</w:t>
                  </w:r>
                </w:p>
              </w:tc>
              <w:tc>
                <w:tcPr>
                  <w:tcW w:w="387" w:type="dxa"/>
                  <w:vAlign w:val="center"/>
                </w:tcPr>
                <w:p>
                  <w:pPr>
                    <w:spacing w:line="360" w:lineRule="exact"/>
                    <w:jc w:val="center"/>
                    <w:rPr>
                      <w:rFonts w:hint="eastAsia"/>
                      <w:color w:val="auto"/>
                      <w:sz w:val="21"/>
                      <w:szCs w:val="21"/>
                      <w:highlight w:val="none"/>
                    </w:rPr>
                  </w:pPr>
                  <w:r>
                    <w:rPr>
                      <w:rFonts w:hint="eastAsia"/>
                      <w:color w:val="auto"/>
                      <w:sz w:val="21"/>
                      <w:szCs w:val="21"/>
                      <w:highlight w:val="none"/>
                    </w:rPr>
                    <w:t>5</w:t>
                  </w:r>
                  <w:r>
                    <w:rPr>
                      <w:color w:val="auto"/>
                      <w:sz w:val="21"/>
                      <w:szCs w:val="21"/>
                      <w:highlight w:val="none"/>
                    </w:rPr>
                    <w:t>2</w:t>
                  </w:r>
                </w:p>
              </w:tc>
              <w:tc>
                <w:tcPr>
                  <w:tcW w:w="394" w:type="dxa"/>
                  <w:vAlign w:val="center"/>
                </w:tcPr>
                <w:p>
                  <w:pPr>
                    <w:spacing w:line="360" w:lineRule="exact"/>
                    <w:jc w:val="center"/>
                    <w:rPr>
                      <w:rFonts w:hint="eastAsia"/>
                      <w:color w:val="auto"/>
                      <w:sz w:val="21"/>
                      <w:szCs w:val="21"/>
                      <w:highlight w:val="none"/>
                    </w:rPr>
                  </w:pPr>
                  <w:r>
                    <w:rPr>
                      <w:rFonts w:hint="eastAsia"/>
                      <w:color w:val="auto"/>
                      <w:sz w:val="21"/>
                      <w:szCs w:val="21"/>
                      <w:highlight w:val="none"/>
                      <w:lang w:val="en-US" w:eastAsia="zh-CN"/>
                    </w:rPr>
                    <w:t>40</w:t>
                  </w:r>
                </w:p>
              </w:tc>
              <w:tc>
                <w:tcPr>
                  <w:tcW w:w="38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52.7 </w:t>
                  </w:r>
                </w:p>
              </w:tc>
              <w:tc>
                <w:tcPr>
                  <w:tcW w:w="39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44.2 </w:t>
                  </w:r>
                </w:p>
              </w:tc>
              <w:tc>
                <w:tcPr>
                  <w:tcW w:w="384" w:type="dxa"/>
                  <w:vAlign w:val="center"/>
                </w:tcPr>
                <w:p>
                  <w:pPr>
                    <w:jc w:val="center"/>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w:t>
                  </w:r>
                </w:p>
              </w:tc>
              <w:tc>
                <w:tcPr>
                  <w:tcW w:w="398" w:type="dxa"/>
                  <w:vAlign w:val="center"/>
                </w:tcPr>
                <w:p>
                  <w:pPr>
                    <w:jc w:val="center"/>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w:t>
                  </w:r>
                </w:p>
              </w:tc>
              <w:tc>
                <w:tcPr>
                  <w:tcW w:w="781" w:type="dxa"/>
                  <w:vAlign w:val="center"/>
                </w:tcPr>
                <w:p>
                  <w:pPr>
                    <w:adjustRightIn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类</w:t>
                  </w:r>
                </w:p>
              </w:tc>
              <w:tc>
                <w:tcPr>
                  <w:tcW w:w="756" w:type="dxa"/>
                  <w:vMerge w:val="continue"/>
                  <w:vAlign w:val="center"/>
                </w:tcPr>
                <w:p>
                  <w:pPr>
                    <w:adjustRightInd w:val="0"/>
                    <w:jc w:val="center"/>
                    <w:rPr>
                      <w:rFonts w:hint="default" w:ascii="Times New Roman" w:hAnsi="Times New Roman" w:cs="Times New Roman"/>
                      <w:bCs/>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5" w:type="dxa"/>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6</w:t>
                  </w:r>
                </w:p>
              </w:tc>
              <w:tc>
                <w:tcPr>
                  <w:tcW w:w="1319" w:type="dxa"/>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eastAsia="zh-CN"/>
                    </w:rPr>
                    <w:t>蒲吕街道沙心村民房</w:t>
                  </w:r>
                  <w:r>
                    <w:rPr>
                      <w:rFonts w:hint="eastAsia" w:cs="Times New Roman"/>
                      <w:bCs/>
                      <w:color w:val="auto"/>
                      <w:sz w:val="21"/>
                      <w:szCs w:val="21"/>
                      <w:highlight w:val="none"/>
                      <w:lang w:val="en-US" w:eastAsia="zh-CN"/>
                    </w:rPr>
                    <w:t>8</w:t>
                  </w:r>
                </w:p>
              </w:tc>
              <w:tc>
                <w:tcPr>
                  <w:tcW w:w="1450" w:type="dxa"/>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eastAsia="zh-CN"/>
                    </w:rPr>
                    <w:t>线路两侧，最近约</w:t>
                  </w:r>
                  <w:r>
                    <w:rPr>
                      <w:rFonts w:hint="default" w:ascii="Times New Roman" w:hAnsi="Times New Roman" w:cs="Times New Roman"/>
                      <w:bCs/>
                      <w:color w:val="auto"/>
                      <w:sz w:val="21"/>
                      <w:szCs w:val="21"/>
                      <w:highlight w:val="none"/>
                      <w:lang w:val="en-US" w:eastAsia="zh-CN"/>
                    </w:rPr>
                    <w:t>24m</w:t>
                  </w:r>
                </w:p>
              </w:tc>
              <w:tc>
                <w:tcPr>
                  <w:tcW w:w="406" w:type="dxa"/>
                  <w:vAlign w:val="center"/>
                </w:tcPr>
                <w:p>
                  <w:pPr>
                    <w:pStyle w:val="98"/>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i w:val="0"/>
                      <w:iCs w:val="0"/>
                      <w:color w:val="auto"/>
                      <w:sz w:val="21"/>
                      <w:szCs w:val="21"/>
                      <w:lang w:val="en-US" w:eastAsia="zh-CN"/>
                    </w:rPr>
                    <w:t>44.7</w:t>
                  </w:r>
                </w:p>
              </w:tc>
              <w:tc>
                <w:tcPr>
                  <w:tcW w:w="413" w:type="dxa"/>
                  <w:vAlign w:val="center"/>
                </w:tcPr>
                <w:p>
                  <w:pPr>
                    <w:pStyle w:val="98"/>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i w:val="0"/>
                      <w:iCs w:val="0"/>
                      <w:color w:val="auto"/>
                      <w:sz w:val="21"/>
                      <w:szCs w:val="21"/>
                      <w:lang w:val="en-US" w:eastAsia="zh-CN"/>
                    </w:rPr>
                    <w:t>42.5</w:t>
                  </w:r>
                </w:p>
              </w:tc>
              <w:tc>
                <w:tcPr>
                  <w:tcW w:w="387" w:type="dxa"/>
                  <w:vAlign w:val="center"/>
                </w:tcPr>
                <w:p>
                  <w:pPr>
                    <w:spacing w:line="360" w:lineRule="exact"/>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rPr>
                    <w:t>5</w:t>
                  </w:r>
                  <w:r>
                    <w:rPr>
                      <w:color w:val="auto"/>
                      <w:sz w:val="21"/>
                      <w:szCs w:val="21"/>
                      <w:highlight w:val="none"/>
                    </w:rPr>
                    <w:t>2</w:t>
                  </w:r>
                </w:p>
              </w:tc>
              <w:tc>
                <w:tcPr>
                  <w:tcW w:w="394" w:type="dxa"/>
                  <w:vAlign w:val="center"/>
                </w:tcPr>
                <w:p>
                  <w:pPr>
                    <w:spacing w:line="360" w:lineRule="exact"/>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lang w:val="en-US" w:eastAsia="zh-CN"/>
                    </w:rPr>
                    <w:t>40</w:t>
                  </w:r>
                </w:p>
              </w:tc>
              <w:tc>
                <w:tcPr>
                  <w:tcW w:w="38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52.7 </w:t>
                  </w:r>
                </w:p>
              </w:tc>
              <w:tc>
                <w:tcPr>
                  <w:tcW w:w="39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44.4 </w:t>
                  </w:r>
                </w:p>
              </w:tc>
              <w:tc>
                <w:tcPr>
                  <w:tcW w:w="384"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55</w:t>
                  </w:r>
                </w:p>
              </w:tc>
              <w:tc>
                <w:tcPr>
                  <w:tcW w:w="398"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45</w:t>
                  </w:r>
                </w:p>
              </w:tc>
              <w:tc>
                <w:tcPr>
                  <w:tcW w:w="781" w:type="dxa"/>
                  <w:vAlign w:val="center"/>
                </w:tcPr>
                <w:p>
                  <w:pPr>
                    <w:adjustRightIn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现状1类，高速公路建成后4a类</w:t>
                  </w:r>
                </w:p>
              </w:tc>
              <w:tc>
                <w:tcPr>
                  <w:tcW w:w="756" w:type="dxa"/>
                  <w:vMerge w:val="continue"/>
                  <w:vAlign w:val="center"/>
                </w:tcPr>
                <w:p>
                  <w:pPr>
                    <w:adjustRightInd w:val="0"/>
                    <w:jc w:val="center"/>
                    <w:rPr>
                      <w:rFonts w:hint="default" w:ascii="Times New Roman" w:hAnsi="Times New Roman" w:cs="Times New Roman"/>
                      <w:bCs/>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5" w:type="dxa"/>
                  <w:vMerge w:val="restart"/>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7</w:t>
                  </w:r>
                </w:p>
              </w:tc>
              <w:tc>
                <w:tcPr>
                  <w:tcW w:w="1319" w:type="dxa"/>
                  <w:vMerge w:val="restart"/>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eastAsia="zh-CN"/>
                    </w:rPr>
                    <w:t>蒲吕街道沙心村民房</w:t>
                  </w:r>
                  <w:r>
                    <w:rPr>
                      <w:rFonts w:hint="eastAsia" w:cs="Times New Roman"/>
                      <w:bCs/>
                      <w:color w:val="auto"/>
                      <w:sz w:val="21"/>
                      <w:szCs w:val="21"/>
                      <w:highlight w:val="none"/>
                      <w:lang w:val="en-US" w:eastAsia="zh-CN"/>
                    </w:rPr>
                    <w:t>3</w:t>
                  </w:r>
                </w:p>
              </w:tc>
              <w:tc>
                <w:tcPr>
                  <w:tcW w:w="1450" w:type="dxa"/>
                  <w:vAlign w:val="center"/>
                </w:tcPr>
                <w:p>
                  <w:pPr>
                    <w:adjustRightIn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德淮南线</w:t>
                  </w:r>
                  <w:r>
                    <w:rPr>
                      <w:rFonts w:hint="default" w:ascii="Times New Roman" w:hAnsi="Times New Roman" w:cs="Times New Roman"/>
                      <w:bCs/>
                      <w:color w:val="auto"/>
                      <w:sz w:val="21"/>
                      <w:szCs w:val="21"/>
                      <w:highlight w:val="none"/>
                      <w:lang w:eastAsia="zh-CN"/>
                    </w:rPr>
                    <w:t>西侧约</w:t>
                  </w:r>
                  <w:r>
                    <w:rPr>
                      <w:rFonts w:hint="default" w:ascii="Times New Roman" w:hAnsi="Times New Roman" w:cs="Times New Roman"/>
                      <w:bCs/>
                      <w:color w:val="auto"/>
                      <w:sz w:val="21"/>
                      <w:szCs w:val="21"/>
                      <w:highlight w:val="none"/>
                      <w:lang w:val="en-US" w:eastAsia="zh-CN"/>
                    </w:rPr>
                    <w:t>8m</w:t>
                  </w:r>
                </w:p>
              </w:tc>
              <w:tc>
                <w:tcPr>
                  <w:tcW w:w="406" w:type="dxa"/>
                  <w:vAlign w:val="center"/>
                </w:tcPr>
                <w:p>
                  <w:pPr>
                    <w:pStyle w:val="98"/>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i w:val="0"/>
                      <w:iCs w:val="0"/>
                      <w:color w:val="auto"/>
                      <w:sz w:val="21"/>
                      <w:szCs w:val="21"/>
                      <w:lang w:val="en-US" w:eastAsia="zh-CN"/>
                    </w:rPr>
                    <w:t>43.6</w:t>
                  </w:r>
                </w:p>
              </w:tc>
              <w:tc>
                <w:tcPr>
                  <w:tcW w:w="413" w:type="dxa"/>
                  <w:vAlign w:val="center"/>
                </w:tcPr>
                <w:p>
                  <w:pPr>
                    <w:pStyle w:val="98"/>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i w:val="0"/>
                      <w:iCs w:val="0"/>
                      <w:color w:val="auto"/>
                      <w:sz w:val="21"/>
                      <w:szCs w:val="21"/>
                      <w:lang w:val="en-US" w:eastAsia="zh-CN"/>
                    </w:rPr>
                    <w:t>40.5</w:t>
                  </w:r>
                </w:p>
              </w:tc>
              <w:tc>
                <w:tcPr>
                  <w:tcW w:w="387" w:type="dxa"/>
                  <w:vMerge w:val="restart"/>
                  <w:vAlign w:val="center"/>
                </w:tcPr>
                <w:p>
                  <w:pPr>
                    <w:spacing w:line="360" w:lineRule="exact"/>
                    <w:jc w:val="center"/>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rPr>
                    <w:t>4</w:t>
                  </w:r>
                  <w:r>
                    <w:rPr>
                      <w:rFonts w:hint="eastAsia"/>
                      <w:color w:val="auto"/>
                      <w:sz w:val="21"/>
                      <w:szCs w:val="21"/>
                      <w:highlight w:val="none"/>
                      <w:lang w:val="en-US" w:eastAsia="zh-CN"/>
                    </w:rPr>
                    <w:t>9</w:t>
                  </w:r>
                </w:p>
              </w:tc>
              <w:tc>
                <w:tcPr>
                  <w:tcW w:w="394" w:type="dxa"/>
                  <w:vMerge w:val="restart"/>
                  <w:vAlign w:val="center"/>
                </w:tcPr>
                <w:p>
                  <w:pPr>
                    <w:spacing w:line="360" w:lineRule="exact"/>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rPr>
                    <w:t>4</w:t>
                  </w:r>
                  <w:r>
                    <w:rPr>
                      <w:color w:val="auto"/>
                      <w:sz w:val="21"/>
                      <w:szCs w:val="21"/>
                      <w:highlight w:val="none"/>
                    </w:rPr>
                    <w:t>1</w:t>
                  </w:r>
                </w:p>
              </w:tc>
              <w:tc>
                <w:tcPr>
                  <w:tcW w:w="386"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51.0</w:t>
                  </w:r>
                </w:p>
              </w:tc>
              <w:tc>
                <w:tcPr>
                  <w:tcW w:w="396"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45.8</w:t>
                  </w:r>
                </w:p>
              </w:tc>
              <w:tc>
                <w:tcPr>
                  <w:tcW w:w="384" w:type="dxa"/>
                  <w:vMerge w:val="restar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65</w:t>
                  </w:r>
                </w:p>
              </w:tc>
              <w:tc>
                <w:tcPr>
                  <w:tcW w:w="398" w:type="dxa"/>
                  <w:vMerge w:val="restar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55</w:t>
                  </w:r>
                </w:p>
              </w:tc>
              <w:tc>
                <w:tcPr>
                  <w:tcW w:w="781" w:type="dxa"/>
                  <w:vMerge w:val="restart"/>
                  <w:vAlign w:val="center"/>
                </w:tcPr>
                <w:p>
                  <w:pPr>
                    <w:adjustRightIn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rPr>
                    <w:t>类</w:t>
                  </w:r>
                </w:p>
              </w:tc>
              <w:tc>
                <w:tcPr>
                  <w:tcW w:w="756" w:type="dxa"/>
                  <w:vMerge w:val="restart"/>
                  <w:vAlign w:val="center"/>
                </w:tcPr>
                <w:p>
                  <w:pPr>
                    <w:adjustRightIn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单回段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5" w:type="dxa"/>
                  <w:vMerge w:val="continue"/>
                  <w:vAlign w:val="center"/>
                </w:tcPr>
                <w:p>
                  <w:pPr>
                    <w:adjustRightInd w:val="0"/>
                    <w:jc w:val="center"/>
                    <w:rPr>
                      <w:rFonts w:hint="eastAsia" w:cs="Times New Roman"/>
                      <w:bCs/>
                      <w:color w:val="auto"/>
                      <w:sz w:val="21"/>
                      <w:szCs w:val="21"/>
                      <w:highlight w:val="none"/>
                      <w:lang w:val="en-US" w:eastAsia="zh-CN"/>
                    </w:rPr>
                  </w:pPr>
                </w:p>
              </w:tc>
              <w:tc>
                <w:tcPr>
                  <w:tcW w:w="1319" w:type="dxa"/>
                  <w:vMerge w:val="continue"/>
                  <w:vAlign w:val="center"/>
                </w:tcPr>
                <w:p>
                  <w:pPr>
                    <w:adjustRightInd w:val="0"/>
                    <w:jc w:val="center"/>
                    <w:rPr>
                      <w:rFonts w:hint="default" w:ascii="Times New Roman" w:hAnsi="Times New Roman" w:cs="Times New Roman"/>
                      <w:bCs/>
                      <w:color w:val="auto"/>
                      <w:sz w:val="21"/>
                      <w:szCs w:val="21"/>
                      <w:highlight w:val="none"/>
                      <w:lang w:eastAsia="zh-CN"/>
                    </w:rPr>
                  </w:pPr>
                </w:p>
              </w:tc>
              <w:tc>
                <w:tcPr>
                  <w:tcW w:w="1450" w:type="dxa"/>
                  <w:vAlign w:val="center"/>
                </w:tcPr>
                <w:p>
                  <w:pPr>
                    <w:adjustRightInd w:val="0"/>
                    <w:jc w:val="center"/>
                    <w:rPr>
                      <w:rFonts w:hint="default" w:ascii="Times New Roman" w:hAnsi="Times New Roman" w:cs="Times New Roman"/>
                      <w:bCs/>
                      <w:color w:val="auto"/>
                      <w:sz w:val="21"/>
                      <w:szCs w:val="21"/>
                      <w:highlight w:val="none"/>
                      <w:lang w:eastAsia="zh-CN"/>
                    </w:rPr>
                  </w:pPr>
                  <w:r>
                    <w:rPr>
                      <w:rFonts w:hint="eastAsia" w:cs="Times New Roman"/>
                      <w:bCs/>
                      <w:color w:val="auto"/>
                      <w:sz w:val="21"/>
                      <w:szCs w:val="21"/>
                      <w:highlight w:val="none"/>
                      <w:lang w:val="en-US" w:eastAsia="zh-CN"/>
                    </w:rPr>
                    <w:t>德淮北线</w:t>
                  </w:r>
                  <w:r>
                    <w:rPr>
                      <w:rFonts w:hint="default" w:ascii="Times New Roman" w:hAnsi="Times New Roman" w:cs="Times New Roman"/>
                      <w:bCs/>
                      <w:color w:val="auto"/>
                      <w:sz w:val="21"/>
                      <w:szCs w:val="21"/>
                      <w:highlight w:val="none"/>
                      <w:lang w:eastAsia="zh-CN"/>
                    </w:rPr>
                    <w:t>西侧约</w:t>
                  </w:r>
                  <w:r>
                    <w:rPr>
                      <w:rFonts w:hint="eastAsia" w:ascii="Times New Roman" w:hAnsi="Times New Roman" w:cs="Times New Roman"/>
                      <w:bCs/>
                      <w:color w:val="auto"/>
                      <w:sz w:val="21"/>
                      <w:szCs w:val="21"/>
                      <w:highlight w:val="none"/>
                      <w:lang w:val="en-US" w:eastAsia="zh-CN"/>
                    </w:rPr>
                    <w:t>16</w:t>
                  </w:r>
                  <w:r>
                    <w:rPr>
                      <w:rFonts w:hint="default" w:ascii="Times New Roman" w:hAnsi="Times New Roman" w:cs="Times New Roman"/>
                      <w:bCs/>
                      <w:color w:val="auto"/>
                      <w:sz w:val="21"/>
                      <w:szCs w:val="21"/>
                      <w:highlight w:val="none"/>
                      <w:lang w:val="en-US" w:eastAsia="zh-CN"/>
                    </w:rPr>
                    <w:t>m</w:t>
                  </w:r>
                </w:p>
              </w:tc>
              <w:tc>
                <w:tcPr>
                  <w:tcW w:w="406" w:type="dxa"/>
                  <w:vAlign w:val="center"/>
                </w:tcPr>
                <w:p>
                  <w:pPr>
                    <w:pStyle w:val="98"/>
                    <w:spacing w:line="240" w:lineRule="auto"/>
                    <w:ind w:firstLine="0" w:firstLineChars="0"/>
                    <w:jc w:val="center"/>
                    <w:rPr>
                      <w:rFonts w:hint="default" w:ascii="Times New Roman" w:hAnsi="Times New Roman"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43.2</w:t>
                  </w:r>
                </w:p>
              </w:tc>
              <w:tc>
                <w:tcPr>
                  <w:tcW w:w="413" w:type="dxa"/>
                  <w:vAlign w:val="center"/>
                </w:tcPr>
                <w:p>
                  <w:pPr>
                    <w:pStyle w:val="98"/>
                    <w:spacing w:line="240" w:lineRule="auto"/>
                    <w:ind w:firstLine="0" w:firstLineChars="0"/>
                    <w:jc w:val="center"/>
                    <w:rPr>
                      <w:rFonts w:hint="default" w:ascii="Times New Roman" w:hAnsi="Times New Roman"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40.7</w:t>
                  </w:r>
                </w:p>
              </w:tc>
              <w:tc>
                <w:tcPr>
                  <w:tcW w:w="387" w:type="dxa"/>
                  <w:vMerge w:val="continue"/>
                  <w:vAlign w:val="center"/>
                </w:tcPr>
                <w:p>
                  <w:pPr>
                    <w:spacing w:line="360" w:lineRule="exact"/>
                    <w:jc w:val="center"/>
                    <w:rPr>
                      <w:rFonts w:hint="eastAsia"/>
                      <w:color w:val="auto"/>
                      <w:sz w:val="21"/>
                      <w:szCs w:val="21"/>
                      <w:highlight w:val="none"/>
                    </w:rPr>
                  </w:pPr>
                </w:p>
              </w:tc>
              <w:tc>
                <w:tcPr>
                  <w:tcW w:w="394" w:type="dxa"/>
                  <w:vMerge w:val="continue"/>
                  <w:vAlign w:val="center"/>
                </w:tcPr>
                <w:p>
                  <w:pPr>
                    <w:spacing w:line="360" w:lineRule="exact"/>
                    <w:jc w:val="center"/>
                    <w:rPr>
                      <w:rFonts w:hint="eastAsia"/>
                      <w:color w:val="auto"/>
                      <w:sz w:val="21"/>
                      <w:szCs w:val="21"/>
                      <w:highlight w:val="none"/>
                    </w:rPr>
                  </w:pPr>
                </w:p>
              </w:tc>
              <w:tc>
                <w:tcPr>
                  <w:tcW w:w="386" w:type="dxa"/>
                  <w:vMerge w:val="continue"/>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396"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84" w:type="dxa"/>
                  <w:vMerge w:val="continue"/>
                  <w:vAlign w:val="center"/>
                </w:tcPr>
                <w:p>
                  <w:pPr>
                    <w:jc w:val="center"/>
                    <w:rPr>
                      <w:rFonts w:hint="default" w:ascii="Times New Roman" w:hAnsi="Times New Roman" w:cs="Times New Roman"/>
                      <w:color w:val="auto"/>
                      <w:sz w:val="21"/>
                      <w:szCs w:val="21"/>
                      <w:highlight w:val="none"/>
                      <w:lang w:val="en-US" w:eastAsia="zh-CN"/>
                    </w:rPr>
                  </w:pPr>
                </w:p>
              </w:tc>
              <w:tc>
                <w:tcPr>
                  <w:tcW w:w="398" w:type="dxa"/>
                  <w:vMerge w:val="continue"/>
                  <w:vAlign w:val="center"/>
                </w:tcPr>
                <w:p>
                  <w:pPr>
                    <w:jc w:val="center"/>
                    <w:rPr>
                      <w:rFonts w:hint="default" w:ascii="Times New Roman" w:hAnsi="Times New Roman" w:cs="Times New Roman"/>
                      <w:color w:val="auto"/>
                      <w:sz w:val="21"/>
                      <w:szCs w:val="21"/>
                      <w:highlight w:val="none"/>
                      <w:lang w:val="en-US" w:eastAsia="zh-CN"/>
                    </w:rPr>
                  </w:pPr>
                </w:p>
              </w:tc>
              <w:tc>
                <w:tcPr>
                  <w:tcW w:w="781" w:type="dxa"/>
                  <w:vMerge w:val="continue"/>
                  <w:vAlign w:val="center"/>
                </w:tcPr>
                <w:p>
                  <w:pPr>
                    <w:adjustRightInd w:val="0"/>
                    <w:jc w:val="center"/>
                    <w:rPr>
                      <w:rFonts w:hint="default" w:ascii="Times New Roman" w:hAnsi="Times New Roman" w:cs="Times New Roman"/>
                      <w:bCs/>
                      <w:color w:val="auto"/>
                      <w:sz w:val="21"/>
                      <w:szCs w:val="21"/>
                      <w:highlight w:val="none"/>
                      <w:lang w:val="en-US" w:eastAsia="zh-CN"/>
                    </w:rPr>
                  </w:pPr>
                </w:p>
              </w:tc>
              <w:tc>
                <w:tcPr>
                  <w:tcW w:w="756" w:type="dxa"/>
                  <w:vMerge w:val="continue"/>
                  <w:vAlign w:val="center"/>
                </w:tcPr>
                <w:p>
                  <w:pPr>
                    <w:adjustRightInd w:val="0"/>
                    <w:jc w:val="center"/>
                    <w:rPr>
                      <w:rFonts w:hint="default" w:ascii="Times New Roman" w:hAnsi="Times New Roman" w:cs="Times New Roman"/>
                      <w:bCs/>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5" w:type="dxa"/>
                  <w:vMerge w:val="continue"/>
                  <w:vAlign w:val="center"/>
                </w:tcPr>
                <w:p>
                  <w:pPr>
                    <w:adjustRightInd w:val="0"/>
                    <w:jc w:val="center"/>
                    <w:rPr>
                      <w:rFonts w:hint="eastAsia" w:cs="Times New Roman"/>
                      <w:bCs/>
                      <w:color w:val="auto"/>
                      <w:sz w:val="21"/>
                      <w:szCs w:val="21"/>
                      <w:highlight w:val="none"/>
                      <w:lang w:val="en-US" w:eastAsia="zh-CN"/>
                    </w:rPr>
                  </w:pPr>
                </w:p>
              </w:tc>
              <w:tc>
                <w:tcPr>
                  <w:tcW w:w="1319" w:type="dxa"/>
                  <w:vMerge w:val="continue"/>
                  <w:vAlign w:val="center"/>
                </w:tcPr>
                <w:p>
                  <w:pPr>
                    <w:adjustRightInd w:val="0"/>
                    <w:jc w:val="center"/>
                    <w:rPr>
                      <w:rFonts w:hint="default" w:ascii="Times New Roman" w:hAnsi="Times New Roman" w:cs="Times New Roman"/>
                      <w:bCs/>
                      <w:color w:val="auto"/>
                      <w:sz w:val="21"/>
                      <w:szCs w:val="21"/>
                      <w:highlight w:val="none"/>
                      <w:lang w:eastAsia="zh-CN"/>
                    </w:rPr>
                  </w:pPr>
                </w:p>
              </w:tc>
              <w:tc>
                <w:tcPr>
                  <w:tcW w:w="1450" w:type="dxa"/>
                  <w:vAlign w:val="center"/>
                </w:tcPr>
                <w:p>
                  <w:pPr>
                    <w:adjustRightInd w:val="0"/>
                    <w:jc w:val="center"/>
                    <w:rPr>
                      <w:rFonts w:hint="eastAsia"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淮阳变电站</w:t>
                  </w:r>
                </w:p>
              </w:tc>
              <w:tc>
                <w:tcPr>
                  <w:tcW w:w="406" w:type="dxa"/>
                  <w:vAlign w:val="center"/>
                </w:tcPr>
                <w:p>
                  <w:pPr>
                    <w:pStyle w:val="98"/>
                    <w:spacing w:line="240" w:lineRule="auto"/>
                    <w:ind w:firstLine="0" w:firstLineChars="0"/>
                    <w:jc w:val="center"/>
                    <w:rPr>
                      <w:rFonts w:hint="eastAsia" w:ascii="Times New Roman" w:hAnsi="Times New Roman" w:cs="Times New Roman"/>
                      <w:i w:val="0"/>
                      <w:iCs w:val="0"/>
                      <w:color w:val="auto"/>
                      <w:sz w:val="21"/>
                      <w:szCs w:val="21"/>
                      <w:lang w:val="en-US" w:eastAsia="zh-CN"/>
                    </w:rPr>
                  </w:pPr>
                  <w:r>
                    <w:rPr>
                      <w:rFonts w:hint="eastAsia" w:ascii="Times New Roman" w:hAnsi="Times New Roman" w:eastAsia="宋体" w:cs="Times New Roman"/>
                      <w:color w:val="auto"/>
                      <w:sz w:val="21"/>
                      <w:szCs w:val="21"/>
                      <w:highlight w:val="none"/>
                      <w:lang w:val="en-US" w:eastAsia="zh-CN" w:bidi="en-US"/>
                    </w:rPr>
                    <w:t>34.</w:t>
                  </w:r>
                  <w:r>
                    <w:rPr>
                      <w:rFonts w:hint="eastAsia" w:cs="Times New Roman"/>
                      <w:color w:val="auto"/>
                      <w:sz w:val="21"/>
                      <w:szCs w:val="21"/>
                      <w:highlight w:val="none"/>
                      <w:lang w:val="en-US" w:eastAsia="zh-CN" w:bidi="en-US"/>
                    </w:rPr>
                    <w:t>2</w:t>
                  </w:r>
                </w:p>
              </w:tc>
              <w:tc>
                <w:tcPr>
                  <w:tcW w:w="413" w:type="dxa"/>
                  <w:vAlign w:val="center"/>
                </w:tcPr>
                <w:p>
                  <w:pPr>
                    <w:pStyle w:val="98"/>
                    <w:spacing w:line="240" w:lineRule="auto"/>
                    <w:ind w:firstLine="0" w:firstLineChars="0"/>
                    <w:jc w:val="center"/>
                    <w:rPr>
                      <w:rFonts w:hint="eastAsia" w:ascii="Times New Roman" w:hAnsi="Times New Roman" w:cs="Times New Roman"/>
                      <w:i w:val="0"/>
                      <w:iCs w:val="0"/>
                      <w:color w:val="auto"/>
                      <w:sz w:val="21"/>
                      <w:szCs w:val="21"/>
                      <w:lang w:val="en-US" w:eastAsia="zh-CN"/>
                    </w:rPr>
                  </w:pPr>
                  <w:r>
                    <w:rPr>
                      <w:rFonts w:hint="eastAsia" w:ascii="Times New Roman" w:hAnsi="Times New Roman" w:eastAsia="宋体" w:cs="Times New Roman"/>
                      <w:color w:val="auto"/>
                      <w:sz w:val="21"/>
                      <w:szCs w:val="21"/>
                      <w:highlight w:val="none"/>
                      <w:lang w:val="en-US" w:eastAsia="zh-CN" w:bidi="en-US"/>
                    </w:rPr>
                    <w:t>34.</w:t>
                  </w:r>
                  <w:r>
                    <w:rPr>
                      <w:rFonts w:hint="eastAsia" w:cs="Times New Roman"/>
                      <w:color w:val="auto"/>
                      <w:sz w:val="21"/>
                      <w:szCs w:val="21"/>
                      <w:highlight w:val="none"/>
                      <w:lang w:val="en-US" w:eastAsia="zh-CN" w:bidi="en-US"/>
                    </w:rPr>
                    <w:t>2</w:t>
                  </w:r>
                </w:p>
              </w:tc>
              <w:tc>
                <w:tcPr>
                  <w:tcW w:w="387" w:type="dxa"/>
                  <w:vMerge w:val="continue"/>
                  <w:vAlign w:val="center"/>
                </w:tcPr>
                <w:p>
                  <w:pPr>
                    <w:spacing w:line="360" w:lineRule="exact"/>
                    <w:jc w:val="center"/>
                    <w:rPr>
                      <w:rFonts w:hint="eastAsia"/>
                      <w:color w:val="auto"/>
                      <w:sz w:val="21"/>
                      <w:szCs w:val="21"/>
                      <w:highlight w:val="none"/>
                    </w:rPr>
                  </w:pPr>
                </w:p>
              </w:tc>
              <w:tc>
                <w:tcPr>
                  <w:tcW w:w="394" w:type="dxa"/>
                  <w:vMerge w:val="continue"/>
                  <w:vAlign w:val="center"/>
                </w:tcPr>
                <w:p>
                  <w:pPr>
                    <w:spacing w:line="360" w:lineRule="exact"/>
                    <w:jc w:val="center"/>
                    <w:rPr>
                      <w:rFonts w:hint="eastAsia"/>
                      <w:color w:val="auto"/>
                      <w:sz w:val="21"/>
                      <w:szCs w:val="21"/>
                      <w:highlight w:val="none"/>
                    </w:rPr>
                  </w:pPr>
                </w:p>
              </w:tc>
              <w:tc>
                <w:tcPr>
                  <w:tcW w:w="386" w:type="dxa"/>
                  <w:vMerge w:val="continue"/>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396"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84" w:type="dxa"/>
                  <w:vMerge w:val="continue"/>
                  <w:vAlign w:val="center"/>
                </w:tcPr>
                <w:p>
                  <w:pPr>
                    <w:jc w:val="center"/>
                    <w:rPr>
                      <w:rFonts w:hint="default" w:ascii="Times New Roman" w:hAnsi="Times New Roman" w:cs="Times New Roman"/>
                      <w:color w:val="auto"/>
                      <w:sz w:val="21"/>
                      <w:szCs w:val="21"/>
                      <w:highlight w:val="none"/>
                      <w:lang w:val="en-US" w:eastAsia="zh-CN"/>
                    </w:rPr>
                  </w:pPr>
                </w:p>
              </w:tc>
              <w:tc>
                <w:tcPr>
                  <w:tcW w:w="398" w:type="dxa"/>
                  <w:vMerge w:val="continue"/>
                  <w:vAlign w:val="center"/>
                </w:tcPr>
                <w:p>
                  <w:pPr>
                    <w:jc w:val="center"/>
                    <w:rPr>
                      <w:rFonts w:hint="default" w:ascii="Times New Roman" w:hAnsi="Times New Roman" w:cs="Times New Roman"/>
                      <w:color w:val="auto"/>
                      <w:sz w:val="21"/>
                      <w:szCs w:val="21"/>
                      <w:highlight w:val="none"/>
                      <w:lang w:val="en-US" w:eastAsia="zh-CN"/>
                    </w:rPr>
                  </w:pPr>
                </w:p>
              </w:tc>
              <w:tc>
                <w:tcPr>
                  <w:tcW w:w="781" w:type="dxa"/>
                  <w:vMerge w:val="continue"/>
                  <w:vAlign w:val="center"/>
                </w:tcPr>
                <w:p>
                  <w:pPr>
                    <w:adjustRightInd w:val="0"/>
                    <w:jc w:val="center"/>
                    <w:rPr>
                      <w:rFonts w:hint="default" w:ascii="Times New Roman" w:hAnsi="Times New Roman" w:cs="Times New Roman"/>
                      <w:bCs/>
                      <w:color w:val="auto"/>
                      <w:sz w:val="21"/>
                      <w:szCs w:val="21"/>
                      <w:highlight w:val="none"/>
                      <w:lang w:val="en-US" w:eastAsia="zh-CN"/>
                    </w:rPr>
                  </w:pPr>
                </w:p>
              </w:tc>
              <w:tc>
                <w:tcPr>
                  <w:tcW w:w="756" w:type="dxa"/>
                  <w:vAlign w:val="center"/>
                </w:tcPr>
                <w:p>
                  <w:pPr>
                    <w:adjustRightIn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淮阳变电站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775" w:type="dxa"/>
                  <w:gridSpan w:val="13"/>
                  <w:vAlign w:val="center"/>
                </w:tcPr>
                <w:p>
                  <w:pPr>
                    <w:adjustRightIn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eastAsia="zh-CN"/>
                    </w:rPr>
                    <w:t>备注：贡献值直接按照类比线路现状监测值取值，预测结果相对实际结果偏大；敏感点与边导线水平距离位于两个监测点之间的，其昼、夜间噪声监测值分别取较大值。</w:t>
                  </w:r>
                  <w:r>
                    <w:rPr>
                      <w:rFonts w:hint="eastAsia" w:cs="Times New Roman"/>
                      <w:bCs/>
                      <w:color w:val="auto"/>
                      <w:sz w:val="21"/>
                      <w:szCs w:val="21"/>
                      <w:highlight w:val="none"/>
                      <w:lang w:eastAsia="zh-CN"/>
                    </w:rPr>
                    <w:t>序号</w:t>
                  </w:r>
                  <w:r>
                    <w:rPr>
                      <w:rFonts w:hint="eastAsia" w:cs="Times New Roman"/>
                      <w:bCs/>
                      <w:color w:val="auto"/>
                      <w:sz w:val="21"/>
                      <w:szCs w:val="21"/>
                      <w:highlight w:val="none"/>
                      <w:lang w:val="en-US" w:eastAsia="zh-CN"/>
                    </w:rPr>
                    <w:t>5处的背景值未实测，选取离其较近处的序号6处的背景值。</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color w:val="auto"/>
              </w:rPr>
            </w:pPr>
            <w:r>
              <w:rPr>
                <w:rFonts w:hint="eastAsia"/>
                <w:color w:val="auto"/>
                <w:sz w:val="24"/>
                <w:highlight w:val="none"/>
              </w:rPr>
              <w:t>由以上预测结果可知，本项目</w:t>
            </w:r>
            <w:r>
              <w:rPr>
                <w:rFonts w:hint="eastAsia"/>
                <w:color w:val="auto"/>
                <w:sz w:val="24"/>
                <w:highlight w:val="none"/>
                <w:lang w:eastAsia="zh-CN"/>
              </w:rPr>
              <w:t>拟建</w:t>
            </w:r>
            <w:r>
              <w:rPr>
                <w:rFonts w:hint="eastAsia"/>
                <w:color w:val="auto"/>
                <w:sz w:val="24"/>
                <w:highlight w:val="none"/>
              </w:rPr>
              <w:t>线路建成投运后，</w:t>
            </w:r>
            <w:r>
              <w:rPr>
                <w:rFonts w:hint="eastAsia"/>
                <w:color w:val="auto"/>
                <w:sz w:val="24"/>
                <w:highlight w:val="none"/>
                <w:lang w:eastAsia="zh-CN"/>
              </w:rPr>
              <w:t>各声环境保护目标</w:t>
            </w:r>
            <w:r>
              <w:rPr>
                <w:rFonts w:hint="eastAsia"/>
                <w:color w:val="auto"/>
                <w:sz w:val="24"/>
                <w:highlight w:val="none"/>
              </w:rPr>
              <w:t>处噪声预测值分别满足《声环境质量标准》（</w:t>
            </w:r>
            <w:r>
              <w:rPr>
                <w:color w:val="auto"/>
                <w:sz w:val="24"/>
                <w:highlight w:val="none"/>
              </w:rPr>
              <w:t>GB3096-2008</w:t>
            </w:r>
            <w:r>
              <w:rPr>
                <w:rFonts w:hint="eastAsia"/>
                <w:color w:val="auto"/>
                <w:sz w:val="24"/>
                <w:highlight w:val="none"/>
              </w:rPr>
              <w:t>）中</w:t>
            </w:r>
            <w:r>
              <w:rPr>
                <w:rFonts w:hint="eastAsia"/>
                <w:color w:val="auto"/>
                <w:sz w:val="24"/>
                <w:highlight w:val="none"/>
                <w:lang w:val="en-US" w:eastAsia="zh-CN"/>
              </w:rPr>
              <w:t>1类、3</w:t>
            </w:r>
            <w:r>
              <w:rPr>
                <w:rFonts w:hint="eastAsia"/>
                <w:color w:val="auto"/>
                <w:sz w:val="24"/>
                <w:highlight w:val="none"/>
              </w:rPr>
              <w:t>类、4a类声功能区标准限值要求。</w:t>
            </w:r>
          </w:p>
          <w:p>
            <w:pPr>
              <w:adjustRightInd w:val="0"/>
              <w:snapToGrid w:val="0"/>
              <w:spacing w:line="360" w:lineRule="auto"/>
              <w:rPr>
                <w:b/>
                <w:color w:val="auto"/>
                <w:sz w:val="24"/>
                <w:highlight w:val="none"/>
              </w:rPr>
            </w:pPr>
            <w:r>
              <w:rPr>
                <w:rFonts w:hint="eastAsia"/>
                <w:b/>
                <w:color w:val="auto"/>
                <w:sz w:val="24"/>
                <w:highlight w:val="none"/>
              </w:rPr>
              <w:t>4</w:t>
            </w:r>
            <w:r>
              <w:rPr>
                <w:b/>
                <w:color w:val="auto"/>
                <w:sz w:val="24"/>
                <w:highlight w:val="none"/>
              </w:rPr>
              <w:t>.9</w:t>
            </w:r>
            <w:r>
              <w:rPr>
                <w:rFonts w:hint="eastAsia"/>
                <w:b/>
                <w:color w:val="auto"/>
                <w:sz w:val="24"/>
                <w:highlight w:val="none"/>
              </w:rPr>
              <w:t>固体废物</w:t>
            </w:r>
            <w:r>
              <w:rPr>
                <w:b/>
                <w:color w:val="auto"/>
                <w:sz w:val="24"/>
                <w:highlight w:val="none"/>
              </w:rPr>
              <w:t>影响分析</w:t>
            </w:r>
          </w:p>
          <w:p>
            <w:pPr>
              <w:adjustRightInd w:val="0"/>
              <w:snapToGrid w:val="0"/>
              <w:spacing w:line="360" w:lineRule="auto"/>
              <w:ind w:firstLine="482" w:firstLineChars="200"/>
              <w:rPr>
                <w:b/>
                <w:bCs/>
                <w:color w:val="auto"/>
                <w:sz w:val="24"/>
              </w:rPr>
            </w:pPr>
            <w:r>
              <w:rPr>
                <w:b/>
                <w:bCs/>
                <w:color w:val="auto"/>
                <w:sz w:val="24"/>
              </w:rPr>
              <w:t>（1）生活垃圾</w:t>
            </w:r>
          </w:p>
          <w:p>
            <w:pPr>
              <w:adjustRightInd w:val="0"/>
              <w:snapToGrid w:val="0"/>
              <w:spacing w:line="360" w:lineRule="auto"/>
              <w:ind w:firstLine="480" w:firstLineChars="200"/>
              <w:rPr>
                <w:color w:val="auto"/>
                <w:sz w:val="24"/>
              </w:rPr>
            </w:pPr>
            <w:r>
              <w:rPr>
                <w:color w:val="auto"/>
                <w:sz w:val="24"/>
              </w:rPr>
              <w:t>项目投入运营后，变电站值守2人会产生生活垃圾，生活垃圾交市政环卫部门处理。</w:t>
            </w:r>
          </w:p>
          <w:p>
            <w:pPr>
              <w:adjustRightInd w:val="0"/>
              <w:snapToGrid w:val="0"/>
              <w:spacing w:line="360" w:lineRule="auto"/>
              <w:ind w:firstLine="482" w:firstLineChars="200"/>
              <w:rPr>
                <w:b/>
                <w:bCs/>
                <w:color w:val="auto"/>
                <w:sz w:val="24"/>
              </w:rPr>
            </w:pPr>
            <w:r>
              <w:rPr>
                <w:b/>
                <w:bCs/>
                <w:color w:val="auto"/>
                <w:sz w:val="24"/>
              </w:rPr>
              <w:t>（2）危险废物</w:t>
            </w:r>
          </w:p>
          <w:p>
            <w:pPr>
              <w:adjustRightInd w:val="0"/>
              <w:snapToGrid w:val="0"/>
              <w:spacing w:line="360" w:lineRule="auto"/>
              <w:ind w:firstLine="480" w:firstLineChars="200"/>
              <w:rPr>
                <w:color w:val="auto"/>
                <w:sz w:val="24"/>
              </w:rPr>
            </w:pPr>
            <w:r>
              <w:rPr>
                <w:color w:val="auto"/>
                <w:sz w:val="24"/>
              </w:rPr>
              <w:t>本项目变电站在运营过程中产生的危险废物主要有：废变压油、变压器油滤渣、废蓄电池</w:t>
            </w:r>
            <w:r>
              <w:rPr>
                <w:rFonts w:hint="eastAsia"/>
                <w:color w:val="auto"/>
                <w:sz w:val="24"/>
                <w:lang w:eastAsia="zh-CN"/>
              </w:rPr>
              <w:t>、</w:t>
            </w:r>
            <w:r>
              <w:rPr>
                <w:bCs/>
                <w:color w:val="auto"/>
                <w:kern w:val="0"/>
                <w:sz w:val="24"/>
              </w:rPr>
              <w:t>废含油手套、抹布</w:t>
            </w:r>
            <w:r>
              <w:rPr>
                <w:color w:val="auto"/>
                <w:sz w:val="24"/>
              </w:rPr>
              <w:t>等。</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color w:val="auto"/>
                <w:sz w:val="24"/>
              </w:rPr>
              <w:t>①</w:t>
            </w:r>
            <w:r>
              <w:rPr>
                <w:color w:val="auto"/>
                <w:sz w:val="24"/>
              </w:rPr>
              <w:fldChar w:fldCharType="end"/>
            </w:r>
            <w:r>
              <w:rPr>
                <w:color w:val="auto"/>
                <w:sz w:val="24"/>
              </w:rPr>
              <w:t>废变压油</w:t>
            </w:r>
          </w:p>
          <w:p>
            <w:pPr>
              <w:adjustRightInd w:val="0"/>
              <w:snapToGrid w:val="0"/>
              <w:spacing w:line="360" w:lineRule="auto"/>
              <w:ind w:firstLine="480" w:firstLineChars="200"/>
              <w:rPr>
                <w:color w:val="auto"/>
                <w:sz w:val="24"/>
              </w:rPr>
            </w:pPr>
            <w:r>
              <w:rPr>
                <w:color w:val="auto"/>
                <w:sz w:val="24"/>
              </w:rPr>
              <w:t>变压器为了绝缘和冷却的需要，其外壳内装有大量变压器油，一般为克拉玛依25#变压器油，不含PCB。变压器油具有高的比热容、耐电压强度、氧化稳定性，低的凝固点，不能含有水分和杂质，起绝缘、散热和消灭电弧等作用。变压器例行检修和大修时，均不会产生事故废油，仅在事故时，有可能发生变压器喷油，短时间内大量的变压器油从变压器内喷溅出来，泄往四周，造成废油污染。根据变压器故障的情况，产生的废油量不确定。</w:t>
            </w:r>
          </w:p>
          <w:p>
            <w:pPr>
              <w:adjustRightInd w:val="0"/>
              <w:snapToGrid w:val="0"/>
              <w:spacing w:line="360" w:lineRule="auto"/>
              <w:ind w:firstLine="480" w:firstLineChars="200"/>
              <w:rPr>
                <w:color w:val="auto"/>
                <w:sz w:val="24"/>
              </w:rPr>
            </w:pPr>
            <w:r>
              <w:rPr>
                <w:color w:val="auto"/>
                <w:sz w:val="24"/>
              </w:rPr>
              <w:t>项目变电站内2台主变容量均为</w:t>
            </w:r>
            <w:r>
              <w:rPr>
                <w:rFonts w:hint="eastAsia"/>
                <w:color w:val="auto"/>
                <w:sz w:val="24"/>
                <w:lang w:val="en-US" w:eastAsia="zh-CN"/>
              </w:rPr>
              <w:t>50</w:t>
            </w:r>
            <w:r>
              <w:rPr>
                <w:color w:val="auto"/>
                <w:sz w:val="24"/>
              </w:rPr>
              <w:t>MVA，单台最大油量约</w:t>
            </w:r>
            <w:r>
              <w:rPr>
                <w:rFonts w:hint="eastAsia"/>
                <w:color w:val="auto"/>
                <w:sz w:val="24"/>
                <w:lang w:val="en-US" w:eastAsia="zh-CN"/>
              </w:rPr>
              <w:t>20</w:t>
            </w:r>
            <w:r>
              <w:rPr>
                <w:color w:val="auto"/>
                <w:sz w:val="24"/>
              </w:rPr>
              <w:t>t（体积</w:t>
            </w:r>
            <w:r>
              <w:rPr>
                <w:rFonts w:hint="eastAsia"/>
                <w:color w:val="auto"/>
                <w:sz w:val="24"/>
                <w:lang w:val="en-US" w:eastAsia="zh-CN"/>
              </w:rPr>
              <w:t>22.3</w:t>
            </w:r>
            <w:r>
              <w:rPr>
                <w:color w:val="auto"/>
                <w:sz w:val="24"/>
              </w:rPr>
              <w:t>m</w:t>
            </w:r>
            <w:r>
              <w:rPr>
                <w:color w:val="auto"/>
                <w:sz w:val="24"/>
                <w:vertAlign w:val="superscript"/>
              </w:rPr>
              <w:t>3</w:t>
            </w:r>
            <w:r>
              <w:rPr>
                <w:color w:val="auto"/>
                <w:sz w:val="24"/>
              </w:rPr>
              <w:t>，密度895kg/m</w:t>
            </w:r>
            <w:r>
              <w:rPr>
                <w:color w:val="auto"/>
                <w:sz w:val="24"/>
                <w:vertAlign w:val="superscript"/>
              </w:rPr>
              <w:t>3</w:t>
            </w:r>
            <w:r>
              <w:rPr>
                <w:color w:val="auto"/>
                <w:sz w:val="24"/>
              </w:rPr>
              <w:t>），项目拟建集油坑收集</w:t>
            </w:r>
            <w:r>
              <w:rPr>
                <w:rFonts w:hint="eastAsia"/>
                <w:color w:val="auto"/>
                <w:sz w:val="24"/>
                <w:lang w:eastAsia="zh-CN"/>
              </w:rPr>
              <w:t>各</w:t>
            </w:r>
            <w:r>
              <w:rPr>
                <w:color w:val="auto"/>
                <w:sz w:val="24"/>
              </w:rPr>
              <w:t>主变的事故废油。根据《国家危险废物名录（2021年版）》，变压器冷却油为矿物油，属于HW08废矿物油与含矿物油废物中的900-220-08变压器维护、更换和拆解过程中产生的废变压器油。废油由有资质的单位收集处理。</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color w:val="auto"/>
                <w:sz w:val="24"/>
              </w:rPr>
              <w:t>②</w:t>
            </w:r>
            <w:r>
              <w:rPr>
                <w:color w:val="auto"/>
                <w:sz w:val="24"/>
              </w:rPr>
              <w:fldChar w:fldCharType="end"/>
            </w:r>
            <w:r>
              <w:rPr>
                <w:color w:val="auto"/>
                <w:sz w:val="24"/>
              </w:rPr>
              <w:t>变压器油滤渣</w:t>
            </w:r>
          </w:p>
          <w:p>
            <w:pPr>
              <w:adjustRightInd w:val="0"/>
              <w:snapToGrid w:val="0"/>
              <w:spacing w:line="360" w:lineRule="auto"/>
              <w:ind w:firstLine="480" w:firstLineChars="200"/>
              <w:rPr>
                <w:color w:val="auto"/>
                <w:sz w:val="24"/>
              </w:rPr>
            </w:pPr>
            <w:r>
              <w:rPr>
                <w:color w:val="auto"/>
                <w:sz w:val="24"/>
              </w:rPr>
              <w:t>变电站变压器例行检修频率为1～3个月1次，例行检修对变压器外观、变压器油温等进行检查，不会进行过滤，不会产生废油；变压器大修频率一般为10年1次，大修时会将变压器油进行过滤，该过滤过程由专业单位将专用过滤设备运输至现场，将变压器油安全、清洁地抽取到专用容器中，过滤后再返回，每次过滤约产生30～40kg滤渣，根据《国家危险废物名录（2021年版）》，变压器油滤渣，属于HW08废矿物油与含矿物油废物中的900-213-08废矿物油再生净化过程中产生的沉淀残渣、过滤残渣、废过滤吸附介质，变压器油滤渣由有相应资质公司收集处理。</w:t>
            </w:r>
          </w:p>
          <w:p>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 3 \* GB3 </w:instrText>
            </w:r>
            <w:r>
              <w:rPr>
                <w:color w:val="auto"/>
                <w:sz w:val="24"/>
              </w:rPr>
              <w:fldChar w:fldCharType="separate"/>
            </w:r>
            <w:r>
              <w:rPr>
                <w:color w:val="auto"/>
                <w:sz w:val="24"/>
              </w:rPr>
              <w:t>③</w:t>
            </w:r>
            <w:r>
              <w:rPr>
                <w:color w:val="auto"/>
                <w:sz w:val="24"/>
              </w:rPr>
              <w:fldChar w:fldCharType="end"/>
            </w:r>
            <w:r>
              <w:rPr>
                <w:color w:val="auto"/>
                <w:sz w:val="24"/>
              </w:rPr>
              <w:t>废蓄电池</w:t>
            </w:r>
          </w:p>
          <w:p>
            <w:pPr>
              <w:adjustRightInd w:val="0"/>
              <w:snapToGrid w:val="0"/>
              <w:spacing w:line="360" w:lineRule="auto"/>
              <w:ind w:firstLine="480" w:firstLineChars="200"/>
              <w:rPr>
                <w:color w:val="auto"/>
                <w:sz w:val="24"/>
              </w:rPr>
            </w:pPr>
            <w:r>
              <w:rPr>
                <w:color w:val="auto"/>
                <w:sz w:val="24"/>
              </w:rPr>
              <w:t>变电站采用免维护蓄电池，变电站运行和检修时，产生废蓄电池，每次检修时产生量约为0.05t，根据《国家危险废物名录（2021年版）》，废蓄电池属于HW31含铅废物中的900-052-31废铅蓄电池，变电站产生废蓄电池由相应资质公司收集处理。</w:t>
            </w:r>
          </w:p>
          <w:p>
            <w:pPr>
              <w:adjustRightInd w:val="0"/>
              <w:snapToGrid w:val="0"/>
              <w:spacing w:line="360" w:lineRule="auto"/>
              <w:ind w:firstLine="480" w:firstLineChars="200"/>
              <w:rPr>
                <w:color w:val="auto"/>
                <w:sz w:val="24"/>
              </w:rPr>
            </w:pPr>
            <w:r>
              <w:rPr>
                <w:color w:val="auto"/>
                <w:sz w:val="24"/>
              </w:rPr>
              <w:t>④</w:t>
            </w:r>
            <w:r>
              <w:rPr>
                <w:bCs/>
                <w:color w:val="auto"/>
                <w:kern w:val="0"/>
                <w:sz w:val="24"/>
              </w:rPr>
              <w:t>废含油手套、抹布</w:t>
            </w:r>
          </w:p>
          <w:p>
            <w:pPr>
              <w:adjustRightInd w:val="0"/>
              <w:snapToGrid w:val="0"/>
              <w:spacing w:line="360" w:lineRule="auto"/>
              <w:ind w:firstLine="480" w:firstLineChars="200"/>
              <w:rPr>
                <w:color w:val="auto"/>
                <w:sz w:val="24"/>
              </w:rPr>
            </w:pPr>
            <w:r>
              <w:rPr>
                <w:color w:val="auto"/>
                <w:sz w:val="24"/>
              </w:rPr>
              <w:t>本项目变电站在设备维修过程中会产生</w:t>
            </w:r>
            <w:r>
              <w:rPr>
                <w:bCs/>
                <w:color w:val="auto"/>
                <w:kern w:val="0"/>
                <w:sz w:val="24"/>
              </w:rPr>
              <w:t>废含油手套、抹布</w:t>
            </w:r>
            <w:r>
              <w:rPr>
                <w:color w:val="auto"/>
                <w:sz w:val="24"/>
              </w:rPr>
              <w:t>，产生量约0.001t/a，危险废物类别为HW49，代码为900-041-49</w:t>
            </w:r>
            <w:r>
              <w:rPr>
                <w:rFonts w:hint="eastAsia"/>
                <w:color w:val="auto"/>
                <w:sz w:val="24"/>
              </w:rPr>
              <w:t>，</w:t>
            </w:r>
            <w:r>
              <w:rPr>
                <w:color w:val="auto"/>
                <w:sz w:val="24"/>
              </w:rPr>
              <w:t>由相应资质公司收集处理。</w:t>
            </w:r>
          </w:p>
          <w:p>
            <w:pPr>
              <w:pStyle w:val="36"/>
              <w:spacing w:line="360" w:lineRule="auto"/>
              <w:ind w:firstLine="480" w:firstLineChars="200"/>
              <w:rPr>
                <w:rFonts w:ascii="Times New Roman" w:cs="Times New Roman"/>
                <w:b w:val="0"/>
                <w:bCs/>
                <w:color w:val="auto"/>
              </w:rPr>
            </w:pPr>
            <w:r>
              <w:rPr>
                <w:rFonts w:ascii="Times New Roman" w:cs="Times New Roman"/>
                <w:b w:val="0"/>
                <w:bCs/>
                <w:color w:val="auto"/>
              </w:rPr>
              <w:t>项目危险废物汇总表见表4-1</w:t>
            </w:r>
            <w:r>
              <w:rPr>
                <w:rFonts w:hint="eastAsia" w:ascii="Times New Roman" w:cs="Times New Roman"/>
                <w:b w:val="0"/>
                <w:bCs/>
                <w:color w:val="auto"/>
                <w:lang w:val="en-US" w:eastAsia="zh-CN"/>
              </w:rPr>
              <w:t>4</w:t>
            </w:r>
            <w:r>
              <w:rPr>
                <w:rFonts w:ascii="Times New Roman" w:cs="Times New Roman"/>
                <w:b w:val="0"/>
                <w:bCs/>
                <w:color w:val="auto"/>
              </w:rPr>
              <w:t>。</w:t>
            </w:r>
          </w:p>
          <w:p>
            <w:pPr>
              <w:spacing w:line="360" w:lineRule="auto"/>
              <w:jc w:val="center"/>
              <w:rPr>
                <w:b/>
                <w:snapToGrid w:val="0"/>
                <w:color w:val="auto"/>
                <w:kern w:val="0"/>
                <w:sz w:val="24"/>
                <w:szCs w:val="18"/>
              </w:rPr>
            </w:pPr>
            <w:r>
              <w:rPr>
                <w:b/>
                <w:snapToGrid w:val="0"/>
                <w:color w:val="auto"/>
                <w:kern w:val="0"/>
                <w:sz w:val="24"/>
                <w:szCs w:val="18"/>
              </w:rPr>
              <w:t>表4-1</w:t>
            </w:r>
            <w:r>
              <w:rPr>
                <w:rFonts w:hint="eastAsia"/>
                <w:b/>
                <w:snapToGrid w:val="0"/>
                <w:color w:val="auto"/>
                <w:kern w:val="0"/>
                <w:sz w:val="24"/>
                <w:szCs w:val="18"/>
                <w:lang w:val="en-US" w:eastAsia="zh-CN"/>
              </w:rPr>
              <w:t>4</w:t>
            </w:r>
            <w:r>
              <w:rPr>
                <w:b/>
                <w:snapToGrid w:val="0"/>
                <w:color w:val="auto"/>
                <w:kern w:val="0"/>
                <w:sz w:val="24"/>
                <w:szCs w:val="18"/>
              </w:rPr>
              <w:t xml:space="preserve">  项目危险废物汇总表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271"/>
              <w:gridCol w:w="926"/>
              <w:gridCol w:w="806"/>
              <w:gridCol w:w="1036"/>
              <w:gridCol w:w="733"/>
              <w:gridCol w:w="969"/>
              <w:gridCol w:w="551"/>
              <w:gridCol w:w="969"/>
              <w:gridCol w:w="829"/>
              <w:gridCol w:w="68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177" w:type="pct"/>
                  <w:noWrap w:val="0"/>
                  <w:vAlign w:val="center"/>
                </w:tcPr>
                <w:p>
                  <w:pPr>
                    <w:autoSpaceDE w:val="0"/>
                    <w:autoSpaceDN w:val="0"/>
                    <w:adjustRightInd w:val="0"/>
                    <w:snapToGrid w:val="0"/>
                    <w:jc w:val="center"/>
                    <w:rPr>
                      <w:color w:val="auto"/>
                      <w:kern w:val="0"/>
                      <w:szCs w:val="21"/>
                    </w:rPr>
                  </w:pPr>
                  <w:r>
                    <w:rPr>
                      <w:color w:val="auto"/>
                      <w:kern w:val="0"/>
                      <w:szCs w:val="21"/>
                    </w:rPr>
                    <w:t>序号</w:t>
                  </w:r>
                </w:p>
              </w:tc>
              <w:tc>
                <w:tcPr>
                  <w:tcW w:w="598" w:type="pct"/>
                  <w:noWrap w:val="0"/>
                  <w:vAlign w:val="center"/>
                </w:tcPr>
                <w:p>
                  <w:pPr>
                    <w:autoSpaceDE w:val="0"/>
                    <w:autoSpaceDN w:val="0"/>
                    <w:adjustRightInd w:val="0"/>
                    <w:snapToGrid w:val="0"/>
                    <w:jc w:val="center"/>
                    <w:rPr>
                      <w:color w:val="auto"/>
                      <w:kern w:val="0"/>
                      <w:szCs w:val="21"/>
                    </w:rPr>
                  </w:pPr>
                  <w:r>
                    <w:rPr>
                      <w:color w:val="auto"/>
                      <w:kern w:val="0"/>
                      <w:szCs w:val="21"/>
                    </w:rPr>
                    <w:t>危险废物名称</w:t>
                  </w:r>
                </w:p>
              </w:tc>
              <w:tc>
                <w:tcPr>
                  <w:tcW w:w="521" w:type="pct"/>
                  <w:noWrap w:val="0"/>
                  <w:vAlign w:val="center"/>
                </w:tcPr>
                <w:p>
                  <w:pPr>
                    <w:autoSpaceDE w:val="0"/>
                    <w:autoSpaceDN w:val="0"/>
                    <w:adjustRightInd w:val="0"/>
                    <w:snapToGrid w:val="0"/>
                    <w:jc w:val="center"/>
                    <w:rPr>
                      <w:color w:val="auto"/>
                      <w:kern w:val="0"/>
                      <w:szCs w:val="21"/>
                    </w:rPr>
                  </w:pPr>
                  <w:r>
                    <w:rPr>
                      <w:color w:val="auto"/>
                      <w:kern w:val="0"/>
                      <w:szCs w:val="21"/>
                    </w:rPr>
                    <w:t>危险废</w:t>
                  </w:r>
                </w:p>
                <w:p>
                  <w:pPr>
                    <w:autoSpaceDE w:val="0"/>
                    <w:autoSpaceDN w:val="0"/>
                    <w:adjustRightInd w:val="0"/>
                    <w:snapToGrid w:val="0"/>
                    <w:jc w:val="center"/>
                    <w:rPr>
                      <w:color w:val="auto"/>
                      <w:kern w:val="0"/>
                      <w:szCs w:val="21"/>
                    </w:rPr>
                  </w:pPr>
                  <w:r>
                    <w:rPr>
                      <w:color w:val="auto"/>
                      <w:kern w:val="0"/>
                      <w:szCs w:val="21"/>
                    </w:rPr>
                    <w:t>物类别</w:t>
                  </w:r>
                </w:p>
              </w:tc>
              <w:tc>
                <w:tcPr>
                  <w:tcW w:w="643" w:type="pct"/>
                  <w:noWrap w:val="0"/>
                  <w:vAlign w:val="center"/>
                </w:tcPr>
                <w:p>
                  <w:pPr>
                    <w:autoSpaceDE w:val="0"/>
                    <w:autoSpaceDN w:val="0"/>
                    <w:adjustRightInd w:val="0"/>
                    <w:snapToGrid w:val="0"/>
                    <w:jc w:val="center"/>
                    <w:rPr>
                      <w:color w:val="auto"/>
                      <w:kern w:val="0"/>
                      <w:szCs w:val="21"/>
                    </w:rPr>
                  </w:pPr>
                  <w:r>
                    <w:rPr>
                      <w:color w:val="auto"/>
                      <w:kern w:val="0"/>
                      <w:szCs w:val="21"/>
                    </w:rPr>
                    <w:t>危险废</w:t>
                  </w:r>
                </w:p>
                <w:p>
                  <w:pPr>
                    <w:autoSpaceDE w:val="0"/>
                    <w:autoSpaceDN w:val="0"/>
                    <w:adjustRightInd w:val="0"/>
                    <w:snapToGrid w:val="0"/>
                    <w:jc w:val="center"/>
                    <w:rPr>
                      <w:color w:val="auto"/>
                      <w:kern w:val="0"/>
                      <w:szCs w:val="21"/>
                    </w:rPr>
                  </w:pPr>
                  <w:r>
                    <w:rPr>
                      <w:color w:val="auto"/>
                      <w:kern w:val="0"/>
                      <w:szCs w:val="21"/>
                    </w:rPr>
                    <w:t>物代码</w:t>
                  </w:r>
                </w:p>
              </w:tc>
              <w:tc>
                <w:tcPr>
                  <w:tcW w:w="474" w:type="pct"/>
                  <w:noWrap w:val="0"/>
                  <w:vAlign w:val="center"/>
                </w:tcPr>
                <w:p>
                  <w:pPr>
                    <w:autoSpaceDE w:val="0"/>
                    <w:autoSpaceDN w:val="0"/>
                    <w:adjustRightInd w:val="0"/>
                    <w:snapToGrid w:val="0"/>
                    <w:jc w:val="center"/>
                    <w:rPr>
                      <w:color w:val="auto"/>
                      <w:kern w:val="0"/>
                      <w:szCs w:val="21"/>
                    </w:rPr>
                  </w:pPr>
                  <w:r>
                    <w:rPr>
                      <w:color w:val="auto"/>
                      <w:kern w:val="0"/>
                      <w:szCs w:val="21"/>
                    </w:rPr>
                    <w:t>产生量</w:t>
                  </w:r>
                </w:p>
                <w:p>
                  <w:pPr>
                    <w:autoSpaceDE w:val="0"/>
                    <w:autoSpaceDN w:val="0"/>
                    <w:adjustRightInd w:val="0"/>
                    <w:snapToGrid w:val="0"/>
                    <w:jc w:val="center"/>
                    <w:rPr>
                      <w:color w:val="auto"/>
                      <w:kern w:val="0"/>
                      <w:szCs w:val="21"/>
                    </w:rPr>
                  </w:pPr>
                  <w:r>
                    <w:rPr>
                      <w:color w:val="auto"/>
                      <w:kern w:val="0"/>
                      <w:szCs w:val="21"/>
                    </w:rPr>
                    <w:t>(吨/次)</w:t>
                  </w:r>
                </w:p>
              </w:tc>
              <w:tc>
                <w:tcPr>
                  <w:tcW w:w="626" w:type="pct"/>
                  <w:noWrap w:val="0"/>
                  <w:vAlign w:val="center"/>
                </w:tcPr>
                <w:p>
                  <w:pPr>
                    <w:autoSpaceDE w:val="0"/>
                    <w:autoSpaceDN w:val="0"/>
                    <w:adjustRightInd w:val="0"/>
                    <w:snapToGrid w:val="0"/>
                    <w:jc w:val="center"/>
                    <w:rPr>
                      <w:color w:val="auto"/>
                      <w:kern w:val="0"/>
                      <w:szCs w:val="21"/>
                    </w:rPr>
                  </w:pPr>
                  <w:r>
                    <w:rPr>
                      <w:color w:val="auto"/>
                      <w:kern w:val="0"/>
                      <w:szCs w:val="21"/>
                    </w:rPr>
                    <w:t>产生工序</w:t>
                  </w:r>
                </w:p>
              </w:tc>
              <w:tc>
                <w:tcPr>
                  <w:tcW w:w="357" w:type="pct"/>
                  <w:noWrap w:val="0"/>
                  <w:vAlign w:val="center"/>
                </w:tcPr>
                <w:p>
                  <w:pPr>
                    <w:autoSpaceDE w:val="0"/>
                    <w:autoSpaceDN w:val="0"/>
                    <w:adjustRightInd w:val="0"/>
                    <w:snapToGrid w:val="0"/>
                    <w:jc w:val="center"/>
                    <w:rPr>
                      <w:color w:val="auto"/>
                      <w:kern w:val="0"/>
                      <w:szCs w:val="21"/>
                    </w:rPr>
                  </w:pPr>
                  <w:r>
                    <w:rPr>
                      <w:color w:val="auto"/>
                      <w:kern w:val="0"/>
                      <w:szCs w:val="21"/>
                    </w:rPr>
                    <w:t>形态</w:t>
                  </w:r>
                </w:p>
              </w:tc>
              <w:tc>
                <w:tcPr>
                  <w:tcW w:w="626" w:type="pct"/>
                  <w:noWrap w:val="0"/>
                  <w:vAlign w:val="center"/>
                </w:tcPr>
                <w:p>
                  <w:pPr>
                    <w:autoSpaceDE w:val="0"/>
                    <w:autoSpaceDN w:val="0"/>
                    <w:adjustRightInd w:val="0"/>
                    <w:snapToGrid w:val="0"/>
                    <w:jc w:val="center"/>
                    <w:rPr>
                      <w:color w:val="auto"/>
                      <w:kern w:val="0"/>
                      <w:szCs w:val="21"/>
                    </w:rPr>
                  </w:pPr>
                  <w:r>
                    <w:rPr>
                      <w:color w:val="auto"/>
                      <w:kern w:val="0"/>
                      <w:szCs w:val="21"/>
                    </w:rPr>
                    <w:t>主要成分</w:t>
                  </w:r>
                </w:p>
              </w:tc>
              <w:tc>
                <w:tcPr>
                  <w:tcW w:w="536" w:type="pct"/>
                  <w:noWrap w:val="0"/>
                  <w:vAlign w:val="center"/>
                </w:tcPr>
                <w:p>
                  <w:pPr>
                    <w:autoSpaceDE w:val="0"/>
                    <w:autoSpaceDN w:val="0"/>
                    <w:adjustRightInd w:val="0"/>
                    <w:snapToGrid w:val="0"/>
                    <w:jc w:val="center"/>
                    <w:rPr>
                      <w:color w:val="auto"/>
                      <w:kern w:val="0"/>
                      <w:szCs w:val="21"/>
                    </w:rPr>
                  </w:pPr>
                  <w:r>
                    <w:rPr>
                      <w:color w:val="auto"/>
                      <w:kern w:val="0"/>
                      <w:szCs w:val="21"/>
                    </w:rPr>
                    <w:t>有害</w:t>
                  </w:r>
                </w:p>
                <w:p>
                  <w:pPr>
                    <w:autoSpaceDE w:val="0"/>
                    <w:autoSpaceDN w:val="0"/>
                    <w:adjustRightInd w:val="0"/>
                    <w:snapToGrid w:val="0"/>
                    <w:jc w:val="center"/>
                    <w:rPr>
                      <w:color w:val="auto"/>
                      <w:kern w:val="0"/>
                      <w:szCs w:val="21"/>
                    </w:rPr>
                  </w:pPr>
                  <w:r>
                    <w:rPr>
                      <w:color w:val="auto"/>
                      <w:kern w:val="0"/>
                      <w:szCs w:val="21"/>
                    </w:rPr>
                    <w:t>成分</w:t>
                  </w:r>
                </w:p>
              </w:tc>
              <w:tc>
                <w:tcPr>
                  <w:tcW w:w="442" w:type="pct"/>
                  <w:noWrap w:val="0"/>
                  <w:vAlign w:val="center"/>
                </w:tcPr>
                <w:p>
                  <w:pPr>
                    <w:autoSpaceDE w:val="0"/>
                    <w:autoSpaceDN w:val="0"/>
                    <w:adjustRightInd w:val="0"/>
                    <w:snapToGrid w:val="0"/>
                    <w:jc w:val="center"/>
                    <w:rPr>
                      <w:color w:val="auto"/>
                      <w:kern w:val="0"/>
                      <w:szCs w:val="21"/>
                    </w:rPr>
                  </w:pPr>
                  <w:r>
                    <w:rPr>
                      <w:color w:val="auto"/>
                      <w:kern w:val="0"/>
                      <w:szCs w:val="21"/>
                    </w:rPr>
                    <w:t>危险</w:t>
                  </w:r>
                </w:p>
                <w:p>
                  <w:pPr>
                    <w:autoSpaceDE w:val="0"/>
                    <w:autoSpaceDN w:val="0"/>
                    <w:adjustRightInd w:val="0"/>
                    <w:snapToGrid w:val="0"/>
                    <w:jc w:val="center"/>
                    <w:rPr>
                      <w:color w:val="auto"/>
                      <w:kern w:val="0"/>
                      <w:szCs w:val="21"/>
                    </w:rPr>
                  </w:pPr>
                  <w:r>
                    <w:rPr>
                      <w:color w:val="auto"/>
                      <w:kern w:val="0"/>
                      <w:szCs w:val="21"/>
                    </w:rPr>
                    <w:t>特性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177" w:type="pct"/>
                  <w:noWrap w:val="0"/>
                  <w:vAlign w:val="center"/>
                </w:tcPr>
                <w:p>
                  <w:pPr>
                    <w:autoSpaceDE w:val="0"/>
                    <w:autoSpaceDN w:val="0"/>
                    <w:adjustRightInd w:val="0"/>
                    <w:snapToGrid w:val="0"/>
                    <w:jc w:val="center"/>
                    <w:rPr>
                      <w:color w:val="auto"/>
                      <w:kern w:val="0"/>
                      <w:szCs w:val="21"/>
                    </w:rPr>
                  </w:pPr>
                  <w:r>
                    <w:rPr>
                      <w:color w:val="auto"/>
                      <w:kern w:val="0"/>
                      <w:szCs w:val="21"/>
                    </w:rPr>
                    <w:t>1</w:t>
                  </w:r>
                </w:p>
              </w:tc>
              <w:tc>
                <w:tcPr>
                  <w:tcW w:w="598" w:type="pct"/>
                  <w:noWrap w:val="0"/>
                  <w:vAlign w:val="center"/>
                </w:tcPr>
                <w:p>
                  <w:pPr>
                    <w:autoSpaceDE w:val="0"/>
                    <w:autoSpaceDN w:val="0"/>
                    <w:adjustRightInd w:val="0"/>
                    <w:snapToGrid w:val="0"/>
                    <w:jc w:val="center"/>
                    <w:rPr>
                      <w:color w:val="auto"/>
                      <w:kern w:val="0"/>
                      <w:szCs w:val="21"/>
                    </w:rPr>
                  </w:pPr>
                  <w:r>
                    <w:rPr>
                      <w:color w:val="auto"/>
                      <w:kern w:val="0"/>
                      <w:szCs w:val="21"/>
                    </w:rPr>
                    <w:t>废变压油</w:t>
                  </w:r>
                </w:p>
              </w:tc>
              <w:tc>
                <w:tcPr>
                  <w:tcW w:w="521" w:type="pct"/>
                  <w:noWrap w:val="0"/>
                  <w:vAlign w:val="center"/>
                </w:tcPr>
                <w:p>
                  <w:pPr>
                    <w:autoSpaceDE w:val="0"/>
                    <w:autoSpaceDN w:val="0"/>
                    <w:adjustRightInd w:val="0"/>
                    <w:snapToGrid w:val="0"/>
                    <w:jc w:val="center"/>
                    <w:rPr>
                      <w:color w:val="auto"/>
                      <w:kern w:val="0"/>
                      <w:szCs w:val="21"/>
                    </w:rPr>
                  </w:pPr>
                  <w:r>
                    <w:rPr>
                      <w:color w:val="auto"/>
                      <w:kern w:val="0"/>
                      <w:szCs w:val="21"/>
                    </w:rPr>
                    <w:t>HW08</w:t>
                  </w:r>
                </w:p>
              </w:tc>
              <w:tc>
                <w:tcPr>
                  <w:tcW w:w="643" w:type="pct"/>
                  <w:noWrap w:val="0"/>
                  <w:vAlign w:val="center"/>
                </w:tcPr>
                <w:p>
                  <w:pPr>
                    <w:autoSpaceDE w:val="0"/>
                    <w:autoSpaceDN w:val="0"/>
                    <w:adjustRightInd w:val="0"/>
                    <w:snapToGrid w:val="0"/>
                    <w:jc w:val="center"/>
                    <w:rPr>
                      <w:color w:val="auto"/>
                      <w:kern w:val="0"/>
                      <w:szCs w:val="21"/>
                    </w:rPr>
                  </w:pPr>
                  <w:r>
                    <w:rPr>
                      <w:color w:val="auto"/>
                      <w:kern w:val="0"/>
                      <w:szCs w:val="21"/>
                    </w:rPr>
                    <w:t>900-220-08</w:t>
                  </w:r>
                </w:p>
              </w:tc>
              <w:tc>
                <w:tcPr>
                  <w:tcW w:w="474" w:type="pct"/>
                  <w:noWrap w:val="0"/>
                  <w:vAlign w:val="center"/>
                </w:tcPr>
                <w:p>
                  <w:pPr>
                    <w:autoSpaceDE w:val="0"/>
                    <w:autoSpaceDN w:val="0"/>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20</w:t>
                  </w:r>
                </w:p>
              </w:tc>
              <w:tc>
                <w:tcPr>
                  <w:tcW w:w="626" w:type="pct"/>
                  <w:noWrap w:val="0"/>
                  <w:vAlign w:val="center"/>
                </w:tcPr>
                <w:p>
                  <w:pPr>
                    <w:autoSpaceDE w:val="0"/>
                    <w:autoSpaceDN w:val="0"/>
                    <w:adjustRightInd w:val="0"/>
                    <w:snapToGrid w:val="0"/>
                    <w:jc w:val="center"/>
                    <w:rPr>
                      <w:color w:val="auto"/>
                      <w:kern w:val="0"/>
                      <w:szCs w:val="21"/>
                    </w:rPr>
                  </w:pPr>
                  <w:r>
                    <w:rPr>
                      <w:color w:val="auto"/>
                      <w:kern w:val="0"/>
                      <w:szCs w:val="21"/>
                    </w:rPr>
                    <w:t>变压器事故泄漏</w:t>
                  </w:r>
                </w:p>
              </w:tc>
              <w:tc>
                <w:tcPr>
                  <w:tcW w:w="357" w:type="pct"/>
                  <w:noWrap w:val="0"/>
                  <w:vAlign w:val="center"/>
                </w:tcPr>
                <w:p>
                  <w:pPr>
                    <w:autoSpaceDE w:val="0"/>
                    <w:autoSpaceDN w:val="0"/>
                    <w:adjustRightInd w:val="0"/>
                    <w:snapToGrid w:val="0"/>
                    <w:jc w:val="center"/>
                    <w:rPr>
                      <w:color w:val="auto"/>
                      <w:kern w:val="0"/>
                      <w:szCs w:val="21"/>
                    </w:rPr>
                  </w:pPr>
                  <w:r>
                    <w:rPr>
                      <w:color w:val="auto"/>
                      <w:kern w:val="0"/>
                      <w:szCs w:val="21"/>
                    </w:rPr>
                    <w:t>液态</w:t>
                  </w:r>
                </w:p>
              </w:tc>
              <w:tc>
                <w:tcPr>
                  <w:tcW w:w="626" w:type="pct"/>
                  <w:noWrap w:val="0"/>
                  <w:vAlign w:val="center"/>
                </w:tcPr>
                <w:p>
                  <w:pPr>
                    <w:autoSpaceDE w:val="0"/>
                    <w:autoSpaceDN w:val="0"/>
                    <w:adjustRightInd w:val="0"/>
                    <w:snapToGrid w:val="0"/>
                    <w:jc w:val="center"/>
                    <w:rPr>
                      <w:color w:val="auto"/>
                      <w:kern w:val="0"/>
                      <w:szCs w:val="21"/>
                    </w:rPr>
                  </w:pPr>
                  <w:r>
                    <w:rPr>
                      <w:color w:val="auto"/>
                      <w:kern w:val="0"/>
                      <w:szCs w:val="21"/>
                    </w:rPr>
                    <w:t>废矿物油</w:t>
                  </w:r>
                </w:p>
              </w:tc>
              <w:tc>
                <w:tcPr>
                  <w:tcW w:w="536" w:type="pct"/>
                  <w:noWrap w:val="0"/>
                  <w:vAlign w:val="center"/>
                </w:tcPr>
                <w:p>
                  <w:pPr>
                    <w:autoSpaceDE w:val="0"/>
                    <w:autoSpaceDN w:val="0"/>
                    <w:adjustRightInd w:val="0"/>
                    <w:snapToGrid w:val="0"/>
                    <w:jc w:val="center"/>
                    <w:rPr>
                      <w:color w:val="auto"/>
                      <w:kern w:val="0"/>
                      <w:szCs w:val="21"/>
                    </w:rPr>
                  </w:pPr>
                  <w:r>
                    <w:rPr>
                      <w:color w:val="auto"/>
                      <w:kern w:val="0"/>
                      <w:szCs w:val="21"/>
                    </w:rPr>
                    <w:t>废矿物油</w:t>
                  </w:r>
                </w:p>
              </w:tc>
              <w:tc>
                <w:tcPr>
                  <w:tcW w:w="442" w:type="pct"/>
                  <w:noWrap w:val="0"/>
                  <w:vAlign w:val="center"/>
                </w:tcPr>
                <w:p>
                  <w:pPr>
                    <w:autoSpaceDE w:val="0"/>
                    <w:autoSpaceDN w:val="0"/>
                    <w:adjustRightInd w:val="0"/>
                    <w:snapToGrid w:val="0"/>
                    <w:jc w:val="center"/>
                    <w:rPr>
                      <w:color w:val="auto"/>
                      <w:kern w:val="0"/>
                      <w:szCs w:val="21"/>
                    </w:rPr>
                  </w:pPr>
                  <w:r>
                    <w:rPr>
                      <w:color w:val="auto"/>
                      <w:kern w:val="0"/>
                      <w:szCs w:val="21"/>
                    </w:rPr>
                    <w:t>T、I</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177" w:type="pct"/>
                  <w:noWrap w:val="0"/>
                  <w:vAlign w:val="center"/>
                </w:tcPr>
                <w:p>
                  <w:pPr>
                    <w:autoSpaceDE w:val="0"/>
                    <w:autoSpaceDN w:val="0"/>
                    <w:adjustRightInd w:val="0"/>
                    <w:snapToGrid w:val="0"/>
                    <w:jc w:val="center"/>
                    <w:rPr>
                      <w:color w:val="auto"/>
                      <w:kern w:val="0"/>
                      <w:szCs w:val="21"/>
                    </w:rPr>
                  </w:pPr>
                  <w:r>
                    <w:rPr>
                      <w:color w:val="auto"/>
                      <w:kern w:val="0"/>
                      <w:szCs w:val="21"/>
                    </w:rPr>
                    <w:t>2</w:t>
                  </w:r>
                </w:p>
              </w:tc>
              <w:tc>
                <w:tcPr>
                  <w:tcW w:w="598" w:type="pct"/>
                  <w:noWrap w:val="0"/>
                  <w:vAlign w:val="center"/>
                </w:tcPr>
                <w:p>
                  <w:pPr>
                    <w:autoSpaceDE w:val="0"/>
                    <w:autoSpaceDN w:val="0"/>
                    <w:adjustRightInd w:val="0"/>
                    <w:snapToGrid w:val="0"/>
                    <w:jc w:val="center"/>
                    <w:rPr>
                      <w:color w:val="auto"/>
                      <w:kern w:val="0"/>
                      <w:szCs w:val="21"/>
                    </w:rPr>
                  </w:pPr>
                  <w:r>
                    <w:rPr>
                      <w:color w:val="auto"/>
                      <w:kern w:val="0"/>
                      <w:szCs w:val="21"/>
                    </w:rPr>
                    <w:t>变压器油滤渣</w:t>
                  </w:r>
                </w:p>
              </w:tc>
              <w:tc>
                <w:tcPr>
                  <w:tcW w:w="521" w:type="pct"/>
                  <w:noWrap w:val="0"/>
                  <w:vAlign w:val="center"/>
                </w:tcPr>
                <w:p>
                  <w:pPr>
                    <w:autoSpaceDE w:val="0"/>
                    <w:autoSpaceDN w:val="0"/>
                    <w:adjustRightInd w:val="0"/>
                    <w:snapToGrid w:val="0"/>
                    <w:jc w:val="center"/>
                    <w:rPr>
                      <w:color w:val="auto"/>
                      <w:kern w:val="0"/>
                      <w:szCs w:val="21"/>
                    </w:rPr>
                  </w:pPr>
                  <w:r>
                    <w:rPr>
                      <w:color w:val="auto"/>
                      <w:kern w:val="0"/>
                      <w:szCs w:val="21"/>
                    </w:rPr>
                    <w:t>HW08</w:t>
                  </w:r>
                </w:p>
              </w:tc>
              <w:tc>
                <w:tcPr>
                  <w:tcW w:w="643" w:type="pct"/>
                  <w:noWrap w:val="0"/>
                  <w:vAlign w:val="center"/>
                </w:tcPr>
                <w:p>
                  <w:pPr>
                    <w:autoSpaceDE w:val="0"/>
                    <w:autoSpaceDN w:val="0"/>
                    <w:adjustRightInd w:val="0"/>
                    <w:snapToGrid w:val="0"/>
                    <w:jc w:val="center"/>
                    <w:rPr>
                      <w:color w:val="auto"/>
                      <w:kern w:val="0"/>
                      <w:szCs w:val="21"/>
                    </w:rPr>
                  </w:pPr>
                  <w:r>
                    <w:rPr>
                      <w:color w:val="auto"/>
                      <w:kern w:val="0"/>
                      <w:szCs w:val="21"/>
                    </w:rPr>
                    <w:t>900-213-08</w:t>
                  </w:r>
                </w:p>
              </w:tc>
              <w:tc>
                <w:tcPr>
                  <w:tcW w:w="474" w:type="pct"/>
                  <w:noWrap w:val="0"/>
                  <w:vAlign w:val="center"/>
                </w:tcPr>
                <w:p>
                  <w:pPr>
                    <w:autoSpaceDE w:val="0"/>
                    <w:autoSpaceDN w:val="0"/>
                    <w:adjustRightInd w:val="0"/>
                    <w:snapToGrid w:val="0"/>
                    <w:jc w:val="center"/>
                    <w:rPr>
                      <w:color w:val="auto"/>
                      <w:kern w:val="0"/>
                      <w:szCs w:val="21"/>
                    </w:rPr>
                  </w:pPr>
                  <w:r>
                    <w:rPr>
                      <w:color w:val="auto"/>
                      <w:kern w:val="0"/>
                      <w:szCs w:val="21"/>
                    </w:rPr>
                    <w:t>0.04</w:t>
                  </w:r>
                </w:p>
              </w:tc>
              <w:tc>
                <w:tcPr>
                  <w:tcW w:w="626" w:type="pct"/>
                  <w:noWrap w:val="0"/>
                  <w:vAlign w:val="center"/>
                </w:tcPr>
                <w:p>
                  <w:pPr>
                    <w:autoSpaceDE w:val="0"/>
                    <w:autoSpaceDN w:val="0"/>
                    <w:adjustRightInd w:val="0"/>
                    <w:snapToGrid w:val="0"/>
                    <w:jc w:val="center"/>
                    <w:rPr>
                      <w:color w:val="auto"/>
                      <w:kern w:val="0"/>
                      <w:szCs w:val="21"/>
                    </w:rPr>
                  </w:pPr>
                  <w:r>
                    <w:rPr>
                      <w:color w:val="auto"/>
                      <w:kern w:val="0"/>
                      <w:szCs w:val="21"/>
                    </w:rPr>
                    <w:t>变压器大修</w:t>
                  </w:r>
                </w:p>
              </w:tc>
              <w:tc>
                <w:tcPr>
                  <w:tcW w:w="357" w:type="pct"/>
                  <w:noWrap w:val="0"/>
                  <w:vAlign w:val="center"/>
                </w:tcPr>
                <w:p>
                  <w:pPr>
                    <w:autoSpaceDE w:val="0"/>
                    <w:autoSpaceDN w:val="0"/>
                    <w:adjustRightInd w:val="0"/>
                    <w:snapToGrid w:val="0"/>
                    <w:jc w:val="center"/>
                    <w:rPr>
                      <w:color w:val="auto"/>
                      <w:kern w:val="0"/>
                      <w:szCs w:val="21"/>
                    </w:rPr>
                  </w:pPr>
                  <w:r>
                    <w:rPr>
                      <w:color w:val="auto"/>
                      <w:kern w:val="0"/>
                      <w:szCs w:val="21"/>
                    </w:rPr>
                    <w:t>固态</w:t>
                  </w:r>
                </w:p>
              </w:tc>
              <w:tc>
                <w:tcPr>
                  <w:tcW w:w="626" w:type="pct"/>
                  <w:noWrap w:val="0"/>
                  <w:vAlign w:val="center"/>
                </w:tcPr>
                <w:p>
                  <w:pPr>
                    <w:autoSpaceDE w:val="0"/>
                    <w:autoSpaceDN w:val="0"/>
                    <w:adjustRightInd w:val="0"/>
                    <w:snapToGrid w:val="0"/>
                    <w:jc w:val="center"/>
                    <w:rPr>
                      <w:color w:val="auto"/>
                      <w:kern w:val="0"/>
                      <w:szCs w:val="21"/>
                    </w:rPr>
                  </w:pPr>
                  <w:r>
                    <w:rPr>
                      <w:color w:val="auto"/>
                      <w:kern w:val="0"/>
                      <w:szCs w:val="21"/>
                    </w:rPr>
                    <w:t>废矿物油、滤渣</w:t>
                  </w:r>
                </w:p>
              </w:tc>
              <w:tc>
                <w:tcPr>
                  <w:tcW w:w="536" w:type="pct"/>
                  <w:noWrap w:val="0"/>
                  <w:vAlign w:val="center"/>
                </w:tcPr>
                <w:p>
                  <w:pPr>
                    <w:autoSpaceDE w:val="0"/>
                    <w:autoSpaceDN w:val="0"/>
                    <w:adjustRightInd w:val="0"/>
                    <w:snapToGrid w:val="0"/>
                    <w:jc w:val="center"/>
                    <w:rPr>
                      <w:color w:val="auto"/>
                      <w:kern w:val="0"/>
                      <w:szCs w:val="21"/>
                    </w:rPr>
                  </w:pPr>
                  <w:r>
                    <w:rPr>
                      <w:color w:val="auto"/>
                      <w:kern w:val="0"/>
                      <w:szCs w:val="21"/>
                    </w:rPr>
                    <w:t>废矿物油</w:t>
                  </w:r>
                </w:p>
              </w:tc>
              <w:tc>
                <w:tcPr>
                  <w:tcW w:w="442" w:type="pct"/>
                  <w:noWrap w:val="0"/>
                  <w:vAlign w:val="center"/>
                </w:tcPr>
                <w:p>
                  <w:pPr>
                    <w:autoSpaceDE w:val="0"/>
                    <w:autoSpaceDN w:val="0"/>
                    <w:adjustRightInd w:val="0"/>
                    <w:snapToGrid w:val="0"/>
                    <w:jc w:val="center"/>
                    <w:rPr>
                      <w:color w:val="auto"/>
                      <w:kern w:val="0"/>
                      <w:szCs w:val="21"/>
                    </w:rPr>
                  </w:pPr>
                  <w:r>
                    <w:rPr>
                      <w:color w:val="auto"/>
                      <w:kern w:val="0"/>
                      <w:szCs w:val="21"/>
                    </w:rPr>
                    <w:t>T、I</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177" w:type="pct"/>
                  <w:noWrap w:val="0"/>
                  <w:vAlign w:val="center"/>
                </w:tcPr>
                <w:p>
                  <w:pPr>
                    <w:autoSpaceDE w:val="0"/>
                    <w:autoSpaceDN w:val="0"/>
                    <w:adjustRightInd w:val="0"/>
                    <w:snapToGrid w:val="0"/>
                    <w:jc w:val="center"/>
                    <w:rPr>
                      <w:color w:val="auto"/>
                      <w:kern w:val="0"/>
                      <w:szCs w:val="21"/>
                    </w:rPr>
                  </w:pPr>
                  <w:r>
                    <w:rPr>
                      <w:color w:val="auto"/>
                      <w:kern w:val="0"/>
                      <w:szCs w:val="21"/>
                    </w:rPr>
                    <w:t>3</w:t>
                  </w:r>
                </w:p>
              </w:tc>
              <w:tc>
                <w:tcPr>
                  <w:tcW w:w="598" w:type="pct"/>
                  <w:noWrap w:val="0"/>
                  <w:vAlign w:val="center"/>
                </w:tcPr>
                <w:p>
                  <w:pPr>
                    <w:autoSpaceDE w:val="0"/>
                    <w:autoSpaceDN w:val="0"/>
                    <w:adjustRightInd w:val="0"/>
                    <w:snapToGrid w:val="0"/>
                    <w:jc w:val="center"/>
                    <w:rPr>
                      <w:color w:val="auto"/>
                      <w:kern w:val="0"/>
                      <w:szCs w:val="21"/>
                    </w:rPr>
                  </w:pPr>
                  <w:r>
                    <w:rPr>
                      <w:color w:val="auto"/>
                      <w:kern w:val="0"/>
                      <w:szCs w:val="21"/>
                    </w:rPr>
                    <w:t>废铅蓄电池</w:t>
                  </w:r>
                </w:p>
              </w:tc>
              <w:tc>
                <w:tcPr>
                  <w:tcW w:w="521" w:type="pct"/>
                  <w:noWrap w:val="0"/>
                  <w:vAlign w:val="center"/>
                </w:tcPr>
                <w:p>
                  <w:pPr>
                    <w:autoSpaceDE w:val="0"/>
                    <w:autoSpaceDN w:val="0"/>
                    <w:adjustRightInd w:val="0"/>
                    <w:snapToGrid w:val="0"/>
                    <w:jc w:val="center"/>
                    <w:rPr>
                      <w:color w:val="auto"/>
                      <w:kern w:val="0"/>
                      <w:szCs w:val="21"/>
                    </w:rPr>
                  </w:pPr>
                  <w:r>
                    <w:rPr>
                      <w:color w:val="auto"/>
                      <w:kern w:val="0"/>
                      <w:szCs w:val="21"/>
                    </w:rPr>
                    <w:t>HW31</w:t>
                  </w:r>
                </w:p>
              </w:tc>
              <w:tc>
                <w:tcPr>
                  <w:tcW w:w="643" w:type="pct"/>
                  <w:noWrap w:val="0"/>
                  <w:vAlign w:val="center"/>
                </w:tcPr>
                <w:p>
                  <w:pPr>
                    <w:autoSpaceDE w:val="0"/>
                    <w:autoSpaceDN w:val="0"/>
                    <w:adjustRightInd w:val="0"/>
                    <w:snapToGrid w:val="0"/>
                    <w:jc w:val="center"/>
                    <w:rPr>
                      <w:color w:val="auto"/>
                      <w:kern w:val="0"/>
                      <w:szCs w:val="21"/>
                    </w:rPr>
                  </w:pPr>
                  <w:r>
                    <w:rPr>
                      <w:color w:val="auto"/>
                      <w:kern w:val="0"/>
                      <w:szCs w:val="21"/>
                    </w:rPr>
                    <w:t>900-052-31</w:t>
                  </w:r>
                </w:p>
              </w:tc>
              <w:tc>
                <w:tcPr>
                  <w:tcW w:w="474" w:type="pct"/>
                  <w:noWrap w:val="0"/>
                  <w:vAlign w:val="center"/>
                </w:tcPr>
                <w:p>
                  <w:pPr>
                    <w:autoSpaceDE w:val="0"/>
                    <w:autoSpaceDN w:val="0"/>
                    <w:adjustRightInd w:val="0"/>
                    <w:snapToGrid w:val="0"/>
                    <w:jc w:val="center"/>
                    <w:rPr>
                      <w:color w:val="auto"/>
                      <w:kern w:val="0"/>
                      <w:szCs w:val="21"/>
                    </w:rPr>
                  </w:pPr>
                  <w:r>
                    <w:rPr>
                      <w:color w:val="auto"/>
                      <w:kern w:val="0"/>
                      <w:szCs w:val="21"/>
                    </w:rPr>
                    <w:t>0.32</w:t>
                  </w:r>
                </w:p>
              </w:tc>
              <w:tc>
                <w:tcPr>
                  <w:tcW w:w="626" w:type="pct"/>
                  <w:noWrap w:val="0"/>
                  <w:vAlign w:val="center"/>
                </w:tcPr>
                <w:p>
                  <w:pPr>
                    <w:autoSpaceDE w:val="0"/>
                    <w:autoSpaceDN w:val="0"/>
                    <w:adjustRightInd w:val="0"/>
                    <w:snapToGrid w:val="0"/>
                    <w:jc w:val="center"/>
                    <w:rPr>
                      <w:color w:val="auto"/>
                      <w:kern w:val="0"/>
                      <w:szCs w:val="21"/>
                    </w:rPr>
                  </w:pPr>
                  <w:r>
                    <w:rPr>
                      <w:color w:val="auto"/>
                      <w:kern w:val="0"/>
                      <w:szCs w:val="21"/>
                    </w:rPr>
                    <w:t>检修</w:t>
                  </w:r>
                </w:p>
              </w:tc>
              <w:tc>
                <w:tcPr>
                  <w:tcW w:w="357" w:type="pct"/>
                  <w:noWrap w:val="0"/>
                  <w:vAlign w:val="center"/>
                </w:tcPr>
                <w:p>
                  <w:pPr>
                    <w:autoSpaceDE w:val="0"/>
                    <w:autoSpaceDN w:val="0"/>
                    <w:adjustRightInd w:val="0"/>
                    <w:snapToGrid w:val="0"/>
                    <w:jc w:val="center"/>
                    <w:rPr>
                      <w:color w:val="auto"/>
                      <w:kern w:val="0"/>
                      <w:szCs w:val="21"/>
                    </w:rPr>
                  </w:pPr>
                  <w:r>
                    <w:rPr>
                      <w:color w:val="auto"/>
                      <w:kern w:val="0"/>
                      <w:szCs w:val="21"/>
                    </w:rPr>
                    <w:t>固态</w:t>
                  </w:r>
                </w:p>
              </w:tc>
              <w:tc>
                <w:tcPr>
                  <w:tcW w:w="626" w:type="pct"/>
                  <w:noWrap w:val="0"/>
                  <w:vAlign w:val="center"/>
                </w:tcPr>
                <w:p>
                  <w:pPr>
                    <w:autoSpaceDE w:val="0"/>
                    <w:autoSpaceDN w:val="0"/>
                    <w:adjustRightInd w:val="0"/>
                    <w:snapToGrid w:val="0"/>
                    <w:jc w:val="center"/>
                    <w:rPr>
                      <w:color w:val="auto"/>
                      <w:kern w:val="0"/>
                      <w:szCs w:val="21"/>
                    </w:rPr>
                  </w:pPr>
                  <w:r>
                    <w:rPr>
                      <w:color w:val="auto"/>
                      <w:kern w:val="0"/>
                      <w:szCs w:val="21"/>
                    </w:rPr>
                    <w:t>酸、铅</w:t>
                  </w:r>
                </w:p>
              </w:tc>
              <w:tc>
                <w:tcPr>
                  <w:tcW w:w="536" w:type="pct"/>
                  <w:noWrap w:val="0"/>
                  <w:vAlign w:val="center"/>
                </w:tcPr>
                <w:p>
                  <w:pPr>
                    <w:autoSpaceDE w:val="0"/>
                    <w:autoSpaceDN w:val="0"/>
                    <w:adjustRightInd w:val="0"/>
                    <w:snapToGrid w:val="0"/>
                    <w:jc w:val="center"/>
                    <w:rPr>
                      <w:color w:val="auto"/>
                      <w:kern w:val="0"/>
                      <w:szCs w:val="21"/>
                    </w:rPr>
                  </w:pPr>
                  <w:r>
                    <w:rPr>
                      <w:color w:val="auto"/>
                      <w:kern w:val="0"/>
                      <w:szCs w:val="21"/>
                    </w:rPr>
                    <w:t>酸、铅</w:t>
                  </w:r>
                </w:p>
              </w:tc>
              <w:tc>
                <w:tcPr>
                  <w:tcW w:w="442" w:type="pct"/>
                  <w:noWrap w:val="0"/>
                  <w:vAlign w:val="center"/>
                </w:tcPr>
                <w:p>
                  <w:pPr>
                    <w:autoSpaceDE w:val="0"/>
                    <w:autoSpaceDN w:val="0"/>
                    <w:adjustRightInd w:val="0"/>
                    <w:snapToGrid w:val="0"/>
                    <w:jc w:val="center"/>
                    <w:rPr>
                      <w:color w:val="auto"/>
                      <w:kern w:val="0"/>
                      <w:szCs w:val="21"/>
                    </w:rPr>
                  </w:pPr>
                  <w:r>
                    <w:rPr>
                      <w:color w:val="auto"/>
                      <w:kern w:val="0"/>
                      <w:szCs w:val="21"/>
                    </w:rPr>
                    <w:t>T、C</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177" w:type="pct"/>
                  <w:noWrap w:val="0"/>
                  <w:vAlign w:val="center"/>
                </w:tcPr>
                <w:p>
                  <w:pPr>
                    <w:autoSpaceDE w:val="0"/>
                    <w:autoSpaceDN w:val="0"/>
                    <w:adjustRightInd w:val="0"/>
                    <w:snapToGrid w:val="0"/>
                    <w:jc w:val="center"/>
                    <w:rPr>
                      <w:color w:val="auto"/>
                      <w:kern w:val="0"/>
                      <w:szCs w:val="21"/>
                    </w:rPr>
                  </w:pPr>
                  <w:r>
                    <w:rPr>
                      <w:color w:val="auto"/>
                      <w:kern w:val="0"/>
                      <w:szCs w:val="21"/>
                    </w:rPr>
                    <w:t>4</w:t>
                  </w:r>
                </w:p>
              </w:tc>
              <w:tc>
                <w:tcPr>
                  <w:tcW w:w="598" w:type="pct"/>
                  <w:noWrap w:val="0"/>
                  <w:vAlign w:val="center"/>
                </w:tcPr>
                <w:p>
                  <w:pPr>
                    <w:autoSpaceDE w:val="0"/>
                    <w:autoSpaceDN w:val="0"/>
                    <w:adjustRightInd w:val="0"/>
                    <w:snapToGrid w:val="0"/>
                    <w:jc w:val="center"/>
                    <w:rPr>
                      <w:color w:val="auto"/>
                      <w:kern w:val="0"/>
                      <w:szCs w:val="21"/>
                    </w:rPr>
                  </w:pPr>
                  <w:r>
                    <w:rPr>
                      <w:color w:val="auto"/>
                      <w:kern w:val="0"/>
                      <w:szCs w:val="21"/>
                    </w:rPr>
                    <w:t>废含油手套、抹布</w:t>
                  </w:r>
                </w:p>
              </w:tc>
              <w:tc>
                <w:tcPr>
                  <w:tcW w:w="521" w:type="pct"/>
                  <w:noWrap w:val="0"/>
                  <w:vAlign w:val="center"/>
                </w:tcPr>
                <w:p>
                  <w:pPr>
                    <w:autoSpaceDE w:val="0"/>
                    <w:autoSpaceDN w:val="0"/>
                    <w:adjustRightInd w:val="0"/>
                    <w:snapToGrid w:val="0"/>
                    <w:jc w:val="center"/>
                    <w:rPr>
                      <w:color w:val="auto"/>
                      <w:kern w:val="0"/>
                      <w:szCs w:val="21"/>
                    </w:rPr>
                  </w:pPr>
                  <w:r>
                    <w:rPr>
                      <w:color w:val="auto"/>
                      <w:kern w:val="0"/>
                      <w:szCs w:val="21"/>
                    </w:rPr>
                    <w:t>HW49</w:t>
                  </w:r>
                </w:p>
              </w:tc>
              <w:tc>
                <w:tcPr>
                  <w:tcW w:w="643" w:type="pct"/>
                  <w:noWrap w:val="0"/>
                  <w:vAlign w:val="center"/>
                </w:tcPr>
                <w:p>
                  <w:pPr>
                    <w:autoSpaceDE w:val="0"/>
                    <w:autoSpaceDN w:val="0"/>
                    <w:adjustRightInd w:val="0"/>
                    <w:snapToGrid w:val="0"/>
                    <w:jc w:val="center"/>
                    <w:rPr>
                      <w:color w:val="auto"/>
                      <w:kern w:val="0"/>
                      <w:szCs w:val="21"/>
                    </w:rPr>
                  </w:pPr>
                  <w:r>
                    <w:rPr>
                      <w:color w:val="auto"/>
                      <w:kern w:val="0"/>
                      <w:szCs w:val="21"/>
                    </w:rPr>
                    <w:t>900-041-49</w:t>
                  </w:r>
                </w:p>
              </w:tc>
              <w:tc>
                <w:tcPr>
                  <w:tcW w:w="474" w:type="pct"/>
                  <w:noWrap w:val="0"/>
                  <w:vAlign w:val="center"/>
                </w:tcPr>
                <w:p>
                  <w:pPr>
                    <w:autoSpaceDE w:val="0"/>
                    <w:autoSpaceDN w:val="0"/>
                    <w:adjustRightInd w:val="0"/>
                    <w:snapToGrid w:val="0"/>
                    <w:jc w:val="center"/>
                    <w:rPr>
                      <w:color w:val="auto"/>
                      <w:kern w:val="0"/>
                      <w:szCs w:val="21"/>
                    </w:rPr>
                  </w:pPr>
                  <w:r>
                    <w:rPr>
                      <w:color w:val="auto"/>
                      <w:kern w:val="0"/>
                      <w:szCs w:val="21"/>
                    </w:rPr>
                    <w:t>0.001</w:t>
                  </w:r>
                </w:p>
              </w:tc>
              <w:tc>
                <w:tcPr>
                  <w:tcW w:w="626" w:type="pct"/>
                  <w:noWrap w:val="0"/>
                  <w:vAlign w:val="center"/>
                </w:tcPr>
                <w:p>
                  <w:pPr>
                    <w:autoSpaceDE w:val="0"/>
                    <w:autoSpaceDN w:val="0"/>
                    <w:adjustRightInd w:val="0"/>
                    <w:snapToGrid w:val="0"/>
                    <w:jc w:val="center"/>
                    <w:rPr>
                      <w:color w:val="auto"/>
                      <w:kern w:val="0"/>
                      <w:szCs w:val="21"/>
                    </w:rPr>
                  </w:pPr>
                  <w:r>
                    <w:rPr>
                      <w:color w:val="auto"/>
                      <w:kern w:val="0"/>
                      <w:szCs w:val="21"/>
                    </w:rPr>
                    <w:t>检修</w:t>
                  </w:r>
                </w:p>
              </w:tc>
              <w:tc>
                <w:tcPr>
                  <w:tcW w:w="357" w:type="pct"/>
                  <w:noWrap w:val="0"/>
                  <w:vAlign w:val="center"/>
                </w:tcPr>
                <w:p>
                  <w:pPr>
                    <w:autoSpaceDE w:val="0"/>
                    <w:autoSpaceDN w:val="0"/>
                    <w:adjustRightInd w:val="0"/>
                    <w:snapToGrid w:val="0"/>
                    <w:jc w:val="center"/>
                    <w:rPr>
                      <w:color w:val="auto"/>
                      <w:kern w:val="0"/>
                      <w:szCs w:val="21"/>
                    </w:rPr>
                  </w:pPr>
                  <w:r>
                    <w:rPr>
                      <w:color w:val="auto"/>
                      <w:kern w:val="0"/>
                      <w:szCs w:val="21"/>
                    </w:rPr>
                    <w:t>固态</w:t>
                  </w:r>
                </w:p>
              </w:tc>
              <w:tc>
                <w:tcPr>
                  <w:tcW w:w="626" w:type="pct"/>
                  <w:noWrap w:val="0"/>
                  <w:vAlign w:val="center"/>
                </w:tcPr>
                <w:p>
                  <w:pPr>
                    <w:autoSpaceDE w:val="0"/>
                    <w:autoSpaceDN w:val="0"/>
                    <w:adjustRightInd w:val="0"/>
                    <w:snapToGrid w:val="0"/>
                    <w:jc w:val="center"/>
                    <w:rPr>
                      <w:color w:val="auto"/>
                      <w:kern w:val="0"/>
                      <w:szCs w:val="21"/>
                    </w:rPr>
                  </w:pPr>
                  <w:r>
                    <w:rPr>
                      <w:color w:val="auto"/>
                      <w:kern w:val="0"/>
                      <w:szCs w:val="21"/>
                    </w:rPr>
                    <w:t>废矿物油</w:t>
                  </w:r>
                </w:p>
              </w:tc>
              <w:tc>
                <w:tcPr>
                  <w:tcW w:w="536" w:type="pct"/>
                  <w:noWrap w:val="0"/>
                  <w:vAlign w:val="center"/>
                </w:tcPr>
                <w:p>
                  <w:pPr>
                    <w:autoSpaceDE w:val="0"/>
                    <w:autoSpaceDN w:val="0"/>
                    <w:adjustRightInd w:val="0"/>
                    <w:snapToGrid w:val="0"/>
                    <w:jc w:val="center"/>
                    <w:rPr>
                      <w:color w:val="auto"/>
                      <w:kern w:val="0"/>
                      <w:szCs w:val="21"/>
                    </w:rPr>
                  </w:pPr>
                  <w:r>
                    <w:rPr>
                      <w:color w:val="auto"/>
                      <w:kern w:val="0"/>
                      <w:szCs w:val="21"/>
                    </w:rPr>
                    <w:t>废矿物油</w:t>
                  </w:r>
                </w:p>
              </w:tc>
              <w:tc>
                <w:tcPr>
                  <w:tcW w:w="442" w:type="pct"/>
                  <w:noWrap w:val="0"/>
                  <w:vAlign w:val="center"/>
                </w:tcPr>
                <w:p>
                  <w:pPr>
                    <w:autoSpaceDE w:val="0"/>
                    <w:autoSpaceDN w:val="0"/>
                    <w:adjustRightInd w:val="0"/>
                    <w:snapToGrid w:val="0"/>
                    <w:jc w:val="center"/>
                    <w:rPr>
                      <w:color w:val="auto"/>
                      <w:kern w:val="0"/>
                      <w:szCs w:val="21"/>
                    </w:rPr>
                  </w:pPr>
                  <w:r>
                    <w:rPr>
                      <w:color w:val="auto"/>
                      <w:kern w:val="0"/>
                      <w:szCs w:val="21"/>
                    </w:rPr>
                    <w:t>T、In</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1939" w:type="pct"/>
                  <w:gridSpan w:val="4"/>
                  <w:noWrap w:val="0"/>
                  <w:vAlign w:val="center"/>
                </w:tcPr>
                <w:p>
                  <w:pPr>
                    <w:autoSpaceDE w:val="0"/>
                    <w:autoSpaceDN w:val="0"/>
                    <w:adjustRightInd w:val="0"/>
                    <w:snapToGrid w:val="0"/>
                    <w:jc w:val="center"/>
                    <w:rPr>
                      <w:color w:val="auto"/>
                      <w:kern w:val="0"/>
                      <w:szCs w:val="21"/>
                    </w:rPr>
                  </w:pPr>
                  <w:r>
                    <w:rPr>
                      <w:color w:val="auto"/>
                      <w:kern w:val="0"/>
                      <w:szCs w:val="21"/>
                    </w:rPr>
                    <w:t>合计</w:t>
                  </w:r>
                </w:p>
              </w:tc>
              <w:tc>
                <w:tcPr>
                  <w:tcW w:w="474" w:type="pct"/>
                  <w:noWrap w:val="0"/>
                  <w:vAlign w:val="center"/>
                </w:tcPr>
                <w:p>
                  <w:pPr>
                    <w:autoSpaceDE w:val="0"/>
                    <w:autoSpaceDN w:val="0"/>
                    <w:adjustRightInd w:val="0"/>
                    <w:snapToGrid w:val="0"/>
                    <w:jc w:val="center"/>
                    <w:rPr>
                      <w:color w:val="auto"/>
                      <w:kern w:val="0"/>
                      <w:szCs w:val="21"/>
                    </w:rPr>
                  </w:pPr>
                  <w:r>
                    <w:rPr>
                      <w:rFonts w:hint="eastAsia"/>
                      <w:color w:val="auto"/>
                      <w:kern w:val="0"/>
                      <w:szCs w:val="21"/>
                      <w:lang w:val="en-US" w:eastAsia="zh-CN"/>
                    </w:rPr>
                    <w:t>2</w:t>
                  </w:r>
                  <w:r>
                    <w:rPr>
                      <w:color w:val="auto"/>
                      <w:kern w:val="0"/>
                      <w:szCs w:val="21"/>
                    </w:rPr>
                    <w:t>0.361</w:t>
                  </w:r>
                </w:p>
              </w:tc>
              <w:tc>
                <w:tcPr>
                  <w:tcW w:w="626" w:type="pct"/>
                  <w:noWrap w:val="0"/>
                  <w:vAlign w:val="center"/>
                </w:tcPr>
                <w:p>
                  <w:pPr>
                    <w:autoSpaceDE w:val="0"/>
                    <w:autoSpaceDN w:val="0"/>
                    <w:adjustRightInd w:val="0"/>
                    <w:snapToGrid w:val="0"/>
                    <w:jc w:val="center"/>
                    <w:rPr>
                      <w:color w:val="auto"/>
                      <w:kern w:val="0"/>
                      <w:szCs w:val="21"/>
                    </w:rPr>
                  </w:pPr>
                  <w:r>
                    <w:rPr>
                      <w:color w:val="auto"/>
                      <w:kern w:val="0"/>
                      <w:szCs w:val="21"/>
                    </w:rPr>
                    <w:t>/</w:t>
                  </w:r>
                </w:p>
              </w:tc>
              <w:tc>
                <w:tcPr>
                  <w:tcW w:w="357" w:type="pct"/>
                  <w:noWrap w:val="0"/>
                  <w:vAlign w:val="center"/>
                </w:tcPr>
                <w:p>
                  <w:pPr>
                    <w:autoSpaceDE w:val="0"/>
                    <w:autoSpaceDN w:val="0"/>
                    <w:adjustRightInd w:val="0"/>
                    <w:snapToGrid w:val="0"/>
                    <w:jc w:val="center"/>
                    <w:rPr>
                      <w:color w:val="auto"/>
                      <w:kern w:val="0"/>
                      <w:szCs w:val="21"/>
                    </w:rPr>
                  </w:pPr>
                  <w:r>
                    <w:rPr>
                      <w:color w:val="auto"/>
                      <w:kern w:val="0"/>
                      <w:szCs w:val="21"/>
                    </w:rPr>
                    <w:t>/</w:t>
                  </w:r>
                </w:p>
              </w:tc>
              <w:tc>
                <w:tcPr>
                  <w:tcW w:w="626" w:type="pct"/>
                  <w:noWrap w:val="0"/>
                  <w:vAlign w:val="center"/>
                </w:tcPr>
                <w:p>
                  <w:pPr>
                    <w:autoSpaceDE w:val="0"/>
                    <w:autoSpaceDN w:val="0"/>
                    <w:adjustRightInd w:val="0"/>
                    <w:snapToGrid w:val="0"/>
                    <w:jc w:val="center"/>
                    <w:rPr>
                      <w:color w:val="auto"/>
                      <w:kern w:val="0"/>
                      <w:szCs w:val="21"/>
                    </w:rPr>
                  </w:pPr>
                  <w:r>
                    <w:rPr>
                      <w:color w:val="auto"/>
                      <w:kern w:val="0"/>
                      <w:szCs w:val="21"/>
                    </w:rPr>
                    <w:t>/</w:t>
                  </w:r>
                </w:p>
              </w:tc>
              <w:tc>
                <w:tcPr>
                  <w:tcW w:w="536" w:type="pct"/>
                  <w:noWrap w:val="0"/>
                  <w:vAlign w:val="center"/>
                </w:tcPr>
                <w:p>
                  <w:pPr>
                    <w:autoSpaceDE w:val="0"/>
                    <w:autoSpaceDN w:val="0"/>
                    <w:adjustRightInd w:val="0"/>
                    <w:snapToGrid w:val="0"/>
                    <w:jc w:val="center"/>
                    <w:rPr>
                      <w:color w:val="auto"/>
                      <w:kern w:val="0"/>
                      <w:szCs w:val="21"/>
                    </w:rPr>
                  </w:pPr>
                  <w:r>
                    <w:rPr>
                      <w:color w:val="auto"/>
                      <w:kern w:val="0"/>
                      <w:szCs w:val="21"/>
                    </w:rPr>
                    <w:t>/</w:t>
                  </w:r>
                </w:p>
              </w:tc>
              <w:tc>
                <w:tcPr>
                  <w:tcW w:w="442" w:type="pct"/>
                  <w:noWrap w:val="0"/>
                  <w:vAlign w:val="center"/>
                </w:tcPr>
                <w:p>
                  <w:pPr>
                    <w:autoSpaceDE w:val="0"/>
                    <w:autoSpaceDN w:val="0"/>
                    <w:adjustRightInd w:val="0"/>
                    <w:snapToGrid w:val="0"/>
                    <w:jc w:val="center"/>
                    <w:rPr>
                      <w:color w:val="auto"/>
                      <w:kern w:val="0"/>
                      <w:szCs w:val="21"/>
                    </w:rPr>
                  </w:pPr>
                  <w:r>
                    <w:rPr>
                      <w:color w:val="auto"/>
                      <w:kern w:val="0"/>
                      <w:szCs w:val="21"/>
                    </w:rPr>
                    <w:t>/</w:t>
                  </w:r>
                </w:p>
              </w:tc>
            </w:tr>
          </w:tbl>
          <w:p>
            <w:pPr>
              <w:adjustRightInd w:val="0"/>
              <w:snapToGrid w:val="0"/>
              <w:spacing w:line="360" w:lineRule="auto"/>
              <w:ind w:firstLine="422" w:firstLineChars="200"/>
              <w:rPr>
                <w:b/>
                <w:color w:val="auto"/>
              </w:rPr>
            </w:pPr>
            <w:r>
              <w:rPr>
                <w:b/>
                <w:color w:val="auto"/>
              </w:rPr>
              <w:t>说明：T-毒性，I-易燃性，C-腐蚀性</w:t>
            </w:r>
          </w:p>
          <w:p>
            <w:pPr>
              <w:adjustRightInd w:val="0"/>
              <w:snapToGrid w:val="0"/>
              <w:spacing w:line="360" w:lineRule="auto"/>
              <w:ind w:firstLine="480" w:firstLineChars="200"/>
              <w:rPr>
                <w:rFonts w:hint="eastAsia" w:eastAsia="宋体"/>
                <w:color w:val="auto"/>
                <w:sz w:val="24"/>
                <w:lang w:val="en-US" w:eastAsia="zh-CN"/>
              </w:rPr>
            </w:pPr>
            <w:r>
              <w:rPr>
                <w:color w:val="auto"/>
                <w:sz w:val="24"/>
              </w:rPr>
              <w:t>变电站产生的废变压油、变压器油滤渣、废铅蓄电池、</w:t>
            </w:r>
            <w:r>
              <w:rPr>
                <w:bCs/>
                <w:color w:val="auto"/>
                <w:kern w:val="0"/>
                <w:sz w:val="24"/>
              </w:rPr>
              <w:t>废含油手套、抹布</w:t>
            </w:r>
            <w:r>
              <w:rPr>
                <w:color w:val="auto"/>
                <w:sz w:val="24"/>
              </w:rPr>
              <w:t>等危废，</w:t>
            </w:r>
            <w:r>
              <w:rPr>
                <w:rFonts w:hint="eastAsia"/>
                <w:color w:val="auto"/>
                <w:sz w:val="24"/>
                <w:lang w:eastAsia="zh-CN"/>
              </w:rPr>
              <w:t>交有资质的单位处理，拟建淮阳变电站</w:t>
            </w:r>
            <w:r>
              <w:rPr>
                <w:color w:val="auto"/>
                <w:sz w:val="24"/>
              </w:rPr>
              <w:t>内暂存</w:t>
            </w:r>
            <w:r>
              <w:rPr>
                <w:rFonts w:hint="eastAsia"/>
                <w:color w:val="auto"/>
                <w:sz w:val="24"/>
                <w:lang w:eastAsia="zh-CN"/>
              </w:rPr>
              <w:t>不暂存危险废物。</w:t>
            </w:r>
          </w:p>
          <w:p>
            <w:pPr>
              <w:adjustRightInd w:val="0"/>
              <w:snapToGrid w:val="0"/>
              <w:spacing w:line="360" w:lineRule="auto"/>
              <w:rPr>
                <w:b/>
                <w:color w:val="auto"/>
                <w:kern w:val="16"/>
                <w:sz w:val="24"/>
                <w:highlight w:val="none"/>
              </w:rPr>
            </w:pPr>
            <w:r>
              <w:rPr>
                <w:rFonts w:hint="eastAsia"/>
                <w:b/>
                <w:color w:val="auto"/>
                <w:sz w:val="24"/>
                <w:highlight w:val="none"/>
              </w:rPr>
              <w:t>4</w:t>
            </w:r>
            <w:r>
              <w:rPr>
                <w:b/>
                <w:color w:val="auto"/>
                <w:sz w:val="24"/>
                <w:highlight w:val="none"/>
              </w:rPr>
              <w:t>.10</w:t>
            </w:r>
            <w:r>
              <w:rPr>
                <w:b/>
                <w:color w:val="auto"/>
                <w:kern w:val="16"/>
                <w:sz w:val="24"/>
                <w:highlight w:val="none"/>
              </w:rPr>
              <w:t>电磁环境影响分析</w:t>
            </w:r>
          </w:p>
          <w:p>
            <w:pPr>
              <w:adjustRightInd w:val="0"/>
              <w:snapToGrid w:val="0"/>
              <w:spacing w:line="360" w:lineRule="auto"/>
              <w:ind w:firstLine="480" w:firstLineChars="200"/>
              <w:rPr>
                <w:color w:val="auto"/>
                <w:kern w:val="16"/>
                <w:sz w:val="24"/>
                <w:highlight w:val="yellow"/>
              </w:rPr>
            </w:pPr>
            <w:r>
              <w:rPr>
                <w:rFonts w:hint="eastAsia"/>
                <w:color w:val="auto"/>
                <w:kern w:val="16"/>
                <w:sz w:val="24"/>
                <w:highlight w:val="none"/>
              </w:rPr>
              <w:t>本项目电磁环境影响评价具体内容见电磁专题，专题评价结论如下：</w:t>
            </w:r>
          </w:p>
          <w:p>
            <w:pPr>
              <w:spacing w:before="0" w:after="0" w:line="360" w:lineRule="auto"/>
              <w:ind w:firstLine="482" w:firstLineChars="200"/>
              <w:outlineLvl w:val="9"/>
              <w:rPr>
                <w:rFonts w:hint="default" w:ascii="Times New Roman" w:hAnsi="Times New Roman" w:cs="Times New Roman"/>
                <w:b/>
                <w:bCs/>
                <w:color w:val="auto"/>
                <w:sz w:val="24"/>
                <w:szCs w:val="24"/>
                <w:highlight w:val="none"/>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1</w:t>
            </w:r>
            <w:r>
              <w:rPr>
                <w:rFonts w:hint="eastAsia"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eastAsia="zh-CN"/>
              </w:rPr>
              <w:t>拟建</w:t>
            </w:r>
            <w:r>
              <w:rPr>
                <w:rFonts w:hint="eastAsia" w:cs="Times New Roman"/>
                <w:b/>
                <w:bCs/>
                <w:color w:val="auto"/>
                <w:sz w:val="24"/>
                <w:szCs w:val="24"/>
                <w:highlight w:val="none"/>
                <w:lang w:eastAsia="zh-CN"/>
              </w:rPr>
              <w:t>单回段</w:t>
            </w:r>
            <w:r>
              <w:rPr>
                <w:rFonts w:hint="default" w:ascii="Times New Roman" w:hAnsi="Times New Roman" w:cs="Times New Roman"/>
                <w:b/>
                <w:bCs/>
                <w:color w:val="auto"/>
                <w:sz w:val="24"/>
                <w:szCs w:val="24"/>
                <w:highlight w:val="none"/>
              </w:rPr>
              <w:t>架空线路电磁环境影响分析</w:t>
            </w:r>
          </w:p>
          <w:p>
            <w:pPr>
              <w:adjustRightInd w:val="0"/>
              <w:snapToGrid w:val="0"/>
              <w:spacing w:before="156" w:beforeLines="50" w:line="360" w:lineRule="auto"/>
              <w:ind w:firstLine="482" w:firstLineChars="200"/>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A非居民区地面1.5处影响</w:t>
            </w:r>
          </w:p>
          <w:p>
            <w:pPr>
              <w:pStyle w:val="35"/>
              <w:adjustRightInd w:val="0"/>
              <w:snapToGrid w:val="0"/>
              <w:ind w:firstLine="480"/>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拟拟建</w:t>
            </w:r>
            <w:r>
              <w:rPr>
                <w:rFonts w:hint="eastAsia" w:ascii="Times New Roman" w:hAnsi="Times New Roman" w:cs="Times New Roman"/>
                <w:color w:val="auto"/>
                <w:sz w:val="24"/>
                <w:szCs w:val="24"/>
                <w:highlight w:val="none"/>
                <w:lang w:eastAsia="zh-CN"/>
              </w:rPr>
              <w:t>单回段</w:t>
            </w:r>
            <w:r>
              <w:rPr>
                <w:rFonts w:hint="default" w:ascii="Times New Roman" w:hAnsi="Times New Roman" w:cs="Times New Roman"/>
                <w:color w:val="auto"/>
                <w:sz w:val="24"/>
                <w:szCs w:val="24"/>
                <w:highlight w:val="none"/>
              </w:rPr>
              <w:t>架空线路近地导线离地为</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m时，地面1.5m处工频电场强度、磁感应强度均</w:t>
            </w:r>
            <w:r>
              <w:rPr>
                <w:rFonts w:hint="eastAsia" w:ascii="Times New Roman" w:hAnsi="Times New Roman" w:cs="Times New Roman"/>
                <w:color w:val="auto"/>
                <w:sz w:val="24"/>
                <w:szCs w:val="24"/>
                <w:highlight w:val="none"/>
                <w:lang w:eastAsia="zh-CN"/>
              </w:rPr>
              <w:t>能控制在</w:t>
            </w:r>
            <w:r>
              <w:rPr>
                <w:rFonts w:hint="default" w:ascii="Times New Roman" w:hAnsi="Times New Roman" w:cs="Times New Roman"/>
                <w:color w:val="auto"/>
                <w:sz w:val="24"/>
                <w:szCs w:val="24"/>
                <w:highlight w:val="none"/>
              </w:rPr>
              <w:t>《电磁环境控制限值》（GB8702-2014）限值要求</w:t>
            </w:r>
            <w:r>
              <w:rPr>
                <w:rFonts w:hint="eastAsia" w:ascii="Times New Roman" w:hAnsi="Times New Roman" w:cs="Times New Roman"/>
                <w:color w:val="auto"/>
                <w:sz w:val="24"/>
                <w:szCs w:val="24"/>
                <w:highlight w:val="none"/>
                <w:lang w:eastAsia="zh-CN"/>
              </w:rPr>
              <w:t>内</w:t>
            </w:r>
            <w:r>
              <w:rPr>
                <w:rFonts w:hint="default" w:ascii="Times New Roman" w:hAnsi="Times New Roman" w:cs="Times New Roman"/>
                <w:color w:val="auto"/>
                <w:sz w:val="24"/>
                <w:szCs w:val="24"/>
                <w:highlight w:val="none"/>
              </w:rPr>
              <w:t>（电场强度限值4kV/m、磁感应强度限值100</w:t>
            </w:r>
            <w:r>
              <w:rPr>
                <w:rFonts w:hint="default" w:ascii="Times New Roman" w:hAnsi="Times New Roman" w:cs="Times New Roman"/>
                <w:snapToGrid w:val="0"/>
                <w:color w:val="auto"/>
                <w:sz w:val="24"/>
                <w:szCs w:val="24"/>
                <w:highlight w:val="none"/>
              </w:rPr>
              <w:t>μT</w:t>
            </w:r>
            <w:r>
              <w:rPr>
                <w:rFonts w:hint="default" w:ascii="Times New Roman" w:hAnsi="Times New Roman" w:cs="Times New Roman"/>
                <w:color w:val="auto"/>
                <w:sz w:val="24"/>
                <w:szCs w:val="24"/>
                <w:highlight w:val="none"/>
              </w:rPr>
              <w:t>），工频电场强度最大值出现在距线路中心线</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m处，最大值为</w:t>
            </w:r>
            <w:r>
              <w:rPr>
                <w:rFonts w:hint="eastAsia" w:ascii="Times New Roman" w:hAnsi="Times New Roman" w:cs="Times New Roman"/>
                <w:snapToGrid w:val="0"/>
                <w:color w:val="auto"/>
                <w:sz w:val="24"/>
                <w:szCs w:val="24"/>
                <w:highlight w:val="none"/>
                <w:lang w:val="en-US" w:eastAsia="zh-CN"/>
              </w:rPr>
              <w:t>2.57</w:t>
            </w:r>
            <w:r>
              <w:rPr>
                <w:rFonts w:hint="default" w:ascii="Times New Roman" w:hAnsi="Times New Roman" w:cs="Times New Roman"/>
                <w:snapToGrid w:val="0"/>
                <w:color w:val="auto"/>
                <w:sz w:val="24"/>
                <w:szCs w:val="24"/>
                <w:highlight w:val="none"/>
              </w:rPr>
              <w:t>kV/m</w:t>
            </w:r>
            <w:r>
              <w:rPr>
                <w:rFonts w:hint="default" w:ascii="Times New Roman" w:hAnsi="Times New Roman" w:cs="Times New Roman"/>
                <w:color w:val="auto"/>
                <w:sz w:val="24"/>
                <w:szCs w:val="24"/>
                <w:highlight w:val="none"/>
              </w:rPr>
              <w:t>，磁感应强度最大值出现在线路中心线</w:t>
            </w:r>
            <w:r>
              <w:rPr>
                <w:rFonts w:hint="eastAsia" w:ascii="Times New Roman" w:hAnsi="Times New Roman" w:cs="Times New Roman"/>
                <w:color w:val="auto"/>
                <w:sz w:val="24"/>
                <w:szCs w:val="24"/>
                <w:highlight w:val="none"/>
                <w:lang w:val="en-US" w:eastAsia="zh-CN"/>
              </w:rPr>
              <w:t>1m</w:t>
            </w:r>
            <w:r>
              <w:rPr>
                <w:rFonts w:hint="default" w:ascii="Times New Roman" w:hAnsi="Times New Roman" w:cs="Times New Roman"/>
                <w:color w:val="auto"/>
                <w:sz w:val="24"/>
                <w:szCs w:val="24"/>
                <w:highlight w:val="none"/>
              </w:rPr>
              <w:t>处，最大值为</w:t>
            </w:r>
            <w:r>
              <w:rPr>
                <w:rFonts w:hint="eastAsia" w:ascii="Times New Roman" w:hAnsi="Times New Roman" w:cs="Times New Roman"/>
                <w:color w:val="auto"/>
                <w:sz w:val="24"/>
                <w:szCs w:val="24"/>
                <w:highlight w:val="none"/>
                <w:lang w:val="en-US" w:eastAsia="zh-CN"/>
              </w:rPr>
              <w:t>29.47</w:t>
            </w:r>
            <w:r>
              <w:rPr>
                <w:rFonts w:hint="default" w:ascii="Times New Roman" w:hAnsi="Times New Roman" w:cs="Times New Roman"/>
                <w:color w:val="auto"/>
                <w:sz w:val="24"/>
                <w:szCs w:val="24"/>
                <w:highlight w:val="none"/>
              </w:rPr>
              <w:t>μT。</w:t>
            </w:r>
          </w:p>
          <w:p>
            <w:pPr>
              <w:pStyle w:val="35"/>
              <w:adjustRightInd w:val="0"/>
              <w:snapToGrid w:val="0"/>
              <w:ind w:firstLine="482" w:firstLineChars="200"/>
              <w:outlineLvl w:val="9"/>
              <w:rPr>
                <w:rFonts w:hint="default" w:ascii="Times New Roman" w:hAnsi="Times New Roman" w:cs="Times New Roman"/>
                <w:b/>
                <w:bCs/>
                <w:snapToGrid w:val="0"/>
                <w:color w:val="auto"/>
                <w:sz w:val="24"/>
                <w:szCs w:val="24"/>
                <w:highlight w:val="none"/>
              </w:rPr>
            </w:pPr>
            <w:r>
              <w:rPr>
                <w:rFonts w:hint="default" w:ascii="Times New Roman" w:hAnsi="Times New Roman" w:cs="Times New Roman"/>
                <w:b/>
                <w:bCs/>
                <w:color w:val="auto"/>
                <w:sz w:val="24"/>
                <w:szCs w:val="24"/>
                <w:highlight w:val="none"/>
              </w:rPr>
              <w:t>B居民区地面1.5m处电磁环境影响分析</w:t>
            </w:r>
          </w:p>
          <w:p>
            <w:pPr>
              <w:pStyle w:val="35"/>
              <w:adjustRightInd w:val="0"/>
              <w:snapToGrid w:val="0"/>
              <w:ind w:firstLine="480"/>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拟建</w:t>
            </w:r>
            <w:r>
              <w:rPr>
                <w:rFonts w:hint="eastAsia" w:ascii="Times New Roman" w:hAnsi="Times New Roman" w:cs="Times New Roman"/>
                <w:color w:val="auto"/>
                <w:sz w:val="24"/>
                <w:szCs w:val="24"/>
                <w:highlight w:val="none"/>
                <w:lang w:eastAsia="zh-CN"/>
              </w:rPr>
              <w:t>单回段</w:t>
            </w:r>
            <w:r>
              <w:rPr>
                <w:rFonts w:hint="default" w:ascii="Times New Roman" w:hAnsi="Times New Roman" w:cs="Times New Roman"/>
                <w:color w:val="auto"/>
                <w:sz w:val="24"/>
                <w:szCs w:val="24"/>
                <w:highlight w:val="none"/>
              </w:rPr>
              <w:t>架空线路近地导线离地为</w:t>
            </w: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m时，地面1.5m处工频电场强度、磁感应强度均</w:t>
            </w:r>
            <w:r>
              <w:rPr>
                <w:rFonts w:hint="eastAsia" w:ascii="Times New Roman" w:hAnsi="Times New Roman" w:cs="Times New Roman"/>
                <w:color w:val="auto"/>
                <w:sz w:val="24"/>
                <w:szCs w:val="24"/>
                <w:highlight w:val="none"/>
                <w:lang w:eastAsia="zh-CN"/>
              </w:rPr>
              <w:t>能控制在</w:t>
            </w:r>
            <w:r>
              <w:rPr>
                <w:rFonts w:hint="default" w:ascii="Times New Roman" w:hAnsi="Times New Roman" w:cs="Times New Roman"/>
                <w:color w:val="auto"/>
                <w:sz w:val="24"/>
                <w:szCs w:val="24"/>
                <w:highlight w:val="none"/>
              </w:rPr>
              <w:t>《电磁环境控制限值》（GB8702-2014）限值要求</w:t>
            </w:r>
            <w:r>
              <w:rPr>
                <w:rFonts w:hint="eastAsia" w:ascii="Times New Roman" w:hAnsi="Times New Roman" w:cs="Times New Roman"/>
                <w:color w:val="auto"/>
                <w:sz w:val="24"/>
                <w:szCs w:val="24"/>
                <w:highlight w:val="none"/>
                <w:lang w:eastAsia="zh-CN"/>
              </w:rPr>
              <w:t>内</w:t>
            </w:r>
            <w:r>
              <w:rPr>
                <w:rFonts w:hint="default" w:ascii="Times New Roman" w:hAnsi="Times New Roman" w:cs="Times New Roman"/>
                <w:color w:val="auto"/>
                <w:sz w:val="24"/>
                <w:szCs w:val="24"/>
                <w:highlight w:val="none"/>
              </w:rPr>
              <w:t>（电场强度限值4kV/m、磁感应强度限值100</w:t>
            </w:r>
            <w:r>
              <w:rPr>
                <w:rFonts w:hint="default" w:ascii="Times New Roman" w:hAnsi="Times New Roman" w:cs="Times New Roman"/>
                <w:snapToGrid w:val="0"/>
                <w:color w:val="auto"/>
                <w:sz w:val="24"/>
                <w:szCs w:val="24"/>
                <w:highlight w:val="none"/>
              </w:rPr>
              <w:t>μT</w:t>
            </w:r>
            <w:r>
              <w:rPr>
                <w:rFonts w:hint="default" w:ascii="Times New Roman" w:hAnsi="Times New Roman" w:cs="Times New Roman"/>
                <w:color w:val="auto"/>
                <w:sz w:val="24"/>
                <w:szCs w:val="24"/>
                <w:highlight w:val="none"/>
              </w:rPr>
              <w:t>），工频电场强度最大值出现在距线路中心线</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m处，最大值为</w:t>
            </w:r>
            <w:r>
              <w:rPr>
                <w:rFonts w:hint="eastAsia" w:ascii="Times New Roman" w:hAnsi="Times New Roman" w:cs="Times New Roman"/>
                <w:snapToGrid w:val="0"/>
                <w:color w:val="auto"/>
                <w:sz w:val="24"/>
                <w:szCs w:val="24"/>
                <w:highlight w:val="none"/>
                <w:lang w:val="en-US" w:eastAsia="zh-CN"/>
              </w:rPr>
              <w:t>1.96</w:t>
            </w:r>
            <w:r>
              <w:rPr>
                <w:rFonts w:hint="default" w:ascii="Times New Roman" w:hAnsi="Times New Roman" w:cs="Times New Roman"/>
                <w:snapToGrid w:val="0"/>
                <w:color w:val="auto"/>
                <w:sz w:val="24"/>
                <w:szCs w:val="24"/>
                <w:highlight w:val="none"/>
              </w:rPr>
              <w:t>kV/m</w:t>
            </w:r>
            <w:r>
              <w:rPr>
                <w:rFonts w:hint="default" w:ascii="Times New Roman" w:hAnsi="Times New Roman" w:cs="Times New Roman"/>
                <w:color w:val="auto"/>
                <w:sz w:val="24"/>
                <w:szCs w:val="24"/>
                <w:highlight w:val="none"/>
              </w:rPr>
              <w:t>，磁感应强度最大值出现在线路中心线</w:t>
            </w:r>
            <w:r>
              <w:rPr>
                <w:rFonts w:hint="eastAsia" w:ascii="Times New Roman" w:hAnsi="Times New Roman" w:cs="Times New Roman"/>
                <w:color w:val="auto"/>
                <w:sz w:val="24"/>
                <w:szCs w:val="24"/>
                <w:highlight w:val="none"/>
                <w:lang w:val="en-US" w:eastAsia="zh-CN"/>
              </w:rPr>
              <w:t>1m</w:t>
            </w:r>
            <w:r>
              <w:rPr>
                <w:rFonts w:hint="default" w:ascii="Times New Roman" w:hAnsi="Times New Roman" w:cs="Times New Roman"/>
                <w:color w:val="auto"/>
                <w:sz w:val="24"/>
                <w:szCs w:val="24"/>
                <w:highlight w:val="none"/>
              </w:rPr>
              <w:t>处，最大值为</w:t>
            </w:r>
            <w:r>
              <w:rPr>
                <w:rFonts w:hint="eastAsia" w:ascii="Times New Roman" w:hAnsi="Times New Roman" w:cs="Times New Roman"/>
                <w:color w:val="auto"/>
                <w:sz w:val="24"/>
                <w:szCs w:val="24"/>
                <w:highlight w:val="none"/>
                <w:lang w:val="en-US" w:eastAsia="zh-CN"/>
              </w:rPr>
              <w:t>22.86</w:t>
            </w:r>
            <w:r>
              <w:rPr>
                <w:rFonts w:hint="default" w:ascii="Times New Roman" w:hAnsi="Times New Roman" w:cs="Times New Roman"/>
                <w:color w:val="auto"/>
                <w:sz w:val="24"/>
                <w:szCs w:val="24"/>
                <w:highlight w:val="none"/>
              </w:rPr>
              <w:t>μT。</w:t>
            </w:r>
          </w:p>
          <w:p>
            <w:pPr>
              <w:pStyle w:val="35"/>
              <w:adjustRightInd w:val="0"/>
              <w:snapToGrid w:val="0"/>
              <w:ind w:firstLine="482" w:firstLineChars="200"/>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C达标距离</w:t>
            </w:r>
          </w:p>
          <w:p>
            <w:pPr>
              <w:spacing w:before="0" w:after="0" w:line="360" w:lineRule="auto"/>
              <w:ind w:firstLine="480" w:firstLineChars="200"/>
              <w:outlineLvl w:val="9"/>
              <w:rPr>
                <w:rFonts w:hint="default" w:ascii="Times New Roman" w:hAnsi="Times New Roman" w:cs="Times New Roman"/>
                <w:bCs/>
                <w:color w:val="auto"/>
                <w:spacing w:val="2"/>
                <w:sz w:val="24"/>
                <w:szCs w:val="24"/>
                <w:highlight w:val="none"/>
              </w:rPr>
            </w:pPr>
            <w:r>
              <w:rPr>
                <w:rFonts w:hint="default" w:ascii="Times New Roman" w:hAnsi="Times New Roman" w:cs="Times New Roman"/>
                <w:color w:val="auto"/>
                <w:sz w:val="24"/>
                <w:szCs w:val="24"/>
                <w:highlight w:val="none"/>
              </w:rPr>
              <w:t>综合考虑工频电场强度和磁感应强度预测结果，在居民区，</w:t>
            </w:r>
            <w:r>
              <w:rPr>
                <w:rFonts w:hint="default" w:ascii="Times New Roman" w:hAnsi="Times New Roman" w:cs="Times New Roman"/>
                <w:color w:val="auto"/>
                <w:sz w:val="24"/>
                <w:szCs w:val="24"/>
                <w:highlight w:val="none"/>
                <w:lang w:eastAsia="zh-CN"/>
              </w:rPr>
              <w:t>拟建</w:t>
            </w:r>
            <w:r>
              <w:rPr>
                <w:rFonts w:hint="eastAsia" w:ascii="Times New Roman" w:hAnsi="Times New Roman" w:cs="Times New Roman"/>
                <w:color w:val="auto"/>
                <w:sz w:val="24"/>
                <w:szCs w:val="24"/>
                <w:highlight w:val="none"/>
                <w:lang w:eastAsia="zh-CN"/>
              </w:rPr>
              <w:t>单回段</w:t>
            </w:r>
            <w:r>
              <w:rPr>
                <w:rFonts w:hint="default" w:ascii="Times New Roman" w:hAnsi="Times New Roman" w:cs="Times New Roman"/>
                <w:color w:val="auto"/>
                <w:sz w:val="24"/>
                <w:szCs w:val="24"/>
                <w:highlight w:val="none"/>
              </w:rPr>
              <w:t>架空线路近地导线离地为</w:t>
            </w: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m时，在不考虑风偏情况下，</w:t>
            </w:r>
            <w:r>
              <w:rPr>
                <w:rFonts w:hint="default" w:ascii="Times New Roman" w:hAnsi="Times New Roman" w:cs="Times New Roman"/>
                <w:bCs/>
                <w:color w:val="auto"/>
                <w:spacing w:val="2"/>
                <w:sz w:val="24"/>
                <w:szCs w:val="24"/>
                <w:highlight w:val="none"/>
              </w:rPr>
              <w:t>确定本工程</w:t>
            </w:r>
            <w:r>
              <w:rPr>
                <w:rFonts w:hint="default" w:ascii="Times New Roman" w:hAnsi="Times New Roman" w:cs="Times New Roman"/>
                <w:bCs/>
                <w:color w:val="auto"/>
                <w:spacing w:val="2"/>
                <w:sz w:val="24"/>
                <w:szCs w:val="24"/>
                <w:highlight w:val="none"/>
                <w:lang w:eastAsia="zh-CN"/>
              </w:rPr>
              <w:t>拟建</w:t>
            </w:r>
            <w:r>
              <w:rPr>
                <w:rFonts w:hint="eastAsia" w:ascii="Times New Roman" w:hAnsi="Times New Roman" w:cs="Times New Roman"/>
                <w:bCs/>
                <w:color w:val="auto"/>
                <w:spacing w:val="2"/>
                <w:sz w:val="24"/>
                <w:szCs w:val="24"/>
                <w:highlight w:val="none"/>
                <w:lang w:eastAsia="zh-CN"/>
              </w:rPr>
              <w:t>单回段</w:t>
            </w:r>
            <w:r>
              <w:rPr>
                <w:rFonts w:hint="default" w:ascii="Times New Roman" w:hAnsi="Times New Roman" w:cs="Times New Roman"/>
                <w:color w:val="auto"/>
                <w:sz w:val="24"/>
                <w:szCs w:val="24"/>
                <w:highlight w:val="none"/>
              </w:rPr>
              <w:t>架空线路</w:t>
            </w:r>
            <w:r>
              <w:rPr>
                <w:rFonts w:hint="default" w:ascii="Times New Roman" w:hAnsi="Times New Roman" w:cs="Times New Roman"/>
                <w:bCs/>
                <w:color w:val="auto"/>
                <w:spacing w:val="2"/>
                <w:sz w:val="24"/>
                <w:szCs w:val="24"/>
                <w:highlight w:val="none"/>
              </w:rPr>
              <w:t>边导线两侧水平方向各保持</w:t>
            </w:r>
            <w:r>
              <w:rPr>
                <w:rFonts w:hint="eastAsia" w:ascii="Times New Roman" w:hAnsi="Times New Roman" w:cs="Times New Roman"/>
                <w:bCs/>
                <w:color w:val="auto"/>
                <w:spacing w:val="2"/>
                <w:sz w:val="24"/>
                <w:szCs w:val="24"/>
                <w:highlight w:val="none"/>
                <w:lang w:val="en-US" w:eastAsia="zh-CN"/>
              </w:rPr>
              <w:t>4</w:t>
            </w:r>
            <w:r>
              <w:rPr>
                <w:rFonts w:hint="default" w:ascii="Times New Roman" w:hAnsi="Times New Roman" w:cs="Times New Roman"/>
                <w:bCs/>
                <w:color w:val="auto"/>
                <w:spacing w:val="2"/>
                <w:sz w:val="24"/>
                <w:szCs w:val="24"/>
                <w:highlight w:val="none"/>
              </w:rPr>
              <w:t>m的距离，或者在垂直方向上净空高度保持</w:t>
            </w:r>
            <w:r>
              <w:rPr>
                <w:rFonts w:hint="eastAsia" w:ascii="Times New Roman" w:hAnsi="Times New Roman" w:cs="Times New Roman"/>
                <w:bCs/>
                <w:color w:val="auto"/>
                <w:spacing w:val="2"/>
                <w:sz w:val="24"/>
                <w:szCs w:val="24"/>
                <w:highlight w:val="none"/>
                <w:lang w:val="en-US" w:eastAsia="zh-CN"/>
              </w:rPr>
              <w:t>3</w:t>
            </w:r>
            <w:r>
              <w:rPr>
                <w:rFonts w:hint="default" w:ascii="Times New Roman" w:hAnsi="Times New Roman" w:cs="Times New Roman"/>
                <w:bCs/>
                <w:color w:val="auto"/>
                <w:spacing w:val="2"/>
                <w:sz w:val="24"/>
                <w:szCs w:val="24"/>
                <w:highlight w:val="none"/>
              </w:rPr>
              <w:t>m的距离，电磁环境即</w:t>
            </w:r>
            <w:r>
              <w:rPr>
                <w:rFonts w:hint="eastAsia" w:ascii="Times New Roman" w:hAnsi="Times New Roman" w:cs="Times New Roman"/>
                <w:color w:val="auto"/>
                <w:sz w:val="24"/>
                <w:szCs w:val="24"/>
                <w:highlight w:val="none"/>
                <w:lang w:eastAsia="zh-CN"/>
              </w:rPr>
              <w:t>能控制在</w:t>
            </w:r>
            <w:r>
              <w:rPr>
                <w:rFonts w:hint="default" w:ascii="Times New Roman" w:hAnsi="Times New Roman" w:cs="Times New Roman"/>
                <w:color w:val="auto"/>
                <w:sz w:val="24"/>
                <w:szCs w:val="24"/>
                <w:highlight w:val="none"/>
              </w:rPr>
              <w:t>《电磁环境控制限值》（GB8702-2014）限值要求</w:t>
            </w:r>
            <w:r>
              <w:rPr>
                <w:rFonts w:hint="eastAsia" w:ascii="Times New Roman" w:hAnsi="Times New Roman" w:cs="Times New Roman"/>
                <w:color w:val="auto"/>
                <w:sz w:val="24"/>
                <w:szCs w:val="24"/>
                <w:highlight w:val="none"/>
                <w:lang w:eastAsia="zh-CN"/>
              </w:rPr>
              <w:t>内</w:t>
            </w:r>
            <w:r>
              <w:rPr>
                <w:rFonts w:hint="default" w:ascii="Times New Roman" w:hAnsi="Times New Roman" w:cs="Times New Roman"/>
                <w:bCs/>
                <w:color w:val="auto"/>
                <w:spacing w:val="2"/>
                <w:sz w:val="24"/>
                <w:szCs w:val="24"/>
                <w:highlight w:val="none"/>
              </w:rPr>
              <w:t>（</w:t>
            </w:r>
            <w:r>
              <w:rPr>
                <w:rFonts w:hint="default" w:ascii="Times New Roman" w:hAnsi="Times New Roman" w:cs="Times New Roman"/>
                <w:color w:val="auto"/>
                <w:sz w:val="24"/>
                <w:szCs w:val="24"/>
                <w:highlight w:val="none"/>
              </w:rPr>
              <w:t>工频电场强度</w:t>
            </w:r>
            <w:r>
              <w:rPr>
                <w:rFonts w:hint="default" w:ascii="Times New Roman" w:hAnsi="Times New Roman" w:cs="Times New Roman"/>
                <w:color w:val="auto"/>
                <w:kern w:val="0"/>
                <w:sz w:val="24"/>
                <w:szCs w:val="24"/>
                <w:highlight w:val="none"/>
              </w:rPr>
              <w:t>限值4kV/m，</w:t>
            </w:r>
            <w:r>
              <w:rPr>
                <w:rFonts w:hint="default" w:ascii="Times New Roman" w:hAnsi="Times New Roman" w:cs="Times New Roman"/>
                <w:color w:val="auto"/>
                <w:sz w:val="24"/>
                <w:szCs w:val="24"/>
                <w:highlight w:val="none"/>
              </w:rPr>
              <w:t>磁感应强度</w:t>
            </w:r>
            <w:r>
              <w:rPr>
                <w:rFonts w:hint="default" w:ascii="Times New Roman" w:hAnsi="Times New Roman" w:cs="Times New Roman"/>
                <w:color w:val="auto"/>
                <w:kern w:val="0"/>
                <w:sz w:val="24"/>
                <w:szCs w:val="24"/>
                <w:highlight w:val="none"/>
              </w:rPr>
              <w:t>限值</w:t>
            </w:r>
            <w:r>
              <w:rPr>
                <w:rFonts w:hint="default" w:ascii="Times New Roman" w:hAnsi="Times New Roman" w:cs="Times New Roman"/>
                <w:snapToGrid w:val="0"/>
                <w:color w:val="auto"/>
                <w:sz w:val="24"/>
                <w:szCs w:val="24"/>
                <w:highlight w:val="none"/>
              </w:rPr>
              <w:t>100μT</w:t>
            </w:r>
            <w:r>
              <w:rPr>
                <w:rFonts w:hint="default" w:ascii="Times New Roman" w:hAnsi="Times New Roman" w:cs="Times New Roman"/>
                <w:bCs/>
                <w:color w:val="auto"/>
                <w:spacing w:val="2"/>
                <w:sz w:val="24"/>
                <w:szCs w:val="24"/>
                <w:highlight w:val="none"/>
              </w:rPr>
              <w:t>）。</w:t>
            </w:r>
          </w:p>
          <w:p>
            <w:pPr>
              <w:spacing w:before="0" w:after="0" w:line="360" w:lineRule="auto"/>
              <w:ind w:firstLine="482" w:firstLineChars="200"/>
              <w:outlineLvl w:val="9"/>
              <w:rPr>
                <w:rFonts w:hint="default" w:ascii="Times New Roman" w:hAnsi="Times New Roman" w:cs="Times New Roman"/>
                <w:b/>
                <w:bCs/>
                <w:color w:val="auto"/>
                <w:sz w:val="24"/>
                <w:szCs w:val="24"/>
                <w:highlight w:val="none"/>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2</w:t>
            </w:r>
            <w:r>
              <w:rPr>
                <w:rFonts w:hint="eastAsia"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eastAsia="zh-CN"/>
              </w:rPr>
              <w:t>拟建</w:t>
            </w:r>
            <w:r>
              <w:rPr>
                <w:rFonts w:hint="eastAsia" w:cs="Times New Roman"/>
                <w:b/>
                <w:bCs/>
                <w:color w:val="auto"/>
                <w:sz w:val="24"/>
                <w:szCs w:val="24"/>
                <w:highlight w:val="none"/>
                <w:lang w:eastAsia="zh-CN"/>
              </w:rPr>
              <w:t>双段</w:t>
            </w:r>
            <w:r>
              <w:rPr>
                <w:rFonts w:hint="default" w:ascii="Times New Roman" w:hAnsi="Times New Roman" w:cs="Times New Roman"/>
                <w:b/>
                <w:bCs/>
                <w:color w:val="auto"/>
                <w:sz w:val="24"/>
                <w:szCs w:val="24"/>
                <w:highlight w:val="none"/>
              </w:rPr>
              <w:t>架空线路电磁环境影响分析</w:t>
            </w:r>
          </w:p>
          <w:p>
            <w:pPr>
              <w:adjustRightInd w:val="0"/>
              <w:snapToGrid w:val="0"/>
              <w:spacing w:before="156" w:beforeLines="50"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A非居民区地面1.5处影响</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拟建双回段</w:t>
            </w:r>
            <w:r>
              <w:rPr>
                <w:rFonts w:hint="default" w:ascii="Times New Roman" w:hAnsi="Times New Roman" w:cs="Times New Roman"/>
                <w:color w:val="auto"/>
                <w:sz w:val="24"/>
                <w:highlight w:val="none"/>
              </w:rPr>
              <w:t>架空线路近地导线离地为</w:t>
            </w:r>
            <w:r>
              <w:rPr>
                <w:rFonts w:hint="default" w:ascii="Times New Roman" w:hAnsi="Times New Roman" w:cs="Times New Roman"/>
                <w:color w:val="auto"/>
                <w:sz w:val="24"/>
                <w:highlight w:val="none"/>
                <w:lang w:eastAsia="zh-CN"/>
              </w:rPr>
              <w:t>6m</w:t>
            </w:r>
            <w:r>
              <w:rPr>
                <w:rFonts w:hint="default" w:ascii="Times New Roman" w:hAnsi="Times New Roman" w:cs="Times New Roman"/>
                <w:color w:val="auto"/>
                <w:sz w:val="24"/>
                <w:highlight w:val="none"/>
              </w:rPr>
              <w:t>时，地面1.5m处工频电场强度、磁感应强度均</w:t>
            </w:r>
            <w:r>
              <w:rPr>
                <w:rFonts w:hint="default" w:ascii="Times New Roman" w:hAnsi="Times New Roman" w:cs="Times New Roman"/>
                <w:color w:val="auto"/>
                <w:sz w:val="24"/>
                <w:highlight w:val="none"/>
                <w:lang w:eastAsia="zh-CN"/>
              </w:rPr>
              <w:t>能控制在《电磁环境控制限值》（GB8702-2014）限值要求内</w:t>
            </w:r>
            <w:r>
              <w:rPr>
                <w:rFonts w:hint="default" w:ascii="Times New Roman" w:hAnsi="Times New Roman" w:cs="Times New Roman"/>
                <w:color w:val="auto"/>
                <w:sz w:val="24"/>
                <w:highlight w:val="none"/>
              </w:rPr>
              <w:t>（电场强度限值4kV/m、磁感应强度限值100μT），工频电场强度最大值出现在距线路中心线</w:t>
            </w: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m处，最大值为</w:t>
            </w:r>
            <w:r>
              <w:rPr>
                <w:rFonts w:hint="eastAsia" w:ascii="Times New Roman" w:hAnsi="Times New Roman" w:cs="Times New Roman"/>
                <w:snapToGrid w:val="0"/>
                <w:color w:val="auto"/>
                <w:sz w:val="24"/>
                <w:highlight w:val="none"/>
                <w:lang w:val="en-US" w:eastAsia="zh-CN"/>
              </w:rPr>
              <w:t>2.89</w:t>
            </w:r>
            <w:r>
              <w:rPr>
                <w:rFonts w:hint="default" w:ascii="Times New Roman" w:hAnsi="Times New Roman" w:cs="Times New Roman"/>
                <w:snapToGrid w:val="0"/>
                <w:color w:val="auto"/>
                <w:sz w:val="24"/>
                <w:highlight w:val="none"/>
              </w:rPr>
              <w:t>kV/m</w:t>
            </w:r>
            <w:r>
              <w:rPr>
                <w:rFonts w:hint="default" w:ascii="Times New Roman" w:hAnsi="Times New Roman" w:cs="Times New Roman"/>
                <w:color w:val="auto"/>
                <w:sz w:val="24"/>
                <w:highlight w:val="none"/>
              </w:rPr>
              <w:t>。磁感应强度最大值出现在线路中心线</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rPr>
              <w:t>处，最大值为</w:t>
            </w:r>
            <w:r>
              <w:rPr>
                <w:rFonts w:hint="default" w:ascii="Times New Roman" w:hAnsi="Times New Roman" w:cs="Times New Roman"/>
                <w:color w:val="auto"/>
                <w:sz w:val="24"/>
                <w:highlight w:val="none"/>
                <w:lang w:val="en-US" w:eastAsia="zh-CN"/>
              </w:rPr>
              <w:t>21.</w:t>
            </w:r>
            <w:r>
              <w:rPr>
                <w:rFonts w:hint="eastAsia" w:ascii="Times New Roman" w:hAnsi="Times New Roman" w:cs="Times New Roman"/>
                <w:color w:val="auto"/>
                <w:sz w:val="24"/>
                <w:highlight w:val="none"/>
                <w:lang w:val="en-US" w:eastAsia="zh-CN"/>
              </w:rPr>
              <w:t>47</w:t>
            </w:r>
            <w:r>
              <w:rPr>
                <w:rFonts w:hint="default" w:ascii="Times New Roman" w:hAnsi="Times New Roman" w:cs="Times New Roman"/>
                <w:color w:val="auto"/>
                <w:sz w:val="24"/>
                <w:highlight w:val="none"/>
              </w:rPr>
              <w:t>μT。</w:t>
            </w:r>
          </w:p>
          <w:p>
            <w:pPr>
              <w:pStyle w:val="35"/>
              <w:adjustRightInd w:val="0"/>
              <w:snapToGrid w:val="0"/>
              <w:ind w:firstLine="482" w:firstLineChars="200"/>
              <w:rPr>
                <w:rFonts w:hint="default" w:ascii="Times New Roman" w:hAnsi="Times New Roman" w:cs="Times New Roman"/>
                <w:b/>
                <w:bCs/>
                <w:snapToGrid w:val="0"/>
                <w:color w:val="auto"/>
                <w:highlight w:val="none"/>
              </w:rPr>
            </w:pPr>
            <w:r>
              <w:rPr>
                <w:rFonts w:hint="default" w:ascii="Times New Roman" w:hAnsi="Times New Roman" w:cs="Times New Roman"/>
                <w:b/>
                <w:bCs/>
                <w:color w:val="auto"/>
                <w:highlight w:val="none"/>
              </w:rPr>
              <w:t>B居民区地面1.5m处电磁环境影响分析</w:t>
            </w:r>
          </w:p>
          <w:p>
            <w:pPr>
              <w:pStyle w:val="35"/>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拟建双回段</w:t>
            </w:r>
            <w:r>
              <w:rPr>
                <w:rFonts w:hint="default" w:ascii="Times New Roman" w:hAnsi="Times New Roman" w:cs="Times New Roman"/>
                <w:color w:val="auto"/>
                <w:highlight w:val="none"/>
              </w:rPr>
              <w:t>架空线路近地导线离地为</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m时，地面1.5m处工频电场强度、磁感应强度均</w:t>
            </w:r>
            <w:r>
              <w:rPr>
                <w:rFonts w:hint="default" w:ascii="Times New Roman" w:hAnsi="Times New Roman" w:cs="Times New Roman"/>
                <w:color w:val="auto"/>
                <w:highlight w:val="none"/>
                <w:lang w:eastAsia="zh-CN"/>
              </w:rPr>
              <w:t>能控制在《电磁环境控制限值》（GB8702-2014）限值要求内</w:t>
            </w:r>
            <w:r>
              <w:rPr>
                <w:rFonts w:hint="default" w:ascii="Times New Roman" w:hAnsi="Times New Roman" w:cs="Times New Roman"/>
                <w:color w:val="auto"/>
                <w:highlight w:val="none"/>
              </w:rPr>
              <w:t>（电场强度限值4kV/m、磁感应强度限值100</w:t>
            </w:r>
            <w:r>
              <w:rPr>
                <w:rFonts w:hint="default" w:ascii="Times New Roman" w:hAnsi="Times New Roman" w:cs="Times New Roman"/>
                <w:snapToGrid w:val="0"/>
                <w:color w:val="auto"/>
                <w:highlight w:val="none"/>
              </w:rPr>
              <w:t>μT</w:t>
            </w:r>
            <w:r>
              <w:rPr>
                <w:rFonts w:hint="default" w:ascii="Times New Roman" w:hAnsi="Times New Roman" w:cs="Times New Roman"/>
                <w:color w:val="auto"/>
                <w:highlight w:val="none"/>
              </w:rPr>
              <w:t>），工频电场强度最大值出现在距线路中心线处，最大值为</w:t>
            </w:r>
            <w:r>
              <w:rPr>
                <w:rFonts w:hint="default" w:ascii="Times New Roman" w:hAnsi="Times New Roman" w:cs="Times New Roman"/>
                <w:snapToGrid w:val="0"/>
                <w:color w:val="auto"/>
                <w:highlight w:val="none"/>
                <w:lang w:val="en-US" w:eastAsia="zh-CN"/>
              </w:rPr>
              <w:t>2.</w:t>
            </w:r>
            <w:r>
              <w:rPr>
                <w:rFonts w:hint="eastAsia" w:ascii="Times New Roman" w:hAnsi="Times New Roman" w:cs="Times New Roman"/>
                <w:snapToGrid w:val="0"/>
                <w:color w:val="auto"/>
                <w:highlight w:val="none"/>
                <w:lang w:val="en-US" w:eastAsia="zh-CN"/>
              </w:rPr>
              <w:t>47</w:t>
            </w:r>
            <w:r>
              <w:rPr>
                <w:rFonts w:hint="default" w:ascii="Times New Roman" w:hAnsi="Times New Roman" w:cs="Times New Roman"/>
                <w:snapToGrid w:val="0"/>
                <w:color w:val="auto"/>
                <w:highlight w:val="none"/>
              </w:rPr>
              <w:t>kV/m</w:t>
            </w:r>
            <w:r>
              <w:rPr>
                <w:rFonts w:hint="default" w:ascii="Times New Roman" w:hAnsi="Times New Roman" w:cs="Times New Roman"/>
                <w:color w:val="auto"/>
                <w:highlight w:val="none"/>
              </w:rPr>
              <w:t>，磁感应强度最大值出现在线路中心线</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rPr>
              <w:t>处，最大值为</w:t>
            </w:r>
            <w:r>
              <w:rPr>
                <w:rFonts w:hint="eastAsia" w:ascii="Times New Roman" w:hAnsi="Times New Roman" w:cs="Times New Roman"/>
                <w:color w:val="auto"/>
                <w:highlight w:val="none"/>
                <w:lang w:val="en-US" w:eastAsia="zh-CN"/>
              </w:rPr>
              <w:t>18.31</w:t>
            </w:r>
            <w:r>
              <w:rPr>
                <w:rFonts w:hint="default" w:ascii="Times New Roman" w:hAnsi="Times New Roman" w:cs="Times New Roman"/>
                <w:color w:val="auto"/>
                <w:highlight w:val="none"/>
              </w:rPr>
              <w:t>μT。</w:t>
            </w:r>
          </w:p>
          <w:p>
            <w:pPr>
              <w:pStyle w:val="35"/>
              <w:adjustRightInd w:val="0"/>
              <w:snapToGrid w:val="0"/>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C达标距离</w:t>
            </w:r>
          </w:p>
          <w:p>
            <w:pPr>
              <w:tabs>
                <w:tab w:val="left" w:pos="720"/>
              </w:tabs>
              <w:adjustRightInd w:val="0"/>
              <w:snapToGrid w:val="0"/>
              <w:spacing w:line="360" w:lineRule="auto"/>
              <w:ind w:firstLine="480" w:firstLineChars="200"/>
              <w:rPr>
                <w:rFonts w:hint="default" w:ascii="Times New Roman" w:hAnsi="Times New Roman" w:cs="Times New Roman"/>
                <w:bCs/>
                <w:color w:val="auto"/>
                <w:spacing w:val="2"/>
                <w:sz w:val="24"/>
                <w:highlight w:val="none"/>
              </w:rPr>
            </w:pPr>
            <w:r>
              <w:rPr>
                <w:rFonts w:hint="default" w:ascii="Times New Roman" w:hAnsi="Times New Roman" w:cs="Times New Roman"/>
                <w:color w:val="auto"/>
                <w:sz w:val="24"/>
                <w:highlight w:val="none"/>
              </w:rPr>
              <w:t>综合考虑工频电场强度和磁感应强度预测结果，在居民区，</w:t>
            </w:r>
            <w:r>
              <w:rPr>
                <w:rFonts w:hint="default" w:ascii="Times New Roman" w:hAnsi="Times New Roman" w:cs="Times New Roman"/>
                <w:color w:val="auto"/>
                <w:sz w:val="24"/>
                <w:highlight w:val="none"/>
                <w:lang w:eastAsia="zh-CN"/>
              </w:rPr>
              <w:t>拟建双回段</w:t>
            </w:r>
            <w:r>
              <w:rPr>
                <w:rFonts w:hint="default" w:ascii="Times New Roman" w:hAnsi="Times New Roman" w:cs="Times New Roman"/>
                <w:color w:val="auto"/>
                <w:sz w:val="24"/>
                <w:highlight w:val="none"/>
              </w:rPr>
              <w:t>架空线路近地导线离地为</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m时，在不考虑风偏情况下，</w:t>
            </w:r>
            <w:r>
              <w:rPr>
                <w:rFonts w:hint="default" w:ascii="Times New Roman" w:hAnsi="Times New Roman" w:cs="Times New Roman"/>
                <w:bCs/>
                <w:color w:val="auto"/>
                <w:spacing w:val="2"/>
                <w:sz w:val="24"/>
                <w:highlight w:val="none"/>
              </w:rPr>
              <w:t>确定本工程</w:t>
            </w:r>
            <w:r>
              <w:rPr>
                <w:rFonts w:hint="default" w:ascii="Times New Roman" w:hAnsi="Times New Roman" w:cs="Times New Roman"/>
                <w:bCs/>
                <w:color w:val="auto"/>
                <w:spacing w:val="2"/>
                <w:sz w:val="24"/>
                <w:highlight w:val="none"/>
                <w:lang w:eastAsia="zh-CN"/>
              </w:rPr>
              <w:t>拟建双回段</w:t>
            </w:r>
            <w:r>
              <w:rPr>
                <w:rFonts w:hint="default" w:ascii="Times New Roman" w:hAnsi="Times New Roman" w:cs="Times New Roman"/>
                <w:color w:val="auto"/>
                <w:sz w:val="24"/>
                <w:highlight w:val="none"/>
              </w:rPr>
              <w:t>架空线路</w:t>
            </w:r>
            <w:r>
              <w:rPr>
                <w:rFonts w:hint="default" w:ascii="Times New Roman" w:hAnsi="Times New Roman" w:cs="Times New Roman"/>
                <w:bCs/>
                <w:color w:val="auto"/>
                <w:spacing w:val="2"/>
                <w:sz w:val="24"/>
                <w:highlight w:val="none"/>
              </w:rPr>
              <w:t>边导线两侧水平方向各保持</w:t>
            </w:r>
            <w:r>
              <w:rPr>
                <w:rFonts w:hint="eastAsia" w:ascii="Times New Roman" w:hAnsi="Times New Roman" w:cs="Times New Roman"/>
                <w:bCs/>
                <w:color w:val="auto"/>
                <w:spacing w:val="2"/>
                <w:sz w:val="24"/>
                <w:highlight w:val="none"/>
                <w:lang w:val="en-US" w:eastAsia="zh-CN"/>
              </w:rPr>
              <w:t>4</w:t>
            </w:r>
            <w:r>
              <w:rPr>
                <w:rFonts w:hint="default" w:ascii="Times New Roman" w:hAnsi="Times New Roman" w:cs="Times New Roman"/>
                <w:bCs/>
                <w:color w:val="auto"/>
                <w:spacing w:val="2"/>
                <w:sz w:val="24"/>
                <w:highlight w:val="none"/>
              </w:rPr>
              <w:t>m的距离，或者在垂直方向上净空高度保持</w:t>
            </w:r>
            <w:r>
              <w:rPr>
                <w:rFonts w:hint="default" w:ascii="Times New Roman" w:hAnsi="Times New Roman" w:cs="Times New Roman"/>
                <w:bCs/>
                <w:color w:val="auto"/>
                <w:spacing w:val="2"/>
                <w:sz w:val="24"/>
                <w:highlight w:val="none"/>
                <w:lang w:val="en-US" w:eastAsia="zh-CN"/>
              </w:rPr>
              <w:t>3</w:t>
            </w:r>
            <w:r>
              <w:rPr>
                <w:rFonts w:hint="default" w:ascii="Times New Roman" w:hAnsi="Times New Roman" w:cs="Times New Roman"/>
                <w:bCs/>
                <w:color w:val="auto"/>
                <w:spacing w:val="2"/>
                <w:sz w:val="24"/>
                <w:highlight w:val="none"/>
              </w:rPr>
              <w:t>m的距离，电磁环境即可满足《电磁环境控制限值》（GB 8702-2014）中标准限值要求（</w:t>
            </w:r>
            <w:r>
              <w:rPr>
                <w:rFonts w:hint="default" w:ascii="Times New Roman" w:hAnsi="Times New Roman" w:cs="Times New Roman"/>
                <w:color w:val="auto"/>
                <w:sz w:val="24"/>
                <w:highlight w:val="none"/>
              </w:rPr>
              <w:t>工频电场强度</w:t>
            </w:r>
            <w:r>
              <w:rPr>
                <w:rFonts w:hint="default" w:ascii="Times New Roman" w:hAnsi="Times New Roman" w:cs="Times New Roman"/>
                <w:color w:val="auto"/>
                <w:kern w:val="0"/>
                <w:sz w:val="24"/>
                <w:highlight w:val="none"/>
              </w:rPr>
              <w:t>限值4kV/m，</w:t>
            </w:r>
            <w:r>
              <w:rPr>
                <w:rFonts w:hint="default" w:ascii="Times New Roman" w:hAnsi="Times New Roman" w:cs="Times New Roman"/>
                <w:color w:val="auto"/>
                <w:sz w:val="24"/>
                <w:highlight w:val="none"/>
              </w:rPr>
              <w:t>磁感应强度</w:t>
            </w:r>
            <w:r>
              <w:rPr>
                <w:rFonts w:hint="default" w:ascii="Times New Roman" w:hAnsi="Times New Roman" w:cs="Times New Roman"/>
                <w:color w:val="auto"/>
                <w:kern w:val="0"/>
                <w:sz w:val="24"/>
                <w:highlight w:val="none"/>
              </w:rPr>
              <w:t>限值</w:t>
            </w:r>
            <w:r>
              <w:rPr>
                <w:rFonts w:hint="default" w:ascii="Times New Roman" w:hAnsi="Times New Roman" w:cs="Times New Roman"/>
                <w:snapToGrid w:val="0"/>
                <w:color w:val="auto"/>
                <w:sz w:val="24"/>
                <w:highlight w:val="none"/>
              </w:rPr>
              <w:t>100μT</w:t>
            </w:r>
            <w:r>
              <w:rPr>
                <w:rFonts w:hint="default" w:ascii="Times New Roman" w:hAnsi="Times New Roman" w:cs="Times New Roman"/>
                <w:bCs/>
                <w:color w:val="auto"/>
                <w:spacing w:val="2"/>
                <w:sz w:val="24"/>
                <w:highlight w:val="none"/>
              </w:rPr>
              <w:t>）。</w:t>
            </w:r>
          </w:p>
          <w:p>
            <w:pPr>
              <w:adjustRightInd w:val="0"/>
              <w:snapToGrid w:val="0"/>
              <w:spacing w:line="360" w:lineRule="auto"/>
              <w:ind w:firstLine="482" w:firstLineChars="200"/>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w:t>
            </w: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）变电站电磁环境影响分析</w:t>
            </w:r>
          </w:p>
          <w:p>
            <w:pPr>
              <w:widowControl/>
              <w:spacing w:line="360" w:lineRule="auto"/>
              <w:ind w:firstLine="480" w:firstLineChars="200"/>
              <w:outlineLvl w:val="9"/>
              <w:rPr>
                <w:rFonts w:hint="default" w:ascii="Times New Roman" w:hAnsi="Times New Roman" w:eastAsia="宋体" w:cs="Times New Roman"/>
                <w:color w:val="auto"/>
                <w:kern w:val="0"/>
                <w:sz w:val="24"/>
                <w:szCs w:val="24"/>
                <w:highlight w:val="none"/>
                <w:lang w:bidi="en-US"/>
              </w:rPr>
            </w:pPr>
            <w:r>
              <w:rPr>
                <w:rFonts w:hint="default" w:ascii="Times New Roman" w:hAnsi="Times New Roman" w:eastAsia="宋体" w:cs="Times New Roman"/>
                <w:color w:val="auto"/>
                <w:kern w:val="0"/>
                <w:sz w:val="24"/>
                <w:szCs w:val="24"/>
                <w:highlight w:val="none"/>
                <w:lang w:bidi="en-US"/>
              </w:rPr>
              <w:t>通过与</w:t>
            </w:r>
            <w:r>
              <w:rPr>
                <w:rFonts w:hint="eastAsia" w:ascii="Times New Roman" w:hAnsi="Times New Roman" w:eastAsia="宋体" w:cs="Times New Roman"/>
                <w:bCs/>
                <w:color w:val="auto"/>
                <w:kern w:val="0"/>
                <w:sz w:val="24"/>
                <w:szCs w:val="24"/>
                <w:highlight w:val="none"/>
                <w:lang w:eastAsia="zh-CN" w:bidi="en-US"/>
              </w:rPr>
              <w:t>北碚运河110kV变电站</w:t>
            </w:r>
            <w:r>
              <w:rPr>
                <w:rFonts w:hint="default" w:ascii="Times New Roman" w:hAnsi="Times New Roman" w:eastAsia="宋体" w:cs="Times New Roman"/>
                <w:bCs/>
                <w:color w:val="auto"/>
                <w:kern w:val="0"/>
                <w:sz w:val="24"/>
                <w:szCs w:val="24"/>
                <w:highlight w:val="none"/>
                <w:lang w:bidi="en-US"/>
              </w:rPr>
              <w:t>围墙外</w:t>
            </w:r>
            <w:r>
              <w:rPr>
                <w:rFonts w:hint="default" w:ascii="Times New Roman" w:hAnsi="Times New Roman" w:eastAsia="宋体" w:cs="Times New Roman"/>
                <w:color w:val="auto"/>
                <w:kern w:val="0"/>
                <w:sz w:val="24"/>
                <w:szCs w:val="24"/>
                <w:highlight w:val="none"/>
                <w:lang w:bidi="en-US"/>
              </w:rPr>
              <w:t>的监测结果进行类比分析，可以预测</w:t>
            </w:r>
            <w:r>
              <w:rPr>
                <w:rFonts w:hint="eastAsia" w:ascii="Times New Roman" w:hAnsi="Times New Roman" w:eastAsia="宋体" w:cs="Times New Roman"/>
                <w:bCs/>
                <w:color w:val="auto"/>
                <w:kern w:val="0"/>
                <w:sz w:val="24"/>
                <w:szCs w:val="24"/>
                <w:highlight w:val="none"/>
                <w:lang w:eastAsia="zh-CN" w:bidi="en-US"/>
              </w:rPr>
              <w:t>110kV淮阳变电站</w:t>
            </w:r>
            <w:r>
              <w:rPr>
                <w:rFonts w:hint="default" w:ascii="Times New Roman" w:hAnsi="Times New Roman" w:eastAsia="宋体" w:cs="Times New Roman"/>
                <w:bCs/>
                <w:color w:val="auto"/>
                <w:kern w:val="0"/>
                <w:sz w:val="24"/>
                <w:szCs w:val="24"/>
                <w:highlight w:val="none"/>
                <w:lang w:bidi="en-US"/>
              </w:rPr>
              <w:t>建</w:t>
            </w:r>
            <w:r>
              <w:rPr>
                <w:rFonts w:hint="default" w:ascii="Times New Roman" w:hAnsi="Times New Roman" w:eastAsia="宋体" w:cs="Times New Roman"/>
                <w:color w:val="auto"/>
                <w:kern w:val="0"/>
                <w:sz w:val="24"/>
                <w:szCs w:val="24"/>
                <w:highlight w:val="none"/>
                <w:lang w:bidi="en-US"/>
              </w:rPr>
              <w:t>成运行后，变电站四周围墙外电磁环境均</w:t>
            </w:r>
            <w:r>
              <w:rPr>
                <w:rFonts w:hint="eastAsia" w:ascii="Times New Roman" w:hAnsi="Times New Roman" w:cs="Times New Roman"/>
                <w:color w:val="auto"/>
                <w:sz w:val="24"/>
                <w:szCs w:val="24"/>
                <w:highlight w:val="none"/>
                <w:lang w:eastAsia="zh-CN"/>
              </w:rPr>
              <w:t>能控制在</w:t>
            </w:r>
            <w:r>
              <w:rPr>
                <w:rFonts w:hint="default" w:ascii="Times New Roman" w:hAnsi="Times New Roman" w:cs="Times New Roman"/>
                <w:color w:val="auto"/>
                <w:sz w:val="24"/>
                <w:szCs w:val="24"/>
                <w:highlight w:val="none"/>
              </w:rPr>
              <w:t>《电磁环境控制限值》（GB8702-2014）限值要求</w:t>
            </w:r>
            <w:r>
              <w:rPr>
                <w:rFonts w:hint="eastAsia" w:ascii="Times New Roman" w:hAnsi="Times New Roman" w:cs="Times New Roman"/>
                <w:color w:val="auto"/>
                <w:sz w:val="24"/>
                <w:szCs w:val="24"/>
                <w:highlight w:val="none"/>
                <w:lang w:eastAsia="zh-CN"/>
              </w:rPr>
              <w:t>内</w:t>
            </w:r>
            <w:r>
              <w:rPr>
                <w:rFonts w:hint="default" w:ascii="Times New Roman" w:hAnsi="Times New Roman" w:eastAsia="宋体" w:cs="Times New Roman"/>
                <w:color w:val="auto"/>
                <w:kern w:val="0"/>
                <w:sz w:val="24"/>
                <w:szCs w:val="24"/>
                <w:highlight w:val="none"/>
                <w:lang w:bidi="en-US"/>
              </w:rPr>
              <w:t>（工频电场强度限值4000V/m，磁感应强度限值100µT）。</w:t>
            </w:r>
          </w:p>
          <w:p>
            <w:pPr>
              <w:widowControl/>
              <w:spacing w:line="360" w:lineRule="auto"/>
              <w:ind w:firstLine="480" w:firstLineChars="200"/>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kern w:val="0"/>
                <w:sz w:val="24"/>
                <w:highlight w:val="none"/>
                <w:lang w:bidi="en-US"/>
              </w:rPr>
              <w:t>本工程拟</w:t>
            </w:r>
            <w:r>
              <w:rPr>
                <w:rFonts w:hint="eastAsia" w:ascii="Times New Roman" w:hAnsi="Times New Roman" w:eastAsia="宋体" w:cs="Times New Roman"/>
                <w:color w:val="auto"/>
                <w:kern w:val="0"/>
                <w:sz w:val="24"/>
                <w:highlight w:val="none"/>
                <w:lang w:eastAsia="zh-CN" w:bidi="en-US"/>
              </w:rPr>
              <w:t>改造</w:t>
            </w:r>
            <w:r>
              <w:rPr>
                <w:rFonts w:hint="eastAsia" w:ascii="Times New Roman" w:hAnsi="Times New Roman" w:eastAsia="宋体" w:cs="Times New Roman"/>
                <w:color w:val="auto"/>
                <w:kern w:val="0"/>
                <w:sz w:val="24"/>
                <w:highlight w:val="none"/>
                <w:lang w:bidi="en-US"/>
              </w:rPr>
              <w:t>220kV</w:t>
            </w:r>
            <w:r>
              <w:rPr>
                <w:rFonts w:hint="eastAsia" w:ascii="Times New Roman" w:hAnsi="Times New Roman" w:eastAsia="宋体" w:cs="Times New Roman"/>
                <w:color w:val="auto"/>
                <w:kern w:val="0"/>
                <w:sz w:val="24"/>
                <w:highlight w:val="none"/>
                <w:lang w:eastAsia="zh-CN" w:bidi="en-US"/>
              </w:rPr>
              <w:t>全德</w:t>
            </w:r>
            <w:r>
              <w:rPr>
                <w:rFonts w:hint="eastAsia" w:ascii="Times New Roman" w:hAnsi="Times New Roman" w:eastAsia="宋体" w:cs="Times New Roman"/>
                <w:color w:val="auto"/>
                <w:kern w:val="0"/>
                <w:sz w:val="24"/>
                <w:highlight w:val="none"/>
                <w:lang w:bidi="en-US"/>
              </w:rPr>
              <w:t>变电站110kV主变间隔</w:t>
            </w:r>
            <w:r>
              <w:rPr>
                <w:rFonts w:hint="eastAsia" w:ascii="Times New Roman" w:hAnsi="Times New Roman" w:eastAsia="宋体" w:cs="Times New Roman"/>
                <w:color w:val="auto"/>
                <w:kern w:val="0"/>
                <w:sz w:val="24"/>
                <w:highlight w:val="none"/>
                <w:lang w:eastAsia="zh-CN" w:bidi="en-US"/>
              </w:rPr>
              <w:t>2个</w:t>
            </w:r>
            <w:r>
              <w:rPr>
                <w:rFonts w:hint="default" w:ascii="Times New Roman" w:hAnsi="Times New Roman" w:eastAsia="宋体" w:cs="Times New Roman"/>
                <w:color w:val="auto"/>
                <w:kern w:val="0"/>
                <w:sz w:val="24"/>
                <w:highlight w:val="none"/>
                <w:lang w:bidi="en-US"/>
              </w:rPr>
              <w:t>，校核并完善相关一、二次设备和通信设备，</w:t>
            </w:r>
            <w:r>
              <w:rPr>
                <w:rFonts w:hint="eastAsia" w:ascii="Times New Roman" w:hAnsi="Times New Roman" w:eastAsia="宋体" w:cs="Times New Roman"/>
                <w:color w:val="auto"/>
                <w:kern w:val="0"/>
                <w:sz w:val="24"/>
                <w:highlight w:val="none"/>
                <w:lang w:eastAsia="zh-CN" w:bidi="en-US"/>
              </w:rPr>
              <w:t>改造</w:t>
            </w:r>
            <w:r>
              <w:rPr>
                <w:rFonts w:hint="default" w:ascii="Times New Roman" w:hAnsi="Times New Roman" w:eastAsia="宋体" w:cs="Times New Roman"/>
                <w:color w:val="auto"/>
                <w:kern w:val="0"/>
                <w:sz w:val="24"/>
                <w:highlight w:val="none"/>
                <w:lang w:bidi="en-US"/>
              </w:rPr>
              <w:t>间隔后不改变</w:t>
            </w:r>
            <w:r>
              <w:rPr>
                <w:rFonts w:hint="eastAsia" w:ascii="Times New Roman" w:hAnsi="Times New Roman" w:eastAsia="宋体" w:cs="Times New Roman"/>
                <w:color w:val="auto"/>
                <w:kern w:val="0"/>
                <w:sz w:val="24"/>
                <w:highlight w:val="none"/>
                <w:lang w:bidi="en-US"/>
              </w:rPr>
              <w:t>220kV</w:t>
            </w:r>
            <w:r>
              <w:rPr>
                <w:rFonts w:hint="eastAsia" w:ascii="Times New Roman" w:hAnsi="Times New Roman" w:eastAsia="宋体" w:cs="Times New Roman"/>
                <w:color w:val="auto"/>
                <w:kern w:val="0"/>
                <w:sz w:val="24"/>
                <w:highlight w:val="none"/>
                <w:lang w:eastAsia="zh-CN" w:bidi="en-US"/>
              </w:rPr>
              <w:t>全德</w:t>
            </w:r>
            <w:r>
              <w:rPr>
                <w:rFonts w:hint="eastAsia" w:ascii="Times New Roman" w:hAnsi="Times New Roman" w:eastAsia="宋体" w:cs="Times New Roman"/>
                <w:color w:val="auto"/>
                <w:kern w:val="0"/>
                <w:sz w:val="24"/>
                <w:highlight w:val="none"/>
                <w:lang w:bidi="en-US"/>
              </w:rPr>
              <w:t>变电站</w:t>
            </w:r>
            <w:r>
              <w:rPr>
                <w:rFonts w:hint="default" w:ascii="Times New Roman" w:hAnsi="Times New Roman" w:eastAsia="宋体" w:cs="Times New Roman"/>
                <w:color w:val="auto"/>
                <w:kern w:val="0"/>
                <w:sz w:val="24"/>
                <w:highlight w:val="none"/>
                <w:lang w:bidi="en-US"/>
              </w:rPr>
              <w:t>总平面布置、主变容量和电压等级。</w:t>
            </w:r>
            <w:r>
              <w:rPr>
                <w:rFonts w:ascii="Times New Roman" w:hAnsi="Times New Roman"/>
                <w:color w:val="auto"/>
                <w:kern w:val="0"/>
                <w:sz w:val="24"/>
                <w:lang w:bidi="en-US"/>
              </w:rPr>
              <w:t>根据变电站电磁环境影响特点，间隔</w:t>
            </w:r>
            <w:r>
              <w:rPr>
                <w:rFonts w:hint="eastAsia" w:ascii="Times New Roman" w:hAnsi="Times New Roman"/>
                <w:color w:val="auto"/>
                <w:kern w:val="0"/>
                <w:sz w:val="24"/>
                <w:lang w:eastAsia="zh-CN" w:bidi="en-US"/>
              </w:rPr>
              <w:t>改造</w:t>
            </w:r>
            <w:r>
              <w:rPr>
                <w:rFonts w:ascii="Times New Roman" w:hAnsi="Times New Roman"/>
                <w:color w:val="auto"/>
                <w:kern w:val="0"/>
                <w:sz w:val="24"/>
                <w:lang w:bidi="en-US"/>
              </w:rPr>
              <w:t>工程对变电站电磁环境影响的贡献值很小，因此，间隔</w:t>
            </w:r>
            <w:r>
              <w:rPr>
                <w:rFonts w:hint="eastAsia" w:ascii="Times New Roman" w:hAnsi="Times New Roman"/>
                <w:color w:val="auto"/>
                <w:kern w:val="0"/>
                <w:sz w:val="24"/>
                <w:lang w:eastAsia="zh-CN" w:bidi="en-US"/>
              </w:rPr>
              <w:t>改造</w:t>
            </w:r>
            <w:r>
              <w:rPr>
                <w:rFonts w:ascii="Times New Roman" w:hAnsi="Times New Roman"/>
                <w:color w:val="auto"/>
                <w:kern w:val="0"/>
                <w:sz w:val="24"/>
                <w:lang w:bidi="en-US"/>
              </w:rPr>
              <w:t>工程完工后，变电站的工频电场、工频磁场将基本保持在现状水平，仍低于评价标准《电磁环境控制限值》（GB8702-2014）限值要求。</w:t>
            </w:r>
          </w:p>
          <w:p>
            <w:pPr>
              <w:adjustRightInd w:val="0"/>
              <w:snapToGrid w:val="0"/>
              <w:spacing w:line="360" w:lineRule="auto"/>
              <w:ind w:firstLine="482" w:firstLineChars="200"/>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w:t>
            </w:r>
            <w:r>
              <w:rPr>
                <w:rFonts w:hint="eastAsia"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 环境保护目标处电磁环境预测结果</w:t>
            </w:r>
          </w:p>
          <w:p>
            <w:pPr>
              <w:adjustRightInd w:val="0"/>
              <w:snapToGrid w:val="0"/>
              <w:spacing w:line="360" w:lineRule="auto"/>
              <w:ind w:firstLine="480" w:firstLineChars="200"/>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根据预测，拟建</w:t>
            </w:r>
            <w:r>
              <w:rPr>
                <w:rFonts w:hint="eastAsia" w:ascii="Times New Roman" w:hAnsi="Times New Roman" w:cs="Times New Roman"/>
                <w:color w:val="auto"/>
                <w:sz w:val="24"/>
                <w:szCs w:val="24"/>
                <w:highlight w:val="none"/>
                <w:lang w:val="en-US" w:eastAsia="zh-CN"/>
              </w:rPr>
              <w:t>11</w:t>
            </w:r>
            <w:r>
              <w:rPr>
                <w:rFonts w:hint="default" w:ascii="Times New Roman" w:hAnsi="Times New Roman" w:cs="Times New Roman"/>
                <w:color w:val="auto"/>
                <w:sz w:val="24"/>
                <w:szCs w:val="24"/>
                <w:highlight w:val="none"/>
              </w:rPr>
              <w:t>0kV架空线路导线对地最低允许高度按照本环评要求进行控制，沿线电磁环境敏感目标处的电场强度、磁感应强度均能满足《电磁环境控制限值》（GB8702-2014）的要求。根据类比分析</w:t>
            </w:r>
            <w:r>
              <w:rPr>
                <w:rFonts w:hint="default" w:ascii="Times New Roman" w:hAnsi="Times New Roman" w:eastAsia="宋体" w:cs="Times New Roman"/>
                <w:color w:val="auto"/>
                <w:kern w:val="0"/>
                <w:sz w:val="24"/>
                <w:szCs w:val="24"/>
                <w:highlight w:val="none"/>
                <w:lang w:bidi="en-US"/>
              </w:rPr>
              <w:t>，本项目变电站建成后</w:t>
            </w:r>
            <w:r>
              <w:rPr>
                <w:rFonts w:hint="default" w:ascii="Times New Roman" w:hAnsi="Times New Roman" w:cs="Times New Roman"/>
                <w:color w:val="auto"/>
                <w:sz w:val="24"/>
                <w:szCs w:val="24"/>
                <w:highlight w:val="none"/>
              </w:rPr>
              <w:t>电磁环境敏感目标处的电场强度、磁感应强度均</w:t>
            </w:r>
            <w:r>
              <w:rPr>
                <w:rFonts w:hint="eastAsia" w:ascii="Times New Roman" w:hAnsi="Times New Roman" w:cs="Times New Roman"/>
                <w:color w:val="auto"/>
                <w:sz w:val="24"/>
                <w:szCs w:val="24"/>
                <w:highlight w:val="none"/>
                <w:lang w:eastAsia="zh-CN"/>
              </w:rPr>
              <w:t>能控制在</w:t>
            </w:r>
            <w:r>
              <w:rPr>
                <w:rFonts w:hint="default" w:ascii="Times New Roman" w:hAnsi="Times New Roman" w:cs="Times New Roman"/>
                <w:color w:val="auto"/>
                <w:sz w:val="24"/>
                <w:szCs w:val="24"/>
                <w:highlight w:val="none"/>
              </w:rPr>
              <w:t>《电磁环境控制限值》（GB8702-2014）限值要求</w:t>
            </w:r>
            <w:r>
              <w:rPr>
                <w:rFonts w:hint="eastAsia" w:ascii="Times New Roman" w:hAnsi="Times New Roman" w:cs="Times New Roman"/>
                <w:color w:val="auto"/>
                <w:sz w:val="24"/>
                <w:szCs w:val="24"/>
                <w:highlight w:val="none"/>
                <w:lang w:eastAsia="zh-CN"/>
              </w:rPr>
              <w:t>内</w:t>
            </w:r>
            <w:r>
              <w:rPr>
                <w:rFonts w:hint="default" w:ascii="Times New Roman" w:hAnsi="Times New Roman" w:eastAsia="宋体" w:cs="Times New Roman"/>
                <w:color w:val="auto"/>
                <w:kern w:val="0"/>
                <w:sz w:val="24"/>
                <w:szCs w:val="24"/>
                <w:highlight w:val="none"/>
                <w:lang w:bidi="en-US"/>
              </w:rPr>
              <w:t>（工频电场强度限值4000V/m，磁感应强度限值100µT）</w:t>
            </w:r>
            <w:r>
              <w:rPr>
                <w:rFonts w:hint="default" w:ascii="Times New Roman" w:hAnsi="Times New Roman" w:cs="Times New Roman"/>
                <w:color w:val="auto"/>
                <w:sz w:val="24"/>
                <w:szCs w:val="24"/>
                <w:highlight w:val="none"/>
              </w:rPr>
              <w:t>。</w:t>
            </w:r>
          </w:p>
          <w:p>
            <w:pPr>
              <w:tabs>
                <w:tab w:val="left" w:pos="720"/>
              </w:tabs>
              <w:adjustRightInd w:val="0"/>
              <w:snapToGrid w:val="0"/>
              <w:spacing w:line="360" w:lineRule="auto"/>
              <w:ind w:firstLine="480" w:firstLineChars="200"/>
              <w:rPr>
                <w:color w:val="auto"/>
                <w:sz w:val="24"/>
                <w:highlight w:val="none"/>
              </w:rPr>
            </w:pPr>
            <w:r>
              <w:rPr>
                <w:rFonts w:hint="eastAsia"/>
                <w:color w:val="auto"/>
                <w:sz w:val="24"/>
                <w:highlight w:val="none"/>
              </w:rPr>
              <w:t>因此，建设单位严格按照本环评要求控制输电线路与环境敏感目标的距离，确保电磁环境达标。</w:t>
            </w:r>
          </w:p>
          <w:p>
            <w:pPr>
              <w:adjustRightInd w:val="0"/>
              <w:snapToGrid w:val="0"/>
              <w:spacing w:line="360" w:lineRule="auto"/>
              <w:rPr>
                <w:b/>
                <w:bCs/>
                <w:color w:val="auto"/>
                <w:sz w:val="24"/>
                <w:highlight w:val="none"/>
              </w:rPr>
            </w:pPr>
            <w:r>
              <w:rPr>
                <w:b/>
                <w:bCs/>
                <w:color w:val="auto"/>
                <w:sz w:val="24"/>
                <w:highlight w:val="none"/>
              </w:rPr>
              <w:t xml:space="preserve">4.11 </w:t>
            </w:r>
            <w:r>
              <w:rPr>
                <w:rFonts w:hint="eastAsia"/>
                <w:b/>
                <w:bCs/>
                <w:color w:val="auto"/>
                <w:sz w:val="24"/>
                <w:highlight w:val="none"/>
              </w:rPr>
              <w:t>生态环境影响分析</w:t>
            </w:r>
          </w:p>
          <w:p>
            <w:pPr>
              <w:adjustRightInd w:val="0"/>
              <w:snapToGrid w:val="0"/>
              <w:spacing w:line="360" w:lineRule="auto"/>
              <w:ind w:firstLine="482" w:firstLineChars="200"/>
              <w:rPr>
                <w:b/>
                <w:bCs/>
                <w:color w:val="auto"/>
                <w:sz w:val="24"/>
              </w:rPr>
            </w:pPr>
            <w:r>
              <w:rPr>
                <w:b/>
                <w:bCs/>
                <w:color w:val="auto"/>
                <w:sz w:val="24"/>
              </w:rPr>
              <w:t>（1）变电站</w:t>
            </w:r>
          </w:p>
          <w:p>
            <w:pPr>
              <w:adjustRightInd w:val="0"/>
              <w:snapToGrid w:val="0"/>
              <w:spacing w:line="360" w:lineRule="auto"/>
              <w:ind w:firstLine="480" w:firstLineChars="200"/>
              <w:rPr>
                <w:color w:val="auto"/>
                <w:sz w:val="24"/>
              </w:rPr>
            </w:pPr>
            <w:r>
              <w:rPr>
                <w:color w:val="auto"/>
                <w:sz w:val="24"/>
              </w:rPr>
              <w:t>本项目变电站在运营期会产生废水、固废、噪声及工频电磁场，运营期变电站</w:t>
            </w:r>
            <w:r>
              <w:rPr>
                <w:rFonts w:hint="eastAsia"/>
                <w:color w:val="auto"/>
                <w:sz w:val="24"/>
                <w:highlight w:val="none"/>
              </w:rPr>
              <w:t>产生的生活污水</w:t>
            </w:r>
            <w:r>
              <w:rPr>
                <w:rFonts w:hint="default" w:ascii="Times New Roman" w:hAnsi="Times New Roman" w:eastAsia="宋体" w:cs="Times New Roman"/>
                <w:b w:val="0"/>
                <w:bCs w:val="0"/>
                <w:color w:val="auto"/>
                <w:sz w:val="24"/>
                <w:szCs w:val="24"/>
                <w:highlight w:val="none"/>
                <w:lang w:val="en-US" w:eastAsia="zh-CN"/>
              </w:rPr>
              <w:t>通过</w:t>
            </w:r>
            <w:r>
              <w:rPr>
                <w:rFonts w:hint="eastAsia" w:ascii="Times New Roman" w:hAnsi="Times New Roman" w:eastAsia="宋体" w:cs="Times New Roman"/>
                <w:b w:val="0"/>
                <w:bCs w:val="0"/>
                <w:color w:val="auto"/>
                <w:sz w:val="24"/>
                <w:szCs w:val="24"/>
                <w:highlight w:val="none"/>
                <w:lang w:val="en-US" w:eastAsia="zh-CN"/>
              </w:rPr>
              <w:t>一体化污水处理设施</w:t>
            </w:r>
            <w:r>
              <w:rPr>
                <w:rFonts w:hint="default" w:ascii="Times New Roman" w:hAnsi="Times New Roman" w:eastAsia="宋体" w:cs="Times New Roman"/>
                <w:b w:val="0"/>
                <w:bCs w:val="0"/>
                <w:color w:val="auto"/>
                <w:sz w:val="24"/>
                <w:szCs w:val="24"/>
                <w:highlight w:val="none"/>
                <w:lang w:val="en-US" w:eastAsia="zh-CN"/>
              </w:rPr>
              <w:t>处理后</w:t>
            </w:r>
            <w:r>
              <w:rPr>
                <w:rFonts w:hint="eastAsia" w:ascii="Times New Roman" w:hAnsi="Times New Roman" w:eastAsia="宋体" w:cs="Times New Roman"/>
                <w:b w:val="0"/>
                <w:bCs w:val="0"/>
                <w:color w:val="auto"/>
                <w:sz w:val="24"/>
                <w:szCs w:val="24"/>
                <w:highlight w:val="none"/>
                <w:lang w:val="en-US" w:eastAsia="zh-CN"/>
              </w:rPr>
              <w:t>，近期用于</w:t>
            </w:r>
            <w:r>
              <w:rPr>
                <w:rFonts w:hint="eastAsia" w:cs="Times New Roman"/>
                <w:b w:val="0"/>
                <w:bCs w:val="0"/>
                <w:color w:val="auto"/>
                <w:sz w:val="24"/>
                <w:szCs w:val="24"/>
                <w:highlight w:val="none"/>
                <w:lang w:val="en-US" w:eastAsia="zh-CN"/>
              </w:rPr>
              <w:t>红线</w:t>
            </w:r>
            <w:r>
              <w:rPr>
                <w:rFonts w:hint="eastAsia" w:ascii="Times New Roman" w:hAnsi="Times New Roman" w:eastAsia="宋体" w:cs="Times New Roman"/>
                <w:b w:val="0"/>
                <w:bCs w:val="0"/>
                <w:color w:val="auto"/>
                <w:sz w:val="24"/>
                <w:szCs w:val="24"/>
                <w:highlight w:val="none"/>
                <w:lang w:val="en-US" w:eastAsia="zh-CN"/>
              </w:rPr>
              <w:t>内</w:t>
            </w:r>
            <w:r>
              <w:rPr>
                <w:rFonts w:hint="eastAsia"/>
                <w:bCs/>
                <w:color w:val="auto"/>
                <w:sz w:val="24"/>
                <w:szCs w:val="24"/>
              </w:rPr>
              <w:t>绿化</w:t>
            </w:r>
            <w:r>
              <w:rPr>
                <w:rFonts w:hint="eastAsia"/>
                <w:bCs/>
                <w:color w:val="auto"/>
                <w:sz w:val="24"/>
                <w:szCs w:val="24"/>
                <w:lang w:eastAsia="zh-CN"/>
              </w:rPr>
              <w:t>施肥</w:t>
            </w:r>
            <w:r>
              <w:rPr>
                <w:rFonts w:hint="eastAsia" w:ascii="Times New Roman" w:hAnsi="Times New Roman" w:eastAsia="宋体" w:cs="Times New Roman"/>
                <w:b w:val="0"/>
                <w:bCs w:val="0"/>
                <w:color w:val="auto"/>
                <w:sz w:val="24"/>
                <w:szCs w:val="24"/>
                <w:highlight w:val="none"/>
                <w:lang w:val="en-US" w:eastAsia="zh-CN"/>
              </w:rPr>
              <w:t>，远期待园区污水管网建成后</w:t>
            </w:r>
            <w:r>
              <w:rPr>
                <w:rFonts w:hint="default" w:ascii="Times New Roman" w:hAnsi="Times New Roman" w:eastAsia="宋体" w:cs="Times New Roman"/>
                <w:b w:val="0"/>
                <w:bCs w:val="0"/>
                <w:color w:val="auto"/>
                <w:sz w:val="24"/>
                <w:szCs w:val="24"/>
                <w:highlight w:val="none"/>
                <w:lang w:val="en-US" w:eastAsia="zh-CN"/>
              </w:rPr>
              <w:t>经市政污水管网进入东城污水处理厂处理后进入淮远河</w:t>
            </w:r>
            <w:r>
              <w:rPr>
                <w:rFonts w:hint="eastAsia" w:ascii="Times New Roman" w:hAnsi="Times New Roman" w:eastAsia="宋体" w:cs="Times New Roman"/>
                <w:b w:val="0"/>
                <w:bCs w:val="0"/>
                <w:color w:val="auto"/>
                <w:sz w:val="24"/>
                <w:szCs w:val="24"/>
                <w:highlight w:val="none"/>
                <w:lang w:val="en-US" w:eastAsia="zh-CN"/>
              </w:rPr>
              <w:t>；</w:t>
            </w:r>
            <w:r>
              <w:rPr>
                <w:color w:val="auto"/>
                <w:sz w:val="24"/>
              </w:rPr>
              <w:t>生活垃圾经环卫部门清运，危险废物经有危废处理资质单位处置</w:t>
            </w:r>
            <w:r>
              <w:rPr>
                <w:rFonts w:hint="eastAsia"/>
                <w:color w:val="auto"/>
                <w:sz w:val="24"/>
                <w:lang w:eastAsia="zh-CN"/>
              </w:rPr>
              <w:t>。</w:t>
            </w:r>
            <w:r>
              <w:rPr>
                <w:color w:val="auto"/>
                <w:sz w:val="24"/>
              </w:rPr>
              <w:t>根据预测，变电站运行期间产生的厂界噪声可满足《工业企业厂界环境噪声排放标准》（GB12348-2008）中</w:t>
            </w:r>
            <w:r>
              <w:rPr>
                <w:rFonts w:hint="eastAsia"/>
                <w:color w:val="auto"/>
                <w:sz w:val="24"/>
                <w:lang w:val="en-US" w:eastAsia="zh-CN"/>
              </w:rPr>
              <w:t>3</w:t>
            </w:r>
            <w:r>
              <w:rPr>
                <w:color w:val="auto"/>
                <w:sz w:val="24"/>
              </w:rPr>
              <w:t>类标准；对周边声环境的影响可满足《声环境质量标准》（GB3096-2008）中1类</w:t>
            </w:r>
            <w:r>
              <w:rPr>
                <w:rFonts w:hint="eastAsia"/>
                <w:color w:val="auto"/>
                <w:sz w:val="24"/>
                <w:lang w:eastAsia="zh-CN"/>
              </w:rPr>
              <w:t>、</w:t>
            </w:r>
            <w:r>
              <w:rPr>
                <w:rFonts w:hint="eastAsia"/>
                <w:color w:val="auto"/>
                <w:sz w:val="24"/>
                <w:lang w:val="en-US" w:eastAsia="zh-CN"/>
              </w:rPr>
              <w:t>3类</w:t>
            </w:r>
            <w:r>
              <w:rPr>
                <w:color w:val="auto"/>
                <w:sz w:val="24"/>
              </w:rPr>
              <w:t>标准要求；厂界四周及敏感点处的电磁环境也能满足《电磁环境控制限值》（GB8702-2014）中的要求，且本项目变电站选址处四周多为农田，附近有居民和现状道路分布，人为干扰严重，周围野生动物相对较少，主要为与人类较亲近的小动物，变电站投运后对周围动植物的影响不大。</w:t>
            </w:r>
          </w:p>
          <w:p>
            <w:pPr>
              <w:adjustRightInd w:val="0"/>
              <w:snapToGrid w:val="0"/>
              <w:spacing w:line="360" w:lineRule="auto"/>
              <w:ind w:firstLine="482" w:firstLineChars="200"/>
              <w:rPr>
                <w:b/>
                <w:color w:val="auto"/>
                <w:sz w:val="24"/>
                <w:highlight w:val="none"/>
              </w:rPr>
            </w:pPr>
            <w:r>
              <w:rPr>
                <w:rFonts w:hint="eastAsia"/>
                <w:b/>
                <w:color w:val="auto"/>
                <w:sz w:val="24"/>
                <w:highlight w:val="none"/>
              </w:rPr>
              <w:t>（2）输电线路</w:t>
            </w:r>
          </w:p>
          <w:p>
            <w:pPr>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1）植物多样性影响分析</w:t>
            </w:r>
          </w:p>
          <w:p>
            <w:pPr>
              <w:tabs>
                <w:tab w:val="left" w:pos="720"/>
              </w:tabs>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营运期对植物物种的影响主要是巡检人员带外来物种及随意丢弃的垃圾对当地生态系统及生物多样性的影响。巡检人员携带便于收集垃圾的口袋，对垃圾进行收集，通过合理的培训教育，不随意砍伐林木。巡检人员通过检查，预防外来物种入侵，对周围植被的影响较少，植物多样性影响较小。</w:t>
            </w:r>
          </w:p>
          <w:p>
            <w:pPr>
              <w:tabs>
                <w:tab w:val="left" w:pos="720"/>
              </w:tabs>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2）动物多样性影响分析</w:t>
            </w:r>
          </w:p>
          <w:p>
            <w:pPr>
              <w:tabs>
                <w:tab w:val="left" w:pos="720"/>
              </w:tabs>
              <w:adjustRightInd w:val="0"/>
              <w:snapToGrid w:val="0"/>
              <w:spacing w:line="360" w:lineRule="auto"/>
              <w:ind w:firstLine="480" w:firstLineChars="200"/>
              <w:rPr>
                <w:rFonts w:ascii="Times New Roman" w:hAnsi="Times New Roman"/>
                <w:color w:val="auto"/>
                <w:sz w:val="24"/>
              </w:rPr>
            </w:pPr>
            <w:r>
              <w:rPr>
                <w:rFonts w:hint="eastAsia" w:ascii="宋体" w:hAnsi="宋体" w:cs="宋体"/>
                <w:color w:val="auto"/>
                <w:sz w:val="24"/>
              </w:rPr>
              <w:t>①</w:t>
            </w:r>
            <w:r>
              <w:rPr>
                <w:rFonts w:ascii="Times New Roman" w:hAnsi="Times New Roman"/>
                <w:color w:val="auto"/>
                <w:sz w:val="24"/>
              </w:rPr>
              <w:t>对两栖爬行类及兽类的影响</w:t>
            </w:r>
          </w:p>
          <w:p>
            <w:pPr>
              <w:tabs>
                <w:tab w:val="left" w:pos="720"/>
              </w:tabs>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输电线路对兽类和两栖爬行类等陆生动物的生境和活动起着一定的阻碍作用，陆生动物的时空活动范围受到限制。小型陆生动物特别是啮齿类因本身的生物学特性，其活动的时空范围有限，因而受到的限制作用会更大。塔基占地会对一些小型兽类的栖息地造成不可逆的破坏。正面效应为人类的活动也会为小型陆生动物如伴随人类居住生活的啮齿类动物带来更多的食物来源。</w:t>
            </w:r>
          </w:p>
          <w:p>
            <w:pPr>
              <w:tabs>
                <w:tab w:val="left" w:pos="720"/>
              </w:tabs>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输电线路的分离和阻隔作用不同于公路和铁路项目，由于其塔基为点状分布，两塔之间距离一般为300m左右，杆塔之间为架空线路，不会对迁移动物的生境和活动产生真正的阻隔。工程运行后，陆生动物仍可自由活动和穿梭于线路两侧。输电线路运行期人为活动很少，仅为线路安全运行考虑配置有巡线工人，且巡线工人数量少，其巡线活动有一定的时间间隔，不会因为人类活动频繁而影响陆生动物的栖息和繁衍。</w:t>
            </w:r>
          </w:p>
          <w:p>
            <w:pPr>
              <w:tabs>
                <w:tab w:val="left" w:pos="720"/>
              </w:tabs>
              <w:adjustRightInd w:val="0"/>
              <w:snapToGrid w:val="0"/>
              <w:spacing w:line="360" w:lineRule="auto"/>
              <w:ind w:firstLine="480" w:firstLineChars="200"/>
              <w:rPr>
                <w:rFonts w:ascii="Times New Roman" w:hAnsi="Times New Roman"/>
                <w:color w:val="auto"/>
                <w:sz w:val="24"/>
              </w:rPr>
            </w:pPr>
            <w:r>
              <w:rPr>
                <w:rFonts w:hint="eastAsia" w:ascii="宋体" w:hAnsi="宋体" w:cs="宋体"/>
                <w:color w:val="auto"/>
                <w:sz w:val="24"/>
              </w:rPr>
              <w:t>②</w:t>
            </w:r>
            <w:r>
              <w:rPr>
                <w:rFonts w:ascii="Times New Roman" w:hAnsi="Times New Roman"/>
                <w:color w:val="auto"/>
                <w:sz w:val="24"/>
              </w:rPr>
              <w:t>输电线路对鸟类的影响评价</w:t>
            </w:r>
          </w:p>
          <w:p>
            <w:pPr>
              <w:tabs>
                <w:tab w:val="left" w:pos="720"/>
              </w:tabs>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评价区域内迁徙鸟类在高空飞过，基本不会对普通鸟类、鹤类、鹳、雁等产生影响。鸟类具有飞行能力，行动敏捷，分布范围较宽，适应能力强，工程施工导致了丰富度降低，部分鸟类离开工程施工区域，但不会造成动物灭绝。当项目建成后，离开的鸟类又会回到原生活区域，因此项目建设对鸟类的影响是短暂的，当建设单位恢复好线路沿线生态环境，鸟类会逐渐聚集，对鸟类生物多样性影响较小。</w:t>
            </w:r>
          </w:p>
          <w:p>
            <w:pPr>
              <w:adjustRightInd w:val="0"/>
              <w:snapToGrid w:val="0"/>
              <w:spacing w:line="360" w:lineRule="auto"/>
              <w:ind w:firstLine="480" w:firstLineChars="200"/>
              <w:rPr>
                <w:bCs/>
                <w:color w:val="auto"/>
                <w:sz w:val="24"/>
                <w:highlight w:val="yellow"/>
              </w:rPr>
            </w:pPr>
            <w:r>
              <w:rPr>
                <w:rFonts w:ascii="Times New Roman" w:hAnsi="Times New Roman"/>
                <w:color w:val="auto"/>
                <w:sz w:val="24"/>
              </w:rPr>
              <w:t>综上所述，正常运行过程中，线路不会造成生物多样性的减少。因此，在正常运行条件下，加强日常管理，本工程不会对评价区域内的动物产生明显不利影响。</w:t>
            </w:r>
          </w:p>
          <w:p>
            <w:pPr>
              <w:tabs>
                <w:tab w:val="left" w:pos="720"/>
              </w:tabs>
              <w:adjustRightInd w:val="0"/>
              <w:snapToGrid w:val="0"/>
              <w:spacing w:line="360" w:lineRule="auto"/>
              <w:rPr>
                <w:b/>
                <w:color w:val="auto"/>
                <w:kern w:val="16"/>
                <w:sz w:val="24"/>
                <w:highlight w:val="none"/>
              </w:rPr>
            </w:pPr>
            <w:r>
              <w:rPr>
                <w:rFonts w:hint="eastAsia"/>
                <w:b/>
                <w:color w:val="auto"/>
                <w:kern w:val="16"/>
                <w:sz w:val="24"/>
                <w:highlight w:val="none"/>
              </w:rPr>
              <w:t>4</w:t>
            </w:r>
            <w:r>
              <w:rPr>
                <w:b/>
                <w:color w:val="auto"/>
                <w:kern w:val="16"/>
                <w:sz w:val="24"/>
                <w:highlight w:val="none"/>
              </w:rPr>
              <w:t>.12</w:t>
            </w:r>
            <w:r>
              <w:rPr>
                <w:rFonts w:hint="eastAsia"/>
                <w:b/>
                <w:color w:val="auto"/>
                <w:kern w:val="16"/>
                <w:sz w:val="24"/>
                <w:highlight w:val="none"/>
              </w:rPr>
              <w:t>环境风险</w:t>
            </w:r>
            <w:r>
              <w:rPr>
                <w:b/>
                <w:color w:val="auto"/>
                <w:kern w:val="16"/>
                <w:sz w:val="24"/>
                <w:highlight w:val="none"/>
              </w:rPr>
              <w:t>分析</w:t>
            </w:r>
          </w:p>
          <w:p>
            <w:pPr>
              <w:tabs>
                <w:tab w:val="left" w:pos="720"/>
              </w:tabs>
              <w:adjustRightInd w:val="0"/>
              <w:snapToGrid w:val="0"/>
              <w:spacing w:line="360" w:lineRule="auto"/>
              <w:ind w:firstLine="482" w:firstLineChars="200"/>
              <w:rPr>
                <w:b/>
                <w:color w:val="auto"/>
                <w:kern w:val="16"/>
                <w:sz w:val="24"/>
                <w:highlight w:val="none"/>
              </w:rPr>
            </w:pPr>
            <w:r>
              <w:rPr>
                <w:b/>
                <w:color w:val="auto"/>
                <w:kern w:val="16"/>
                <w:sz w:val="24"/>
                <w:highlight w:val="none"/>
              </w:rPr>
              <w:t>（1）电磁环境</w:t>
            </w:r>
          </w:p>
          <w:p>
            <w:pPr>
              <w:tabs>
                <w:tab w:val="left" w:pos="720"/>
              </w:tabs>
              <w:adjustRightInd w:val="0"/>
              <w:snapToGrid w:val="0"/>
              <w:spacing w:line="360" w:lineRule="auto"/>
              <w:ind w:firstLine="480" w:firstLineChars="200"/>
              <w:rPr>
                <w:color w:val="auto"/>
                <w:kern w:val="16"/>
                <w:sz w:val="24"/>
                <w:highlight w:val="none"/>
              </w:rPr>
            </w:pPr>
            <w:r>
              <w:rPr>
                <w:color w:val="auto"/>
                <w:kern w:val="16"/>
                <w:sz w:val="24"/>
                <w:highlight w:val="none"/>
              </w:rPr>
              <w:t>高压输变电工程事故的发生原因主要由雷电或短路产生，它将导致线路的过电流或过电压</w:t>
            </w:r>
            <w:r>
              <w:rPr>
                <w:rFonts w:hint="eastAsia"/>
                <w:color w:val="auto"/>
                <w:kern w:val="16"/>
                <w:sz w:val="24"/>
                <w:highlight w:val="none"/>
              </w:rPr>
              <w:t>，</w:t>
            </w:r>
            <w:r>
              <w:rPr>
                <w:color w:val="auto"/>
                <w:kern w:val="16"/>
                <w:sz w:val="24"/>
                <w:highlight w:val="none"/>
              </w:rPr>
              <w:t>但在变电站内设置了一套完备的防止系统过载的自动保护系统及良好的接地，当高压输变电系统的电压或电流超出正常运行的范围，上述自动保护系统将在几十毫秒时间内使断路器断开，实现事故线路断电。因此，变电站不存在事故时的运行，其事故情况下电磁感应强度不会增大，不会对周围环境产生影响。</w:t>
            </w:r>
          </w:p>
          <w:p>
            <w:pPr>
              <w:tabs>
                <w:tab w:val="left" w:pos="720"/>
              </w:tabs>
              <w:adjustRightInd w:val="0"/>
              <w:snapToGrid w:val="0"/>
              <w:spacing w:line="360" w:lineRule="auto"/>
              <w:ind w:firstLine="482" w:firstLineChars="200"/>
              <w:rPr>
                <w:b/>
                <w:color w:val="auto"/>
                <w:kern w:val="16"/>
                <w:sz w:val="24"/>
                <w:highlight w:val="none"/>
              </w:rPr>
            </w:pPr>
            <w:r>
              <w:rPr>
                <w:b/>
                <w:color w:val="auto"/>
                <w:kern w:val="16"/>
                <w:sz w:val="24"/>
                <w:highlight w:val="none"/>
              </w:rPr>
              <w:t>（2）</w:t>
            </w:r>
            <w:r>
              <w:rPr>
                <w:rFonts w:hint="eastAsia"/>
                <w:b/>
                <w:color w:val="auto"/>
                <w:kern w:val="16"/>
                <w:sz w:val="24"/>
                <w:highlight w:val="none"/>
              </w:rPr>
              <w:t>变压器油</w:t>
            </w:r>
          </w:p>
          <w:p>
            <w:pPr>
              <w:tabs>
                <w:tab w:val="left" w:pos="720"/>
              </w:tabs>
              <w:adjustRightInd w:val="0"/>
              <w:snapToGrid w:val="0"/>
              <w:spacing w:line="360" w:lineRule="auto"/>
              <w:ind w:firstLine="480" w:firstLineChars="200"/>
              <w:rPr>
                <w:color w:val="auto"/>
                <w:kern w:val="16"/>
                <w:sz w:val="24"/>
                <w:highlight w:val="none"/>
              </w:rPr>
            </w:pPr>
            <w:r>
              <w:rPr>
                <w:rFonts w:hint="eastAsia"/>
                <w:color w:val="auto"/>
                <w:kern w:val="16"/>
                <w:sz w:val="24"/>
                <w:highlight w:val="none"/>
              </w:rPr>
              <w:t>变电站内变压器等电气设备为了绝缘和冷却的需要，其外壳内装有大量变压器油。当其注入电气设备后，不用更新，使用寿命与设备同步。为保证电气设备在整个服役期间具有良好的运行条件，需要经常进行设备的维护。正常运行工况下，变电站站内所有电气设施每季度作常规检测，对变压器油则每年由专业人员按相关规定抽样检测油的品质，根据检测结果，再决定是否需做过滤域增补变压器油。变压器检修分为小修、大修及事故检修三种。</w:t>
            </w:r>
          </w:p>
          <w:p>
            <w:pPr>
              <w:tabs>
                <w:tab w:val="left" w:pos="720"/>
              </w:tabs>
              <w:adjustRightInd w:val="0"/>
              <w:snapToGrid w:val="0"/>
              <w:spacing w:line="360" w:lineRule="auto"/>
              <w:ind w:firstLine="480" w:firstLineChars="200"/>
              <w:rPr>
                <w:color w:val="auto"/>
                <w:kern w:val="16"/>
                <w:sz w:val="24"/>
                <w:highlight w:val="none"/>
              </w:rPr>
            </w:pPr>
            <w:r>
              <w:rPr>
                <w:rFonts w:hint="eastAsia"/>
                <w:color w:val="auto"/>
                <w:kern w:val="16"/>
                <w:sz w:val="24"/>
                <w:highlight w:val="none"/>
              </w:rPr>
              <w:t>1）小修：变压器小修通常每年一次，停电运行。小修的内容包括在变压器外部进行全面的检修和试验，消除已发现的缺陷，清扫绝缘瓷套管表面，检查导电接触部位，检查和维修油路及全部冷却系统，检查和维修保护、测量及操作系统等。</w:t>
            </w:r>
          </w:p>
          <w:p>
            <w:pPr>
              <w:tabs>
                <w:tab w:val="left" w:pos="720"/>
              </w:tabs>
              <w:adjustRightInd w:val="0"/>
              <w:snapToGrid w:val="0"/>
              <w:spacing w:line="360" w:lineRule="auto"/>
              <w:ind w:firstLine="480" w:firstLineChars="200"/>
              <w:rPr>
                <w:color w:val="auto"/>
                <w:kern w:val="16"/>
                <w:sz w:val="24"/>
                <w:highlight w:val="none"/>
              </w:rPr>
            </w:pPr>
            <w:r>
              <w:rPr>
                <w:rFonts w:hint="eastAsia"/>
                <w:color w:val="auto"/>
                <w:kern w:val="16"/>
                <w:sz w:val="24"/>
                <w:highlight w:val="none"/>
              </w:rPr>
              <w:t>2）大修：变压器大修周期有不同的规定，重要的变压器投运后第五年和以后每5～10年需大修一次，一般的每10年进行一次大修。</w:t>
            </w:r>
          </w:p>
          <w:p>
            <w:pPr>
              <w:tabs>
                <w:tab w:val="left" w:pos="720"/>
              </w:tabs>
              <w:adjustRightInd w:val="0"/>
              <w:snapToGrid w:val="0"/>
              <w:spacing w:line="360" w:lineRule="auto"/>
              <w:ind w:firstLine="480" w:firstLineChars="200"/>
              <w:rPr>
                <w:color w:val="auto"/>
                <w:kern w:val="16"/>
                <w:sz w:val="24"/>
                <w:highlight w:val="none"/>
              </w:rPr>
            </w:pPr>
            <w:r>
              <w:rPr>
                <w:rFonts w:hint="eastAsia"/>
                <w:color w:val="auto"/>
                <w:kern w:val="16"/>
                <w:sz w:val="24"/>
                <w:highlight w:val="none"/>
              </w:rPr>
              <w:t>3）事故检修：发现变压器有异常状况并经试验证明内部有故障时，临时进行大修。事故检修时要依照具体故障的部位进行修复及全面处理和试验。</w:t>
            </w:r>
          </w:p>
          <w:p>
            <w:pPr>
              <w:tabs>
                <w:tab w:val="left" w:pos="720"/>
              </w:tabs>
              <w:adjustRightInd w:val="0"/>
              <w:snapToGrid w:val="0"/>
              <w:spacing w:line="360" w:lineRule="auto"/>
              <w:ind w:firstLine="480" w:firstLineChars="200"/>
              <w:rPr>
                <w:color w:val="auto"/>
                <w:kern w:val="16"/>
                <w:sz w:val="24"/>
                <w:highlight w:val="none"/>
              </w:rPr>
            </w:pPr>
            <w:r>
              <w:rPr>
                <w:rFonts w:hint="eastAsia"/>
                <w:color w:val="auto"/>
                <w:kern w:val="16"/>
                <w:sz w:val="24"/>
                <w:highlight w:val="none"/>
              </w:rPr>
              <w:t>从上述分析可知，变电站变压器及</w:t>
            </w:r>
            <w:r>
              <w:rPr>
                <w:color w:val="auto"/>
                <w:sz w:val="24"/>
                <w:highlight w:val="none"/>
              </w:rPr>
              <w:t>其</w:t>
            </w:r>
            <w:r>
              <w:rPr>
                <w:rFonts w:hint="eastAsia"/>
                <w:color w:val="auto"/>
                <w:sz w:val="24"/>
                <w:highlight w:val="none"/>
              </w:rPr>
              <w:t>他</w:t>
            </w:r>
            <w:r>
              <w:rPr>
                <w:rFonts w:hint="eastAsia"/>
                <w:color w:val="auto"/>
                <w:kern w:val="16"/>
                <w:sz w:val="24"/>
                <w:highlight w:val="none"/>
              </w:rPr>
              <w:t>电气设备均使用电力用油，这些冷却或绝缘油由于都装在电气设备的外壳内，平时不会造成对人身、环境的危害。但在设备事故并失控时，有可能造成泄漏，污染环境。</w:t>
            </w:r>
          </w:p>
          <w:p>
            <w:pPr>
              <w:tabs>
                <w:tab w:val="left" w:pos="720"/>
              </w:tabs>
              <w:adjustRightInd w:val="0"/>
              <w:snapToGrid w:val="0"/>
              <w:spacing w:line="360" w:lineRule="auto"/>
              <w:ind w:firstLine="480" w:firstLineChars="200"/>
              <w:rPr>
                <w:color w:val="auto"/>
                <w:kern w:val="16"/>
                <w:sz w:val="24"/>
                <w:highlight w:val="none"/>
              </w:rPr>
            </w:pPr>
            <w:r>
              <w:rPr>
                <w:rFonts w:hint="eastAsia"/>
                <w:color w:val="auto"/>
                <w:kern w:val="16"/>
                <w:sz w:val="24"/>
                <w:highlight w:val="none"/>
              </w:rPr>
              <w:t>根据《火力发电厂与变电站设计防火标准》（</w:t>
            </w:r>
            <w:r>
              <w:rPr>
                <w:color w:val="auto"/>
                <w:kern w:val="16"/>
                <w:sz w:val="24"/>
                <w:highlight w:val="none"/>
              </w:rPr>
              <w:t>GB 50229-2019</w:t>
            </w:r>
            <w:r>
              <w:rPr>
                <w:rFonts w:hint="eastAsia"/>
                <w:color w:val="auto"/>
                <w:kern w:val="16"/>
                <w:sz w:val="24"/>
                <w:highlight w:val="none"/>
              </w:rPr>
              <w:t>）第</w:t>
            </w:r>
            <w:r>
              <w:rPr>
                <w:color w:val="auto"/>
                <w:kern w:val="16"/>
                <w:sz w:val="24"/>
                <w:highlight w:val="none"/>
              </w:rPr>
              <w:t>6.7.8</w:t>
            </w:r>
            <w:r>
              <w:rPr>
                <w:rFonts w:hint="eastAsia"/>
                <w:color w:val="auto"/>
                <w:kern w:val="16"/>
                <w:sz w:val="24"/>
                <w:highlight w:val="none"/>
              </w:rPr>
              <w:t>条：“户外单台油量为</w:t>
            </w:r>
            <w:r>
              <w:rPr>
                <w:color w:val="auto"/>
                <w:kern w:val="16"/>
                <w:sz w:val="24"/>
                <w:highlight w:val="none"/>
              </w:rPr>
              <w:t>1000kg</w:t>
            </w:r>
            <w:r>
              <w:rPr>
                <w:rFonts w:hint="eastAsia"/>
                <w:color w:val="auto"/>
                <w:kern w:val="16"/>
                <w:sz w:val="24"/>
                <w:highlight w:val="none"/>
              </w:rPr>
              <w:t>以上的电气设备，应设置贮油或挡油设施，其容积宜按设备油量的</w:t>
            </w:r>
            <w:r>
              <w:rPr>
                <w:color w:val="auto"/>
                <w:kern w:val="16"/>
                <w:sz w:val="24"/>
                <w:highlight w:val="none"/>
              </w:rPr>
              <w:t>20%</w:t>
            </w:r>
            <w:r>
              <w:rPr>
                <w:rFonts w:hint="eastAsia"/>
                <w:color w:val="auto"/>
                <w:kern w:val="16"/>
                <w:sz w:val="24"/>
                <w:highlight w:val="none"/>
              </w:rPr>
              <w:t>设计，并能将事故油排至总事故贮油池的容积应按其接入的油量最大的一台设备确定，并设置油水分离装置”。本项目事故贮油池的容量能满足《火力发电厂与变电站设计防火标准》（</w:t>
            </w:r>
            <w:r>
              <w:rPr>
                <w:color w:val="auto"/>
                <w:kern w:val="16"/>
                <w:sz w:val="24"/>
                <w:highlight w:val="none"/>
              </w:rPr>
              <w:t>GB 50229-2019</w:t>
            </w:r>
            <w:r>
              <w:rPr>
                <w:rFonts w:hint="eastAsia"/>
                <w:color w:val="auto"/>
                <w:kern w:val="16"/>
                <w:sz w:val="24"/>
                <w:highlight w:val="none"/>
              </w:rPr>
              <w:t>）中的要求。</w:t>
            </w:r>
          </w:p>
          <w:p>
            <w:pPr>
              <w:tabs>
                <w:tab w:val="left" w:pos="720"/>
              </w:tabs>
              <w:adjustRightInd w:val="0"/>
              <w:snapToGrid w:val="0"/>
              <w:spacing w:line="360" w:lineRule="auto"/>
              <w:ind w:firstLine="480" w:firstLineChars="200"/>
              <w:rPr>
                <w:rFonts w:hint="eastAsia"/>
                <w:color w:val="auto"/>
                <w:kern w:val="16"/>
                <w:sz w:val="24"/>
                <w:highlight w:val="none"/>
              </w:rPr>
            </w:pPr>
            <w:r>
              <w:rPr>
                <w:rFonts w:hint="eastAsia"/>
                <w:color w:val="auto"/>
                <w:kern w:val="16"/>
                <w:sz w:val="24"/>
                <w:highlight w:val="none"/>
              </w:rPr>
              <w:t>为防止事故、检修时造成废油污染，变电站内设置有污油排蓄系统，即按最大一台主变压器的油量，变电站</w:t>
            </w:r>
            <w:r>
              <w:rPr>
                <w:color w:val="auto"/>
                <w:kern w:val="16"/>
                <w:sz w:val="24"/>
                <w:highlight w:val="none"/>
              </w:rPr>
              <w:t>2</w:t>
            </w:r>
            <w:r>
              <w:rPr>
                <w:rFonts w:hint="eastAsia"/>
                <w:color w:val="auto"/>
                <w:kern w:val="16"/>
                <w:sz w:val="24"/>
                <w:highlight w:val="none"/>
              </w:rPr>
              <w:t>台主变容量均为</w:t>
            </w:r>
            <w:r>
              <w:rPr>
                <w:rFonts w:hint="eastAsia"/>
                <w:color w:val="auto"/>
                <w:kern w:val="16"/>
                <w:sz w:val="24"/>
                <w:highlight w:val="none"/>
                <w:lang w:val="en-US" w:eastAsia="zh-CN"/>
              </w:rPr>
              <w:t>5</w:t>
            </w:r>
            <w:r>
              <w:rPr>
                <w:color w:val="auto"/>
                <w:kern w:val="16"/>
                <w:sz w:val="24"/>
                <w:highlight w:val="none"/>
              </w:rPr>
              <w:t>0MVA</w:t>
            </w:r>
            <w:r>
              <w:rPr>
                <w:rFonts w:hint="eastAsia"/>
                <w:color w:val="auto"/>
                <w:kern w:val="16"/>
                <w:sz w:val="24"/>
                <w:highlight w:val="none"/>
              </w:rPr>
              <w:t>，单台最大油量约</w:t>
            </w:r>
            <w:r>
              <w:rPr>
                <w:rFonts w:hint="eastAsia"/>
                <w:color w:val="auto"/>
                <w:kern w:val="16"/>
                <w:sz w:val="24"/>
                <w:highlight w:val="none"/>
                <w:lang w:val="en-US" w:eastAsia="zh-CN"/>
              </w:rPr>
              <w:t>2</w:t>
            </w:r>
            <w:r>
              <w:rPr>
                <w:color w:val="auto"/>
                <w:kern w:val="16"/>
                <w:sz w:val="24"/>
                <w:highlight w:val="none"/>
              </w:rPr>
              <w:t>0t</w:t>
            </w:r>
            <w:r>
              <w:rPr>
                <w:rFonts w:hint="eastAsia"/>
                <w:color w:val="auto"/>
                <w:kern w:val="16"/>
                <w:sz w:val="24"/>
                <w:highlight w:val="none"/>
              </w:rPr>
              <w:t>（体积</w:t>
            </w:r>
            <w:r>
              <w:rPr>
                <w:rFonts w:hint="eastAsia"/>
                <w:color w:val="auto"/>
                <w:kern w:val="16"/>
                <w:sz w:val="24"/>
                <w:highlight w:val="none"/>
                <w:lang w:val="en-US" w:eastAsia="zh-CN"/>
              </w:rPr>
              <w:t>22.3</w:t>
            </w:r>
            <w:r>
              <w:rPr>
                <w:color w:val="auto"/>
                <w:kern w:val="16"/>
                <w:sz w:val="24"/>
                <w:highlight w:val="none"/>
              </w:rPr>
              <w:t>m</w:t>
            </w:r>
            <w:r>
              <w:rPr>
                <w:color w:val="auto"/>
                <w:kern w:val="16"/>
                <w:sz w:val="24"/>
                <w:highlight w:val="none"/>
                <w:vertAlign w:val="superscript"/>
              </w:rPr>
              <w:t>3</w:t>
            </w:r>
            <w:r>
              <w:rPr>
                <w:rFonts w:hint="eastAsia"/>
                <w:color w:val="auto"/>
                <w:kern w:val="16"/>
                <w:sz w:val="24"/>
                <w:highlight w:val="none"/>
              </w:rPr>
              <w:t>，密度</w:t>
            </w:r>
            <w:r>
              <w:rPr>
                <w:color w:val="auto"/>
                <w:kern w:val="16"/>
                <w:sz w:val="24"/>
                <w:highlight w:val="none"/>
              </w:rPr>
              <w:t>895kg/m</w:t>
            </w:r>
            <w:r>
              <w:rPr>
                <w:color w:val="auto"/>
                <w:kern w:val="16"/>
                <w:sz w:val="24"/>
                <w:highlight w:val="none"/>
                <w:vertAlign w:val="superscript"/>
              </w:rPr>
              <w:t>3</w:t>
            </w:r>
            <w:r>
              <w:rPr>
                <w:rFonts w:hint="eastAsia"/>
                <w:color w:val="auto"/>
                <w:kern w:val="16"/>
                <w:sz w:val="24"/>
                <w:highlight w:val="none"/>
              </w:rPr>
              <w:t>）。</w:t>
            </w:r>
            <w:r>
              <w:rPr>
                <w:rFonts w:hint="default" w:ascii="Times New Roman" w:hAnsi="Times New Roman" w:cs="Times New Roman"/>
                <w:color w:val="auto"/>
                <w:kern w:val="16"/>
                <w:sz w:val="24"/>
              </w:rPr>
              <w:t>本项目的事故油池具有隔油功能，</w:t>
            </w:r>
            <w:r>
              <w:rPr>
                <w:rFonts w:hint="eastAsia" w:ascii="Times New Roman" w:hAnsi="Times New Roman" w:cs="Times New Roman"/>
                <w:color w:val="auto"/>
                <w:kern w:val="16"/>
                <w:sz w:val="24"/>
                <w:lang w:val="en-US" w:eastAsia="zh-CN"/>
              </w:rPr>
              <w:t>有效</w:t>
            </w:r>
            <w:r>
              <w:rPr>
                <w:rFonts w:hint="default" w:ascii="Times New Roman" w:hAnsi="Times New Roman" w:cs="Times New Roman"/>
                <w:color w:val="auto"/>
                <w:kern w:val="16"/>
                <w:sz w:val="24"/>
              </w:rPr>
              <w:t>容积</w:t>
            </w:r>
            <w:r>
              <w:rPr>
                <w:rFonts w:hint="eastAsia" w:ascii="Times New Roman" w:hAnsi="Times New Roman" w:cs="Times New Roman"/>
                <w:color w:val="auto"/>
                <w:kern w:val="16"/>
                <w:sz w:val="24"/>
                <w:lang w:val="en-US" w:eastAsia="zh-CN"/>
              </w:rPr>
              <w:t>30</w:t>
            </w:r>
            <w:r>
              <w:rPr>
                <w:rFonts w:hint="default" w:ascii="Times New Roman" w:hAnsi="Times New Roman" w:cs="Times New Roman"/>
                <w:color w:val="auto"/>
                <w:kern w:val="16"/>
                <w:sz w:val="24"/>
              </w:rPr>
              <w:t>m</w:t>
            </w:r>
            <w:r>
              <w:rPr>
                <w:rFonts w:hint="default" w:ascii="Times New Roman" w:hAnsi="Times New Roman" w:cs="Times New Roman"/>
                <w:color w:val="auto"/>
                <w:kern w:val="16"/>
                <w:sz w:val="24"/>
                <w:vertAlign w:val="superscript"/>
              </w:rPr>
              <w:t>3</w:t>
            </w:r>
            <w:r>
              <w:rPr>
                <w:rFonts w:hint="default" w:ascii="Times New Roman" w:hAnsi="Times New Roman" w:cs="Times New Roman"/>
                <w:color w:val="auto"/>
                <w:kern w:val="16"/>
                <w:sz w:val="24"/>
              </w:rPr>
              <w:t>，事故油池分为两格，在两格池子隔墙下方连通。在变压器基座下设置大于设备外廓尺寸每边大1m的集油坑，其设置的事故油池容积、贮油池尺寸能够满足《火力发电厂与变电站设计防火标准》（GB 50229-2019）的要求。</w:t>
            </w:r>
            <w:r>
              <w:rPr>
                <w:rFonts w:hint="eastAsia"/>
                <w:color w:val="auto"/>
                <w:kern w:val="16"/>
                <w:sz w:val="24"/>
                <w:highlight w:val="none"/>
              </w:rPr>
              <w:t>正常情况下事故油池内装有清洁水，</w:t>
            </w:r>
            <w:r>
              <w:rPr>
                <w:color w:val="auto"/>
                <w:kern w:val="16"/>
                <w:sz w:val="24"/>
                <w:highlight w:val="none"/>
              </w:rPr>
              <w:t>变压器四周设有油坑与事故油池相连，发生</w:t>
            </w:r>
            <w:r>
              <w:rPr>
                <w:rFonts w:hint="eastAsia"/>
                <w:color w:val="auto"/>
                <w:kern w:val="16"/>
                <w:sz w:val="24"/>
                <w:highlight w:val="none"/>
              </w:rPr>
              <w:t>漏油</w:t>
            </w:r>
            <w:r>
              <w:rPr>
                <w:color w:val="auto"/>
                <w:kern w:val="16"/>
                <w:sz w:val="24"/>
                <w:highlight w:val="none"/>
              </w:rPr>
              <w:t>事故时</w:t>
            </w:r>
            <w:r>
              <w:rPr>
                <w:rFonts w:hint="eastAsia"/>
                <w:color w:val="auto"/>
                <w:kern w:val="16"/>
                <w:sz w:val="24"/>
                <w:highlight w:val="none"/>
              </w:rPr>
              <w:t>变压器</w:t>
            </w:r>
            <w:r>
              <w:rPr>
                <w:color w:val="auto"/>
                <w:kern w:val="16"/>
                <w:sz w:val="24"/>
                <w:highlight w:val="none"/>
              </w:rPr>
              <w:t>油将</w:t>
            </w:r>
            <w:r>
              <w:rPr>
                <w:rFonts w:hint="eastAsia"/>
                <w:color w:val="auto"/>
                <w:kern w:val="16"/>
                <w:sz w:val="24"/>
                <w:highlight w:val="none"/>
              </w:rPr>
              <w:t>由集油坑经</w:t>
            </w:r>
            <w:r>
              <w:rPr>
                <w:rFonts w:hint="eastAsia"/>
                <w:bCs/>
                <w:color w:val="auto"/>
                <w:kern w:val="16"/>
                <w:sz w:val="24"/>
                <w:highlight w:val="none"/>
              </w:rPr>
              <w:t>进水（油）管</w:t>
            </w:r>
            <w:r>
              <w:rPr>
                <w:rFonts w:hint="eastAsia"/>
                <w:color w:val="auto"/>
                <w:kern w:val="16"/>
                <w:sz w:val="24"/>
                <w:highlight w:val="none"/>
              </w:rPr>
              <w:t>排入事故油池的第一格内，变压器油由于密度小于水，将漂浮于水面，随着变压器油的不断排入，第一格内的水通过隔板下部进入第二格内，并经出水管排入雨水系统中。</w:t>
            </w:r>
            <w:r>
              <w:rPr>
                <w:rFonts w:hint="default" w:ascii="Times New Roman" w:hAnsi="Times New Roman" w:cs="Times New Roman"/>
                <w:color w:val="auto"/>
                <w:kern w:val="16"/>
                <w:sz w:val="24"/>
              </w:rPr>
              <w:t>本项目新建的事故油池</w:t>
            </w:r>
            <w:r>
              <w:rPr>
                <w:rFonts w:hint="eastAsia" w:ascii="Times New Roman" w:hAnsi="Times New Roman" w:cs="Times New Roman"/>
                <w:color w:val="auto"/>
                <w:kern w:val="16"/>
                <w:sz w:val="24"/>
                <w:lang w:val="en-US" w:eastAsia="zh-CN"/>
              </w:rPr>
              <w:t>有效</w:t>
            </w:r>
            <w:r>
              <w:rPr>
                <w:rFonts w:hint="default" w:ascii="Times New Roman" w:hAnsi="Times New Roman" w:cs="Times New Roman"/>
                <w:color w:val="auto"/>
                <w:kern w:val="16"/>
                <w:sz w:val="24"/>
              </w:rPr>
              <w:t>容积</w:t>
            </w:r>
            <w:r>
              <w:rPr>
                <w:rFonts w:hint="default" w:ascii="Times New Roman" w:hAnsi="Times New Roman" w:cs="Times New Roman"/>
                <w:color w:val="auto"/>
                <w:kern w:val="16"/>
                <w:sz w:val="24"/>
                <w:lang w:val="en-US" w:eastAsia="zh-CN"/>
              </w:rPr>
              <w:t>3</w:t>
            </w:r>
            <w:r>
              <w:rPr>
                <w:rFonts w:hint="eastAsia" w:ascii="Times New Roman" w:hAnsi="Times New Roman" w:cs="Times New Roman"/>
                <w:color w:val="auto"/>
                <w:kern w:val="16"/>
                <w:sz w:val="24"/>
                <w:lang w:val="en-US" w:eastAsia="zh-CN"/>
              </w:rPr>
              <w:t>0</w:t>
            </w:r>
            <w:r>
              <w:rPr>
                <w:rFonts w:hint="default" w:ascii="Times New Roman" w:hAnsi="Times New Roman" w:cs="Times New Roman"/>
                <w:color w:val="auto"/>
                <w:kern w:val="16"/>
                <w:sz w:val="24"/>
              </w:rPr>
              <w:t>m</w:t>
            </w:r>
            <w:r>
              <w:rPr>
                <w:rFonts w:hint="default" w:ascii="Times New Roman" w:hAnsi="Times New Roman" w:cs="Times New Roman"/>
                <w:color w:val="auto"/>
                <w:kern w:val="16"/>
                <w:sz w:val="24"/>
                <w:vertAlign w:val="superscript"/>
              </w:rPr>
              <w:t>3</w:t>
            </w:r>
            <w:r>
              <w:rPr>
                <w:rFonts w:hint="default" w:ascii="Times New Roman" w:hAnsi="Times New Roman" w:cs="Times New Roman"/>
                <w:color w:val="auto"/>
                <w:kern w:val="16"/>
                <w:sz w:val="24"/>
              </w:rPr>
              <w:t>，可以满足一台变压器绝缘油全部进入事故油池，完全可以保证变压器油不外溢，不会造成对环境的污染。</w:t>
            </w:r>
          </w:p>
          <w:p>
            <w:pPr>
              <w:tabs>
                <w:tab w:val="left" w:pos="720"/>
              </w:tabs>
              <w:adjustRightInd w:val="0"/>
              <w:snapToGrid w:val="0"/>
              <w:spacing w:line="360" w:lineRule="auto"/>
              <w:ind w:firstLine="480" w:firstLineChars="200"/>
              <w:rPr>
                <w:rFonts w:hint="eastAsia"/>
                <w:color w:val="auto"/>
                <w:kern w:val="16"/>
                <w:sz w:val="24"/>
                <w:highlight w:val="none"/>
              </w:rPr>
            </w:pPr>
            <w:r>
              <w:rPr>
                <w:color w:val="auto"/>
                <w:kern w:val="16"/>
                <w:sz w:val="24"/>
              </w:rPr>
              <w:t>据重庆市电力公司统计显示，重庆市变电站全年运行单台主变冷却油泄漏事件不超过1%（概率约2.7×10</w:t>
            </w:r>
            <w:r>
              <w:rPr>
                <w:color w:val="auto"/>
                <w:kern w:val="16"/>
                <w:sz w:val="24"/>
                <w:vertAlign w:val="superscript"/>
              </w:rPr>
              <w:t>-7</w:t>
            </w:r>
            <w:r>
              <w:rPr>
                <w:color w:val="auto"/>
                <w:kern w:val="16"/>
                <w:sz w:val="24"/>
              </w:rPr>
              <w:t>），两台主变压器同时发生冷却油泄漏事故的，从建设运行至今从未发生过，因此，本项目新建的</w:t>
            </w:r>
            <w:r>
              <w:rPr>
                <w:rFonts w:hint="eastAsia"/>
                <w:color w:val="auto"/>
                <w:kern w:val="16"/>
                <w:sz w:val="24"/>
                <w:lang w:val="en-US" w:eastAsia="zh-CN"/>
              </w:rPr>
              <w:t>30</w:t>
            </w:r>
            <w:r>
              <w:rPr>
                <w:color w:val="auto"/>
                <w:kern w:val="16"/>
                <w:sz w:val="24"/>
              </w:rPr>
              <w:t>m</w:t>
            </w:r>
            <w:r>
              <w:rPr>
                <w:color w:val="auto"/>
                <w:kern w:val="16"/>
                <w:sz w:val="24"/>
                <w:vertAlign w:val="superscript"/>
              </w:rPr>
              <w:t>3</w:t>
            </w:r>
            <w:r>
              <w:rPr>
                <w:color w:val="auto"/>
                <w:kern w:val="16"/>
                <w:sz w:val="24"/>
              </w:rPr>
              <w:t>事故油池能处理漏油事故。且事故油池防渗按照《环境影响评价技术导则 地下水环境》（HJ610-2016）的要求“等效黏土防渗层Mb≥6.0m，K≤1×10</w:t>
            </w:r>
            <w:r>
              <w:rPr>
                <w:color w:val="auto"/>
                <w:kern w:val="16"/>
                <w:sz w:val="24"/>
                <w:vertAlign w:val="superscript"/>
              </w:rPr>
              <w:t>-7</w:t>
            </w:r>
            <w:r>
              <w:rPr>
                <w:color w:val="auto"/>
                <w:kern w:val="16"/>
                <w:sz w:val="24"/>
              </w:rPr>
              <w:t>cm/s；或参照GB18598执行”。</w:t>
            </w:r>
            <w:r>
              <w:rPr>
                <w:color w:val="auto"/>
                <w:kern w:val="16"/>
                <w:sz w:val="24"/>
                <w:lang w:bidi="en-US"/>
              </w:rPr>
              <w:t>本工程变电站发生漏油事故后，事故油池内的所有油和水均由危险废物处置资质的单位收贮，不会对周围水环境产生影响。</w:t>
            </w:r>
          </w:p>
          <w:p>
            <w:pPr>
              <w:tabs>
                <w:tab w:val="left" w:pos="720"/>
              </w:tabs>
              <w:adjustRightInd w:val="0"/>
              <w:snapToGrid w:val="0"/>
              <w:spacing w:line="360" w:lineRule="auto"/>
              <w:ind w:firstLine="480" w:firstLineChars="200"/>
              <w:rPr>
                <w:color w:val="auto"/>
                <w:kern w:val="16"/>
                <w:sz w:val="24"/>
                <w:highlight w:val="none"/>
              </w:rPr>
            </w:pPr>
            <w:r>
              <w:rPr>
                <w:color w:val="auto"/>
                <w:kern w:val="16"/>
                <w:sz w:val="24"/>
                <w:highlight w:val="none"/>
              </w:rPr>
              <w:t>根据《国家危险废物名录</w:t>
            </w:r>
            <w:r>
              <w:rPr>
                <w:rFonts w:hint="eastAsia"/>
                <w:color w:val="auto"/>
                <w:kern w:val="16"/>
                <w:sz w:val="24"/>
                <w:highlight w:val="none"/>
              </w:rPr>
              <w:t>（2021年</w:t>
            </w:r>
            <w:r>
              <w:rPr>
                <w:color w:val="auto"/>
                <w:kern w:val="16"/>
                <w:sz w:val="24"/>
                <w:highlight w:val="none"/>
              </w:rPr>
              <w:t>版）》，变压器冷却油为矿物油，</w:t>
            </w:r>
            <w:r>
              <w:rPr>
                <w:rFonts w:hint="eastAsia"/>
                <w:color w:val="auto"/>
                <w:kern w:val="16"/>
                <w:sz w:val="24"/>
                <w:highlight w:val="none"/>
              </w:rPr>
              <w:t>属于</w:t>
            </w:r>
            <w:r>
              <w:rPr>
                <w:color w:val="auto"/>
                <w:kern w:val="16"/>
                <w:sz w:val="24"/>
                <w:highlight w:val="none"/>
              </w:rPr>
              <w:t>HW08</w:t>
            </w:r>
            <w:r>
              <w:rPr>
                <w:rFonts w:hint="eastAsia"/>
                <w:color w:val="auto"/>
                <w:kern w:val="16"/>
                <w:sz w:val="24"/>
                <w:highlight w:val="none"/>
              </w:rPr>
              <w:t>废矿物油与含矿物油废物中</w:t>
            </w:r>
            <w:r>
              <w:rPr>
                <w:color w:val="auto"/>
                <w:kern w:val="16"/>
                <w:sz w:val="24"/>
                <w:highlight w:val="none"/>
              </w:rPr>
              <w:t>的</w:t>
            </w:r>
            <w:r>
              <w:rPr>
                <w:rFonts w:hint="eastAsia"/>
                <w:color w:val="auto"/>
                <w:kern w:val="16"/>
                <w:sz w:val="24"/>
                <w:highlight w:val="none"/>
              </w:rPr>
              <w:t>900-220-08变压器维护、更换和拆解过程中产生的废变压器油。</w:t>
            </w:r>
            <w:r>
              <w:rPr>
                <w:color w:val="auto"/>
                <w:kern w:val="16"/>
                <w:sz w:val="24"/>
                <w:highlight w:val="none"/>
              </w:rPr>
              <w:t>因其而产生的废弃沉积物、油泥属危险废物。为避免可能发生的变压器因事故漏油或泄油而产生的废弃物污染环境，进入事故油池中的废油不得随意处置，</w:t>
            </w:r>
            <w:r>
              <w:rPr>
                <w:rFonts w:hint="eastAsia"/>
                <w:color w:val="auto"/>
                <w:kern w:val="16"/>
                <w:sz w:val="24"/>
                <w:highlight w:val="none"/>
              </w:rPr>
              <w:t>经收集后由专业的危废运输公司运输，废油最终</w:t>
            </w:r>
            <w:r>
              <w:rPr>
                <w:color w:val="auto"/>
                <w:kern w:val="16"/>
                <w:sz w:val="24"/>
                <w:highlight w:val="none"/>
              </w:rPr>
              <w:t>由</w:t>
            </w:r>
            <w:r>
              <w:rPr>
                <w:rFonts w:hint="eastAsia"/>
                <w:color w:val="auto"/>
                <w:sz w:val="24"/>
                <w:highlight w:val="none"/>
              </w:rPr>
              <w:t>有资质的单位</w:t>
            </w:r>
            <w:r>
              <w:rPr>
                <w:rFonts w:hint="eastAsia"/>
                <w:color w:val="auto"/>
                <w:kern w:val="16"/>
                <w:sz w:val="24"/>
                <w:highlight w:val="none"/>
              </w:rPr>
              <w:t>收集处置</w:t>
            </w:r>
            <w:r>
              <w:rPr>
                <w:color w:val="auto"/>
                <w:kern w:val="16"/>
                <w:sz w:val="24"/>
                <w:highlight w:val="none"/>
              </w:rPr>
              <w:t>。</w:t>
            </w:r>
          </w:p>
          <w:p>
            <w:pPr>
              <w:tabs>
                <w:tab w:val="left" w:pos="720"/>
              </w:tabs>
              <w:adjustRightInd w:val="0"/>
              <w:snapToGrid w:val="0"/>
              <w:spacing w:line="360" w:lineRule="auto"/>
              <w:ind w:firstLine="480" w:firstLineChars="200"/>
              <w:rPr>
                <w:color w:val="auto"/>
                <w:kern w:val="16"/>
                <w:sz w:val="24"/>
                <w:highlight w:val="none"/>
              </w:rPr>
            </w:pPr>
            <w:r>
              <w:rPr>
                <w:color w:val="auto"/>
                <w:kern w:val="16"/>
                <w:sz w:val="24"/>
                <w:highlight w:val="none"/>
              </w:rPr>
              <w:t>建设单位应健全变电站应急事故处理预案，定期检修事故油池，防止破损，要求变电站主变压器故障时，变压器油由</w:t>
            </w:r>
            <w:r>
              <w:rPr>
                <w:rFonts w:hint="eastAsia"/>
                <w:color w:val="auto"/>
                <w:sz w:val="24"/>
                <w:highlight w:val="none"/>
              </w:rPr>
              <w:t>有资质的单位</w:t>
            </w:r>
            <w:r>
              <w:rPr>
                <w:color w:val="auto"/>
                <w:kern w:val="16"/>
                <w:sz w:val="24"/>
                <w:highlight w:val="none"/>
              </w:rPr>
              <w:t>统一回收，严格禁止变压器油的事故排放。</w:t>
            </w:r>
          </w:p>
          <w:p>
            <w:pPr>
              <w:tabs>
                <w:tab w:val="left" w:pos="720"/>
              </w:tabs>
              <w:adjustRightInd w:val="0"/>
              <w:snapToGrid w:val="0"/>
              <w:spacing w:line="360" w:lineRule="auto"/>
              <w:ind w:firstLine="482" w:firstLineChars="200"/>
              <w:rPr>
                <w:b/>
                <w:color w:val="auto"/>
                <w:kern w:val="16"/>
                <w:sz w:val="24"/>
                <w:highlight w:val="none"/>
              </w:rPr>
            </w:pPr>
            <w:r>
              <w:rPr>
                <w:rFonts w:hint="eastAsia"/>
                <w:b/>
                <w:color w:val="auto"/>
                <w:kern w:val="16"/>
                <w:sz w:val="24"/>
                <w:highlight w:val="none"/>
              </w:rPr>
              <w:t>（</w:t>
            </w:r>
            <w:r>
              <w:rPr>
                <w:b/>
                <w:color w:val="auto"/>
                <w:kern w:val="16"/>
                <w:sz w:val="24"/>
                <w:highlight w:val="none"/>
              </w:rPr>
              <w:t>3</w:t>
            </w:r>
            <w:r>
              <w:rPr>
                <w:rFonts w:hint="eastAsia"/>
                <w:b/>
                <w:color w:val="auto"/>
                <w:kern w:val="16"/>
                <w:sz w:val="24"/>
                <w:highlight w:val="none"/>
              </w:rPr>
              <w:t>）消防水</w:t>
            </w:r>
          </w:p>
          <w:p>
            <w:pPr>
              <w:tabs>
                <w:tab w:val="left" w:pos="720"/>
              </w:tabs>
              <w:adjustRightInd w:val="0"/>
              <w:snapToGrid w:val="0"/>
              <w:spacing w:line="360" w:lineRule="auto"/>
              <w:ind w:firstLine="480" w:firstLineChars="200"/>
              <w:rPr>
                <w:rFonts w:hint="eastAsia"/>
                <w:color w:val="auto"/>
                <w:kern w:val="16"/>
                <w:sz w:val="24"/>
                <w:highlight w:val="none"/>
              </w:rPr>
            </w:pPr>
            <w:r>
              <w:rPr>
                <w:rFonts w:hint="eastAsia"/>
                <w:color w:val="auto"/>
                <w:kern w:val="16"/>
                <w:sz w:val="24"/>
                <w:highlight w:val="none"/>
              </w:rPr>
              <w:t>根据《</w:t>
            </w:r>
            <w:r>
              <w:rPr>
                <w:rFonts w:hint="eastAsia"/>
                <w:bCs/>
                <w:color w:val="auto"/>
                <w:kern w:val="16"/>
                <w:sz w:val="24"/>
                <w:highlight w:val="none"/>
              </w:rPr>
              <w:t>火力发电厂与变电站设计防火标准》</w:t>
            </w:r>
            <w:r>
              <w:rPr>
                <w:bCs/>
                <w:color w:val="auto"/>
                <w:kern w:val="16"/>
                <w:sz w:val="24"/>
                <w:highlight w:val="none"/>
              </w:rPr>
              <w:t>（</w:t>
            </w:r>
            <w:r>
              <w:rPr>
                <w:rFonts w:hint="eastAsia"/>
                <w:bCs/>
                <w:color w:val="auto"/>
                <w:kern w:val="16"/>
                <w:sz w:val="24"/>
                <w:highlight w:val="none"/>
              </w:rPr>
              <w:t>GB50229-2019</w:t>
            </w:r>
            <w:r>
              <w:rPr>
                <w:bCs/>
                <w:color w:val="auto"/>
                <w:kern w:val="16"/>
                <w:sz w:val="24"/>
                <w:highlight w:val="none"/>
              </w:rPr>
              <w:t>）</w:t>
            </w:r>
            <w:r>
              <w:rPr>
                <w:rFonts w:hint="eastAsia"/>
                <w:bCs/>
                <w:color w:val="auto"/>
                <w:kern w:val="16"/>
                <w:sz w:val="24"/>
                <w:highlight w:val="none"/>
              </w:rPr>
              <w:t>，</w:t>
            </w:r>
            <w:r>
              <w:rPr>
                <w:rFonts w:hint="eastAsia"/>
                <w:color w:val="auto"/>
                <w:kern w:val="16"/>
                <w:sz w:val="24"/>
                <w:highlight w:val="none"/>
              </w:rPr>
              <w:t>变电</w:t>
            </w:r>
            <w:r>
              <w:rPr>
                <w:color w:val="auto"/>
                <w:kern w:val="16"/>
                <w:sz w:val="24"/>
                <w:highlight w:val="none"/>
              </w:rPr>
              <w:t>站</w:t>
            </w:r>
            <w:r>
              <w:rPr>
                <w:rFonts w:hint="eastAsia"/>
                <w:color w:val="auto"/>
                <w:kern w:val="16"/>
                <w:sz w:val="24"/>
                <w:highlight w:val="none"/>
              </w:rPr>
              <w:t>接海辰项目</w:t>
            </w:r>
            <w:r>
              <w:rPr>
                <w:color w:val="auto"/>
                <w:kern w:val="16"/>
                <w:sz w:val="24"/>
                <w:highlight w:val="none"/>
              </w:rPr>
              <w:t>消防水池，</w:t>
            </w:r>
            <w:r>
              <w:rPr>
                <w:rFonts w:hint="eastAsia"/>
                <w:color w:val="auto"/>
                <w:kern w:val="16"/>
                <w:sz w:val="24"/>
                <w:highlight w:val="none"/>
              </w:rPr>
              <w:t>在</w:t>
            </w:r>
            <w:r>
              <w:rPr>
                <w:color w:val="auto"/>
                <w:kern w:val="16"/>
                <w:sz w:val="24"/>
                <w:highlight w:val="none"/>
              </w:rPr>
              <w:t>主变设置</w:t>
            </w:r>
            <w:r>
              <w:rPr>
                <w:rFonts w:hint="eastAsia"/>
                <w:color w:val="auto"/>
                <w:kern w:val="16"/>
                <w:sz w:val="24"/>
                <w:highlight w:val="none"/>
              </w:rPr>
              <w:t>水喷雾灭火系统，站内设置室外水消防，由此</w:t>
            </w:r>
            <w:r>
              <w:rPr>
                <w:color w:val="auto"/>
                <w:kern w:val="16"/>
                <w:sz w:val="24"/>
                <w:highlight w:val="none"/>
              </w:rPr>
              <w:t>变电站在</w:t>
            </w:r>
            <w:r>
              <w:rPr>
                <w:rFonts w:hint="eastAsia"/>
                <w:color w:val="auto"/>
                <w:kern w:val="16"/>
                <w:sz w:val="24"/>
                <w:highlight w:val="none"/>
              </w:rPr>
              <w:t>发生</w:t>
            </w:r>
            <w:r>
              <w:rPr>
                <w:color w:val="auto"/>
                <w:kern w:val="16"/>
                <w:sz w:val="24"/>
                <w:highlight w:val="none"/>
              </w:rPr>
              <w:t>火灾</w:t>
            </w:r>
            <w:r>
              <w:rPr>
                <w:rFonts w:hint="eastAsia"/>
                <w:color w:val="auto"/>
                <w:kern w:val="16"/>
                <w:sz w:val="24"/>
                <w:highlight w:val="none"/>
              </w:rPr>
              <w:t>灭火</w:t>
            </w:r>
            <w:r>
              <w:rPr>
                <w:color w:val="auto"/>
                <w:kern w:val="16"/>
                <w:sz w:val="24"/>
                <w:highlight w:val="none"/>
              </w:rPr>
              <w:t>过程中会产生消防</w:t>
            </w:r>
            <w:r>
              <w:rPr>
                <w:rFonts w:hint="eastAsia"/>
                <w:color w:val="auto"/>
                <w:kern w:val="16"/>
                <w:sz w:val="24"/>
                <w:highlight w:val="none"/>
              </w:rPr>
              <w:t>排</w:t>
            </w:r>
            <w:r>
              <w:rPr>
                <w:color w:val="auto"/>
                <w:kern w:val="16"/>
                <w:sz w:val="24"/>
                <w:highlight w:val="none"/>
              </w:rPr>
              <w:t>水。</w:t>
            </w:r>
            <w:r>
              <w:rPr>
                <w:rFonts w:hint="eastAsia"/>
                <w:color w:val="auto"/>
                <w:kern w:val="16"/>
                <w:sz w:val="24"/>
                <w:highlight w:val="none"/>
              </w:rPr>
              <w:t>根据《</w:t>
            </w:r>
            <w:r>
              <w:rPr>
                <w:rFonts w:hint="eastAsia"/>
                <w:bCs/>
                <w:color w:val="auto"/>
                <w:kern w:val="16"/>
                <w:sz w:val="24"/>
                <w:highlight w:val="none"/>
              </w:rPr>
              <w:t>火力发电厂与变电站设计防火标准》</w:t>
            </w:r>
            <w:r>
              <w:rPr>
                <w:bCs/>
                <w:color w:val="auto"/>
                <w:kern w:val="16"/>
                <w:sz w:val="24"/>
                <w:highlight w:val="none"/>
              </w:rPr>
              <w:t>（</w:t>
            </w:r>
            <w:r>
              <w:rPr>
                <w:rFonts w:hint="eastAsia"/>
                <w:bCs/>
                <w:color w:val="auto"/>
                <w:kern w:val="16"/>
                <w:sz w:val="24"/>
                <w:highlight w:val="none"/>
              </w:rPr>
              <w:t>GB50229-2019</w:t>
            </w:r>
            <w:r>
              <w:rPr>
                <w:bCs/>
                <w:color w:val="auto"/>
                <w:kern w:val="16"/>
                <w:sz w:val="24"/>
                <w:highlight w:val="none"/>
              </w:rPr>
              <w:t>）</w:t>
            </w:r>
            <w:r>
              <w:rPr>
                <w:rFonts w:hint="eastAsia"/>
                <w:bCs/>
                <w:color w:val="auto"/>
                <w:kern w:val="16"/>
                <w:sz w:val="24"/>
                <w:highlight w:val="none"/>
              </w:rPr>
              <w:t>“7.7消防</w:t>
            </w:r>
            <w:r>
              <w:rPr>
                <w:bCs/>
                <w:color w:val="auto"/>
                <w:kern w:val="16"/>
                <w:sz w:val="24"/>
                <w:highlight w:val="none"/>
              </w:rPr>
              <w:t>排水</w:t>
            </w:r>
            <w:r>
              <w:rPr>
                <w:rFonts w:hint="eastAsia"/>
                <w:bCs/>
                <w:color w:val="auto"/>
                <w:kern w:val="16"/>
                <w:sz w:val="24"/>
                <w:highlight w:val="none"/>
              </w:rPr>
              <w:t xml:space="preserve">  </w:t>
            </w:r>
            <w:r>
              <w:rPr>
                <w:rFonts w:hint="eastAsia"/>
                <w:color w:val="auto"/>
                <w:kern w:val="16"/>
                <w:sz w:val="24"/>
                <w:highlight w:val="none"/>
              </w:rPr>
              <w:t>变压器、油系统的消防给水流量很大，而且消防排水中含有油污，容易造成污染；此外变压器、油系统发生火灾时有燃油溢(喷)出，油火在水面上燃烧，因此，这种消防排水应单独排放。为了不使火灾蔓延，一般情况下，含油排水管道上要加设水封分隔装置。变压器区域，变压器下设有卵石层，能够有效阻隔油火通过管道在变压器间蔓延，通常多台变压器还设置总事故贮油池，平时里面储存大量水，进水管、出水管的合理布置应能达到水封的目的，也能够对油水进行简单分离，这时，每台变压器的排水管不必单独设置水封井。”本</w:t>
            </w:r>
            <w:r>
              <w:rPr>
                <w:color w:val="auto"/>
                <w:kern w:val="16"/>
                <w:sz w:val="24"/>
                <w:highlight w:val="none"/>
              </w:rPr>
              <w:t>项目</w:t>
            </w:r>
            <w:r>
              <w:rPr>
                <w:rFonts w:hint="eastAsia"/>
                <w:color w:val="auto"/>
                <w:kern w:val="16"/>
                <w:sz w:val="24"/>
                <w:highlight w:val="none"/>
              </w:rPr>
              <w:t>主变消防水将经集油坑排入事故油池内，</w:t>
            </w:r>
            <w:r>
              <w:rPr>
                <w:color w:val="auto"/>
                <w:kern w:val="16"/>
                <w:sz w:val="24"/>
                <w:highlight w:val="none"/>
              </w:rPr>
              <w:t>事故油池设置有油水分离装置，对消防排水有效分离，</w:t>
            </w:r>
            <w:r>
              <w:rPr>
                <w:rFonts w:hint="eastAsia"/>
                <w:color w:val="auto"/>
                <w:kern w:val="16"/>
                <w:sz w:val="24"/>
                <w:highlight w:val="none"/>
              </w:rPr>
              <w:t>可以将主变中的油隔离在事故油池内。</w:t>
            </w:r>
          </w:p>
          <w:p>
            <w:pPr>
              <w:tabs>
                <w:tab w:val="left" w:pos="720"/>
              </w:tabs>
              <w:adjustRightInd w:val="0"/>
              <w:snapToGrid w:val="0"/>
              <w:spacing w:line="360" w:lineRule="auto"/>
              <w:ind w:firstLine="482" w:firstLineChars="200"/>
              <w:rPr>
                <w:rFonts w:hint="default" w:ascii="Times New Roman" w:hAnsi="Times New Roman" w:eastAsia="宋体" w:cs="Times New Roman"/>
                <w:b/>
                <w:bCs/>
                <w:color w:val="auto"/>
                <w:kern w:val="16"/>
                <w:sz w:val="24"/>
                <w:highlight w:val="none"/>
              </w:rPr>
            </w:pPr>
            <w:r>
              <w:rPr>
                <w:rFonts w:hint="eastAsia" w:ascii="Times New Roman" w:hAnsi="Times New Roman" w:eastAsia="宋体" w:cs="Times New Roman"/>
                <w:b/>
                <w:bCs/>
                <w:color w:val="auto"/>
                <w:kern w:val="16"/>
                <w:sz w:val="24"/>
                <w:highlight w:val="none"/>
                <w:lang w:eastAsia="zh-CN"/>
              </w:rPr>
              <w:t>（</w:t>
            </w:r>
            <w:r>
              <w:rPr>
                <w:rFonts w:hint="eastAsia" w:ascii="Times New Roman" w:hAnsi="Times New Roman" w:eastAsia="宋体" w:cs="Times New Roman"/>
                <w:b/>
                <w:bCs/>
                <w:color w:val="auto"/>
                <w:kern w:val="16"/>
                <w:sz w:val="24"/>
                <w:highlight w:val="none"/>
                <w:lang w:val="en-US" w:eastAsia="zh-CN"/>
              </w:rPr>
              <w:t>4</w:t>
            </w:r>
            <w:r>
              <w:rPr>
                <w:rFonts w:hint="eastAsia" w:ascii="Times New Roman" w:hAnsi="Times New Roman" w:eastAsia="宋体" w:cs="Times New Roman"/>
                <w:b/>
                <w:bCs/>
                <w:color w:val="auto"/>
                <w:kern w:val="16"/>
                <w:sz w:val="24"/>
                <w:highlight w:val="none"/>
                <w:lang w:eastAsia="zh-CN"/>
              </w:rPr>
              <w:t>）</w:t>
            </w:r>
            <w:r>
              <w:rPr>
                <w:rFonts w:hint="default" w:ascii="Times New Roman" w:hAnsi="Times New Roman" w:eastAsia="宋体" w:cs="Times New Roman"/>
                <w:b/>
                <w:bCs/>
                <w:color w:val="auto"/>
                <w:kern w:val="16"/>
                <w:sz w:val="24"/>
                <w:highlight w:val="none"/>
              </w:rPr>
              <w:t>废气</w:t>
            </w:r>
          </w:p>
          <w:p>
            <w:pPr>
              <w:tabs>
                <w:tab w:val="left" w:pos="720"/>
              </w:tabs>
              <w:adjustRightInd w:val="0"/>
              <w:snapToGrid w:val="0"/>
              <w:spacing w:line="360" w:lineRule="auto"/>
              <w:ind w:firstLine="480" w:firstLineChars="200"/>
              <w:rPr>
                <w:rFonts w:hint="default" w:ascii="Times New Roman" w:hAnsi="Times New Roman" w:eastAsia="宋体" w:cs="Times New Roman"/>
                <w:color w:val="auto"/>
                <w:kern w:val="16"/>
                <w:sz w:val="24"/>
                <w:highlight w:val="none"/>
              </w:rPr>
            </w:pPr>
            <w:r>
              <w:rPr>
                <w:rFonts w:hint="default" w:ascii="Times New Roman" w:hAnsi="Times New Roman" w:eastAsia="宋体" w:cs="Times New Roman"/>
                <w:color w:val="auto"/>
                <w:kern w:val="16"/>
                <w:sz w:val="24"/>
                <w:highlight w:val="none"/>
              </w:rPr>
              <w:t>SF6在常态下为一种无毒、无色、无味、不易燃气体，其化学性能极稳定，绝缘性和灭弧性极优。SF6断路器灭弧时，高温下SF6气体易分解或与气体中水分等杂质合成一些有毒或腐蚀性化学物质，如四氟化硫、二氧化硫、氟化亚硫酰等。</w:t>
            </w:r>
          </w:p>
          <w:p>
            <w:pPr>
              <w:tabs>
                <w:tab w:val="left" w:pos="720"/>
              </w:tabs>
              <w:adjustRightInd w:val="0"/>
              <w:snapToGrid w:val="0"/>
              <w:spacing w:line="360" w:lineRule="auto"/>
              <w:ind w:firstLine="480" w:firstLineChars="200"/>
              <w:rPr>
                <w:rFonts w:hint="default" w:ascii="Times New Roman" w:hAnsi="Times New Roman" w:eastAsia="宋体" w:cs="Times New Roman"/>
                <w:color w:val="auto"/>
                <w:kern w:val="16"/>
                <w:sz w:val="24"/>
                <w:highlight w:val="none"/>
              </w:rPr>
            </w:pPr>
            <w:r>
              <w:rPr>
                <w:rFonts w:hint="eastAsia" w:ascii="Times New Roman" w:hAnsi="Times New Roman" w:eastAsia="宋体" w:cs="Times New Roman"/>
                <w:color w:val="auto"/>
                <w:kern w:val="16"/>
                <w:sz w:val="24"/>
                <w:highlight w:val="none"/>
                <w:lang w:eastAsia="zh-CN"/>
              </w:rPr>
              <w:t>变电站</w:t>
            </w:r>
            <w:r>
              <w:rPr>
                <w:rFonts w:hint="default" w:ascii="Times New Roman" w:hAnsi="Times New Roman" w:eastAsia="宋体" w:cs="Times New Roman"/>
                <w:color w:val="auto"/>
                <w:kern w:val="16"/>
                <w:sz w:val="24"/>
                <w:highlight w:val="none"/>
              </w:rPr>
              <w:t>选用SF6断路器，其中断路器上装设有SF6气体密度检测和压力表。正常工况下，断路器无SF6、四氟化硫、二氧化硫、氟化亚硫酰等泄漏；而当断路器检修时，则将断路器中所有气体抽出放入瓶中，避免发生泄漏而产生空气污染。</w:t>
            </w:r>
          </w:p>
          <w:p>
            <w:pPr>
              <w:tabs>
                <w:tab w:val="left" w:pos="720"/>
              </w:tabs>
              <w:adjustRightInd w:val="0"/>
              <w:snapToGrid w:val="0"/>
              <w:spacing w:line="360" w:lineRule="auto"/>
              <w:ind w:firstLine="480" w:firstLineChars="200"/>
              <w:rPr>
                <w:rFonts w:hint="eastAsia" w:ascii="Times New Roman" w:hAnsi="Times New Roman" w:eastAsia="宋体" w:cs="Times New Roman"/>
                <w:color w:val="auto"/>
                <w:kern w:val="16"/>
                <w:sz w:val="24"/>
                <w:highlight w:val="none"/>
                <w:lang w:eastAsia="zh-CN"/>
              </w:rPr>
            </w:pPr>
            <w:r>
              <w:rPr>
                <w:rFonts w:hint="default" w:ascii="Times New Roman" w:hAnsi="Times New Roman" w:eastAsia="宋体" w:cs="Times New Roman"/>
                <w:color w:val="auto"/>
                <w:kern w:val="16"/>
                <w:sz w:val="24"/>
                <w:highlight w:val="none"/>
              </w:rPr>
              <w:t>由于断路器中SF6气体所需的纯度为99.99%，故产生的四氟化硫、二氧化硫、氟化亚硫酰等气体含量极少。为了避免SF6气体泄漏对工作人员造成影响，在SF6工作区安装SF6气体泄漏在线监测报警系统，并安装抽气排气装置，备配SF6气体检漏仪。一旦有SF6气体泄漏，必须先通风15分钟，并用检漏仪测量SF6气体含量，工作区中空气中的SF6气体含量不得超过1000ppm。如果有大量SF6气体泄漏，那么操作人员不能停留在离泄漏点10m以内的地方，直至采取措施泄漏停止后，方能进入该区域。如果电器设备内部发生故障，在容器内肯定会存在SF6电弧分解物，打开外壳进行清除以后，在检测工作中，有可能接触到污染的部件时，都必须使用防毒面具，并穿戴好防护工作服。为避免SF6发生泄漏而污染空气，建议对废弃的SF6气体，严格按国家规定的相关回收程序进行回收处理</w:t>
            </w:r>
            <w:r>
              <w:rPr>
                <w:rFonts w:hint="eastAsia" w:ascii="Times New Roman" w:hAnsi="Times New Roman" w:eastAsia="宋体" w:cs="Times New Roman"/>
                <w:color w:val="auto"/>
                <w:kern w:val="16"/>
                <w:sz w:val="24"/>
                <w:highlight w:val="none"/>
                <w:lang w:eastAsia="zh-CN"/>
              </w:rPr>
              <w:t>。</w:t>
            </w:r>
          </w:p>
          <w:p>
            <w:pPr>
              <w:tabs>
                <w:tab w:val="left" w:pos="720"/>
              </w:tabs>
              <w:adjustRightInd w:val="0"/>
              <w:snapToGrid w:val="0"/>
              <w:spacing w:line="360" w:lineRule="auto"/>
              <w:ind w:firstLine="480" w:firstLineChars="200"/>
              <w:rPr>
                <w:rFonts w:hint="default" w:ascii="Times New Roman" w:hAnsi="Times New Roman" w:eastAsia="宋体" w:cs="Times New Roman"/>
                <w:color w:val="auto"/>
                <w:kern w:val="16"/>
                <w:sz w:val="24"/>
                <w:highlight w:val="none"/>
              </w:rPr>
            </w:pPr>
            <w:r>
              <w:rPr>
                <w:rFonts w:hint="default" w:ascii="Times New Roman" w:hAnsi="Times New Roman" w:eastAsia="宋体" w:cs="Times New Roman"/>
                <w:color w:val="auto"/>
                <w:kern w:val="16"/>
                <w:sz w:val="24"/>
                <w:highlight w:val="none"/>
              </w:rPr>
              <w:t>另外，据重庆市电力公司统计显示，重庆市变电站全年运行SF6气体泄漏事件不超过1%（概率2.7×10</w:t>
            </w:r>
            <w:r>
              <w:rPr>
                <w:rFonts w:hint="default" w:ascii="Times New Roman" w:hAnsi="Times New Roman" w:eastAsia="宋体" w:cs="Times New Roman"/>
                <w:color w:val="auto"/>
                <w:kern w:val="16"/>
                <w:sz w:val="24"/>
                <w:highlight w:val="none"/>
                <w:vertAlign w:val="superscript"/>
              </w:rPr>
              <w:t>-7</w:t>
            </w:r>
            <w:r>
              <w:rPr>
                <w:rFonts w:hint="default" w:ascii="Times New Roman" w:hAnsi="Times New Roman" w:eastAsia="宋体" w:cs="Times New Roman"/>
                <w:color w:val="auto"/>
                <w:kern w:val="16"/>
                <w:sz w:val="24"/>
                <w:highlight w:val="none"/>
              </w:rPr>
              <w:t>），从建设运行至今从未发生过大量SF6气体泄漏事故，因此，在变电站装设一套六氟化硫气体泄漏监控报警系统是可行的，报警信号接入变电站监控系统，主控室收到报警后立即断开开关，在短时间内SF6气体的电弧分解物产生量很少，环境可以接受。</w:t>
            </w:r>
          </w:p>
          <w:p>
            <w:pPr>
              <w:tabs>
                <w:tab w:val="left" w:pos="720"/>
              </w:tabs>
              <w:adjustRightInd w:val="0"/>
              <w:snapToGrid w:val="0"/>
              <w:spacing w:line="360" w:lineRule="auto"/>
              <w:ind w:firstLine="482" w:firstLineChars="200"/>
              <w:rPr>
                <w:b/>
                <w:color w:val="auto"/>
                <w:kern w:val="16"/>
                <w:sz w:val="24"/>
                <w:highlight w:val="none"/>
              </w:rPr>
            </w:pPr>
            <w:r>
              <w:rPr>
                <w:b/>
                <w:color w:val="auto"/>
                <w:kern w:val="16"/>
                <w:sz w:val="24"/>
                <w:highlight w:val="none"/>
              </w:rPr>
              <w:t>（</w:t>
            </w:r>
            <w:r>
              <w:rPr>
                <w:rFonts w:hint="eastAsia"/>
                <w:b/>
                <w:color w:val="auto"/>
                <w:kern w:val="16"/>
                <w:sz w:val="24"/>
                <w:highlight w:val="none"/>
                <w:lang w:val="en-US" w:eastAsia="zh-CN"/>
              </w:rPr>
              <w:t>5</w:t>
            </w:r>
            <w:r>
              <w:rPr>
                <w:b/>
                <w:color w:val="auto"/>
                <w:kern w:val="16"/>
                <w:sz w:val="24"/>
                <w:highlight w:val="none"/>
              </w:rPr>
              <w:t>）</w:t>
            </w:r>
            <w:r>
              <w:rPr>
                <w:rFonts w:hint="eastAsia"/>
                <w:b/>
                <w:color w:val="auto"/>
                <w:kern w:val="16"/>
                <w:sz w:val="24"/>
                <w:highlight w:val="none"/>
              </w:rPr>
              <w:t>环境</w:t>
            </w:r>
            <w:r>
              <w:rPr>
                <w:b/>
                <w:color w:val="auto"/>
                <w:kern w:val="16"/>
                <w:sz w:val="24"/>
                <w:highlight w:val="none"/>
              </w:rPr>
              <w:t>风险防范措施</w:t>
            </w:r>
          </w:p>
          <w:p>
            <w:pPr>
              <w:tabs>
                <w:tab w:val="left" w:pos="720"/>
              </w:tabs>
              <w:adjustRightInd w:val="0"/>
              <w:snapToGrid w:val="0"/>
              <w:spacing w:line="360" w:lineRule="auto"/>
              <w:ind w:firstLine="480" w:firstLineChars="200"/>
              <w:rPr>
                <w:color w:val="auto"/>
                <w:kern w:val="16"/>
                <w:sz w:val="24"/>
                <w:highlight w:val="none"/>
              </w:rPr>
            </w:pPr>
            <w:r>
              <w:rPr>
                <w:rFonts w:hint="eastAsia"/>
                <w:color w:val="auto"/>
                <w:kern w:val="16"/>
                <w:sz w:val="24"/>
                <w:highlight w:val="none"/>
              </w:rPr>
              <w:t>建设单位应加强防范并做好应急预案，通过采用定期检测变压器油色谱情况，早期发现变压器内部故障，实现安全生产；定期对事故油池进行检查，预防破损；主变发生火灾等事故时，为避免消防水随雨沟排出，优先使用主变旁边已配置的消防沙及消防灭火器进行灭火，如火势无法控制，使用主变配置的消防系统喷淋消防水进行灭火，其消防水通过集油坑进入事故油池。</w:t>
            </w:r>
            <w:r>
              <w:rPr>
                <w:bCs/>
                <w:color w:val="auto"/>
                <w:kern w:val="16"/>
                <w:sz w:val="24"/>
                <w:highlight w:val="none"/>
              </w:rPr>
              <w:t>本项目2台主变配置消防喷淋系统，其相应集油坑内铺设碎石，并在主变西侧设置2个消防水池，可满足消防灭火要求。</w:t>
            </w:r>
            <w:r>
              <w:rPr>
                <w:color w:val="auto"/>
                <w:kern w:val="16"/>
                <w:sz w:val="24"/>
                <w:highlight w:val="none"/>
              </w:rPr>
              <w:t>当发生火灾，主变压器发生漏油，事故油和消防水一同经过集油坑进入事故油池，事故油池具备隔油功能，变压器油将进入事故油池</w:t>
            </w:r>
            <w:r>
              <w:rPr>
                <w:bCs/>
                <w:color w:val="auto"/>
                <w:kern w:val="16"/>
                <w:sz w:val="24"/>
                <w:highlight w:val="none"/>
              </w:rPr>
              <w:t>。</w:t>
            </w:r>
          </w:p>
          <w:p>
            <w:pPr>
              <w:tabs>
                <w:tab w:val="left" w:pos="720"/>
              </w:tabs>
              <w:adjustRightInd w:val="0"/>
              <w:snapToGrid w:val="0"/>
              <w:spacing w:line="360" w:lineRule="auto"/>
              <w:ind w:firstLine="482" w:firstLineChars="200"/>
              <w:rPr>
                <w:b/>
                <w:color w:val="auto"/>
                <w:kern w:val="16"/>
                <w:sz w:val="24"/>
                <w:highlight w:val="none"/>
              </w:rPr>
            </w:pPr>
            <w:r>
              <w:rPr>
                <w:b/>
                <w:color w:val="auto"/>
                <w:kern w:val="16"/>
                <w:sz w:val="24"/>
                <w:highlight w:val="none"/>
              </w:rPr>
              <w:t>（</w:t>
            </w:r>
            <w:r>
              <w:rPr>
                <w:rFonts w:hint="eastAsia"/>
                <w:b/>
                <w:color w:val="auto"/>
                <w:kern w:val="16"/>
                <w:sz w:val="24"/>
                <w:highlight w:val="none"/>
                <w:lang w:val="en-US" w:eastAsia="zh-CN"/>
              </w:rPr>
              <w:t>6</w:t>
            </w:r>
            <w:r>
              <w:rPr>
                <w:b/>
                <w:color w:val="auto"/>
                <w:kern w:val="16"/>
                <w:sz w:val="24"/>
                <w:highlight w:val="none"/>
              </w:rPr>
              <w:t>）应急预案</w:t>
            </w:r>
          </w:p>
          <w:p>
            <w:pPr>
              <w:tabs>
                <w:tab w:val="left" w:pos="720"/>
              </w:tabs>
              <w:adjustRightInd w:val="0"/>
              <w:snapToGrid w:val="0"/>
              <w:spacing w:line="360" w:lineRule="auto"/>
              <w:ind w:firstLine="480" w:firstLineChars="200"/>
              <w:rPr>
                <w:color w:val="auto"/>
                <w:kern w:val="16"/>
                <w:sz w:val="24"/>
                <w:highlight w:val="none"/>
              </w:rPr>
            </w:pPr>
            <w:r>
              <w:rPr>
                <w:color w:val="auto"/>
                <w:kern w:val="16"/>
                <w:sz w:val="24"/>
                <w:highlight w:val="none"/>
              </w:rPr>
              <w:t>应急救援预案的指导思想：体现以人为本，真正将“安全第一，预防为主”方针落到实处。一旦发生危害环境的事故，能以最快的速度、最大的效能，有序地实施救援，最大限度减少人员伤亡和财产损失，把事故危害降到最低点，维护项目所在区域群众的生活安全和稳定。</w:t>
            </w:r>
          </w:p>
          <w:p>
            <w:pPr>
              <w:tabs>
                <w:tab w:val="left" w:pos="720"/>
              </w:tabs>
              <w:adjustRightInd w:val="0"/>
              <w:snapToGrid w:val="0"/>
              <w:spacing w:line="360" w:lineRule="auto"/>
              <w:ind w:firstLine="480" w:firstLineChars="200"/>
              <w:rPr>
                <w:color w:val="auto"/>
                <w:kern w:val="16"/>
                <w:sz w:val="24"/>
                <w:highlight w:val="none"/>
              </w:rPr>
            </w:pPr>
            <w:r>
              <w:rPr>
                <w:color w:val="auto"/>
                <w:kern w:val="16"/>
                <w:sz w:val="24"/>
                <w:highlight w:val="none"/>
              </w:rPr>
              <w:t>风险事故应急救援原则：快速反应、统一指挥、分级负责和社会救援相结合。</w:t>
            </w:r>
          </w:p>
          <w:p>
            <w:pPr>
              <w:tabs>
                <w:tab w:val="left" w:pos="720"/>
              </w:tabs>
              <w:adjustRightInd w:val="0"/>
              <w:snapToGrid w:val="0"/>
              <w:spacing w:line="360" w:lineRule="auto"/>
              <w:ind w:firstLine="480" w:firstLineChars="200"/>
              <w:rPr>
                <w:color w:val="auto"/>
                <w:kern w:val="16"/>
                <w:sz w:val="24"/>
                <w:highlight w:val="none"/>
              </w:rPr>
            </w:pPr>
            <w:r>
              <w:rPr>
                <w:rFonts w:hint="eastAsia"/>
                <w:color w:val="auto"/>
                <w:kern w:val="16"/>
                <w:sz w:val="24"/>
                <w:highlight w:val="none"/>
              </w:rPr>
              <w:t>由</w:t>
            </w:r>
            <w:r>
              <w:rPr>
                <w:rFonts w:hint="eastAsia"/>
                <w:bCs/>
                <w:color w:val="auto"/>
                <w:kern w:val="16"/>
                <w:sz w:val="24"/>
                <w:highlight w:val="none"/>
                <w:lang w:eastAsia="zh-CN"/>
              </w:rPr>
              <w:t>国网重庆市电力公司铜梁供电分公司</w:t>
            </w:r>
            <w:r>
              <w:rPr>
                <w:rFonts w:hint="eastAsia"/>
                <w:color w:val="auto"/>
                <w:kern w:val="16"/>
                <w:sz w:val="24"/>
                <w:highlight w:val="none"/>
              </w:rPr>
              <w:t>单位成立突发公共事件应急领导小组，全面负责杜绝危险事故发生的管理工作。</w:t>
            </w:r>
          </w:p>
          <w:p>
            <w:pPr>
              <w:tabs>
                <w:tab w:val="left" w:pos="720"/>
              </w:tabs>
              <w:adjustRightInd w:val="0"/>
              <w:snapToGrid w:val="0"/>
              <w:spacing w:line="360" w:lineRule="auto"/>
              <w:ind w:firstLine="480" w:firstLineChars="200"/>
              <w:rPr>
                <w:color w:val="auto"/>
                <w:highlight w:val="yellow"/>
              </w:rPr>
            </w:pPr>
            <w:r>
              <w:rPr>
                <w:rFonts w:hint="eastAsia"/>
                <w:color w:val="auto"/>
                <w:kern w:val="16"/>
                <w:sz w:val="24"/>
                <w:highlight w:val="none"/>
              </w:rPr>
              <w:t>如有事故发生时，由应急领导小组负责人根据现场情况，判断预警级别，发布启动预警命令。预案启动后，应急领导小组的所有成员立即进入工作岗位，各项抢险设施、物质必须立即进入待命状态。事件处置完毕后，也应当由应急领导小组负责人发布终止命令。基层单位接到报告后，在应急预案启动前，依据事件的严重性、紧急性、可控性，必须立即进行人员救助及其他必要措施，防止事故向附近蔓延和扩大，必要时可以直接指挥应急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65" w:hRule="atLeast"/>
          <w:jc w:val="center"/>
        </w:trPr>
        <w:tc>
          <w:tcPr>
            <w:tcW w:w="206" w:type="pct"/>
            <w:vAlign w:val="center"/>
          </w:tcPr>
          <w:p>
            <w:pPr>
              <w:pStyle w:val="25"/>
              <w:adjustRightInd w:val="0"/>
              <w:snapToGrid w:val="0"/>
              <w:spacing w:before="0" w:beforeAutospacing="0" w:after="0" w:afterAutospacing="0"/>
              <w:jc w:val="center"/>
              <w:rPr>
                <w:rFonts w:ascii="Times New Roman" w:hAnsi="Times New Roman" w:cs="宋体"/>
                <w:bCs/>
                <w:color w:val="auto"/>
                <w:kern w:val="2"/>
                <w:szCs w:val="24"/>
                <w:highlight w:val="yellow"/>
              </w:rPr>
            </w:pPr>
            <w:r>
              <w:rPr>
                <w:rFonts w:hint="eastAsia" w:ascii="Times New Roman" w:hAnsi="Times New Roman" w:cs="宋体"/>
                <w:bCs/>
                <w:color w:val="auto"/>
                <w:kern w:val="2"/>
                <w:szCs w:val="24"/>
                <w:highlight w:val="none"/>
              </w:rPr>
              <w:t>选址选线环境合理性分析</w:t>
            </w:r>
          </w:p>
        </w:tc>
        <w:tc>
          <w:tcPr>
            <w:tcW w:w="4793" w:type="pct"/>
          </w:tcPr>
          <w:p>
            <w:pPr>
              <w:adjustRightInd w:val="0"/>
              <w:snapToGrid w:val="0"/>
              <w:spacing w:line="360" w:lineRule="auto"/>
              <w:rPr>
                <w:b/>
                <w:bCs/>
                <w:color w:val="auto"/>
                <w:sz w:val="24"/>
                <w:highlight w:val="none"/>
              </w:rPr>
            </w:pPr>
            <w:r>
              <w:rPr>
                <w:rFonts w:hint="eastAsia"/>
                <w:b/>
                <w:bCs/>
                <w:color w:val="auto"/>
                <w:sz w:val="24"/>
                <w:highlight w:val="none"/>
              </w:rPr>
              <w:t>4</w:t>
            </w:r>
            <w:r>
              <w:rPr>
                <w:b/>
                <w:bCs/>
                <w:color w:val="auto"/>
                <w:sz w:val="24"/>
                <w:highlight w:val="none"/>
              </w:rPr>
              <w:t xml:space="preserve">.14 </w:t>
            </w:r>
            <w:r>
              <w:rPr>
                <w:rFonts w:hint="eastAsia"/>
                <w:b/>
                <w:bCs/>
                <w:color w:val="auto"/>
                <w:sz w:val="24"/>
                <w:highlight w:val="none"/>
              </w:rPr>
              <w:t>选址与《输变电建设项目环境保护技术要求》符合性分析</w:t>
            </w:r>
          </w:p>
          <w:p>
            <w:pPr>
              <w:pStyle w:val="72"/>
              <w:topLinePunct/>
              <w:snapToGrid w:val="0"/>
              <w:spacing w:line="360" w:lineRule="auto"/>
              <w:ind w:firstLine="480"/>
              <w:rPr>
                <w:color w:val="auto"/>
                <w:sz w:val="24"/>
                <w:szCs w:val="24"/>
                <w:highlight w:val="none"/>
              </w:rPr>
            </w:pPr>
            <w:r>
              <w:rPr>
                <w:rFonts w:hint="eastAsia"/>
                <w:color w:val="auto"/>
                <w:sz w:val="24"/>
                <w:szCs w:val="24"/>
                <w:highlight w:val="none"/>
              </w:rPr>
              <w:t>《输变电建设项目环境保护技术要求》（HJ1113-2020）从选址方面提出了相关要求，本项目与其符合性分析见下表</w:t>
            </w:r>
            <w:r>
              <w:rPr>
                <w:color w:val="auto"/>
                <w:sz w:val="24"/>
                <w:szCs w:val="24"/>
                <w:highlight w:val="none"/>
              </w:rPr>
              <w:t>4-1</w:t>
            </w:r>
            <w:r>
              <w:rPr>
                <w:rFonts w:hint="eastAsia"/>
                <w:color w:val="auto"/>
                <w:sz w:val="24"/>
                <w:szCs w:val="24"/>
                <w:highlight w:val="none"/>
                <w:lang w:val="en-US" w:eastAsia="zh-CN"/>
              </w:rPr>
              <w:t>5</w:t>
            </w:r>
            <w:r>
              <w:rPr>
                <w:rFonts w:hint="eastAsia"/>
                <w:color w:val="auto"/>
                <w:sz w:val="24"/>
                <w:szCs w:val="24"/>
                <w:highlight w:val="none"/>
              </w:rPr>
              <w:t>。</w:t>
            </w:r>
          </w:p>
          <w:p>
            <w:pPr>
              <w:adjustRightInd w:val="0"/>
              <w:snapToGrid w:val="0"/>
              <w:jc w:val="center"/>
              <w:rPr>
                <w:rFonts w:hint="eastAsia"/>
                <w:b/>
                <w:bCs/>
                <w:color w:val="auto"/>
                <w:sz w:val="24"/>
                <w:highlight w:val="none"/>
              </w:rPr>
            </w:pPr>
            <w:r>
              <w:rPr>
                <w:rFonts w:hint="eastAsia"/>
                <w:b/>
                <w:bCs/>
                <w:color w:val="auto"/>
                <w:sz w:val="24"/>
                <w:highlight w:val="none"/>
              </w:rPr>
              <w:t>表</w:t>
            </w:r>
            <w:r>
              <w:rPr>
                <w:b/>
                <w:bCs/>
                <w:color w:val="auto"/>
                <w:sz w:val="24"/>
                <w:highlight w:val="none"/>
              </w:rPr>
              <w:t>4-1</w:t>
            </w:r>
            <w:r>
              <w:rPr>
                <w:rFonts w:hint="eastAsia"/>
                <w:b/>
                <w:bCs/>
                <w:color w:val="auto"/>
                <w:sz w:val="24"/>
                <w:highlight w:val="none"/>
                <w:lang w:val="en-US" w:eastAsia="zh-CN"/>
              </w:rPr>
              <w:t>5</w:t>
            </w:r>
            <w:r>
              <w:rPr>
                <w:rFonts w:hint="eastAsia"/>
                <w:b/>
                <w:bCs/>
                <w:color w:val="auto"/>
                <w:sz w:val="24"/>
                <w:highlight w:val="none"/>
              </w:rPr>
              <w:t xml:space="preserve"> 本项目与HJ1113-2020符合性分析</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3333"/>
              <w:gridCol w:w="2669"/>
              <w:gridCol w:w="7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2" w:hRule="atLeast"/>
              </w:trPr>
              <w:tc>
                <w:tcPr>
                  <w:tcW w:w="630" w:type="pct"/>
                  <w:noWrap w:val="0"/>
                  <w:vAlign w:val="center"/>
                </w:tcPr>
                <w:p>
                  <w:pPr>
                    <w:tabs>
                      <w:tab w:val="left" w:pos="4"/>
                    </w:tabs>
                    <w:adjustRightInd w:val="0"/>
                    <w:jc w:val="center"/>
                    <w:rPr>
                      <w:color w:val="auto"/>
                      <w:szCs w:val="21"/>
                    </w:rPr>
                  </w:pPr>
                  <w:r>
                    <w:rPr>
                      <w:color w:val="auto"/>
                      <w:szCs w:val="21"/>
                    </w:rPr>
                    <w:t>类型</w:t>
                  </w:r>
                </w:p>
              </w:tc>
              <w:tc>
                <w:tcPr>
                  <w:tcW w:w="2142" w:type="pct"/>
                  <w:noWrap w:val="0"/>
                  <w:vAlign w:val="center"/>
                </w:tcPr>
                <w:p>
                  <w:pPr>
                    <w:tabs>
                      <w:tab w:val="left" w:pos="4"/>
                    </w:tabs>
                    <w:adjustRightInd w:val="0"/>
                    <w:jc w:val="center"/>
                    <w:rPr>
                      <w:color w:val="auto"/>
                      <w:szCs w:val="21"/>
                    </w:rPr>
                  </w:pPr>
                  <w:r>
                    <w:rPr>
                      <w:color w:val="auto"/>
                      <w:szCs w:val="21"/>
                    </w:rPr>
                    <w:t>要求</w:t>
                  </w:r>
                </w:p>
              </w:tc>
              <w:tc>
                <w:tcPr>
                  <w:tcW w:w="1715" w:type="pct"/>
                  <w:noWrap w:val="0"/>
                  <w:vAlign w:val="center"/>
                </w:tcPr>
                <w:p>
                  <w:pPr>
                    <w:tabs>
                      <w:tab w:val="left" w:pos="4"/>
                    </w:tabs>
                    <w:adjustRightInd w:val="0"/>
                    <w:jc w:val="center"/>
                    <w:rPr>
                      <w:color w:val="auto"/>
                      <w:szCs w:val="21"/>
                    </w:rPr>
                  </w:pPr>
                  <w:r>
                    <w:rPr>
                      <w:color w:val="auto"/>
                      <w:szCs w:val="21"/>
                    </w:rPr>
                    <w:t>本项目情况</w:t>
                  </w:r>
                </w:p>
              </w:tc>
              <w:tc>
                <w:tcPr>
                  <w:tcW w:w="511" w:type="pct"/>
                  <w:noWrap w:val="0"/>
                  <w:vAlign w:val="center"/>
                </w:tcPr>
                <w:p>
                  <w:pPr>
                    <w:tabs>
                      <w:tab w:val="left" w:pos="4"/>
                    </w:tabs>
                    <w:adjustRightInd w:val="0"/>
                    <w:jc w:val="center"/>
                    <w:rPr>
                      <w:color w:val="auto"/>
                      <w:szCs w:val="21"/>
                    </w:rPr>
                  </w:pPr>
                  <w:r>
                    <w:rPr>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30" w:type="pct"/>
                  <w:vMerge w:val="restart"/>
                  <w:noWrap w:val="0"/>
                  <w:vAlign w:val="center"/>
                </w:tcPr>
                <w:p>
                  <w:pPr>
                    <w:tabs>
                      <w:tab w:val="left" w:pos="4"/>
                    </w:tabs>
                    <w:adjustRightInd w:val="0"/>
                    <w:jc w:val="center"/>
                    <w:rPr>
                      <w:b/>
                      <w:bCs/>
                      <w:color w:val="auto"/>
                      <w:szCs w:val="21"/>
                    </w:rPr>
                  </w:pPr>
                  <w:r>
                    <w:rPr>
                      <w:color w:val="auto"/>
                      <w:szCs w:val="21"/>
                    </w:rPr>
                    <w:t>选址选线</w:t>
                  </w:r>
                </w:p>
              </w:tc>
              <w:tc>
                <w:tcPr>
                  <w:tcW w:w="2142" w:type="pct"/>
                  <w:noWrap w:val="0"/>
                  <w:vAlign w:val="center"/>
                </w:tcPr>
                <w:p>
                  <w:pPr>
                    <w:tabs>
                      <w:tab w:val="left" w:pos="4"/>
                    </w:tabs>
                    <w:adjustRightInd w:val="0"/>
                    <w:jc w:val="center"/>
                    <w:rPr>
                      <w:color w:val="auto"/>
                      <w:szCs w:val="21"/>
                    </w:rPr>
                  </w:pPr>
                  <w:r>
                    <w:rPr>
                      <w:color w:val="auto"/>
                      <w:kern w:val="0"/>
                      <w:szCs w:val="21"/>
                    </w:rPr>
                    <w:t>工程选址选线应符合规划环境影响评价文件的要求。</w:t>
                  </w:r>
                </w:p>
              </w:tc>
              <w:tc>
                <w:tcPr>
                  <w:tcW w:w="1715" w:type="pct"/>
                  <w:noWrap w:val="0"/>
                  <w:vAlign w:val="center"/>
                </w:tcPr>
                <w:p>
                  <w:pPr>
                    <w:tabs>
                      <w:tab w:val="left" w:pos="4"/>
                    </w:tabs>
                    <w:adjustRightInd w:val="0"/>
                    <w:jc w:val="center"/>
                    <w:rPr>
                      <w:color w:val="auto"/>
                      <w:szCs w:val="21"/>
                    </w:rPr>
                  </w:pPr>
                  <w:r>
                    <w:rPr>
                      <w:color w:val="auto"/>
                      <w:kern w:val="0"/>
                      <w:szCs w:val="21"/>
                      <w:lang w:bidi="en-US"/>
                    </w:rPr>
                    <w:t>拟建项目选线符合规划环评的要求</w:t>
                  </w:r>
                  <w:r>
                    <w:rPr>
                      <w:rFonts w:hint="eastAsia"/>
                      <w:color w:val="auto"/>
                      <w:kern w:val="0"/>
                      <w:szCs w:val="21"/>
                      <w:lang w:eastAsia="zh-CN" w:bidi="en-US"/>
                    </w:rPr>
                    <w:t>，已取得了选址意见书和路径协议。</w:t>
                  </w:r>
                </w:p>
              </w:tc>
              <w:tc>
                <w:tcPr>
                  <w:tcW w:w="511" w:type="pct"/>
                  <w:noWrap w:val="0"/>
                  <w:vAlign w:val="center"/>
                </w:tcPr>
                <w:p>
                  <w:pPr>
                    <w:tabs>
                      <w:tab w:val="left" w:pos="4"/>
                    </w:tabs>
                    <w:adjustRightIn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62" w:hRule="atLeast"/>
              </w:trPr>
              <w:tc>
                <w:tcPr>
                  <w:tcW w:w="630" w:type="pct"/>
                  <w:vMerge w:val="continue"/>
                  <w:noWrap w:val="0"/>
                  <w:vAlign w:val="center"/>
                </w:tcPr>
                <w:p>
                  <w:pPr>
                    <w:tabs>
                      <w:tab w:val="left" w:pos="4"/>
                    </w:tabs>
                    <w:adjustRightInd w:val="0"/>
                    <w:jc w:val="center"/>
                    <w:rPr>
                      <w:b/>
                      <w:bCs/>
                      <w:color w:val="auto"/>
                      <w:szCs w:val="21"/>
                    </w:rPr>
                  </w:pPr>
                </w:p>
              </w:tc>
              <w:tc>
                <w:tcPr>
                  <w:tcW w:w="2142" w:type="pct"/>
                  <w:noWrap w:val="0"/>
                  <w:vAlign w:val="center"/>
                </w:tcPr>
                <w:p>
                  <w:pPr>
                    <w:tabs>
                      <w:tab w:val="left" w:pos="4"/>
                    </w:tabs>
                    <w:adjustRightInd w:val="0"/>
                    <w:jc w:val="center"/>
                    <w:rPr>
                      <w:color w:val="auto"/>
                      <w:szCs w:val="21"/>
                    </w:rPr>
                  </w:pPr>
                  <w:r>
                    <w:rPr>
                      <w:color w:val="auto"/>
                      <w:szCs w:val="21"/>
                    </w:rPr>
                    <w:t>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p>
              </w:tc>
              <w:tc>
                <w:tcPr>
                  <w:tcW w:w="1715" w:type="pct"/>
                  <w:noWrap w:val="0"/>
                  <w:vAlign w:val="center"/>
                </w:tcPr>
                <w:p>
                  <w:pPr>
                    <w:tabs>
                      <w:tab w:val="left" w:pos="4"/>
                    </w:tabs>
                    <w:adjustRightInd w:val="0"/>
                    <w:jc w:val="center"/>
                    <w:rPr>
                      <w:color w:val="auto"/>
                      <w:szCs w:val="21"/>
                    </w:rPr>
                  </w:pPr>
                  <w:r>
                    <w:rPr>
                      <w:color w:val="auto"/>
                      <w:szCs w:val="21"/>
                    </w:rPr>
                    <w:t>本项目不涉及自然保护区、饮用水水源保护区等环境敏感区。</w:t>
                  </w:r>
                </w:p>
              </w:tc>
              <w:tc>
                <w:tcPr>
                  <w:tcW w:w="511" w:type="pct"/>
                  <w:noWrap w:val="0"/>
                  <w:vAlign w:val="center"/>
                </w:tcPr>
                <w:p>
                  <w:pPr>
                    <w:tabs>
                      <w:tab w:val="left" w:pos="4"/>
                    </w:tabs>
                    <w:adjustRightIn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630" w:type="pct"/>
                  <w:vMerge w:val="continue"/>
                  <w:noWrap w:val="0"/>
                  <w:vAlign w:val="center"/>
                </w:tcPr>
                <w:p>
                  <w:pPr>
                    <w:tabs>
                      <w:tab w:val="left" w:pos="4"/>
                    </w:tabs>
                    <w:adjustRightInd w:val="0"/>
                    <w:jc w:val="center"/>
                    <w:rPr>
                      <w:b/>
                      <w:bCs/>
                      <w:color w:val="auto"/>
                      <w:szCs w:val="21"/>
                    </w:rPr>
                  </w:pPr>
                </w:p>
              </w:tc>
              <w:tc>
                <w:tcPr>
                  <w:tcW w:w="2142" w:type="pct"/>
                  <w:noWrap w:val="0"/>
                  <w:vAlign w:val="center"/>
                </w:tcPr>
                <w:p>
                  <w:pPr>
                    <w:tabs>
                      <w:tab w:val="left" w:pos="4"/>
                    </w:tabs>
                    <w:adjustRightInd w:val="0"/>
                    <w:jc w:val="center"/>
                    <w:rPr>
                      <w:color w:val="auto"/>
                      <w:szCs w:val="21"/>
                    </w:rPr>
                  </w:pPr>
                  <w:r>
                    <w:rPr>
                      <w:color w:val="auto"/>
                      <w:szCs w:val="21"/>
                    </w:rPr>
                    <w:t>变电工程在选址时应按终期规模综合考虑进出线走廊规划，避免进出线进入自然保护区、饮用水水源保护区等环境敏感区。</w:t>
                  </w:r>
                </w:p>
              </w:tc>
              <w:tc>
                <w:tcPr>
                  <w:tcW w:w="1715" w:type="pct"/>
                  <w:noWrap w:val="0"/>
                  <w:vAlign w:val="center"/>
                </w:tcPr>
                <w:p>
                  <w:pPr>
                    <w:tabs>
                      <w:tab w:val="left" w:pos="4"/>
                    </w:tabs>
                    <w:adjustRightInd w:val="0"/>
                    <w:jc w:val="center"/>
                    <w:rPr>
                      <w:color w:val="auto"/>
                      <w:szCs w:val="21"/>
                    </w:rPr>
                  </w:pPr>
                  <w:r>
                    <w:rPr>
                      <w:color w:val="auto"/>
                      <w:szCs w:val="21"/>
                    </w:rPr>
                    <w:t>本项目变电工程选址时按终期规模综合考虑了进出线走廊规划，其进出线未进入自然保护区、饮用水水源保护区等环境敏感区。</w:t>
                  </w:r>
                </w:p>
              </w:tc>
              <w:tc>
                <w:tcPr>
                  <w:tcW w:w="511" w:type="pct"/>
                  <w:noWrap w:val="0"/>
                  <w:vAlign w:val="center"/>
                </w:tcPr>
                <w:p>
                  <w:pPr>
                    <w:tabs>
                      <w:tab w:val="left" w:pos="4"/>
                    </w:tabs>
                    <w:adjustRightIn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630" w:type="pct"/>
                  <w:vMerge w:val="continue"/>
                  <w:noWrap w:val="0"/>
                  <w:vAlign w:val="center"/>
                </w:tcPr>
                <w:p>
                  <w:pPr>
                    <w:tabs>
                      <w:tab w:val="left" w:pos="4"/>
                    </w:tabs>
                    <w:adjustRightInd w:val="0"/>
                    <w:jc w:val="center"/>
                    <w:rPr>
                      <w:b/>
                      <w:bCs/>
                      <w:color w:val="auto"/>
                      <w:szCs w:val="21"/>
                    </w:rPr>
                  </w:pPr>
                </w:p>
              </w:tc>
              <w:tc>
                <w:tcPr>
                  <w:tcW w:w="2142" w:type="pct"/>
                  <w:noWrap w:val="0"/>
                  <w:vAlign w:val="center"/>
                </w:tcPr>
                <w:p>
                  <w:pPr>
                    <w:tabs>
                      <w:tab w:val="left" w:pos="4"/>
                    </w:tabs>
                    <w:adjustRightInd w:val="0"/>
                    <w:jc w:val="center"/>
                    <w:rPr>
                      <w:color w:val="auto"/>
                      <w:szCs w:val="21"/>
                    </w:rPr>
                  </w:pPr>
                  <w:r>
                    <w:rPr>
                      <w:color w:val="auto"/>
                      <w:szCs w:val="21"/>
                    </w:rPr>
                    <w:t>户外变电工程及规划架空进出线选址选线时，应关注以居住、医疗卫生、文化教育、科研、行政办公等为主要功能的区域，采取综合措施，减少电磁和声环境影响。</w:t>
                  </w:r>
                </w:p>
              </w:tc>
              <w:tc>
                <w:tcPr>
                  <w:tcW w:w="1715" w:type="pct"/>
                  <w:noWrap w:val="0"/>
                  <w:vAlign w:val="center"/>
                </w:tcPr>
                <w:p>
                  <w:pPr>
                    <w:tabs>
                      <w:tab w:val="left" w:pos="4"/>
                    </w:tabs>
                    <w:adjustRightInd w:val="0"/>
                    <w:jc w:val="center"/>
                    <w:rPr>
                      <w:color w:val="auto"/>
                      <w:szCs w:val="21"/>
                    </w:rPr>
                  </w:pPr>
                  <w:r>
                    <w:rPr>
                      <w:color w:val="auto"/>
                      <w:szCs w:val="21"/>
                    </w:rPr>
                    <w:t>本项目户外变电站及架空线路主要位于</w:t>
                  </w:r>
                  <w:r>
                    <w:rPr>
                      <w:rFonts w:hint="eastAsia"/>
                      <w:color w:val="auto"/>
                      <w:szCs w:val="21"/>
                      <w:lang w:eastAsia="zh-CN"/>
                    </w:rPr>
                    <w:t>规划园区和</w:t>
                  </w:r>
                  <w:r>
                    <w:rPr>
                      <w:color w:val="auto"/>
                      <w:szCs w:val="21"/>
                    </w:rPr>
                    <w:t>乡村地区，均避开了以居住、医疗卫生、文化教育、科研、行政办公等为主要功能的区域，变电站选择先进设备，减少了电磁和声环境影响。</w:t>
                  </w:r>
                </w:p>
              </w:tc>
              <w:tc>
                <w:tcPr>
                  <w:tcW w:w="511" w:type="pct"/>
                  <w:noWrap w:val="0"/>
                  <w:vAlign w:val="center"/>
                </w:tcPr>
                <w:p>
                  <w:pPr>
                    <w:tabs>
                      <w:tab w:val="left" w:pos="4"/>
                    </w:tabs>
                    <w:adjustRightIn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630" w:type="pct"/>
                  <w:vMerge w:val="continue"/>
                  <w:noWrap w:val="0"/>
                  <w:vAlign w:val="center"/>
                </w:tcPr>
                <w:p>
                  <w:pPr>
                    <w:tabs>
                      <w:tab w:val="left" w:pos="4"/>
                    </w:tabs>
                    <w:adjustRightInd w:val="0"/>
                    <w:jc w:val="center"/>
                    <w:rPr>
                      <w:b/>
                      <w:bCs/>
                      <w:color w:val="auto"/>
                      <w:szCs w:val="21"/>
                    </w:rPr>
                  </w:pPr>
                </w:p>
              </w:tc>
              <w:tc>
                <w:tcPr>
                  <w:tcW w:w="2142" w:type="pct"/>
                  <w:noWrap w:val="0"/>
                  <w:vAlign w:val="center"/>
                </w:tcPr>
                <w:p>
                  <w:pPr>
                    <w:tabs>
                      <w:tab w:val="left" w:pos="4"/>
                    </w:tabs>
                    <w:adjustRightInd w:val="0"/>
                    <w:jc w:val="center"/>
                    <w:rPr>
                      <w:color w:val="auto"/>
                      <w:szCs w:val="21"/>
                    </w:rPr>
                  </w:pPr>
                  <w:r>
                    <w:rPr>
                      <w:color w:val="auto"/>
                      <w:szCs w:val="21"/>
                    </w:rPr>
                    <w:t>原则上避免在0类声环境功能区建设变电工程。</w:t>
                  </w:r>
                </w:p>
              </w:tc>
              <w:tc>
                <w:tcPr>
                  <w:tcW w:w="1715" w:type="pct"/>
                  <w:noWrap w:val="0"/>
                  <w:vAlign w:val="center"/>
                </w:tcPr>
                <w:p>
                  <w:pPr>
                    <w:tabs>
                      <w:tab w:val="left" w:pos="4"/>
                    </w:tabs>
                    <w:adjustRightInd w:val="0"/>
                    <w:jc w:val="center"/>
                    <w:rPr>
                      <w:color w:val="auto"/>
                      <w:szCs w:val="21"/>
                    </w:rPr>
                  </w:pPr>
                  <w:r>
                    <w:rPr>
                      <w:color w:val="auto"/>
                      <w:szCs w:val="21"/>
                    </w:rPr>
                    <w:t>本项目所在区域不属于0类声环境功能区。</w:t>
                  </w:r>
                </w:p>
              </w:tc>
              <w:tc>
                <w:tcPr>
                  <w:tcW w:w="511" w:type="pct"/>
                  <w:noWrap w:val="0"/>
                  <w:vAlign w:val="center"/>
                </w:tcPr>
                <w:p>
                  <w:pPr>
                    <w:tabs>
                      <w:tab w:val="left" w:pos="4"/>
                    </w:tabs>
                    <w:adjustRightIn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630" w:type="pct"/>
                  <w:vMerge w:val="continue"/>
                  <w:noWrap w:val="0"/>
                  <w:vAlign w:val="center"/>
                </w:tcPr>
                <w:p>
                  <w:pPr>
                    <w:tabs>
                      <w:tab w:val="left" w:pos="4"/>
                    </w:tabs>
                    <w:adjustRightInd w:val="0"/>
                    <w:jc w:val="center"/>
                    <w:rPr>
                      <w:b/>
                      <w:bCs/>
                      <w:color w:val="auto"/>
                      <w:szCs w:val="21"/>
                    </w:rPr>
                  </w:pPr>
                </w:p>
              </w:tc>
              <w:tc>
                <w:tcPr>
                  <w:tcW w:w="2142" w:type="pct"/>
                  <w:noWrap w:val="0"/>
                  <w:vAlign w:val="center"/>
                </w:tcPr>
                <w:p>
                  <w:pPr>
                    <w:tabs>
                      <w:tab w:val="left" w:pos="4"/>
                    </w:tabs>
                    <w:adjustRightInd w:val="0"/>
                    <w:jc w:val="center"/>
                    <w:rPr>
                      <w:color w:val="auto"/>
                      <w:szCs w:val="21"/>
                    </w:rPr>
                  </w:pPr>
                  <w:r>
                    <w:rPr>
                      <w:color w:val="auto"/>
                      <w:szCs w:val="21"/>
                    </w:rPr>
                    <w:t>变电工程选址时，应综合考虑减少土地占用、植被砍伐和弃土弃渣等，以减少对生态环境的不利影响</w:t>
                  </w:r>
                </w:p>
              </w:tc>
              <w:tc>
                <w:tcPr>
                  <w:tcW w:w="1715" w:type="pct"/>
                  <w:noWrap w:val="0"/>
                  <w:vAlign w:val="center"/>
                </w:tcPr>
                <w:p>
                  <w:pPr>
                    <w:tabs>
                      <w:tab w:val="left" w:pos="4"/>
                    </w:tabs>
                    <w:adjustRightInd w:val="0"/>
                    <w:jc w:val="center"/>
                    <w:rPr>
                      <w:color w:val="auto"/>
                      <w:szCs w:val="21"/>
                    </w:rPr>
                  </w:pPr>
                  <w:r>
                    <w:rPr>
                      <w:color w:val="auto"/>
                      <w:szCs w:val="21"/>
                    </w:rPr>
                    <w:t>变电站</w:t>
                  </w:r>
                  <w:r>
                    <w:rPr>
                      <w:rFonts w:hint="eastAsia"/>
                      <w:color w:val="auto"/>
                      <w:szCs w:val="21"/>
                      <w:lang w:eastAsia="zh-CN"/>
                    </w:rPr>
                    <w:t>位于园区规划供电地块，</w:t>
                  </w:r>
                  <w:r>
                    <w:rPr>
                      <w:color w:val="auto"/>
                      <w:szCs w:val="21"/>
                    </w:rPr>
                    <w:t>选址时已综合考虑了占地、植被砍伐和弃土弃渣等。</w:t>
                  </w:r>
                </w:p>
              </w:tc>
              <w:tc>
                <w:tcPr>
                  <w:tcW w:w="511" w:type="pct"/>
                  <w:noWrap w:val="0"/>
                  <w:vAlign w:val="center"/>
                </w:tcPr>
                <w:p>
                  <w:pPr>
                    <w:tabs>
                      <w:tab w:val="left" w:pos="4"/>
                    </w:tabs>
                    <w:adjustRightIn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630" w:type="pct"/>
                  <w:vMerge w:val="continue"/>
                  <w:noWrap w:val="0"/>
                  <w:vAlign w:val="center"/>
                </w:tcPr>
                <w:p>
                  <w:pPr>
                    <w:tabs>
                      <w:tab w:val="left" w:pos="4"/>
                    </w:tabs>
                    <w:adjustRightInd w:val="0"/>
                    <w:jc w:val="center"/>
                    <w:rPr>
                      <w:b/>
                      <w:bCs/>
                      <w:color w:val="auto"/>
                      <w:szCs w:val="21"/>
                    </w:rPr>
                  </w:pPr>
                </w:p>
              </w:tc>
              <w:tc>
                <w:tcPr>
                  <w:tcW w:w="2142" w:type="pct"/>
                  <w:noWrap w:val="0"/>
                  <w:vAlign w:val="center"/>
                </w:tcPr>
                <w:p>
                  <w:pPr>
                    <w:tabs>
                      <w:tab w:val="left" w:pos="4"/>
                    </w:tabs>
                    <w:adjustRightInd w:val="0"/>
                    <w:jc w:val="center"/>
                    <w:rPr>
                      <w:color w:val="auto"/>
                      <w:szCs w:val="21"/>
                    </w:rPr>
                  </w:pPr>
                  <w:r>
                    <w:rPr>
                      <w:color w:val="auto"/>
                      <w:szCs w:val="21"/>
                    </w:rPr>
                    <w:t>同一走廊内的多回输电线路，宜采取同塔多回架设、并行架设等形式，减少新开辟走廊，优化线路走廊间距，降低环境影响。</w:t>
                  </w:r>
                </w:p>
              </w:tc>
              <w:tc>
                <w:tcPr>
                  <w:tcW w:w="1715" w:type="pct"/>
                  <w:noWrap w:val="0"/>
                  <w:vAlign w:val="center"/>
                </w:tcPr>
                <w:p>
                  <w:pPr>
                    <w:tabs>
                      <w:tab w:val="left" w:pos="4"/>
                    </w:tabs>
                    <w:adjustRightInd w:val="0"/>
                    <w:jc w:val="center"/>
                    <w:rPr>
                      <w:color w:val="auto"/>
                      <w:szCs w:val="21"/>
                    </w:rPr>
                  </w:pPr>
                  <w:r>
                    <w:rPr>
                      <w:color w:val="auto"/>
                      <w:szCs w:val="21"/>
                    </w:rPr>
                    <w:t>拟建线路采取</w:t>
                  </w:r>
                  <w:r>
                    <w:rPr>
                      <w:rFonts w:hint="eastAsia"/>
                      <w:color w:val="auto"/>
                      <w:szCs w:val="21"/>
                      <w:lang w:eastAsia="zh-CN"/>
                    </w:rPr>
                    <w:t>出</w:t>
                  </w:r>
                  <w:r>
                    <w:rPr>
                      <w:rFonts w:hint="eastAsia"/>
                      <w:color w:val="auto"/>
                      <w:szCs w:val="21"/>
                      <w:lang w:val="en-US" w:eastAsia="zh-CN"/>
                    </w:rPr>
                    <w:t>110kV淮阳变电站出线段采用单回架设外，其余全采取双回架设，</w:t>
                  </w:r>
                  <w:r>
                    <w:rPr>
                      <w:color w:val="auto"/>
                      <w:szCs w:val="21"/>
                    </w:rPr>
                    <w:t>降低环境影响。</w:t>
                  </w:r>
                </w:p>
              </w:tc>
              <w:tc>
                <w:tcPr>
                  <w:tcW w:w="511" w:type="pct"/>
                  <w:noWrap w:val="0"/>
                  <w:vAlign w:val="center"/>
                </w:tcPr>
                <w:p>
                  <w:pPr>
                    <w:tabs>
                      <w:tab w:val="left" w:pos="4"/>
                    </w:tabs>
                    <w:adjustRightIn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30" w:type="pct"/>
                  <w:vMerge w:val="continue"/>
                  <w:noWrap w:val="0"/>
                  <w:vAlign w:val="center"/>
                </w:tcPr>
                <w:p>
                  <w:pPr>
                    <w:tabs>
                      <w:tab w:val="left" w:pos="4"/>
                    </w:tabs>
                    <w:adjustRightInd w:val="0"/>
                    <w:jc w:val="center"/>
                    <w:rPr>
                      <w:b/>
                      <w:bCs/>
                      <w:color w:val="auto"/>
                      <w:szCs w:val="21"/>
                    </w:rPr>
                  </w:pPr>
                </w:p>
              </w:tc>
              <w:tc>
                <w:tcPr>
                  <w:tcW w:w="2142" w:type="pct"/>
                  <w:noWrap w:val="0"/>
                  <w:vAlign w:val="center"/>
                </w:tcPr>
                <w:p>
                  <w:pPr>
                    <w:widowControl/>
                    <w:tabs>
                      <w:tab w:val="left" w:pos="4"/>
                    </w:tabs>
                    <w:adjustRightInd w:val="0"/>
                    <w:snapToGrid w:val="0"/>
                    <w:jc w:val="center"/>
                    <w:rPr>
                      <w:color w:val="auto"/>
                      <w:szCs w:val="21"/>
                    </w:rPr>
                  </w:pPr>
                  <w:r>
                    <w:rPr>
                      <w:color w:val="auto"/>
                      <w:kern w:val="0"/>
                      <w:szCs w:val="21"/>
                      <w:lang w:bidi="en-US"/>
                    </w:rPr>
                    <w:t>输电线路宜避让集中林区，以减少林木砍伐，保护生态环境。</w:t>
                  </w:r>
                </w:p>
              </w:tc>
              <w:tc>
                <w:tcPr>
                  <w:tcW w:w="1715" w:type="pct"/>
                  <w:noWrap w:val="0"/>
                  <w:vAlign w:val="center"/>
                </w:tcPr>
                <w:p>
                  <w:pPr>
                    <w:widowControl/>
                    <w:tabs>
                      <w:tab w:val="left" w:pos="4"/>
                    </w:tabs>
                    <w:adjustRightInd w:val="0"/>
                    <w:snapToGrid w:val="0"/>
                    <w:jc w:val="center"/>
                    <w:rPr>
                      <w:color w:val="auto"/>
                      <w:kern w:val="0"/>
                      <w:szCs w:val="21"/>
                      <w:lang w:bidi="en-US"/>
                    </w:rPr>
                  </w:pPr>
                  <w:r>
                    <w:rPr>
                      <w:color w:val="auto"/>
                      <w:kern w:val="0"/>
                      <w:szCs w:val="21"/>
                      <w:lang w:bidi="en-US"/>
                    </w:rPr>
                    <w:t>线路走廊尽量避开了集中林区，以减少林木砍伐。</w:t>
                  </w:r>
                </w:p>
              </w:tc>
              <w:tc>
                <w:tcPr>
                  <w:tcW w:w="511" w:type="pct"/>
                  <w:noWrap w:val="0"/>
                  <w:vAlign w:val="center"/>
                </w:tcPr>
                <w:p>
                  <w:pPr>
                    <w:tabs>
                      <w:tab w:val="left" w:pos="4"/>
                    </w:tabs>
                    <w:adjustRightIn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630" w:type="pct"/>
                  <w:vMerge w:val="continue"/>
                  <w:noWrap w:val="0"/>
                  <w:vAlign w:val="center"/>
                </w:tcPr>
                <w:p>
                  <w:pPr>
                    <w:tabs>
                      <w:tab w:val="left" w:pos="4"/>
                    </w:tabs>
                    <w:adjustRightInd w:val="0"/>
                    <w:jc w:val="center"/>
                    <w:rPr>
                      <w:b/>
                      <w:bCs/>
                      <w:color w:val="auto"/>
                      <w:szCs w:val="21"/>
                    </w:rPr>
                  </w:pPr>
                </w:p>
              </w:tc>
              <w:tc>
                <w:tcPr>
                  <w:tcW w:w="2142" w:type="pct"/>
                  <w:noWrap w:val="0"/>
                  <w:vAlign w:val="center"/>
                </w:tcPr>
                <w:p>
                  <w:pPr>
                    <w:widowControl/>
                    <w:tabs>
                      <w:tab w:val="left" w:pos="4"/>
                    </w:tabs>
                    <w:adjustRightInd w:val="0"/>
                    <w:snapToGrid w:val="0"/>
                    <w:jc w:val="center"/>
                    <w:rPr>
                      <w:color w:val="auto"/>
                      <w:szCs w:val="21"/>
                    </w:rPr>
                  </w:pPr>
                  <w:r>
                    <w:rPr>
                      <w:color w:val="auto"/>
                      <w:kern w:val="0"/>
                      <w:szCs w:val="21"/>
                      <w:lang w:bidi="en-US"/>
                    </w:rPr>
                    <w:t>进入自然保护区的输电线路，应按照HJ 19的要求开展生态现状调查，避让保护对象的集中分布区。</w:t>
                  </w:r>
                </w:p>
              </w:tc>
              <w:tc>
                <w:tcPr>
                  <w:tcW w:w="1715" w:type="pct"/>
                  <w:noWrap w:val="0"/>
                  <w:vAlign w:val="center"/>
                </w:tcPr>
                <w:p>
                  <w:pPr>
                    <w:widowControl/>
                    <w:tabs>
                      <w:tab w:val="left" w:pos="4"/>
                    </w:tabs>
                    <w:adjustRightInd w:val="0"/>
                    <w:snapToGrid w:val="0"/>
                    <w:jc w:val="center"/>
                    <w:rPr>
                      <w:color w:val="auto"/>
                      <w:szCs w:val="21"/>
                    </w:rPr>
                  </w:pPr>
                  <w:r>
                    <w:rPr>
                      <w:color w:val="auto"/>
                      <w:kern w:val="0"/>
                      <w:szCs w:val="21"/>
                      <w:lang w:bidi="en-US"/>
                    </w:rPr>
                    <w:t>拟建项目线路不涉及自然保护区。</w:t>
                  </w:r>
                </w:p>
              </w:tc>
              <w:tc>
                <w:tcPr>
                  <w:tcW w:w="511" w:type="pct"/>
                  <w:noWrap w:val="0"/>
                  <w:vAlign w:val="center"/>
                </w:tcPr>
                <w:p>
                  <w:pPr>
                    <w:tabs>
                      <w:tab w:val="left" w:pos="4"/>
                    </w:tabs>
                    <w:adjustRightInd w:val="0"/>
                    <w:jc w:val="center"/>
                    <w:rPr>
                      <w:color w:val="auto"/>
                      <w:szCs w:val="21"/>
                    </w:rPr>
                  </w:pPr>
                  <w:r>
                    <w:rPr>
                      <w:color w:val="auto"/>
                      <w:szCs w:val="21"/>
                    </w:rPr>
                    <w:t>符合</w:t>
                  </w:r>
                </w:p>
              </w:tc>
            </w:tr>
          </w:tbl>
          <w:p>
            <w:pPr>
              <w:pStyle w:val="35"/>
              <w:rPr>
                <w:rFonts w:hint="eastAsia"/>
                <w:b/>
                <w:bCs/>
                <w:color w:val="auto"/>
                <w:sz w:val="24"/>
                <w:highlight w:val="none"/>
              </w:rPr>
            </w:pPr>
          </w:p>
          <w:p>
            <w:pPr>
              <w:pStyle w:val="72"/>
              <w:topLinePunct/>
              <w:snapToGrid w:val="0"/>
              <w:spacing w:line="360" w:lineRule="auto"/>
              <w:ind w:firstLine="480"/>
              <w:rPr>
                <w:color w:val="auto"/>
                <w:sz w:val="24"/>
                <w:highlight w:val="none"/>
              </w:rPr>
            </w:pPr>
            <w:r>
              <w:rPr>
                <w:rFonts w:hint="eastAsia"/>
                <w:color w:val="auto"/>
                <w:sz w:val="24"/>
                <w:highlight w:val="none"/>
                <w:lang w:bidi="en-US"/>
              </w:rPr>
              <w:t>根据表</w:t>
            </w:r>
            <w:r>
              <w:rPr>
                <w:color w:val="auto"/>
                <w:sz w:val="24"/>
                <w:highlight w:val="none"/>
                <w:lang w:bidi="en-US"/>
              </w:rPr>
              <w:t>4-</w:t>
            </w:r>
            <w:r>
              <w:rPr>
                <w:rFonts w:hint="eastAsia"/>
                <w:color w:val="auto"/>
                <w:sz w:val="24"/>
                <w:highlight w:val="none"/>
                <w:lang w:val="en-US" w:eastAsia="zh-CN" w:bidi="en-US"/>
              </w:rPr>
              <w:t>11</w:t>
            </w:r>
            <w:r>
              <w:rPr>
                <w:rFonts w:hint="eastAsia"/>
                <w:color w:val="auto"/>
                <w:sz w:val="24"/>
                <w:highlight w:val="none"/>
                <w:lang w:bidi="en-US"/>
              </w:rPr>
              <w:t>可知，拟建项目</w:t>
            </w:r>
            <w:r>
              <w:rPr>
                <w:rFonts w:hint="eastAsia"/>
                <w:color w:val="auto"/>
                <w:sz w:val="24"/>
                <w:highlight w:val="none"/>
                <w:lang w:bidi="ar"/>
              </w:rPr>
              <w:t>选线</w:t>
            </w:r>
            <w:r>
              <w:rPr>
                <w:rFonts w:hint="eastAsia"/>
                <w:color w:val="auto"/>
                <w:sz w:val="24"/>
                <w:highlight w:val="none"/>
                <w:lang w:bidi="en-US"/>
              </w:rPr>
              <w:t>符合</w:t>
            </w:r>
            <w:r>
              <w:rPr>
                <w:rFonts w:hint="eastAsia"/>
                <w:color w:val="auto"/>
                <w:sz w:val="24"/>
                <w:highlight w:val="none"/>
                <w:lang w:bidi="ar"/>
              </w:rPr>
              <w:t>《输变电建设项目环境保护技术要求》（</w:t>
            </w:r>
            <w:r>
              <w:rPr>
                <w:color w:val="auto"/>
                <w:sz w:val="24"/>
                <w:highlight w:val="none"/>
                <w:lang w:bidi="ar"/>
              </w:rPr>
              <w:t>HJ1113-2020</w:t>
            </w:r>
            <w:r>
              <w:rPr>
                <w:rFonts w:hint="eastAsia"/>
                <w:color w:val="auto"/>
                <w:sz w:val="24"/>
                <w:highlight w:val="none"/>
                <w:lang w:bidi="ar"/>
              </w:rPr>
              <w:t>）要求</w:t>
            </w:r>
            <w:r>
              <w:rPr>
                <w:rFonts w:hint="eastAsia"/>
                <w:color w:val="auto"/>
                <w:sz w:val="24"/>
                <w:highlight w:val="none"/>
              </w:rPr>
              <w:t>，本项目选线合理。</w:t>
            </w:r>
          </w:p>
          <w:p>
            <w:pPr>
              <w:pStyle w:val="72"/>
              <w:topLinePunct/>
              <w:snapToGrid w:val="0"/>
              <w:spacing w:line="360" w:lineRule="auto"/>
              <w:ind w:firstLine="480"/>
              <w:rPr>
                <w:color w:val="auto"/>
                <w:sz w:val="24"/>
                <w:highlight w:val="none"/>
              </w:rPr>
            </w:pPr>
            <w:r>
              <w:rPr>
                <w:rFonts w:hint="eastAsia"/>
                <w:color w:val="auto"/>
                <w:sz w:val="24"/>
                <w:highlight w:val="none"/>
              </w:rPr>
              <w:t>综上，本项目选址合理。</w:t>
            </w:r>
          </w:p>
          <w:p>
            <w:pPr>
              <w:pStyle w:val="72"/>
              <w:topLinePunct/>
              <w:snapToGrid w:val="0"/>
              <w:spacing w:line="360" w:lineRule="auto"/>
              <w:ind w:firstLine="480"/>
              <w:rPr>
                <w:color w:val="auto"/>
                <w:sz w:val="24"/>
                <w:highlight w:val="yellow"/>
              </w:rPr>
            </w:pPr>
          </w:p>
          <w:p>
            <w:pPr>
              <w:pStyle w:val="72"/>
              <w:topLinePunct/>
              <w:snapToGrid w:val="0"/>
              <w:spacing w:line="360" w:lineRule="auto"/>
              <w:ind w:firstLine="480"/>
              <w:rPr>
                <w:color w:val="auto"/>
                <w:sz w:val="24"/>
                <w:highlight w:val="yellow"/>
              </w:rPr>
            </w:pPr>
          </w:p>
          <w:p>
            <w:pPr>
              <w:pStyle w:val="72"/>
              <w:topLinePunct/>
              <w:snapToGrid w:val="0"/>
              <w:spacing w:line="360" w:lineRule="auto"/>
              <w:ind w:firstLine="480"/>
              <w:rPr>
                <w:color w:val="auto"/>
                <w:sz w:val="24"/>
                <w:highlight w:val="yellow"/>
              </w:rPr>
            </w:pPr>
          </w:p>
        </w:tc>
      </w:tr>
    </w:tbl>
    <w:p>
      <w:pPr>
        <w:pStyle w:val="25"/>
        <w:jc w:val="center"/>
        <w:rPr>
          <w:rFonts w:ascii="Times New Roman" w:hAnsi="Times New Roman"/>
          <w:snapToGrid w:val="0"/>
          <w:color w:val="auto"/>
          <w:sz w:val="36"/>
          <w:szCs w:val="36"/>
          <w:highlight w:val="yellow"/>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pPr>
        <w:pStyle w:val="25"/>
        <w:adjustRightInd w:val="0"/>
        <w:snapToGrid w:val="0"/>
        <w:spacing w:before="0" w:beforeAutospacing="0" w:after="0" w:afterAutospacing="0" w:line="14" w:lineRule="auto"/>
        <w:jc w:val="center"/>
        <w:outlineLvl w:val="0"/>
        <w:rPr>
          <w:rFonts w:ascii="Times New Roman" w:hAnsi="Times New Roman"/>
          <w:snapToGrid w:val="0"/>
          <w:color w:val="auto"/>
          <w:sz w:val="30"/>
          <w:szCs w:val="30"/>
          <w:highlight w:val="yellow"/>
        </w:rPr>
      </w:pPr>
    </w:p>
    <w:p>
      <w:pPr>
        <w:pStyle w:val="25"/>
        <w:jc w:val="center"/>
        <w:outlineLvl w:val="0"/>
        <w:rPr>
          <w:rFonts w:ascii="Times New Roman" w:hAnsi="Times New Roman"/>
          <w:snapToGrid w:val="0"/>
          <w:color w:val="auto"/>
          <w:sz w:val="30"/>
          <w:szCs w:val="30"/>
          <w:highlight w:val="none"/>
        </w:rPr>
      </w:pPr>
      <w:r>
        <w:rPr>
          <w:rFonts w:hint="eastAsia" w:ascii="Times New Roman" w:hAnsi="Times New Roman"/>
          <w:snapToGrid w:val="0"/>
          <w:color w:val="auto"/>
          <w:sz w:val="30"/>
          <w:szCs w:val="30"/>
          <w:highlight w:val="none"/>
        </w:rPr>
        <w:t>五、主要生态环境保护措施</w:t>
      </w:r>
    </w:p>
    <w:tbl>
      <w:tblPr>
        <w:tblStyle w:val="2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8"/>
        <w:gridCol w:w="80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08" w:type="pct"/>
            <w:tcMar>
              <w:left w:w="28" w:type="dxa"/>
              <w:right w:w="28" w:type="dxa"/>
            </w:tcMar>
            <w:vAlign w:val="center"/>
          </w:tcPr>
          <w:p>
            <w:pPr>
              <w:adjustRightInd w:val="0"/>
              <w:snapToGrid w:val="0"/>
              <w:jc w:val="center"/>
              <w:rPr>
                <w:bCs/>
                <w:color w:val="auto"/>
                <w:szCs w:val="21"/>
                <w:highlight w:val="none"/>
              </w:rPr>
            </w:pPr>
            <w:r>
              <w:rPr>
                <w:rFonts w:hint="eastAsia" w:cs="宋体"/>
                <w:bCs/>
                <w:color w:val="auto"/>
                <w:spacing w:val="10"/>
                <w:szCs w:val="21"/>
                <w:highlight w:val="none"/>
              </w:rPr>
              <w:t>施工期生态环境保护措施</w:t>
            </w:r>
          </w:p>
        </w:tc>
        <w:tc>
          <w:tcPr>
            <w:tcW w:w="4591" w:type="pct"/>
          </w:tcPr>
          <w:p>
            <w:pPr>
              <w:autoSpaceDE w:val="0"/>
              <w:autoSpaceDN w:val="0"/>
              <w:adjustRightInd w:val="0"/>
              <w:snapToGrid w:val="0"/>
              <w:spacing w:line="360" w:lineRule="auto"/>
              <w:rPr>
                <w:b/>
                <w:bCs/>
                <w:color w:val="auto"/>
                <w:sz w:val="24"/>
                <w:highlight w:val="none"/>
              </w:rPr>
            </w:pPr>
            <w:r>
              <w:rPr>
                <w:b/>
                <w:bCs/>
                <w:color w:val="auto"/>
                <w:sz w:val="24"/>
                <w:highlight w:val="none"/>
              </w:rPr>
              <w:t xml:space="preserve">5.1 </w:t>
            </w:r>
            <w:r>
              <w:rPr>
                <w:rFonts w:hint="eastAsia"/>
                <w:b/>
                <w:bCs/>
                <w:color w:val="auto"/>
                <w:sz w:val="24"/>
                <w:highlight w:val="none"/>
              </w:rPr>
              <w:t>设计阶段</w:t>
            </w:r>
          </w:p>
          <w:p>
            <w:pPr>
              <w:adjustRightInd w:val="0"/>
              <w:snapToGrid w:val="0"/>
              <w:spacing w:line="360" w:lineRule="auto"/>
              <w:ind w:firstLine="480" w:firstLineChars="200"/>
              <w:rPr>
                <w:color w:val="auto"/>
                <w:sz w:val="24"/>
                <w:szCs w:val="20"/>
                <w:highlight w:val="none"/>
              </w:rPr>
            </w:pPr>
            <w:r>
              <w:rPr>
                <w:color w:val="auto"/>
                <w:sz w:val="24"/>
                <w:szCs w:val="20"/>
                <w:highlight w:val="none"/>
              </w:rPr>
              <w:t>（1）在变电站、输电线路路径选择、设计时充分听取政府部门、环保部门、规划部门、城建部门、林业部门等的意见，尽量优化设计，尽量减少项目的环境影响。</w:t>
            </w:r>
          </w:p>
          <w:p>
            <w:pPr>
              <w:adjustRightInd w:val="0"/>
              <w:snapToGrid w:val="0"/>
              <w:spacing w:line="360" w:lineRule="auto"/>
              <w:ind w:firstLine="480" w:firstLineChars="200"/>
              <w:rPr>
                <w:color w:val="auto"/>
                <w:sz w:val="24"/>
                <w:szCs w:val="20"/>
                <w:highlight w:val="none"/>
              </w:rPr>
            </w:pPr>
            <w:r>
              <w:rPr>
                <w:color w:val="auto"/>
                <w:sz w:val="24"/>
                <w:szCs w:val="20"/>
                <w:highlight w:val="none"/>
              </w:rPr>
              <w:t>（2）输电线路路径尽量选择在人口较为稀少的地区，或远离居民区、环境敏感目标及各类保护目标。</w:t>
            </w:r>
            <w:r>
              <w:rPr>
                <w:rFonts w:hint="eastAsia"/>
                <w:color w:val="auto"/>
                <w:sz w:val="24"/>
                <w:szCs w:val="20"/>
                <w:highlight w:val="none"/>
              </w:rPr>
              <w:t>选线和定位时，尽量避开陡坡和易发生塌方、滑坡、冲沟或其它地质灾害的不良地质段，尽量落在植被稀疏并便于施工区域；</w:t>
            </w:r>
            <w:r>
              <w:rPr>
                <w:rFonts w:hint="eastAsia"/>
                <w:color w:val="auto"/>
                <w:sz w:val="24"/>
                <w:szCs w:val="20"/>
                <w:highlight w:val="none"/>
                <w:lang w:eastAsia="zh-CN"/>
              </w:rPr>
              <w:t>部分区域</w:t>
            </w:r>
            <w:r>
              <w:rPr>
                <w:rFonts w:hint="eastAsia"/>
                <w:color w:val="auto"/>
                <w:sz w:val="24"/>
                <w:szCs w:val="20"/>
                <w:highlight w:val="none"/>
              </w:rPr>
              <w:t>采用高跨方案（抬高架线高度、避让等措施），本工程跨树高度按树木自然生长平均高度考虑，对大部分林木留有一定安全裕度，仅对极少林木进行削尖处理，以减少林木砍伐；优先采用原状土基础，如掏挖式基础。</w:t>
            </w:r>
          </w:p>
          <w:p>
            <w:pPr>
              <w:adjustRightInd w:val="0"/>
              <w:snapToGrid w:val="0"/>
              <w:spacing w:line="360" w:lineRule="auto"/>
              <w:ind w:firstLine="480" w:firstLineChars="200"/>
              <w:rPr>
                <w:b/>
                <w:bCs/>
                <w:color w:val="auto"/>
                <w:highlight w:val="none"/>
              </w:rPr>
            </w:pPr>
            <w:r>
              <w:rPr>
                <w:color w:val="auto"/>
                <w:sz w:val="24"/>
                <w:szCs w:val="20"/>
                <w:highlight w:val="none"/>
              </w:rPr>
              <w:t>（3）尽量少占土地，</w:t>
            </w:r>
            <w:r>
              <w:rPr>
                <w:rFonts w:hint="eastAsia"/>
                <w:color w:val="auto"/>
                <w:sz w:val="24"/>
                <w:szCs w:val="20"/>
                <w:highlight w:val="none"/>
              </w:rPr>
              <w:t>本工程塔型的规划尽量设计成全方位高低腿塔型，即四条塔腿均可根据实际地形进行调节组合，以适应塔位处的地形条件，避免大规模开挖</w:t>
            </w:r>
            <w:r>
              <w:rPr>
                <w:color w:val="auto"/>
                <w:sz w:val="24"/>
                <w:szCs w:val="20"/>
                <w:highlight w:val="none"/>
              </w:rPr>
              <w:t>。高低腿配合高低基础调节基础露头，作为塔腿长度的调节补充，一般塔位均能做到“零基面”，对特别陡的塔位也能通过接腿加长或设计塔脚架、增加立柱露头等形式基本做到不降基面，使输电线路对环境的不利影响降至最低程度。</w:t>
            </w:r>
          </w:p>
          <w:p>
            <w:pPr>
              <w:adjustRightInd w:val="0"/>
              <w:snapToGrid w:val="0"/>
              <w:spacing w:line="360" w:lineRule="auto"/>
              <w:ind w:firstLine="480" w:firstLineChars="200"/>
              <w:rPr>
                <w:color w:val="auto"/>
                <w:sz w:val="24"/>
                <w:szCs w:val="20"/>
                <w:highlight w:val="none"/>
              </w:rPr>
            </w:pPr>
            <w:r>
              <w:rPr>
                <w:rFonts w:hint="eastAsia"/>
                <w:color w:val="auto"/>
                <w:sz w:val="24"/>
                <w:szCs w:val="20"/>
                <w:highlight w:val="none"/>
              </w:rPr>
              <w:t>（4）</w:t>
            </w:r>
            <w:r>
              <w:rPr>
                <w:color w:val="auto"/>
                <w:sz w:val="24"/>
                <w:szCs w:val="20"/>
                <w:highlight w:val="none"/>
              </w:rPr>
              <w:t>输电线路在跨越河流时不在河道中立塔，严格按照有关规范要求留出足够净空距离，将线路对河道泄洪能力的影响降至最低；合理慎重选择线路跨越河流的跨越点。</w:t>
            </w:r>
          </w:p>
          <w:p>
            <w:pPr>
              <w:adjustRightInd w:val="0"/>
              <w:snapToGrid w:val="0"/>
              <w:spacing w:line="360" w:lineRule="auto"/>
              <w:ind w:firstLine="480" w:firstLineChars="200"/>
              <w:rPr>
                <w:color w:val="auto"/>
                <w:sz w:val="24"/>
                <w:szCs w:val="20"/>
                <w:highlight w:val="none"/>
              </w:rPr>
            </w:pPr>
            <w:r>
              <w:rPr>
                <w:rFonts w:hint="eastAsia"/>
                <w:color w:val="auto"/>
                <w:sz w:val="24"/>
                <w:szCs w:val="20"/>
                <w:highlight w:val="none"/>
              </w:rPr>
              <w:t>（5）</w:t>
            </w:r>
            <w:r>
              <w:rPr>
                <w:color w:val="auto"/>
                <w:sz w:val="24"/>
                <w:szCs w:val="20"/>
                <w:highlight w:val="none"/>
              </w:rPr>
              <w:t>沿线居民点环境保护措施</w:t>
            </w:r>
          </w:p>
          <w:p>
            <w:pPr>
              <w:adjustRightInd w:val="0"/>
              <w:snapToGrid w:val="0"/>
              <w:spacing w:line="360" w:lineRule="auto"/>
              <w:ind w:firstLine="480" w:firstLineChars="200"/>
              <w:rPr>
                <w:color w:val="auto"/>
                <w:sz w:val="24"/>
                <w:szCs w:val="20"/>
                <w:highlight w:val="none"/>
              </w:rPr>
            </w:pPr>
            <w:r>
              <w:rPr>
                <w:color w:val="auto"/>
                <w:sz w:val="24"/>
                <w:szCs w:val="20"/>
                <w:highlight w:val="none"/>
              </w:rPr>
              <w:t>1）避让沿线集中建筑物及城镇或其规划区域、人口集中的村庄及各级政府确定的经济开发区。</w:t>
            </w:r>
          </w:p>
          <w:p>
            <w:pPr>
              <w:adjustRightInd w:val="0"/>
              <w:snapToGrid w:val="0"/>
              <w:spacing w:line="360" w:lineRule="auto"/>
              <w:ind w:firstLine="480" w:firstLineChars="200"/>
              <w:rPr>
                <w:color w:val="auto"/>
                <w:sz w:val="24"/>
                <w:szCs w:val="20"/>
                <w:highlight w:val="none"/>
              </w:rPr>
            </w:pPr>
            <w:r>
              <w:rPr>
                <w:color w:val="auto"/>
                <w:sz w:val="24"/>
                <w:szCs w:val="20"/>
                <w:highlight w:val="none"/>
              </w:rPr>
              <w:t>2）选线时充分体现以人为本、保护环境的意识，尽量避开居民住房，减少拆迁民宅的数量，对拆迁的民房按照国家的规定予以安置。</w:t>
            </w:r>
          </w:p>
          <w:p>
            <w:pPr>
              <w:adjustRightInd w:val="0"/>
              <w:snapToGrid w:val="0"/>
              <w:spacing w:line="360" w:lineRule="auto"/>
              <w:ind w:firstLine="480" w:firstLineChars="200"/>
              <w:rPr>
                <w:color w:val="auto"/>
                <w:sz w:val="24"/>
                <w:szCs w:val="20"/>
                <w:highlight w:val="none"/>
              </w:rPr>
            </w:pPr>
            <w:r>
              <w:rPr>
                <w:color w:val="auto"/>
                <w:sz w:val="24"/>
                <w:szCs w:val="20"/>
                <w:highlight w:val="none"/>
              </w:rPr>
              <w:t>3）导线的选择及相序排列形式的确定，在满足系统输送容量要求的同时还要尽量降低导线表面场强，以减少电磁环境影响。</w:t>
            </w:r>
          </w:p>
          <w:p>
            <w:pPr>
              <w:adjustRightInd w:val="0"/>
              <w:snapToGrid w:val="0"/>
              <w:spacing w:line="360" w:lineRule="auto"/>
              <w:ind w:firstLine="480" w:firstLineChars="200"/>
              <w:rPr>
                <w:color w:val="auto"/>
                <w:sz w:val="24"/>
                <w:szCs w:val="20"/>
                <w:highlight w:val="none"/>
              </w:rPr>
            </w:pPr>
            <w:r>
              <w:rPr>
                <w:color w:val="auto"/>
                <w:sz w:val="24"/>
                <w:szCs w:val="20"/>
                <w:highlight w:val="none"/>
              </w:rPr>
              <w:t>4）线路邻近居民住房时，严格按国家环保标准保护居民居住环境，通过抬高线高或拆迁的方法，确保电磁环境、声环境达标。</w:t>
            </w:r>
          </w:p>
          <w:p>
            <w:pPr>
              <w:autoSpaceDE w:val="0"/>
              <w:autoSpaceDN w:val="0"/>
              <w:adjustRightInd w:val="0"/>
              <w:snapToGrid w:val="0"/>
              <w:spacing w:line="360" w:lineRule="auto"/>
              <w:rPr>
                <w:b/>
                <w:bCs/>
                <w:color w:val="auto"/>
                <w:sz w:val="24"/>
                <w:highlight w:val="none"/>
              </w:rPr>
            </w:pPr>
            <w:r>
              <w:rPr>
                <w:b/>
                <w:bCs/>
                <w:color w:val="auto"/>
                <w:sz w:val="24"/>
                <w:highlight w:val="none"/>
              </w:rPr>
              <w:t xml:space="preserve">5.1 </w:t>
            </w:r>
            <w:r>
              <w:rPr>
                <w:rFonts w:hint="eastAsia"/>
                <w:b/>
                <w:bCs/>
                <w:color w:val="auto"/>
                <w:sz w:val="24"/>
                <w:highlight w:val="none"/>
              </w:rPr>
              <w:t>施工期废气、废水、噪声、固废污染防治措施</w:t>
            </w:r>
          </w:p>
          <w:p>
            <w:pPr>
              <w:autoSpaceDE w:val="0"/>
              <w:autoSpaceDN w:val="0"/>
              <w:adjustRightInd w:val="0"/>
              <w:snapToGrid w:val="0"/>
              <w:spacing w:line="360" w:lineRule="auto"/>
              <w:rPr>
                <w:color w:val="auto"/>
                <w:sz w:val="24"/>
                <w:highlight w:val="none"/>
              </w:rPr>
            </w:pPr>
            <w:r>
              <w:rPr>
                <w:b/>
                <w:bCs/>
                <w:color w:val="auto"/>
                <w:sz w:val="24"/>
                <w:highlight w:val="none"/>
              </w:rPr>
              <w:t xml:space="preserve">    </w:t>
            </w:r>
            <w:r>
              <w:rPr>
                <w:rFonts w:hint="eastAsia"/>
                <w:color w:val="auto"/>
                <w:sz w:val="24"/>
                <w:highlight w:val="none"/>
              </w:rPr>
              <w:t>拟建项目施工期废气、废水、噪声、固废污染防治措施见表</w:t>
            </w:r>
            <w:r>
              <w:rPr>
                <w:color w:val="auto"/>
                <w:sz w:val="24"/>
                <w:highlight w:val="none"/>
              </w:rPr>
              <w:t>5-1</w:t>
            </w:r>
            <w:r>
              <w:rPr>
                <w:rFonts w:hint="eastAsia"/>
                <w:color w:val="auto"/>
                <w:sz w:val="24"/>
                <w:highlight w:val="none"/>
              </w:rPr>
              <w:t>。</w:t>
            </w:r>
          </w:p>
          <w:p>
            <w:pPr>
              <w:autoSpaceDE w:val="0"/>
              <w:autoSpaceDN w:val="0"/>
              <w:adjustRightInd w:val="0"/>
              <w:snapToGrid w:val="0"/>
              <w:jc w:val="center"/>
              <w:rPr>
                <w:b/>
                <w:bCs/>
                <w:color w:val="auto"/>
                <w:sz w:val="24"/>
                <w:highlight w:val="none"/>
              </w:rPr>
            </w:pPr>
            <w:r>
              <w:rPr>
                <w:rFonts w:hint="eastAsia"/>
                <w:b/>
                <w:bCs/>
                <w:color w:val="auto"/>
                <w:sz w:val="24"/>
                <w:highlight w:val="none"/>
              </w:rPr>
              <w:t>表</w:t>
            </w:r>
            <w:r>
              <w:rPr>
                <w:b/>
                <w:bCs/>
                <w:color w:val="auto"/>
                <w:sz w:val="24"/>
                <w:highlight w:val="none"/>
              </w:rPr>
              <w:t xml:space="preserve">5-1  </w:t>
            </w:r>
            <w:r>
              <w:rPr>
                <w:rFonts w:hint="eastAsia"/>
                <w:b/>
                <w:bCs/>
                <w:color w:val="auto"/>
                <w:sz w:val="24"/>
                <w:highlight w:val="none"/>
              </w:rPr>
              <w:t>施工期废气、废水、噪声、固废污染防治措施</w:t>
            </w:r>
          </w:p>
          <w:tbl>
            <w:tblPr>
              <w:tblStyle w:val="28"/>
              <w:tblW w:w="493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67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tcBorders>
                    <w:top w:val="single" w:color="auto" w:sz="12" w:space="0"/>
                    <w:left w:val="nil"/>
                    <w:bottom w:val="single" w:color="auto" w:sz="4" w:space="0"/>
                    <w:right w:val="single" w:color="auto" w:sz="4" w:space="0"/>
                  </w:tcBorders>
                  <w:vAlign w:val="center"/>
                </w:tcPr>
                <w:p>
                  <w:pPr>
                    <w:adjustRightInd w:val="0"/>
                    <w:snapToGrid w:val="0"/>
                    <w:jc w:val="center"/>
                    <w:rPr>
                      <w:color w:val="auto"/>
                      <w:szCs w:val="21"/>
                      <w:highlight w:val="none"/>
                    </w:rPr>
                  </w:pPr>
                  <w:r>
                    <w:rPr>
                      <w:rFonts w:hint="eastAsia"/>
                      <w:color w:val="auto"/>
                      <w:szCs w:val="21"/>
                      <w:highlight w:val="none"/>
                    </w:rPr>
                    <w:t>大气环境保护措施</w:t>
                  </w:r>
                </w:p>
              </w:tc>
              <w:tc>
                <w:tcPr>
                  <w:tcW w:w="4346" w:type="pct"/>
                  <w:tcBorders>
                    <w:top w:val="single" w:color="auto" w:sz="12" w:space="0"/>
                    <w:left w:val="single" w:color="auto" w:sz="4" w:space="0"/>
                    <w:bottom w:val="single" w:color="auto" w:sz="4" w:space="0"/>
                    <w:right w:val="nil"/>
                  </w:tcBorders>
                  <w:vAlign w:val="center"/>
                </w:tcPr>
                <w:p>
                  <w:pPr>
                    <w:adjustRightInd w:val="0"/>
                    <w:snapToGrid w:val="0"/>
                    <w:jc w:val="left"/>
                    <w:rPr>
                      <w:color w:val="auto"/>
                      <w:szCs w:val="21"/>
                      <w:highlight w:val="none"/>
                    </w:rPr>
                  </w:pPr>
                  <w:r>
                    <w:rPr>
                      <w:rFonts w:hint="eastAsia" w:ascii="宋体" w:hAnsi="宋体" w:cs="宋体"/>
                      <w:color w:val="auto"/>
                      <w:szCs w:val="21"/>
                      <w:highlight w:val="none"/>
                    </w:rPr>
                    <w:t>①</w:t>
                  </w:r>
                  <w:r>
                    <w:rPr>
                      <w:rFonts w:hint="eastAsia"/>
                      <w:color w:val="auto"/>
                      <w:szCs w:val="21"/>
                      <w:highlight w:val="none"/>
                    </w:rPr>
                    <w:t>施工单位文明施工，加强施工期的环境管理工作，</w:t>
                  </w:r>
                  <w:r>
                    <w:rPr>
                      <w:rFonts w:hint="eastAsia"/>
                      <w:color w:val="auto"/>
                      <w:kern w:val="0"/>
                      <w:szCs w:val="21"/>
                      <w:highlight w:val="none"/>
                    </w:rPr>
                    <w:t>在施工工地设置硬质围挡，加强料堆和渣土堆放管控，</w:t>
                  </w:r>
                  <w:r>
                    <w:rPr>
                      <w:rFonts w:hint="eastAsia"/>
                      <w:color w:val="auto"/>
                      <w:szCs w:val="21"/>
                      <w:highlight w:val="none"/>
                    </w:rPr>
                    <w:t>定期进行洒水除尘，防止扬尘污染。</w:t>
                  </w:r>
                </w:p>
                <w:p>
                  <w:pPr>
                    <w:widowControl/>
                    <w:jc w:val="left"/>
                    <w:rPr>
                      <w:rFonts w:ascii="宋体" w:hAnsi="宋体"/>
                      <w:color w:val="auto"/>
                      <w:kern w:val="0"/>
                      <w:szCs w:val="21"/>
                      <w:highlight w:val="none"/>
                    </w:rPr>
                  </w:pPr>
                  <w:r>
                    <w:rPr>
                      <w:rFonts w:hint="eastAsia" w:ascii="宋体" w:hAnsi="宋体" w:cs="宋体"/>
                      <w:color w:val="auto"/>
                      <w:szCs w:val="21"/>
                      <w:highlight w:val="none"/>
                    </w:rPr>
                    <w:t>②</w:t>
                  </w:r>
                  <w:r>
                    <w:rPr>
                      <w:rFonts w:hint="eastAsia" w:ascii="宋体" w:hAnsi="宋体" w:cs="宋体"/>
                      <w:color w:val="auto"/>
                      <w:kern w:val="0"/>
                      <w:szCs w:val="21"/>
                      <w:highlight w:val="none"/>
                    </w:rPr>
                    <w:t>施工过程中，对易起尘的临时堆土、运输过程中的土石方等应采用密闭式防尘布（网）进</w:t>
                  </w:r>
                  <w:r>
                    <w:rPr>
                      <w:rFonts w:hint="eastAsia" w:ascii="宋体" w:hAnsi="宋体"/>
                      <w:color w:val="auto"/>
                      <w:kern w:val="0"/>
                      <w:szCs w:val="21"/>
                      <w:highlight w:val="none"/>
                    </w:rPr>
                    <w:t>行苫盖，施工面集中且有条件的地方宜采取洒水降尘等有效措施，减少易造成大气污染的施工作业。</w:t>
                  </w:r>
                </w:p>
                <w:p>
                  <w:pPr>
                    <w:widowControl/>
                    <w:jc w:val="left"/>
                    <w:rPr>
                      <w:color w:val="auto"/>
                      <w:szCs w:val="21"/>
                      <w:highlight w:val="none"/>
                    </w:rPr>
                  </w:pPr>
                  <w:r>
                    <w:rPr>
                      <w:rFonts w:hint="eastAsia" w:ascii="宋体" w:hAnsi="宋体" w:cs="宋体"/>
                      <w:color w:val="auto"/>
                      <w:szCs w:val="21"/>
                      <w:highlight w:val="none"/>
                    </w:rPr>
                    <w:t>③</w:t>
                  </w:r>
                  <w:r>
                    <w:rPr>
                      <w:rFonts w:hint="eastAsia" w:ascii="宋体" w:hAnsi="宋体" w:cs="宋体"/>
                      <w:color w:val="auto"/>
                      <w:kern w:val="0"/>
                      <w:szCs w:val="21"/>
                      <w:highlight w:val="none"/>
                    </w:rPr>
                    <w:t>施工过程中，建设单位应当对裸露地面进行覆盖；暂时不能开工的建设用地超过三个月的，应当进行绿化、铺装或者遮盖</w:t>
                  </w:r>
                  <w:r>
                    <w:rPr>
                      <w:rFonts w:hint="eastAsia"/>
                      <w:color w:val="auto"/>
                      <w:szCs w:val="21"/>
                      <w:highlight w:val="none"/>
                    </w:rPr>
                    <w:t>。线路采用人工掏挖基础方式等挖填、作业面小的基础</w:t>
                  </w:r>
                  <w:r>
                    <w:rPr>
                      <w:color w:val="auto"/>
                      <w:szCs w:val="21"/>
                      <w:highlight w:val="none"/>
                    </w:rPr>
                    <w:t xml:space="preserve"> </w:t>
                  </w:r>
                  <w:r>
                    <w:rPr>
                      <w:rFonts w:hint="eastAsia"/>
                      <w:color w:val="auto"/>
                      <w:szCs w:val="21"/>
                      <w:highlight w:val="none"/>
                    </w:rPr>
                    <w:t>，仅开挖杆塔基础区域，减少开挖面和开挖量。</w:t>
                  </w:r>
                </w:p>
                <w:p>
                  <w:pPr>
                    <w:adjustRightInd w:val="0"/>
                    <w:snapToGrid w:val="0"/>
                    <w:jc w:val="left"/>
                    <w:rPr>
                      <w:color w:val="auto"/>
                      <w:szCs w:val="21"/>
                      <w:highlight w:val="none"/>
                    </w:rPr>
                  </w:pPr>
                  <w:r>
                    <w:rPr>
                      <w:rFonts w:hint="eastAsia" w:ascii="宋体" w:hAnsi="宋体" w:cs="宋体"/>
                      <w:color w:val="auto"/>
                      <w:szCs w:val="21"/>
                      <w:highlight w:val="none"/>
                    </w:rPr>
                    <w:t>④</w:t>
                  </w:r>
                  <w:r>
                    <w:rPr>
                      <w:rFonts w:hint="eastAsia"/>
                      <w:color w:val="auto"/>
                      <w:szCs w:val="21"/>
                      <w:highlight w:val="none"/>
                    </w:rPr>
                    <w:t>施工现场禁止将包装物、可燃垃圾等固体废弃物就地焚烧</w:t>
                  </w:r>
                  <w:r>
                    <w:rPr>
                      <w:rFonts w:hint="eastAsia"/>
                      <w:color w:val="auto"/>
                      <w:kern w:val="0"/>
                      <w:szCs w:val="21"/>
                      <w:highlight w:val="none"/>
                    </w:rPr>
                    <w:t>。</w:t>
                  </w:r>
                </w:p>
                <w:p>
                  <w:pPr>
                    <w:rPr>
                      <w:color w:val="auto"/>
                      <w:szCs w:val="21"/>
                      <w:highlight w:val="none"/>
                    </w:rPr>
                  </w:pPr>
                  <w:r>
                    <w:rPr>
                      <w:rFonts w:hint="eastAsia" w:ascii="宋体" w:hAnsi="宋体" w:cs="宋体"/>
                      <w:color w:val="auto"/>
                      <w:szCs w:val="21"/>
                      <w:highlight w:val="none"/>
                    </w:rPr>
                    <w:t>⑤</w:t>
                  </w:r>
                  <w:r>
                    <w:rPr>
                      <w:rFonts w:hint="eastAsia"/>
                      <w:color w:val="auto"/>
                      <w:szCs w:val="21"/>
                      <w:highlight w:val="none"/>
                    </w:rPr>
                    <w:t>水泥、河沙等粉性材料运输时合理装卸、规范操作，对运输车辆按照规范要求采用密封、遮盖等防尘措施，</w:t>
                  </w:r>
                  <w:r>
                    <w:rPr>
                      <w:rFonts w:hint="eastAsia"/>
                      <w:color w:val="auto"/>
                      <w:kern w:val="0"/>
                      <w:szCs w:val="21"/>
                      <w:highlight w:val="none"/>
                    </w:rPr>
                    <w:t>有条件的地方宜采取洒水降尘等有效措施</w:t>
                  </w:r>
                </w:p>
                <w:p>
                  <w:pPr>
                    <w:adjustRightInd w:val="0"/>
                    <w:snapToGrid w:val="0"/>
                    <w:jc w:val="left"/>
                    <w:rPr>
                      <w:color w:val="auto"/>
                      <w:szCs w:val="21"/>
                      <w:highlight w:val="none"/>
                    </w:rPr>
                  </w:pPr>
                  <w:r>
                    <w:rPr>
                      <w:rFonts w:hint="eastAsia" w:ascii="宋体" w:hAnsi="宋体"/>
                      <w:color w:val="auto"/>
                      <w:szCs w:val="21"/>
                      <w:highlight w:val="none"/>
                    </w:rPr>
                    <w:t>⑥</w:t>
                  </w:r>
                  <w:r>
                    <w:rPr>
                      <w:rFonts w:hint="eastAsia"/>
                      <w:color w:val="auto"/>
                      <w:szCs w:val="21"/>
                      <w:highlight w:val="none"/>
                    </w:rPr>
                    <w:t>加强施工机械的使用管理和保养维修，提高机械设备使用效率，缩短工期，降低燃油机械废气排放。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szCs w:val="21"/>
                      <w:highlight w:val="none"/>
                    </w:rPr>
                  </w:pPr>
                  <w:r>
                    <w:rPr>
                      <w:rFonts w:hint="eastAsia"/>
                      <w:color w:val="auto"/>
                      <w:szCs w:val="21"/>
                      <w:highlight w:val="none"/>
                    </w:rPr>
                    <w:t>水环境保护措施</w:t>
                  </w:r>
                </w:p>
              </w:tc>
              <w:tc>
                <w:tcPr>
                  <w:tcW w:w="4346" w:type="pct"/>
                  <w:tcBorders>
                    <w:top w:val="single" w:color="auto" w:sz="4" w:space="0"/>
                    <w:left w:val="single" w:color="auto" w:sz="4" w:space="0"/>
                    <w:bottom w:val="single" w:color="auto" w:sz="4" w:space="0"/>
                    <w:right w:val="nil"/>
                  </w:tcBorders>
                  <w:vAlign w:val="center"/>
                </w:tcPr>
                <w:p>
                  <w:pPr>
                    <w:adjustRightInd w:val="0"/>
                    <w:snapToGrid w:val="0"/>
                    <w:jc w:val="left"/>
                    <w:rPr>
                      <w:color w:val="auto"/>
                      <w:szCs w:val="21"/>
                      <w:highlight w:val="none"/>
                    </w:rPr>
                  </w:pPr>
                  <w:r>
                    <w:rPr>
                      <w:rFonts w:hint="eastAsia" w:ascii="宋体" w:hAnsi="宋体" w:cs="宋体"/>
                      <w:color w:val="auto"/>
                      <w:szCs w:val="21"/>
                      <w:highlight w:val="none"/>
                    </w:rPr>
                    <w:t>①</w:t>
                  </w:r>
                  <w:r>
                    <w:rPr>
                      <w:rFonts w:hint="eastAsia"/>
                      <w:color w:val="auto"/>
                      <w:szCs w:val="21"/>
                      <w:highlight w:val="none"/>
                    </w:rPr>
                    <w:t>施工人员产生的生活污水依托周围现有设施收集处理。</w:t>
                  </w:r>
                </w:p>
                <w:p>
                  <w:pPr>
                    <w:rPr>
                      <w:rFonts w:ascii="宋体" w:hAnsi="宋体" w:cs="宋体"/>
                      <w:color w:val="auto"/>
                      <w:highlight w:val="none"/>
                    </w:rPr>
                  </w:pPr>
                  <w:r>
                    <w:rPr>
                      <w:rFonts w:hint="eastAsia" w:ascii="宋体" w:hAnsi="宋体" w:cs="宋体"/>
                      <w:color w:val="auto"/>
                      <w:highlight w:val="none"/>
                    </w:rPr>
                    <w:t>②</w:t>
                  </w:r>
                  <w:r>
                    <w:rPr>
                      <w:rFonts w:hint="eastAsia"/>
                      <w:color w:val="auto"/>
                      <w:kern w:val="0"/>
                      <w:szCs w:val="21"/>
                      <w:highlight w:val="none"/>
                    </w:rPr>
                    <w:t>跨越地表水体段，线路施工期间施工场地和施工临时堆土点尽量远离水体，并划定明确的施工范围，不得随意扩大，</w:t>
                  </w:r>
                  <w:r>
                    <w:rPr>
                      <w:rFonts w:hint="eastAsia" w:ascii="宋体" w:hAnsi="宋体" w:cs="宋体"/>
                      <w:color w:val="auto"/>
                      <w:highlight w:val="none"/>
                    </w:rPr>
                    <w:t>施工期间禁止向水体排放、倾倒垃圾、弃土、弃渣，禁止排放未经处理的钻浆等废弃物。</w:t>
                  </w:r>
                  <w:r>
                    <w:rPr>
                      <w:rFonts w:hint="eastAsia"/>
                      <w:color w:val="auto"/>
                      <w:kern w:val="0"/>
                      <w:szCs w:val="21"/>
                      <w:highlight w:val="none"/>
                    </w:rPr>
                    <w:t>严禁在河流清洗施工设备。</w:t>
                  </w:r>
                </w:p>
                <w:p>
                  <w:pPr>
                    <w:autoSpaceDE w:val="0"/>
                    <w:autoSpaceDN w:val="0"/>
                    <w:adjustRightInd w:val="0"/>
                    <w:snapToGrid w:val="0"/>
                    <w:jc w:val="left"/>
                    <w:rPr>
                      <w:color w:val="auto"/>
                      <w:kern w:val="0"/>
                      <w:szCs w:val="21"/>
                      <w:highlight w:val="none"/>
                    </w:rPr>
                  </w:pPr>
                  <w:r>
                    <w:rPr>
                      <w:rFonts w:hint="eastAsia" w:ascii="宋体" w:hAnsi="宋体" w:cs="宋体"/>
                      <w:color w:val="auto"/>
                      <w:szCs w:val="21"/>
                      <w:highlight w:val="none"/>
                    </w:rPr>
                    <w:t>③</w:t>
                  </w:r>
                  <w:r>
                    <w:rPr>
                      <w:rFonts w:hint="eastAsia"/>
                      <w:color w:val="auto"/>
                      <w:kern w:val="0"/>
                      <w:szCs w:val="21"/>
                      <w:highlight w:val="none"/>
                    </w:rPr>
                    <w:t>不在跨越河流岸边内设置牵张场、施工营地，塔基浇筑采用商品混凝土</w:t>
                  </w:r>
                  <w:r>
                    <w:rPr>
                      <w:rFonts w:hint="eastAsia"/>
                      <w:color w:val="auto"/>
                      <w:szCs w:val="21"/>
                      <w:highlight w:val="none"/>
                    </w:rPr>
                    <w:t>。</w:t>
                  </w:r>
                </w:p>
                <w:p>
                  <w:pPr>
                    <w:autoSpaceDE w:val="0"/>
                    <w:autoSpaceDN w:val="0"/>
                    <w:adjustRightInd w:val="0"/>
                    <w:snapToGrid w:val="0"/>
                    <w:jc w:val="left"/>
                    <w:rPr>
                      <w:color w:val="auto"/>
                      <w:szCs w:val="21"/>
                      <w:highlight w:val="none"/>
                    </w:rPr>
                  </w:pPr>
                  <w:r>
                    <w:rPr>
                      <w:rFonts w:hint="eastAsia" w:ascii="宋体" w:hAnsi="宋体" w:cs="宋体"/>
                      <w:color w:val="auto"/>
                      <w:szCs w:val="21"/>
                      <w:highlight w:val="none"/>
                    </w:rPr>
                    <w:t>④</w:t>
                  </w:r>
                  <w:r>
                    <w:rPr>
                      <w:rFonts w:hint="eastAsia"/>
                      <w:color w:val="auto"/>
                      <w:kern w:val="0"/>
                      <w:szCs w:val="21"/>
                      <w:highlight w:val="none"/>
                    </w:rPr>
                    <w:t>加强对施工现场使用带油的机械器具的检修和维护，采取措施防止跑、冒、滴、漏油；禁止向水体排放、倾倒垃圾、弃土、弃渣，禁止排放未经处理的钻浆等废弃物。</w:t>
                  </w:r>
                </w:p>
                <w:p>
                  <w:pPr>
                    <w:autoSpaceDE w:val="0"/>
                    <w:autoSpaceDN w:val="0"/>
                    <w:adjustRightInd w:val="0"/>
                    <w:snapToGrid w:val="0"/>
                    <w:jc w:val="left"/>
                    <w:rPr>
                      <w:color w:val="auto"/>
                      <w:kern w:val="0"/>
                      <w:szCs w:val="21"/>
                      <w:highlight w:val="none"/>
                    </w:rPr>
                  </w:pPr>
                  <w:r>
                    <w:rPr>
                      <w:rFonts w:hint="eastAsia" w:ascii="宋体" w:hAnsi="宋体" w:cs="宋体"/>
                      <w:color w:val="auto"/>
                      <w:szCs w:val="21"/>
                      <w:highlight w:val="none"/>
                    </w:rPr>
                    <w:t>⑤</w:t>
                  </w:r>
                  <w:r>
                    <w:rPr>
                      <w:rFonts w:hint="eastAsia"/>
                      <w:color w:val="auto"/>
                      <w:kern w:val="0"/>
                      <w:szCs w:val="21"/>
                      <w:highlight w:val="none"/>
                    </w:rPr>
                    <w:t>施工单位要落实文明施工原则，不漫排施工生产废水。施工期尽量避开雨季，土建施工尽量一次到位，避免重复开挖。对临时堆土进行拦挡、对施工区域做好临时排水措施，设置简易沉砂池，使产生的砂石料加工废水、施工废水经收集、沉砂、澄清处理后回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szCs w:val="21"/>
                      <w:highlight w:val="none"/>
                    </w:rPr>
                  </w:pPr>
                  <w:r>
                    <w:rPr>
                      <w:rFonts w:hint="eastAsia"/>
                      <w:color w:val="auto"/>
                      <w:szCs w:val="21"/>
                      <w:highlight w:val="none"/>
                    </w:rPr>
                    <w:t>声环境保护措施</w:t>
                  </w:r>
                </w:p>
              </w:tc>
              <w:tc>
                <w:tcPr>
                  <w:tcW w:w="4346" w:type="pct"/>
                  <w:tcBorders>
                    <w:top w:val="single" w:color="auto" w:sz="4" w:space="0"/>
                    <w:left w:val="single" w:color="auto" w:sz="4" w:space="0"/>
                    <w:bottom w:val="single" w:color="auto" w:sz="4" w:space="0"/>
                    <w:right w:val="nil"/>
                  </w:tcBorders>
                  <w:vAlign w:val="center"/>
                </w:tcPr>
                <w:p>
                  <w:pPr>
                    <w:autoSpaceDE w:val="0"/>
                    <w:autoSpaceDN w:val="0"/>
                    <w:adjustRightInd w:val="0"/>
                    <w:jc w:val="left"/>
                    <w:rPr>
                      <w:color w:val="auto"/>
                      <w:szCs w:val="21"/>
                      <w:highlight w:val="none"/>
                    </w:rPr>
                  </w:pPr>
                  <w:r>
                    <w:rPr>
                      <w:rFonts w:hint="eastAsia" w:ascii="宋体" w:hAnsi="宋体" w:cs="宋体"/>
                      <w:color w:val="auto"/>
                      <w:szCs w:val="21"/>
                      <w:highlight w:val="none"/>
                    </w:rPr>
                    <w:t>①</w:t>
                  </w:r>
                  <w:r>
                    <w:rPr>
                      <w:rFonts w:hint="eastAsia"/>
                      <w:color w:val="auto"/>
                      <w:kern w:val="0"/>
                      <w:szCs w:val="21"/>
                      <w:highlight w:val="none"/>
                    </w:rPr>
                    <w:t>尽量选用低噪声的施工设备，运输材料的车辆进入施工现场严禁鸣笛，装卸材料时应做到轻拿轻放。</w:t>
                  </w:r>
                  <w:r>
                    <w:rPr>
                      <w:rFonts w:hint="eastAsia"/>
                      <w:color w:val="auto"/>
                      <w:szCs w:val="21"/>
                      <w:highlight w:val="none"/>
                    </w:rPr>
                    <w:t>加强施工机械的维修保养，避免由于设备性能差而使机械噪声增大现象发生。</w:t>
                  </w:r>
                </w:p>
                <w:p>
                  <w:pPr>
                    <w:autoSpaceDE w:val="0"/>
                    <w:autoSpaceDN w:val="0"/>
                    <w:adjustRightInd w:val="0"/>
                    <w:jc w:val="left"/>
                    <w:rPr>
                      <w:color w:val="auto"/>
                      <w:szCs w:val="21"/>
                      <w:highlight w:val="none"/>
                    </w:rPr>
                  </w:pPr>
                  <w:r>
                    <w:rPr>
                      <w:rFonts w:hint="eastAsia" w:ascii="宋体" w:hAnsi="宋体" w:cs="宋体"/>
                      <w:color w:val="auto"/>
                      <w:szCs w:val="21"/>
                      <w:highlight w:val="none"/>
                    </w:rPr>
                    <w:t>②</w:t>
                  </w:r>
                  <w:r>
                    <w:rPr>
                      <w:rFonts w:hint="eastAsia"/>
                      <w:color w:val="auto"/>
                      <w:kern w:val="0"/>
                      <w:szCs w:val="21"/>
                      <w:highlight w:val="none"/>
                    </w:rPr>
                    <w:t>合理布置高噪声施工机械，采用噪声水平满足国家相应标准的施工机械设备或带隔声、消声的设备，控制设备噪声源强，必要时在施工场周围设置围栏或围墙以减小施工噪声影响。</w:t>
                  </w:r>
                </w:p>
                <w:p>
                  <w:pPr>
                    <w:autoSpaceDE w:val="0"/>
                    <w:autoSpaceDN w:val="0"/>
                    <w:adjustRightInd w:val="0"/>
                    <w:jc w:val="left"/>
                    <w:rPr>
                      <w:color w:val="auto"/>
                      <w:kern w:val="0"/>
                      <w:szCs w:val="21"/>
                      <w:highlight w:val="none"/>
                    </w:rPr>
                  </w:pPr>
                  <w:r>
                    <w:rPr>
                      <w:rFonts w:hint="eastAsia" w:ascii="宋体" w:hAnsi="宋体" w:cs="宋体"/>
                      <w:color w:val="auto"/>
                      <w:szCs w:val="21"/>
                      <w:highlight w:val="none"/>
                    </w:rPr>
                    <w:t>③</w:t>
                  </w:r>
                  <w:r>
                    <w:rPr>
                      <w:rFonts w:hint="eastAsia"/>
                      <w:color w:val="auto"/>
                      <w:kern w:val="0"/>
                      <w:szCs w:val="21"/>
                      <w:highlight w:val="none"/>
                    </w:rPr>
                    <w:t>合理安排施工时间，尽量避免夜间</w:t>
                  </w:r>
                  <w:r>
                    <w:rPr>
                      <w:rFonts w:hint="eastAsia"/>
                      <w:color w:val="auto"/>
                      <w:kern w:val="0"/>
                      <w:szCs w:val="21"/>
                      <w:highlight w:val="none"/>
                      <w:lang w:eastAsia="zh-CN"/>
                    </w:rPr>
                    <w:t>和午休段时间</w:t>
                  </w:r>
                  <w:r>
                    <w:rPr>
                      <w:rFonts w:hint="eastAsia"/>
                      <w:color w:val="auto"/>
                      <w:kern w:val="0"/>
                      <w:szCs w:val="21"/>
                      <w:highlight w:val="none"/>
                    </w:rPr>
                    <w:t>施工。如因工艺特殊情况要求，需在夜间施工而产生环境噪声污染时，应按《中华人民共和国环境噪声污染防治法》的规定，取得县区级以上人民政府或者其有关主管部门的证明，并公告附近居民。</w:t>
                  </w:r>
                </w:p>
                <w:p>
                  <w:pPr>
                    <w:adjustRightInd w:val="0"/>
                    <w:snapToGrid w:val="0"/>
                    <w:jc w:val="left"/>
                    <w:rPr>
                      <w:color w:val="auto"/>
                      <w:szCs w:val="21"/>
                      <w:highlight w:val="none"/>
                    </w:rPr>
                  </w:pPr>
                  <w:r>
                    <w:rPr>
                      <w:rFonts w:hint="eastAsia" w:ascii="宋体" w:hAnsi="宋体" w:cs="宋体"/>
                      <w:color w:val="auto"/>
                      <w:szCs w:val="21"/>
                      <w:highlight w:val="none"/>
                    </w:rPr>
                    <w:t>④</w:t>
                  </w:r>
                  <w:r>
                    <w:rPr>
                      <w:rFonts w:hint="eastAsia"/>
                      <w:color w:val="auto"/>
                      <w:kern w:val="0"/>
                      <w:szCs w:val="21"/>
                      <w:highlight w:val="none"/>
                    </w:rPr>
                    <w:t>加强施工车辆在施工区附近的交通管理，当车辆途经附近居民点时，限速行驶、不高音鸣号</w:t>
                  </w:r>
                  <w:r>
                    <w:rPr>
                      <w:rFonts w:hint="eastAsia"/>
                      <w:color w:val="auto"/>
                      <w:kern w:val="0"/>
                      <w:sz w:val="24"/>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tcBorders>
                    <w:top w:val="single" w:color="auto" w:sz="4" w:space="0"/>
                    <w:left w:val="nil"/>
                    <w:bottom w:val="single" w:color="auto" w:sz="12" w:space="0"/>
                    <w:right w:val="single" w:color="auto" w:sz="4" w:space="0"/>
                  </w:tcBorders>
                  <w:vAlign w:val="center"/>
                </w:tcPr>
                <w:p>
                  <w:pPr>
                    <w:adjustRightInd w:val="0"/>
                    <w:snapToGrid w:val="0"/>
                    <w:jc w:val="center"/>
                    <w:rPr>
                      <w:color w:val="auto"/>
                      <w:szCs w:val="21"/>
                      <w:highlight w:val="none"/>
                    </w:rPr>
                  </w:pPr>
                  <w:r>
                    <w:rPr>
                      <w:rFonts w:hint="eastAsia"/>
                      <w:color w:val="auto"/>
                      <w:szCs w:val="21"/>
                      <w:highlight w:val="none"/>
                    </w:rPr>
                    <w:t>固体废物处置</w:t>
                  </w:r>
                </w:p>
              </w:tc>
              <w:tc>
                <w:tcPr>
                  <w:tcW w:w="4346" w:type="pct"/>
                  <w:tcBorders>
                    <w:top w:val="single" w:color="auto" w:sz="4" w:space="0"/>
                    <w:left w:val="single" w:color="auto" w:sz="4" w:space="0"/>
                    <w:bottom w:val="single" w:color="auto" w:sz="12" w:space="0"/>
                    <w:right w:val="nil"/>
                  </w:tcBorders>
                  <w:vAlign w:val="center"/>
                </w:tcPr>
                <w:p>
                  <w:pPr>
                    <w:widowControl/>
                    <w:adjustRightInd w:val="0"/>
                    <w:snapToGrid w:val="0"/>
                    <w:jc w:val="left"/>
                    <w:rPr>
                      <w:color w:val="auto"/>
                      <w:szCs w:val="21"/>
                      <w:highlight w:val="none"/>
                    </w:rPr>
                  </w:pPr>
                  <w:r>
                    <w:rPr>
                      <w:rFonts w:hint="eastAsia" w:ascii="宋体" w:hAnsi="宋体" w:cs="宋体"/>
                      <w:color w:val="auto"/>
                      <w:szCs w:val="21"/>
                      <w:highlight w:val="none"/>
                    </w:rPr>
                    <w:t>①</w:t>
                  </w:r>
                  <w:r>
                    <w:rPr>
                      <w:rFonts w:hint="eastAsia"/>
                      <w:color w:val="auto"/>
                      <w:kern w:val="0"/>
                      <w:szCs w:val="21"/>
                      <w:highlight w:val="none"/>
                    </w:rPr>
                    <w:t>生活垃圾分类集中收集，定期运至环卫部门指定的地点处置，施工完成后及时做好迹地清理工作。</w:t>
                  </w:r>
                </w:p>
                <w:p>
                  <w:pPr>
                    <w:autoSpaceDE w:val="0"/>
                    <w:autoSpaceDN w:val="0"/>
                    <w:adjustRightInd w:val="0"/>
                    <w:jc w:val="left"/>
                    <w:rPr>
                      <w:color w:val="auto"/>
                      <w:szCs w:val="21"/>
                      <w:highlight w:val="none"/>
                    </w:rPr>
                  </w:pPr>
                  <w:r>
                    <w:rPr>
                      <w:rFonts w:hint="eastAsia" w:ascii="宋体" w:hAnsi="宋体" w:cs="宋体"/>
                      <w:color w:val="auto"/>
                      <w:szCs w:val="21"/>
                      <w:highlight w:val="none"/>
                    </w:rPr>
                    <w:t>②</w:t>
                  </w:r>
                  <w:r>
                    <w:rPr>
                      <w:rFonts w:hint="eastAsia"/>
                      <w:color w:val="auto"/>
                      <w:kern w:val="0"/>
                      <w:szCs w:val="21"/>
                      <w:highlight w:val="none"/>
                    </w:rPr>
                    <w:t>临时土石方集中堆放、及时回填。剥离的表土全部回覆项目区表层用于植被恢复或复耕。</w:t>
                  </w:r>
                  <w:r>
                    <w:rPr>
                      <w:rFonts w:hint="eastAsia"/>
                      <w:color w:val="auto"/>
                      <w:szCs w:val="21"/>
                      <w:highlight w:val="none"/>
                    </w:rPr>
                    <w:t>基础挖方回填或就近于低</w:t>
                  </w:r>
                  <w:r>
                    <w:rPr>
                      <w:rFonts w:hint="eastAsia"/>
                      <w:color w:val="auto"/>
                      <w:kern w:val="24"/>
                      <w:szCs w:val="21"/>
                      <w:highlight w:val="none"/>
                      <w:lang w:val="it-IT"/>
                    </w:rPr>
                    <w:t>洼处夯实</w:t>
                  </w:r>
                  <w:r>
                    <w:rPr>
                      <w:rFonts w:hint="eastAsia"/>
                      <w:color w:val="auto"/>
                      <w:szCs w:val="21"/>
                      <w:highlight w:val="none"/>
                    </w:rPr>
                    <w:t>，</w:t>
                  </w:r>
                  <w:r>
                    <w:rPr>
                      <w:rFonts w:hint="eastAsia" w:hAnsi="宋体"/>
                      <w:color w:val="auto"/>
                      <w:szCs w:val="21"/>
                      <w:highlight w:val="none"/>
                    </w:rPr>
                    <w:t>无法回填钻渣、泥浆等运至附近合法渣场处置</w:t>
                  </w:r>
                  <w:r>
                    <w:rPr>
                      <w:rFonts w:hint="eastAsia"/>
                      <w:color w:val="auto"/>
                      <w:kern w:val="0"/>
                      <w:szCs w:val="21"/>
                      <w:highlight w:val="none"/>
                    </w:rPr>
                    <w:t>。</w:t>
                  </w:r>
                </w:p>
                <w:p>
                  <w:pPr>
                    <w:widowControl/>
                    <w:jc w:val="left"/>
                    <w:rPr>
                      <w:color w:val="auto"/>
                      <w:kern w:val="0"/>
                      <w:szCs w:val="21"/>
                      <w:highlight w:val="none"/>
                    </w:rPr>
                  </w:pPr>
                  <w:r>
                    <w:rPr>
                      <w:rFonts w:hint="eastAsia" w:ascii="宋体" w:hAnsi="宋体" w:cs="宋体"/>
                      <w:color w:val="auto"/>
                      <w:szCs w:val="21"/>
                      <w:highlight w:val="none"/>
                    </w:rPr>
                    <w:t>③</w:t>
                  </w:r>
                  <w:r>
                    <w:rPr>
                      <w:rFonts w:hint="eastAsia"/>
                      <w:color w:val="auto"/>
                      <w:kern w:val="0"/>
                      <w:szCs w:val="21"/>
                      <w:highlight w:val="none"/>
                    </w:rPr>
                    <w:t>限制施工范围，不在施工范围外乱倒乱压植被。</w:t>
                  </w:r>
                  <w:r>
                    <w:rPr>
                      <w:rFonts w:hint="eastAsia" w:ascii="宋体" w:hAnsi="宋体" w:cs="宋体"/>
                      <w:color w:val="auto"/>
                      <w:kern w:val="0"/>
                      <w:szCs w:val="21"/>
                      <w:highlight w:val="none"/>
                    </w:rPr>
                    <w:t>在农田和经济作物区施工时，施工临时占地宜采取隔离保护措施，施工结束后应将混凝土余料和残渣及时清除，以免影响后期土地功能的恢复。</w:t>
                  </w:r>
                </w:p>
              </w:tc>
            </w:tr>
          </w:tbl>
          <w:p>
            <w:pPr>
              <w:pStyle w:val="35"/>
              <w:adjustRightInd w:val="0"/>
              <w:snapToGrid w:val="0"/>
              <w:spacing w:before="120" w:beforeLines="50"/>
              <w:ind w:firstLine="480" w:firstLineChars="200"/>
              <w:rPr>
                <w:rFonts w:ascii="Times New Roman" w:hAnsi="Times New Roman" w:cs="Times New Roman" w:eastAsiaTheme="minorEastAsia"/>
                <w:color w:val="auto"/>
                <w:highlight w:val="none"/>
              </w:rPr>
            </w:pPr>
            <w:r>
              <w:rPr>
                <w:rFonts w:hint="eastAsia" w:ascii="Times New Roman" w:hAnsi="Times New Roman" w:cs="Times New Roman"/>
                <w:color w:val="auto"/>
                <w:highlight w:val="none"/>
              </w:rPr>
              <w:t>以上措施的实施单位是施工单位，以上措施已广泛应用于输电线路建设，措施经济技术可行，且满足《输变电建设项目环境保护技术要求》（</w:t>
            </w:r>
            <w:r>
              <w:rPr>
                <w:rFonts w:ascii="Times New Roman" w:hAnsi="Times New Roman" w:cs="Times New Roman"/>
                <w:color w:val="auto"/>
                <w:highlight w:val="none"/>
              </w:rPr>
              <w:t>HJ1113-2020</w:t>
            </w:r>
            <w:r>
              <w:rPr>
                <w:rFonts w:hint="eastAsia" w:ascii="Times New Roman" w:hAnsi="Times New Roman" w:cs="Times New Roman"/>
                <w:color w:val="auto"/>
                <w:highlight w:val="none"/>
              </w:rPr>
              <w:t>）中对大气环境的保护要求。</w:t>
            </w:r>
          </w:p>
          <w:p>
            <w:pPr>
              <w:adjustRightInd w:val="0"/>
              <w:snapToGrid w:val="0"/>
              <w:spacing w:line="360" w:lineRule="auto"/>
              <w:rPr>
                <w:b/>
                <w:color w:val="auto"/>
                <w:spacing w:val="10"/>
                <w:sz w:val="24"/>
                <w:highlight w:val="none"/>
              </w:rPr>
            </w:pPr>
            <w:r>
              <w:rPr>
                <w:b/>
                <w:color w:val="auto"/>
                <w:spacing w:val="10"/>
                <w:sz w:val="24"/>
                <w:highlight w:val="none"/>
              </w:rPr>
              <w:t xml:space="preserve">5.2 </w:t>
            </w:r>
            <w:r>
              <w:rPr>
                <w:rFonts w:hint="eastAsia"/>
                <w:b/>
                <w:color w:val="auto"/>
                <w:spacing w:val="10"/>
                <w:sz w:val="24"/>
                <w:highlight w:val="none"/>
              </w:rPr>
              <w:t>施工期拟采取的生态环境保护措施</w:t>
            </w:r>
          </w:p>
          <w:p>
            <w:pPr>
              <w:autoSpaceDE w:val="0"/>
              <w:autoSpaceDN w:val="0"/>
              <w:spacing w:line="360" w:lineRule="auto"/>
              <w:ind w:firstLine="480" w:firstLineChars="200"/>
              <w:rPr>
                <w:color w:val="auto"/>
                <w:kern w:val="0"/>
                <w:sz w:val="24"/>
                <w:highlight w:val="none"/>
              </w:rPr>
            </w:pPr>
            <w:r>
              <w:rPr>
                <w:rFonts w:hint="eastAsia"/>
                <w:color w:val="auto"/>
                <w:sz w:val="24"/>
                <w:highlight w:val="none"/>
              </w:rPr>
              <w:t>施工期间施工单位落实设计文件、环评文件及审批决定提出的各项环保要求；项目施工合同中明确各项环保要求；各项措施和设施施工安装质量符合有关文件要求；做好施工规划，控制施工范围，优化施工季节和施工方式，开展环保培训特别是生态环境保护培训，进行文明施工。</w:t>
            </w:r>
          </w:p>
          <w:p>
            <w:pPr>
              <w:pStyle w:val="66"/>
              <w:spacing w:line="360" w:lineRule="auto"/>
              <w:ind w:firstLine="480" w:firstLineChars="200"/>
              <w:jc w:val="both"/>
              <w:rPr>
                <w:bCs/>
                <w:color w:val="auto"/>
                <w:highlight w:val="none"/>
              </w:rPr>
            </w:pPr>
            <w:r>
              <w:rPr>
                <w:rFonts w:hint="eastAsia"/>
                <w:b w:val="0"/>
                <w:bCs/>
                <w:color w:val="auto"/>
                <w:highlight w:val="none"/>
              </w:rPr>
              <w:t>（</w:t>
            </w:r>
            <w:r>
              <w:rPr>
                <w:b w:val="0"/>
                <w:bCs/>
                <w:color w:val="auto"/>
                <w:highlight w:val="none"/>
              </w:rPr>
              <w:t>1</w:t>
            </w:r>
            <w:r>
              <w:rPr>
                <w:rFonts w:hint="eastAsia"/>
                <w:b w:val="0"/>
                <w:bCs/>
                <w:color w:val="auto"/>
                <w:highlight w:val="none"/>
              </w:rPr>
              <w:t>）</w:t>
            </w:r>
            <w:r>
              <w:rPr>
                <w:rFonts w:hint="eastAsia"/>
                <w:bCs/>
                <w:color w:val="auto"/>
                <w:highlight w:val="none"/>
              </w:rPr>
              <w:t>合理规划施工场地，限制施工范围</w:t>
            </w:r>
          </w:p>
          <w:p>
            <w:pPr>
              <w:pStyle w:val="66"/>
              <w:spacing w:line="360" w:lineRule="auto"/>
              <w:ind w:firstLine="480" w:firstLineChars="200"/>
              <w:jc w:val="both"/>
              <w:rPr>
                <w:rFonts w:cs="宋体"/>
                <w:color w:val="auto"/>
                <w:highlight w:val="none"/>
              </w:rPr>
            </w:pPr>
            <w:r>
              <w:rPr>
                <w:rFonts w:hint="eastAsia" w:cs="宋体"/>
                <w:color w:val="auto"/>
                <w:highlight w:val="none"/>
              </w:rPr>
              <w:t>①</w:t>
            </w:r>
            <w:r>
              <w:rPr>
                <w:rFonts w:hint="eastAsia" w:cs="宋体"/>
                <w:color w:val="auto"/>
                <w:highlight w:val="none"/>
                <w:lang w:val="it-IT"/>
              </w:rPr>
              <w:t>严格控制施工范围，变电站、塔基建设预先划定施工范围，禁止在划定的施工范围外开展施工活动，减少对树木的砍伐和植物的踩踏。</w:t>
            </w:r>
          </w:p>
          <w:p>
            <w:pPr>
              <w:pStyle w:val="66"/>
              <w:spacing w:line="360" w:lineRule="auto"/>
              <w:ind w:firstLine="480" w:firstLineChars="200"/>
              <w:jc w:val="both"/>
              <w:rPr>
                <w:rFonts w:cs="宋体"/>
                <w:color w:val="auto"/>
                <w:highlight w:val="none"/>
              </w:rPr>
            </w:pPr>
            <w:r>
              <w:rPr>
                <w:rFonts w:hint="eastAsia" w:cs="宋体"/>
                <w:color w:val="auto"/>
                <w:highlight w:val="none"/>
              </w:rPr>
              <w:t>②临时占地尽量设置在平坦或坡度较缓地带，以满足布置设备、布置导线及施工操作要求，减少沿线生态环境的影响，尽量选择线路沿线交通较为便利的现有空地，尽量避开茂密林地、旱地、</w:t>
            </w:r>
            <w:r>
              <w:rPr>
                <w:rFonts w:hint="eastAsia" w:cs="宋体"/>
                <w:color w:val="auto"/>
                <w:highlight w:val="none"/>
                <w:lang w:eastAsia="zh-CN"/>
              </w:rPr>
              <w:t>水田</w:t>
            </w:r>
            <w:r>
              <w:rPr>
                <w:rFonts w:hint="eastAsia" w:cs="宋体"/>
                <w:color w:val="auto"/>
                <w:highlight w:val="none"/>
              </w:rPr>
              <w:t>，合理规划进出场施工通道，减少对植被的踩踏，设置施工简易围栏限制施工范围。</w:t>
            </w:r>
          </w:p>
          <w:p>
            <w:pPr>
              <w:pStyle w:val="66"/>
              <w:spacing w:line="360" w:lineRule="auto"/>
              <w:ind w:firstLine="480" w:firstLineChars="200"/>
              <w:jc w:val="both"/>
              <w:rPr>
                <w:rFonts w:cs="宋体"/>
                <w:color w:val="auto"/>
                <w:highlight w:val="none"/>
              </w:rPr>
            </w:pPr>
            <w:r>
              <w:rPr>
                <w:rFonts w:hint="eastAsia" w:cs="宋体"/>
                <w:color w:val="auto"/>
                <w:highlight w:val="none"/>
              </w:rPr>
              <w:t>③优化牵张场设置：根据架线施工工艺要求，牵张场选择在地势平缓，交通条件良好的地点，尽可能采取铺设铁皮等方式，减少对地表的扰动。根据现场需要，在牵张场四周或适当位置设置截排水沟，减少水土流失，牵张场使用完毕后，及时进行土地整治，修复原有土地类型。</w:t>
            </w:r>
          </w:p>
          <w:p>
            <w:pPr>
              <w:pStyle w:val="66"/>
              <w:spacing w:line="360" w:lineRule="auto"/>
              <w:ind w:firstLine="480" w:firstLineChars="200"/>
              <w:jc w:val="both"/>
              <w:rPr>
                <w:color w:val="auto"/>
                <w:szCs w:val="24"/>
                <w:highlight w:val="none"/>
              </w:rPr>
            </w:pPr>
            <w:r>
              <w:rPr>
                <w:rFonts w:cs="宋体"/>
                <w:color w:val="auto"/>
                <w:highlight w:val="none"/>
              </w:rPr>
              <w:fldChar w:fldCharType="begin"/>
            </w:r>
            <w:r>
              <w:rPr>
                <w:rFonts w:cs="宋体"/>
                <w:color w:val="auto"/>
                <w:highlight w:val="none"/>
              </w:rPr>
              <w:instrText xml:space="preserve"> = 4 \* GB3 </w:instrText>
            </w:r>
            <w:r>
              <w:rPr>
                <w:rFonts w:cs="宋体"/>
                <w:color w:val="auto"/>
                <w:highlight w:val="none"/>
              </w:rPr>
              <w:fldChar w:fldCharType="separate"/>
            </w:r>
            <w:r>
              <w:rPr>
                <w:rFonts w:hint="eastAsia" w:cs="宋体"/>
                <w:color w:val="auto"/>
                <w:highlight w:val="none"/>
              </w:rPr>
              <w:t>④</w:t>
            </w:r>
            <w:r>
              <w:rPr>
                <w:rFonts w:cs="宋体"/>
                <w:color w:val="auto"/>
                <w:highlight w:val="none"/>
              </w:rPr>
              <w:fldChar w:fldCharType="end"/>
            </w:r>
            <w:r>
              <w:rPr>
                <w:rFonts w:hint="eastAsia"/>
                <w:bCs/>
                <w:color w:val="auto"/>
                <w:highlight w:val="none"/>
              </w:rPr>
              <w:t>尽量利用原有道路：材料的运输要充分利用现有道路，尽量减少对植被的破坏，将材料运输到施工现场时，考虑到对植被以及生态系统完整性的保护，优选塔基附近的空地、裸地堆放材料，避免多次搬运踩踏植被，临时材料堆放需做好地面铺垫工作，减少砂石、水泥洒落，采取遮盖及防雨工作。</w:t>
            </w:r>
          </w:p>
          <w:p>
            <w:pPr>
              <w:pStyle w:val="66"/>
              <w:spacing w:line="360" w:lineRule="auto"/>
              <w:ind w:firstLine="480" w:firstLineChars="200"/>
              <w:jc w:val="both"/>
              <w:rPr>
                <w:color w:val="auto"/>
                <w:szCs w:val="24"/>
                <w:highlight w:val="none"/>
              </w:rPr>
            </w:pPr>
            <w:r>
              <w:rPr>
                <w:rFonts w:hint="eastAsia"/>
                <w:color w:val="auto"/>
                <w:highlight w:val="none"/>
              </w:rPr>
              <w:t>人抬道路充分利用原有的林间小道和机耕道，部分不能到达塔基区路段才新开辟临时的人抬道路。选择人抬道路路线以“方便搬运、线路最短、无需建设、破坏最小”为原则。人抬道路修筑主要是清除阻碍通行的植被，土石方挖填活动很小，不需采取防护性工程措施，对施工过程因通行扰动地表引发的水土流失，采取加强施工管理加以防范。施工通行严格控制在人抬道路的占地范围内，禁止随意穿行和破坏占地范围之外的地表植被，减少施工通行和材料搬运对道路周边环境的影响。</w:t>
            </w:r>
          </w:p>
          <w:p>
            <w:pPr>
              <w:pStyle w:val="66"/>
              <w:spacing w:line="360" w:lineRule="auto"/>
              <w:ind w:firstLine="480" w:firstLineChars="200"/>
              <w:jc w:val="both"/>
              <w:rPr>
                <w:bCs/>
                <w:color w:val="auto"/>
                <w:highlight w:val="none"/>
              </w:rPr>
            </w:pPr>
            <w:r>
              <w:rPr>
                <w:rFonts w:hint="eastAsia"/>
                <w:bCs/>
                <w:color w:val="auto"/>
                <w:highlight w:val="none"/>
                <w:lang w:eastAsia="zh-CN"/>
              </w:rPr>
              <w:t>（</w:t>
            </w:r>
            <w:r>
              <w:rPr>
                <w:bCs/>
                <w:color w:val="auto"/>
                <w:highlight w:val="none"/>
              </w:rPr>
              <w:t>2</w:t>
            </w:r>
            <w:r>
              <w:rPr>
                <w:rFonts w:hint="eastAsia"/>
                <w:bCs/>
                <w:color w:val="auto"/>
                <w:highlight w:val="none"/>
              </w:rPr>
              <w:t>）合理安排施工工序：尽量避开在暴雨时段开挖土方，对于变电站、塔基开挖临时堆土和开挖裸露面，采用防雨薄膜或彩条布进行覆盖，防止或减少雨水冲刷；临时堆土及施工工区设置布设填土编织袋及排水沟，排水系统并保持畅通；回填方及时夯实，完工后及时清理施工现场并恢复植被。工程施工过程中尽量保护生态的原貌，减少对生态的扰动与破坏。</w:t>
            </w:r>
          </w:p>
          <w:p>
            <w:pPr>
              <w:pStyle w:val="66"/>
              <w:spacing w:line="360" w:lineRule="auto"/>
              <w:ind w:firstLine="480" w:firstLineChars="200"/>
              <w:jc w:val="both"/>
              <w:rPr>
                <w:color w:val="auto"/>
                <w:szCs w:val="24"/>
                <w:highlight w:val="none"/>
              </w:rPr>
            </w:pPr>
            <w:r>
              <w:rPr>
                <w:rFonts w:hint="eastAsia"/>
                <w:bCs/>
                <w:color w:val="auto"/>
                <w:highlight w:val="none"/>
                <w:lang w:eastAsia="zh-CN"/>
              </w:rPr>
              <w:t>（</w:t>
            </w:r>
            <w:r>
              <w:rPr>
                <w:bCs/>
                <w:color w:val="auto"/>
                <w:highlight w:val="none"/>
              </w:rPr>
              <w:t>3</w:t>
            </w:r>
            <w:r>
              <w:rPr>
                <w:rFonts w:hint="eastAsia"/>
                <w:bCs/>
                <w:color w:val="auto"/>
                <w:highlight w:val="none"/>
              </w:rPr>
              <w:t>）采用先进的</w:t>
            </w:r>
            <w:r>
              <w:rPr>
                <w:rFonts w:hint="eastAsia"/>
                <w:bCs/>
                <w:color w:val="auto"/>
                <w:highlight w:val="none"/>
                <w:lang w:eastAsia="zh-CN"/>
              </w:rPr>
              <w:t>施工工艺，</w:t>
            </w:r>
            <w:r>
              <w:rPr>
                <w:rFonts w:hint="eastAsia"/>
                <w:bCs/>
                <w:color w:val="auto"/>
                <w:highlight w:val="none"/>
              </w:rPr>
              <w:t>组塔方式和架线工艺</w:t>
            </w:r>
            <w:r>
              <w:rPr>
                <w:rFonts w:hint="eastAsia"/>
                <w:bCs/>
                <w:color w:val="auto"/>
                <w:highlight w:val="none"/>
                <w:lang w:eastAsia="zh-CN"/>
              </w:rPr>
              <w:t>，</w:t>
            </w:r>
            <w:r>
              <w:rPr>
                <w:rFonts w:hint="eastAsia"/>
                <w:color w:val="auto"/>
                <w:szCs w:val="24"/>
                <w:highlight w:val="none"/>
              </w:rPr>
              <w:t>使用无人机进行初级牵引绳展放。</w:t>
            </w:r>
          </w:p>
          <w:p>
            <w:pPr>
              <w:pStyle w:val="66"/>
              <w:spacing w:line="360" w:lineRule="auto"/>
              <w:ind w:firstLine="480" w:firstLineChars="200"/>
              <w:jc w:val="both"/>
              <w:rPr>
                <w:bCs/>
                <w:color w:val="auto"/>
                <w:highlight w:val="none"/>
              </w:rPr>
            </w:pPr>
            <w:r>
              <w:rPr>
                <w:rFonts w:hint="eastAsia"/>
                <w:bCs/>
                <w:color w:val="auto"/>
                <w:highlight w:val="none"/>
                <w:lang w:eastAsia="zh-CN"/>
              </w:rPr>
              <w:t>（</w:t>
            </w:r>
            <w:r>
              <w:rPr>
                <w:bCs/>
                <w:color w:val="auto"/>
                <w:highlight w:val="none"/>
              </w:rPr>
              <w:t>4</w:t>
            </w:r>
            <w:r>
              <w:rPr>
                <w:rFonts w:hint="eastAsia"/>
                <w:bCs/>
                <w:color w:val="auto"/>
                <w:highlight w:val="none"/>
              </w:rPr>
              <w:t>）植物保护措施</w:t>
            </w:r>
          </w:p>
          <w:p>
            <w:pPr>
              <w:spacing w:line="360" w:lineRule="auto"/>
              <w:ind w:firstLine="480" w:firstLineChars="200"/>
              <w:rPr>
                <w:bCs/>
                <w:color w:val="auto"/>
                <w:sz w:val="24"/>
                <w:highlight w:val="none"/>
              </w:rPr>
            </w:pPr>
            <w:r>
              <w:rPr>
                <w:rFonts w:hint="eastAsia"/>
                <w:bCs/>
                <w:color w:val="auto"/>
                <w:sz w:val="24"/>
                <w:highlight w:val="none"/>
              </w:rPr>
              <w:t>在施工前对施工人员进行保护植物相关知识的培训，提高施工人员对其的保护意识及鉴别能力，在施工中对施工人员进行教育和监督，严禁在植被较好的区域毁林采石、采砂、采土以及其他毁林行为。</w:t>
            </w:r>
          </w:p>
          <w:p>
            <w:pPr>
              <w:spacing w:line="360" w:lineRule="auto"/>
              <w:ind w:firstLine="420" w:firstLineChars="200"/>
              <w:rPr>
                <w:color w:val="auto"/>
                <w:sz w:val="24"/>
                <w:highlight w:val="none"/>
              </w:rPr>
            </w:pPr>
            <w:r>
              <w:rPr>
                <w:rFonts w:hint="eastAsia"/>
                <w:bCs/>
                <w:color w:val="auto"/>
                <w:highlight w:val="none"/>
                <w:lang w:eastAsia="zh-CN"/>
              </w:rPr>
              <w:t>（</w:t>
            </w:r>
            <w:r>
              <w:rPr>
                <w:color w:val="auto"/>
                <w:sz w:val="24"/>
                <w:highlight w:val="none"/>
              </w:rPr>
              <w:t>5</w:t>
            </w:r>
            <w:r>
              <w:rPr>
                <w:rFonts w:hint="eastAsia"/>
                <w:color w:val="auto"/>
                <w:sz w:val="24"/>
                <w:highlight w:val="none"/>
              </w:rPr>
              <w:t>）动物保护措施</w:t>
            </w:r>
          </w:p>
          <w:p>
            <w:pPr>
              <w:spacing w:line="360" w:lineRule="auto"/>
              <w:ind w:firstLine="480" w:firstLineChars="200"/>
              <w:rPr>
                <w:color w:val="auto"/>
                <w:sz w:val="24"/>
                <w:highlight w:val="none"/>
              </w:rPr>
            </w:pPr>
            <w:r>
              <w:rPr>
                <w:rFonts w:hint="eastAsia"/>
                <w:color w:val="auto"/>
                <w:sz w:val="24"/>
                <w:highlight w:val="none"/>
              </w:rPr>
              <w:t>严禁在施工区及其周围捕猎野生动物和破坏动物生境，施工过程中若遇到鸟、蛇等动物的卵要妥善移置到附近类似的环境中；</w:t>
            </w:r>
            <w:r>
              <w:rPr>
                <w:rFonts w:hint="eastAsia"/>
                <w:bCs/>
                <w:color w:val="auto"/>
                <w:sz w:val="24"/>
                <w:highlight w:val="none"/>
              </w:rPr>
              <w:t>施工过程中遇到的幼兽、幼鸟、卵等未发育、未成熟个体，在林业局或其他保护部门的专业人员指导下妥善安置。</w:t>
            </w:r>
            <w:r>
              <w:rPr>
                <w:rFonts w:hint="eastAsia"/>
                <w:color w:val="auto"/>
                <w:sz w:val="24"/>
                <w:highlight w:val="none"/>
              </w:rPr>
              <w:t>减少施工噪声对野生动物的干扰，土石方开挖时多采用人工的方式，特殊地质需要少量采用机械的方式，不采用大爆破的方法；减少夜间作业，避免灯光、噪声对夜间动物活动的惊扰。</w:t>
            </w:r>
          </w:p>
          <w:p>
            <w:pPr>
              <w:adjustRightInd w:val="0"/>
              <w:snapToGrid w:val="0"/>
              <w:spacing w:line="360" w:lineRule="auto"/>
              <w:ind w:firstLine="420" w:firstLineChars="200"/>
              <w:rPr>
                <w:color w:val="auto"/>
                <w:sz w:val="24"/>
                <w:highlight w:val="none"/>
              </w:rPr>
            </w:pPr>
            <w:r>
              <w:rPr>
                <w:rFonts w:hint="eastAsia"/>
                <w:bCs/>
                <w:color w:val="auto"/>
                <w:highlight w:val="none"/>
                <w:lang w:eastAsia="zh-CN"/>
              </w:rPr>
              <w:t>（</w:t>
            </w:r>
            <w:r>
              <w:rPr>
                <w:color w:val="auto"/>
                <w:sz w:val="24"/>
                <w:highlight w:val="none"/>
              </w:rPr>
              <w:t>6</w:t>
            </w:r>
            <w:r>
              <w:rPr>
                <w:rFonts w:hint="eastAsia"/>
                <w:color w:val="auto"/>
                <w:sz w:val="24"/>
                <w:highlight w:val="none"/>
              </w:rPr>
              <w:t>）加强管护，控制水土流失</w:t>
            </w:r>
          </w:p>
          <w:p>
            <w:pPr>
              <w:adjustRightInd w:val="0"/>
              <w:snapToGrid w:val="0"/>
              <w:spacing w:line="360" w:lineRule="auto"/>
              <w:ind w:firstLine="480" w:firstLineChars="200"/>
              <w:rPr>
                <w:color w:val="auto"/>
                <w:sz w:val="24"/>
                <w:highlight w:val="none"/>
              </w:rPr>
            </w:pPr>
            <w:r>
              <w:rPr>
                <w:rFonts w:hint="default" w:ascii="Calibri" w:hAnsi="Calibri" w:cs="Calibri"/>
                <w:color w:val="auto"/>
                <w:sz w:val="24"/>
                <w:highlight w:val="none"/>
              </w:rPr>
              <w:t>①</w:t>
            </w:r>
            <w:r>
              <w:rPr>
                <w:rFonts w:hint="eastAsia"/>
                <w:color w:val="auto"/>
                <w:sz w:val="24"/>
                <w:highlight w:val="none"/>
              </w:rPr>
              <w:t>加强施工管理，防止乱挖乱弃，严禁将开挖土方顺坡倾倒。</w:t>
            </w:r>
          </w:p>
          <w:p>
            <w:pPr>
              <w:adjustRightInd w:val="0"/>
              <w:snapToGrid w:val="0"/>
              <w:spacing w:line="360" w:lineRule="auto"/>
              <w:ind w:firstLine="480" w:firstLineChars="200"/>
              <w:rPr>
                <w:color w:val="auto"/>
                <w:sz w:val="24"/>
                <w:highlight w:val="none"/>
              </w:rPr>
            </w:pPr>
            <w:r>
              <w:rPr>
                <w:rFonts w:hint="eastAsia"/>
                <w:color w:val="auto"/>
                <w:sz w:val="24"/>
                <w:highlight w:val="none"/>
              </w:rPr>
              <w:t>②工程表层剥离土与基坑开挖土方分开放置，表层土作为植被修复或复耕用土。基面开挖严格执行设计规定，将对植被的破坏减少到最低程度，在工程③完工后对植被进行恢复。</w:t>
            </w:r>
          </w:p>
          <w:p>
            <w:pPr>
              <w:adjustRightInd w:val="0"/>
              <w:snapToGrid w:val="0"/>
              <w:spacing w:line="360" w:lineRule="auto"/>
              <w:ind w:firstLine="480" w:firstLineChars="200"/>
              <w:rPr>
                <w:color w:val="auto"/>
                <w:sz w:val="24"/>
                <w:highlight w:val="none"/>
              </w:rPr>
            </w:pPr>
            <w:r>
              <w:rPr>
                <w:rFonts w:hint="eastAsia"/>
                <w:color w:val="auto"/>
                <w:sz w:val="24"/>
                <w:highlight w:val="none"/>
              </w:rPr>
              <w:t>变电站场地、塔基基面避免大开挖，尽可能保持自然地形、地貌。严格按设计做好变电站施工区、塔基施工区的排水系统，变电站设置截排水沟，塔基和塔腿做成龟背型或斜面，形成自然排水，对可能出现的汇水面，开挖排水沟。</w:t>
            </w:r>
          </w:p>
          <w:p>
            <w:pPr>
              <w:adjustRightInd w:val="0"/>
              <w:snapToGrid w:val="0"/>
              <w:spacing w:line="360" w:lineRule="auto"/>
              <w:ind w:firstLine="480" w:firstLineChars="200"/>
              <w:rPr>
                <w:color w:val="auto"/>
                <w:sz w:val="24"/>
                <w:highlight w:val="none"/>
              </w:rPr>
            </w:pPr>
            <w:r>
              <w:rPr>
                <w:rFonts w:hint="eastAsia"/>
                <w:color w:val="auto"/>
                <w:sz w:val="24"/>
                <w:highlight w:val="none"/>
              </w:rPr>
              <w:t>④按设计要求进行接地施工，并根据塔位实际情况合理布置接地体，防止由于接地开挖不当造成塔位附近冲沟发育或形成新的冲沟现象及破坏塔基地质构造。</w:t>
            </w:r>
          </w:p>
          <w:p>
            <w:pPr>
              <w:pStyle w:val="66"/>
              <w:spacing w:line="360" w:lineRule="auto"/>
              <w:ind w:firstLine="480" w:firstLineChars="200"/>
              <w:jc w:val="both"/>
              <w:rPr>
                <w:bCs/>
                <w:color w:val="auto"/>
                <w:highlight w:val="none"/>
              </w:rPr>
            </w:pPr>
            <w:r>
              <w:rPr>
                <w:rFonts w:hint="eastAsia"/>
                <w:bCs/>
                <w:color w:val="auto"/>
                <w:highlight w:val="none"/>
                <w:lang w:eastAsia="zh-CN"/>
              </w:rPr>
              <w:t>（</w:t>
            </w:r>
            <w:r>
              <w:rPr>
                <w:bCs/>
                <w:color w:val="auto"/>
                <w:highlight w:val="none"/>
              </w:rPr>
              <w:t>7</w:t>
            </w:r>
            <w:r>
              <w:rPr>
                <w:rFonts w:hint="eastAsia"/>
                <w:bCs/>
                <w:color w:val="auto"/>
                <w:highlight w:val="none"/>
              </w:rPr>
              <w:t>）施工区使用完毕，施工单位必须将除塔腿局部以外的地表建筑物及硬化地面全部拆除，对变电站施工区域、塔基区及塔基施工场地区域进行清理，做到“工完、料尽、场地清”，</w:t>
            </w:r>
            <w:r>
              <w:rPr>
                <w:rFonts w:hint="eastAsia"/>
                <w:bCs/>
                <w:color w:val="auto"/>
                <w:highlight w:val="none"/>
                <w:lang w:val="it-IT"/>
              </w:rPr>
              <w:t>施工结束后，根据原有土地性质植草、复耕等，修复生态环境，</w:t>
            </w:r>
            <w:r>
              <w:rPr>
                <w:rFonts w:hint="eastAsia"/>
                <w:bCs/>
                <w:color w:val="auto"/>
                <w:highlight w:val="none"/>
              </w:rPr>
              <w:t>按照</w:t>
            </w:r>
            <w:r>
              <w:rPr>
                <w:bCs/>
                <w:color w:val="auto"/>
                <w:highlight w:val="none"/>
              </w:rPr>
              <w:t>“</w:t>
            </w:r>
            <w:r>
              <w:rPr>
                <w:rFonts w:hint="eastAsia"/>
                <w:bCs/>
                <w:color w:val="auto"/>
                <w:highlight w:val="none"/>
              </w:rPr>
              <w:t>适地适树</w:t>
            </w:r>
            <w:r>
              <w:rPr>
                <w:bCs/>
                <w:color w:val="auto"/>
                <w:highlight w:val="none"/>
              </w:rPr>
              <w:t>”</w:t>
            </w:r>
            <w:r>
              <w:rPr>
                <w:rFonts w:hint="eastAsia"/>
                <w:bCs/>
                <w:color w:val="auto"/>
                <w:highlight w:val="none"/>
              </w:rPr>
              <w:t>和</w:t>
            </w:r>
            <w:r>
              <w:rPr>
                <w:bCs/>
                <w:color w:val="auto"/>
                <w:highlight w:val="none"/>
              </w:rPr>
              <w:t>“</w:t>
            </w:r>
            <w:r>
              <w:rPr>
                <w:rFonts w:hint="eastAsia"/>
                <w:bCs/>
                <w:color w:val="auto"/>
                <w:highlight w:val="none"/>
              </w:rPr>
              <w:t>乔、灌、草</w:t>
            </w:r>
            <w:r>
              <w:rPr>
                <w:bCs/>
                <w:color w:val="auto"/>
                <w:highlight w:val="none"/>
              </w:rPr>
              <w:t>”</w:t>
            </w:r>
            <w:r>
              <w:rPr>
                <w:rFonts w:hint="eastAsia"/>
                <w:bCs/>
                <w:color w:val="auto"/>
                <w:highlight w:val="none"/>
              </w:rPr>
              <w:t>相结合的原则</w:t>
            </w:r>
            <w:r>
              <w:rPr>
                <w:rFonts w:hint="eastAsia"/>
                <w:bCs/>
                <w:color w:val="auto"/>
                <w:highlight w:val="none"/>
                <w:lang w:val="it-IT"/>
              </w:rPr>
              <w:t>，选用当地常见的草本植物和树木。</w:t>
            </w:r>
          </w:p>
          <w:p>
            <w:pPr>
              <w:pStyle w:val="66"/>
              <w:spacing w:line="360" w:lineRule="auto"/>
              <w:ind w:firstLine="480" w:firstLineChars="200"/>
              <w:jc w:val="both"/>
              <w:rPr>
                <w:bCs/>
                <w:color w:val="auto"/>
                <w:highlight w:val="none"/>
              </w:rPr>
            </w:pPr>
            <w:r>
              <w:rPr>
                <w:rFonts w:hint="eastAsia"/>
                <w:bCs/>
                <w:color w:val="auto"/>
                <w:highlight w:val="none"/>
                <w:lang w:eastAsia="zh-CN"/>
              </w:rPr>
              <w:t>（</w:t>
            </w:r>
            <w:r>
              <w:rPr>
                <w:bCs/>
                <w:color w:val="auto"/>
                <w:highlight w:val="none"/>
              </w:rPr>
              <w:t>8</w:t>
            </w:r>
            <w:r>
              <w:rPr>
                <w:rFonts w:hint="eastAsia"/>
                <w:bCs/>
                <w:color w:val="auto"/>
                <w:highlight w:val="none"/>
              </w:rPr>
              <w:t>）建设单位以合同形式要求施工单位按照设计要求，严格控制开挖量及开挖范围。</w:t>
            </w:r>
          </w:p>
          <w:p>
            <w:pPr>
              <w:spacing w:line="360" w:lineRule="auto"/>
              <w:ind w:firstLine="480" w:firstLineChars="200"/>
              <w:rPr>
                <w:color w:val="auto"/>
                <w:sz w:val="24"/>
                <w:highlight w:val="none"/>
              </w:rPr>
            </w:pPr>
            <w:r>
              <w:rPr>
                <w:rFonts w:hint="eastAsia"/>
                <w:color w:val="auto"/>
                <w:sz w:val="24"/>
                <w:highlight w:val="none"/>
              </w:rPr>
              <w:t>综上所述，施工单位严格按照有关规定在施工期采取相应环境保护措施，并加强监管，本工程施工期的生态环境影响是短暂的、可逆的，随着施工期的结束而消失，不会对当地生态环境造成不可逆的环境影响。</w:t>
            </w:r>
          </w:p>
          <w:p>
            <w:pPr>
              <w:adjustRightInd w:val="0"/>
              <w:snapToGrid w:val="0"/>
              <w:spacing w:line="360" w:lineRule="auto"/>
              <w:ind w:firstLine="482" w:firstLineChars="200"/>
              <w:rPr>
                <w:rFonts w:eastAsiaTheme="minorEastAsia"/>
                <w:b/>
                <w:bCs/>
                <w:color w:val="auto"/>
                <w:sz w:val="24"/>
                <w:highlight w:val="yellow"/>
                <w:lang w:val="it-IT"/>
              </w:rPr>
            </w:pPr>
          </w:p>
          <w:p>
            <w:pPr>
              <w:adjustRightInd w:val="0"/>
              <w:snapToGrid w:val="0"/>
              <w:spacing w:line="360" w:lineRule="auto"/>
              <w:ind w:firstLine="482" w:firstLineChars="200"/>
              <w:rPr>
                <w:rFonts w:eastAsiaTheme="minorEastAsia"/>
                <w:b/>
                <w:bCs/>
                <w:color w:val="auto"/>
                <w:sz w:val="24"/>
                <w:highlight w:val="yellow"/>
                <w:lang w:val="it-IT"/>
              </w:rPr>
            </w:pPr>
          </w:p>
          <w:p>
            <w:pPr>
              <w:adjustRightInd w:val="0"/>
              <w:snapToGrid w:val="0"/>
              <w:spacing w:line="360" w:lineRule="auto"/>
              <w:ind w:firstLine="482" w:firstLineChars="200"/>
              <w:rPr>
                <w:rFonts w:eastAsiaTheme="minorEastAsia"/>
                <w:b/>
                <w:bCs/>
                <w:color w:val="auto"/>
                <w:sz w:val="24"/>
                <w:highlight w:val="yellow"/>
                <w:lang w:val="it-IT"/>
              </w:rPr>
            </w:pPr>
          </w:p>
          <w:p>
            <w:pPr>
              <w:adjustRightInd w:val="0"/>
              <w:snapToGrid w:val="0"/>
              <w:spacing w:line="360" w:lineRule="auto"/>
              <w:ind w:firstLine="482" w:firstLineChars="200"/>
              <w:rPr>
                <w:rFonts w:eastAsiaTheme="minorEastAsia"/>
                <w:b/>
                <w:bCs/>
                <w:color w:val="auto"/>
                <w:sz w:val="24"/>
                <w:highlight w:val="yellow"/>
                <w:lang w:val="it-IT"/>
              </w:rPr>
            </w:pPr>
          </w:p>
          <w:p>
            <w:pPr>
              <w:adjustRightInd w:val="0"/>
              <w:snapToGrid w:val="0"/>
              <w:spacing w:line="360" w:lineRule="auto"/>
              <w:ind w:firstLine="482" w:firstLineChars="200"/>
              <w:rPr>
                <w:rFonts w:eastAsiaTheme="minorEastAsia"/>
                <w:b/>
                <w:bCs/>
                <w:color w:val="auto"/>
                <w:sz w:val="24"/>
                <w:highlight w:val="yellow"/>
                <w:lang w:val="it-IT"/>
              </w:rPr>
            </w:pPr>
          </w:p>
          <w:p>
            <w:pPr>
              <w:adjustRightInd w:val="0"/>
              <w:snapToGrid w:val="0"/>
              <w:spacing w:line="360" w:lineRule="auto"/>
              <w:ind w:firstLine="482" w:firstLineChars="200"/>
              <w:rPr>
                <w:rFonts w:eastAsiaTheme="minorEastAsia"/>
                <w:b/>
                <w:bCs/>
                <w:color w:val="auto"/>
                <w:sz w:val="24"/>
                <w:highlight w:val="yellow"/>
                <w:lang w:val="it-IT"/>
              </w:rPr>
            </w:pPr>
          </w:p>
          <w:p>
            <w:pPr>
              <w:adjustRightInd w:val="0"/>
              <w:snapToGrid w:val="0"/>
              <w:spacing w:line="360" w:lineRule="auto"/>
              <w:ind w:firstLine="482" w:firstLineChars="200"/>
              <w:rPr>
                <w:rFonts w:eastAsiaTheme="minorEastAsia"/>
                <w:b/>
                <w:bCs/>
                <w:color w:val="auto"/>
                <w:sz w:val="24"/>
                <w:highlight w:val="yellow"/>
                <w:lang w:val="it-IT"/>
              </w:rPr>
            </w:pPr>
          </w:p>
          <w:p>
            <w:pPr>
              <w:adjustRightInd w:val="0"/>
              <w:snapToGrid w:val="0"/>
              <w:spacing w:line="360" w:lineRule="auto"/>
              <w:ind w:firstLine="482" w:firstLineChars="200"/>
              <w:rPr>
                <w:rFonts w:eastAsiaTheme="minorEastAsia"/>
                <w:b/>
                <w:bCs/>
                <w:color w:val="auto"/>
                <w:sz w:val="24"/>
                <w:highlight w:val="yellow"/>
                <w:lang w:val="it-IT"/>
              </w:rPr>
            </w:pPr>
          </w:p>
          <w:p>
            <w:pPr>
              <w:adjustRightInd w:val="0"/>
              <w:snapToGrid w:val="0"/>
              <w:spacing w:line="360" w:lineRule="auto"/>
              <w:ind w:firstLine="482" w:firstLineChars="200"/>
              <w:rPr>
                <w:rFonts w:eastAsiaTheme="minorEastAsia"/>
                <w:b/>
                <w:bCs/>
                <w:color w:val="auto"/>
                <w:sz w:val="24"/>
                <w:highlight w:val="yellow"/>
                <w:lang w:val="it-IT"/>
              </w:rPr>
            </w:pPr>
          </w:p>
          <w:p>
            <w:pPr>
              <w:adjustRightInd w:val="0"/>
              <w:snapToGrid w:val="0"/>
              <w:spacing w:line="360" w:lineRule="auto"/>
              <w:ind w:firstLine="482" w:firstLineChars="200"/>
              <w:rPr>
                <w:rFonts w:eastAsiaTheme="minorEastAsia"/>
                <w:b/>
                <w:bCs/>
                <w:color w:val="auto"/>
                <w:sz w:val="24"/>
                <w:highlight w:val="yellow"/>
                <w:lang w:val="it-IT"/>
              </w:rPr>
            </w:pPr>
          </w:p>
          <w:p>
            <w:pPr>
              <w:adjustRightInd w:val="0"/>
              <w:snapToGrid w:val="0"/>
              <w:spacing w:line="360" w:lineRule="auto"/>
              <w:ind w:firstLine="482" w:firstLineChars="200"/>
              <w:rPr>
                <w:rFonts w:eastAsiaTheme="minorEastAsia"/>
                <w:b/>
                <w:bCs/>
                <w:color w:val="auto"/>
                <w:sz w:val="24"/>
                <w:highlight w:val="yellow"/>
                <w:lang w:val="it-IT"/>
              </w:rPr>
            </w:pPr>
          </w:p>
          <w:p>
            <w:pPr>
              <w:adjustRightInd w:val="0"/>
              <w:snapToGrid w:val="0"/>
              <w:spacing w:line="360" w:lineRule="auto"/>
              <w:ind w:firstLine="482" w:firstLineChars="200"/>
              <w:rPr>
                <w:rFonts w:eastAsiaTheme="minorEastAsia"/>
                <w:b/>
                <w:bCs/>
                <w:color w:val="auto"/>
                <w:sz w:val="24"/>
                <w:highlight w:val="yellow"/>
                <w:lang w:val="it-IT"/>
              </w:rPr>
            </w:pPr>
          </w:p>
          <w:p>
            <w:pPr>
              <w:adjustRightInd w:val="0"/>
              <w:snapToGrid w:val="0"/>
              <w:spacing w:line="360" w:lineRule="auto"/>
              <w:ind w:firstLine="482" w:firstLineChars="200"/>
              <w:rPr>
                <w:rFonts w:eastAsiaTheme="minorEastAsia"/>
                <w:b/>
                <w:bCs/>
                <w:color w:val="auto"/>
                <w:sz w:val="24"/>
                <w:highlight w:val="yellow"/>
                <w:lang w:val="it-I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96" w:hRule="atLeast"/>
          <w:jc w:val="center"/>
        </w:trPr>
        <w:tc>
          <w:tcPr>
            <w:tcW w:w="408" w:type="pct"/>
            <w:tcMar>
              <w:left w:w="28" w:type="dxa"/>
              <w:right w:w="28" w:type="dxa"/>
            </w:tcMar>
            <w:vAlign w:val="center"/>
          </w:tcPr>
          <w:p>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运营期生态环境保护措施</w:t>
            </w:r>
          </w:p>
        </w:tc>
        <w:tc>
          <w:tcPr>
            <w:tcW w:w="4591" w:type="pct"/>
          </w:tcPr>
          <w:p>
            <w:pPr>
              <w:adjustRightInd w:val="0"/>
              <w:snapToGrid w:val="0"/>
              <w:spacing w:line="360" w:lineRule="auto"/>
              <w:rPr>
                <w:rFonts w:cs="宋体"/>
                <w:b/>
                <w:color w:val="auto"/>
                <w:spacing w:val="10"/>
                <w:sz w:val="24"/>
                <w:highlight w:val="none"/>
              </w:rPr>
            </w:pPr>
            <w:r>
              <w:rPr>
                <w:rFonts w:hint="eastAsia" w:cs="宋体"/>
                <w:b/>
                <w:color w:val="auto"/>
                <w:spacing w:val="10"/>
                <w:sz w:val="24"/>
                <w:highlight w:val="none"/>
              </w:rPr>
              <w:t>5</w:t>
            </w:r>
            <w:r>
              <w:rPr>
                <w:rFonts w:cs="宋体"/>
                <w:b/>
                <w:color w:val="auto"/>
                <w:spacing w:val="10"/>
                <w:sz w:val="24"/>
                <w:highlight w:val="none"/>
              </w:rPr>
              <w:t>.3</w:t>
            </w:r>
            <w:r>
              <w:rPr>
                <w:rFonts w:hint="eastAsia" w:cs="宋体"/>
                <w:b/>
                <w:color w:val="auto"/>
                <w:spacing w:val="10"/>
                <w:sz w:val="24"/>
                <w:highlight w:val="none"/>
              </w:rPr>
              <w:t>运营期生态环境保护措施</w:t>
            </w:r>
          </w:p>
          <w:p>
            <w:pPr>
              <w:autoSpaceDE w:val="0"/>
              <w:autoSpaceDN w:val="0"/>
              <w:adjustRightInd w:val="0"/>
              <w:spacing w:line="360" w:lineRule="auto"/>
              <w:ind w:firstLine="480" w:firstLineChars="200"/>
              <w:jc w:val="left"/>
              <w:rPr>
                <w:color w:val="auto"/>
                <w:sz w:val="24"/>
                <w:highlight w:val="none"/>
              </w:rPr>
            </w:pPr>
            <w:r>
              <w:rPr>
                <w:rFonts w:hint="eastAsia"/>
                <w:color w:val="auto"/>
                <w:sz w:val="24"/>
                <w:highlight w:val="none"/>
              </w:rPr>
              <w:t>（</w:t>
            </w:r>
            <w:r>
              <w:rPr>
                <w:color w:val="auto"/>
                <w:sz w:val="24"/>
                <w:highlight w:val="none"/>
              </w:rPr>
              <w:t>1</w:t>
            </w:r>
            <w:r>
              <w:rPr>
                <w:rFonts w:hint="eastAsia"/>
                <w:color w:val="auto"/>
                <w:sz w:val="24"/>
                <w:highlight w:val="none"/>
              </w:rPr>
              <w:t>）生活污水</w:t>
            </w:r>
          </w:p>
          <w:p>
            <w:pPr>
              <w:adjustRightInd w:val="0"/>
              <w:snapToGrid w:val="0"/>
              <w:spacing w:line="360" w:lineRule="auto"/>
              <w:ind w:firstLine="480" w:firstLineChars="200"/>
              <w:rPr>
                <w:color w:val="auto"/>
                <w:sz w:val="24"/>
                <w:highlight w:val="none"/>
              </w:rPr>
            </w:pPr>
            <w:r>
              <w:rPr>
                <w:rFonts w:hint="eastAsia"/>
                <w:color w:val="auto"/>
                <w:sz w:val="24"/>
                <w:highlight w:val="none"/>
                <w:lang w:eastAsia="zh-CN"/>
              </w:rPr>
              <w:t>淮阳</w:t>
            </w:r>
            <w:r>
              <w:rPr>
                <w:rFonts w:hint="eastAsia"/>
                <w:color w:val="auto"/>
                <w:sz w:val="24"/>
                <w:highlight w:val="none"/>
              </w:rPr>
              <w:t>变电站产生的生活污水</w:t>
            </w:r>
            <w:r>
              <w:rPr>
                <w:rFonts w:hint="default" w:ascii="Times New Roman" w:hAnsi="Times New Roman" w:eastAsia="宋体" w:cs="Times New Roman"/>
                <w:b w:val="0"/>
                <w:bCs w:val="0"/>
                <w:color w:val="auto"/>
                <w:sz w:val="24"/>
                <w:szCs w:val="24"/>
                <w:highlight w:val="none"/>
                <w:lang w:val="en-US" w:eastAsia="zh-CN"/>
              </w:rPr>
              <w:t>通过</w:t>
            </w:r>
            <w:r>
              <w:rPr>
                <w:rFonts w:hint="eastAsia" w:ascii="Times New Roman" w:hAnsi="Times New Roman" w:eastAsia="宋体" w:cs="Times New Roman"/>
                <w:b w:val="0"/>
                <w:bCs w:val="0"/>
                <w:color w:val="auto"/>
                <w:sz w:val="24"/>
                <w:szCs w:val="24"/>
                <w:highlight w:val="none"/>
                <w:lang w:val="en-US" w:eastAsia="zh-CN"/>
              </w:rPr>
              <w:t>一体化污水处理设施</w:t>
            </w:r>
            <w:r>
              <w:rPr>
                <w:rFonts w:hint="default" w:ascii="Times New Roman" w:hAnsi="Times New Roman" w:eastAsia="宋体" w:cs="Times New Roman"/>
                <w:b w:val="0"/>
                <w:bCs w:val="0"/>
                <w:color w:val="auto"/>
                <w:sz w:val="24"/>
                <w:szCs w:val="24"/>
                <w:highlight w:val="none"/>
                <w:lang w:val="en-US" w:eastAsia="zh-CN"/>
              </w:rPr>
              <w:t>处理后</w:t>
            </w:r>
            <w:r>
              <w:rPr>
                <w:rFonts w:hint="eastAsia" w:ascii="Times New Roman" w:hAnsi="Times New Roman" w:eastAsia="宋体" w:cs="Times New Roman"/>
                <w:b w:val="0"/>
                <w:bCs w:val="0"/>
                <w:color w:val="auto"/>
                <w:sz w:val="24"/>
                <w:szCs w:val="24"/>
                <w:highlight w:val="none"/>
                <w:lang w:val="en-US" w:eastAsia="zh-CN"/>
              </w:rPr>
              <w:t>，近期用于</w:t>
            </w:r>
            <w:r>
              <w:rPr>
                <w:rFonts w:hint="eastAsia"/>
                <w:bCs/>
                <w:color w:val="auto"/>
                <w:sz w:val="24"/>
                <w:szCs w:val="24"/>
              </w:rPr>
              <w:t>绿化</w:t>
            </w:r>
            <w:r>
              <w:rPr>
                <w:rFonts w:hint="eastAsia"/>
                <w:bCs/>
                <w:color w:val="auto"/>
                <w:sz w:val="24"/>
                <w:szCs w:val="24"/>
                <w:lang w:eastAsia="zh-CN"/>
              </w:rPr>
              <w:t>施肥</w:t>
            </w:r>
            <w:r>
              <w:rPr>
                <w:rFonts w:hint="eastAsia" w:ascii="Times New Roman" w:hAnsi="Times New Roman" w:eastAsia="宋体" w:cs="Times New Roman"/>
                <w:b w:val="0"/>
                <w:bCs w:val="0"/>
                <w:color w:val="auto"/>
                <w:sz w:val="24"/>
                <w:szCs w:val="24"/>
                <w:highlight w:val="none"/>
                <w:lang w:val="en-US" w:eastAsia="zh-CN"/>
              </w:rPr>
              <w:t>，远期待园区污水管网建成后</w:t>
            </w:r>
            <w:r>
              <w:rPr>
                <w:rFonts w:hint="default" w:ascii="Times New Roman" w:hAnsi="Times New Roman" w:eastAsia="宋体" w:cs="Times New Roman"/>
                <w:b w:val="0"/>
                <w:bCs w:val="0"/>
                <w:color w:val="auto"/>
                <w:sz w:val="24"/>
                <w:szCs w:val="24"/>
                <w:highlight w:val="none"/>
                <w:lang w:val="en-US" w:eastAsia="zh-CN"/>
              </w:rPr>
              <w:t>经市政污水管网进入东城污水处理厂处理后进入淮远河。</w:t>
            </w:r>
          </w:p>
          <w:p>
            <w:pPr>
              <w:autoSpaceDE w:val="0"/>
              <w:autoSpaceDN w:val="0"/>
              <w:adjustRightInd w:val="0"/>
              <w:spacing w:line="360" w:lineRule="auto"/>
              <w:ind w:firstLine="480" w:firstLineChars="200"/>
              <w:jc w:val="left"/>
              <w:rPr>
                <w:color w:val="auto"/>
                <w:sz w:val="24"/>
                <w:highlight w:val="none"/>
                <w:lang w:bidi="en-US"/>
              </w:rPr>
            </w:pPr>
            <w:r>
              <w:rPr>
                <w:rFonts w:hint="eastAsia"/>
                <w:color w:val="auto"/>
                <w:sz w:val="24"/>
                <w:highlight w:val="none"/>
                <w:lang w:bidi="en-US"/>
              </w:rPr>
              <w:t>（</w:t>
            </w:r>
            <w:r>
              <w:rPr>
                <w:color w:val="auto"/>
                <w:sz w:val="24"/>
                <w:highlight w:val="none"/>
                <w:lang w:bidi="en-US"/>
              </w:rPr>
              <w:t>2</w:t>
            </w:r>
            <w:r>
              <w:rPr>
                <w:rFonts w:hint="eastAsia"/>
                <w:color w:val="auto"/>
                <w:sz w:val="24"/>
                <w:highlight w:val="none"/>
                <w:lang w:bidi="en-US"/>
              </w:rPr>
              <w:t>）噪声</w:t>
            </w:r>
          </w:p>
          <w:p>
            <w:pPr>
              <w:autoSpaceDE w:val="0"/>
              <w:autoSpaceDN w:val="0"/>
              <w:adjustRightInd w:val="0"/>
              <w:spacing w:line="360" w:lineRule="auto"/>
              <w:ind w:firstLine="480" w:firstLineChars="200"/>
              <w:jc w:val="left"/>
              <w:rPr>
                <w:color w:val="auto"/>
                <w:sz w:val="24"/>
                <w:highlight w:val="none"/>
              </w:rPr>
            </w:pPr>
            <w:r>
              <w:rPr>
                <w:rFonts w:hint="eastAsia"/>
                <w:color w:val="auto"/>
                <w:sz w:val="24"/>
                <w:highlight w:val="none"/>
                <w:lang w:eastAsia="zh-CN"/>
              </w:rPr>
              <w:t>淮阳</w:t>
            </w:r>
            <w:r>
              <w:rPr>
                <w:rFonts w:hint="eastAsia"/>
                <w:color w:val="auto"/>
                <w:sz w:val="24"/>
                <w:highlight w:val="none"/>
              </w:rPr>
              <w:t>变电站选用低噪声主变，其满载状态下声源值必须小于65dB（A），加强设备的保养。</w:t>
            </w:r>
          </w:p>
          <w:p>
            <w:pPr>
              <w:autoSpaceDE w:val="0"/>
              <w:autoSpaceDN w:val="0"/>
              <w:adjustRightInd w:val="0"/>
              <w:spacing w:line="360" w:lineRule="auto"/>
              <w:ind w:firstLine="480" w:firstLineChars="200"/>
              <w:jc w:val="left"/>
              <w:rPr>
                <w:color w:val="auto"/>
                <w:sz w:val="24"/>
                <w:highlight w:val="none"/>
                <w:lang w:bidi="en-US"/>
              </w:rPr>
            </w:pPr>
            <w:r>
              <w:rPr>
                <w:rFonts w:hint="eastAsia"/>
                <w:color w:val="auto"/>
                <w:sz w:val="24"/>
                <w:highlight w:val="none"/>
                <w:lang w:bidi="en-US"/>
              </w:rPr>
              <w:t>（3）固体废物</w:t>
            </w:r>
          </w:p>
          <w:p>
            <w:pPr>
              <w:adjustRightInd w:val="0"/>
              <w:snapToGrid w:val="0"/>
              <w:spacing w:line="360" w:lineRule="auto"/>
              <w:ind w:firstLine="480" w:firstLineChars="200"/>
              <w:rPr>
                <w:color w:val="auto"/>
                <w:sz w:val="24"/>
                <w:highlight w:val="none"/>
              </w:rPr>
            </w:pPr>
            <w:r>
              <w:rPr>
                <w:rFonts w:hint="eastAsia"/>
                <w:color w:val="auto"/>
                <w:sz w:val="24"/>
                <w:highlight w:val="none"/>
              </w:rPr>
              <w:t>项目投入运营后，</w:t>
            </w:r>
            <w:r>
              <w:rPr>
                <w:rFonts w:hint="eastAsia"/>
                <w:color w:val="auto"/>
                <w:sz w:val="24"/>
                <w:highlight w:val="none"/>
                <w:lang w:eastAsia="zh-CN"/>
              </w:rPr>
              <w:t>淮阳</w:t>
            </w:r>
            <w:r>
              <w:rPr>
                <w:rFonts w:hint="eastAsia"/>
                <w:color w:val="auto"/>
                <w:sz w:val="24"/>
                <w:highlight w:val="none"/>
              </w:rPr>
              <w:t>变电站值守人员产生的生活垃圾由站内的垃圾桶收集后交市政环卫部门处理。本项目在运营过程中会产生危废有：废变压油、变压器油滤渣、废铅蓄电池、废棉手套；变电站产生的废变压油、变压器油滤渣、废铅蓄电池、废棉手套等直接由资质单位及时收集运走处理，不在变电站内暂存。</w:t>
            </w:r>
          </w:p>
          <w:p>
            <w:pPr>
              <w:autoSpaceDE w:val="0"/>
              <w:autoSpaceDN w:val="0"/>
              <w:adjustRightInd w:val="0"/>
              <w:spacing w:line="360" w:lineRule="auto"/>
              <w:ind w:firstLine="480" w:firstLineChars="200"/>
              <w:jc w:val="left"/>
              <w:rPr>
                <w:color w:val="auto"/>
                <w:sz w:val="24"/>
                <w:highlight w:val="none"/>
                <w:lang w:bidi="en-US"/>
              </w:rPr>
            </w:pPr>
            <w:r>
              <w:rPr>
                <w:rFonts w:hint="eastAsia"/>
                <w:color w:val="auto"/>
                <w:sz w:val="24"/>
                <w:highlight w:val="none"/>
                <w:lang w:bidi="en-US"/>
              </w:rPr>
              <w:t>（4）环境风险</w:t>
            </w:r>
          </w:p>
          <w:p>
            <w:pPr>
              <w:tabs>
                <w:tab w:val="left" w:pos="435"/>
                <w:tab w:val="left" w:pos="825"/>
              </w:tabs>
              <w:adjustRightInd w:val="0"/>
              <w:snapToGrid w:val="0"/>
              <w:spacing w:line="360" w:lineRule="auto"/>
              <w:ind w:firstLine="480" w:firstLineChars="200"/>
              <w:rPr>
                <w:snapToGrid w:val="0"/>
                <w:color w:val="auto"/>
                <w:kern w:val="0"/>
                <w:sz w:val="24"/>
                <w:szCs w:val="21"/>
                <w:highlight w:val="none"/>
              </w:rPr>
            </w:pPr>
            <w:r>
              <w:rPr>
                <w:rFonts w:hint="eastAsia"/>
                <w:bCs/>
                <w:snapToGrid w:val="0"/>
                <w:color w:val="auto"/>
                <w:kern w:val="0"/>
                <w:sz w:val="24"/>
                <w:szCs w:val="21"/>
                <w:highlight w:val="none"/>
              </w:rPr>
              <w:t>本项目变电站设置</w:t>
            </w:r>
            <w:r>
              <w:rPr>
                <w:bCs/>
                <w:snapToGrid w:val="0"/>
                <w:color w:val="auto"/>
                <w:kern w:val="0"/>
                <w:sz w:val="24"/>
                <w:szCs w:val="21"/>
                <w:highlight w:val="none"/>
              </w:rPr>
              <w:t>1</w:t>
            </w:r>
            <w:r>
              <w:rPr>
                <w:rFonts w:hint="eastAsia"/>
                <w:bCs/>
                <w:snapToGrid w:val="0"/>
                <w:color w:val="auto"/>
                <w:kern w:val="0"/>
                <w:sz w:val="24"/>
                <w:szCs w:val="21"/>
                <w:highlight w:val="none"/>
              </w:rPr>
              <w:t>座事故油池，有效容积为</w:t>
            </w:r>
            <w:r>
              <w:rPr>
                <w:rFonts w:hint="eastAsia"/>
                <w:bCs/>
                <w:snapToGrid w:val="0"/>
                <w:color w:val="auto"/>
                <w:kern w:val="0"/>
                <w:sz w:val="24"/>
                <w:szCs w:val="21"/>
                <w:highlight w:val="none"/>
                <w:lang w:val="en-US" w:eastAsia="zh-CN"/>
              </w:rPr>
              <w:t>30</w:t>
            </w:r>
            <w:r>
              <w:rPr>
                <w:bCs/>
                <w:snapToGrid w:val="0"/>
                <w:color w:val="auto"/>
                <w:kern w:val="0"/>
                <w:sz w:val="24"/>
                <w:szCs w:val="21"/>
                <w:highlight w:val="none"/>
              </w:rPr>
              <w:t>m</w:t>
            </w:r>
            <w:r>
              <w:rPr>
                <w:bCs/>
                <w:snapToGrid w:val="0"/>
                <w:color w:val="auto"/>
                <w:kern w:val="0"/>
                <w:sz w:val="24"/>
                <w:szCs w:val="21"/>
                <w:highlight w:val="none"/>
                <w:vertAlign w:val="superscript"/>
              </w:rPr>
              <w:t>3</w:t>
            </w:r>
            <w:r>
              <w:rPr>
                <w:rFonts w:hint="eastAsia"/>
                <w:snapToGrid w:val="0"/>
                <w:color w:val="auto"/>
                <w:kern w:val="0"/>
                <w:sz w:val="24"/>
                <w:szCs w:val="21"/>
                <w:highlight w:val="none"/>
              </w:rPr>
              <w:t>，事故油池设置油水分离设施；</w:t>
            </w:r>
            <w:r>
              <w:rPr>
                <w:rFonts w:hint="eastAsia"/>
                <w:bCs/>
                <w:snapToGrid w:val="0"/>
                <w:color w:val="auto"/>
                <w:kern w:val="0"/>
                <w:sz w:val="24"/>
                <w:szCs w:val="21"/>
                <w:highlight w:val="none"/>
              </w:rPr>
              <w:t>在变压器基座下设置集油坑，其设置的事故油池容积、贮油池尺寸能够满足《火力发电厂与变电站设计防火标准》（</w:t>
            </w:r>
            <w:r>
              <w:rPr>
                <w:bCs/>
                <w:snapToGrid w:val="0"/>
                <w:color w:val="auto"/>
                <w:kern w:val="0"/>
                <w:sz w:val="24"/>
                <w:szCs w:val="21"/>
                <w:highlight w:val="none"/>
              </w:rPr>
              <w:t>GB 50229-2019</w:t>
            </w:r>
            <w:r>
              <w:rPr>
                <w:rFonts w:hint="eastAsia"/>
                <w:bCs/>
                <w:snapToGrid w:val="0"/>
                <w:color w:val="auto"/>
                <w:kern w:val="0"/>
                <w:sz w:val="24"/>
                <w:szCs w:val="21"/>
                <w:highlight w:val="none"/>
              </w:rPr>
              <w:t>）的要求。本项目变电站的集油坑、收集管道、</w:t>
            </w:r>
            <w:r>
              <w:rPr>
                <w:rFonts w:hint="eastAsia"/>
                <w:snapToGrid w:val="0"/>
                <w:color w:val="auto"/>
                <w:kern w:val="0"/>
                <w:sz w:val="24"/>
                <w:szCs w:val="21"/>
                <w:highlight w:val="none"/>
              </w:rPr>
              <w:t>事故油池、污水处理设施为重点防渗区，防渗按照《</w:t>
            </w:r>
            <w:r>
              <w:rPr>
                <w:rFonts w:hint="eastAsia"/>
                <w:color w:val="auto"/>
                <w:sz w:val="24"/>
                <w:szCs w:val="21"/>
                <w:highlight w:val="none"/>
              </w:rPr>
              <w:t>环境影响评价技术导则</w:t>
            </w:r>
            <w:r>
              <w:rPr>
                <w:color w:val="auto"/>
                <w:sz w:val="24"/>
                <w:szCs w:val="21"/>
                <w:highlight w:val="none"/>
              </w:rPr>
              <w:t xml:space="preserve"> </w:t>
            </w:r>
            <w:r>
              <w:rPr>
                <w:rFonts w:hint="eastAsia"/>
                <w:color w:val="auto"/>
                <w:sz w:val="24"/>
                <w:szCs w:val="21"/>
                <w:highlight w:val="none"/>
              </w:rPr>
              <w:t>地下水环境</w:t>
            </w:r>
            <w:r>
              <w:rPr>
                <w:rFonts w:hint="eastAsia"/>
                <w:snapToGrid w:val="0"/>
                <w:color w:val="auto"/>
                <w:kern w:val="0"/>
                <w:sz w:val="24"/>
                <w:szCs w:val="21"/>
                <w:highlight w:val="none"/>
              </w:rPr>
              <w:t>》（</w:t>
            </w:r>
            <w:r>
              <w:rPr>
                <w:snapToGrid w:val="0"/>
                <w:color w:val="auto"/>
                <w:kern w:val="0"/>
                <w:sz w:val="24"/>
                <w:szCs w:val="21"/>
                <w:highlight w:val="none"/>
              </w:rPr>
              <w:t>HJ610-2016</w:t>
            </w:r>
            <w:r>
              <w:rPr>
                <w:rFonts w:hint="eastAsia"/>
                <w:snapToGrid w:val="0"/>
                <w:color w:val="auto"/>
                <w:kern w:val="0"/>
                <w:sz w:val="24"/>
                <w:szCs w:val="21"/>
                <w:highlight w:val="none"/>
              </w:rPr>
              <w:t>）的要求“等效黏土防渗层</w:t>
            </w:r>
            <w:r>
              <w:rPr>
                <w:snapToGrid w:val="0"/>
                <w:color w:val="auto"/>
                <w:kern w:val="0"/>
                <w:sz w:val="24"/>
                <w:szCs w:val="21"/>
                <w:highlight w:val="none"/>
              </w:rPr>
              <w:t>Mb</w:t>
            </w:r>
            <w:r>
              <w:rPr>
                <w:rFonts w:hint="eastAsia"/>
                <w:snapToGrid w:val="0"/>
                <w:color w:val="auto"/>
                <w:kern w:val="0"/>
                <w:sz w:val="24"/>
                <w:szCs w:val="21"/>
                <w:highlight w:val="none"/>
              </w:rPr>
              <w:t>≥</w:t>
            </w:r>
            <w:r>
              <w:rPr>
                <w:snapToGrid w:val="0"/>
                <w:color w:val="auto"/>
                <w:kern w:val="0"/>
                <w:sz w:val="24"/>
                <w:szCs w:val="21"/>
                <w:highlight w:val="none"/>
              </w:rPr>
              <w:t>6.0m</w:t>
            </w:r>
            <w:r>
              <w:rPr>
                <w:rFonts w:hint="eastAsia"/>
                <w:snapToGrid w:val="0"/>
                <w:color w:val="auto"/>
                <w:kern w:val="0"/>
                <w:sz w:val="24"/>
                <w:szCs w:val="21"/>
                <w:highlight w:val="none"/>
              </w:rPr>
              <w:t>，</w:t>
            </w:r>
            <w:r>
              <w:rPr>
                <w:snapToGrid w:val="0"/>
                <w:color w:val="auto"/>
                <w:kern w:val="0"/>
                <w:sz w:val="24"/>
                <w:szCs w:val="21"/>
                <w:highlight w:val="none"/>
              </w:rPr>
              <w:t>K</w:t>
            </w:r>
            <w:r>
              <w:rPr>
                <w:rFonts w:hint="eastAsia"/>
                <w:snapToGrid w:val="0"/>
                <w:color w:val="auto"/>
                <w:kern w:val="0"/>
                <w:sz w:val="24"/>
                <w:szCs w:val="21"/>
                <w:highlight w:val="none"/>
              </w:rPr>
              <w:t>≤</w:t>
            </w:r>
            <w:r>
              <w:rPr>
                <w:snapToGrid w:val="0"/>
                <w:color w:val="auto"/>
                <w:kern w:val="0"/>
                <w:sz w:val="24"/>
                <w:szCs w:val="21"/>
                <w:highlight w:val="none"/>
              </w:rPr>
              <w:t>1</w:t>
            </w:r>
            <w:r>
              <w:rPr>
                <w:rFonts w:hint="eastAsia"/>
                <w:snapToGrid w:val="0"/>
                <w:color w:val="auto"/>
                <w:kern w:val="0"/>
                <w:sz w:val="24"/>
                <w:szCs w:val="21"/>
                <w:highlight w:val="none"/>
              </w:rPr>
              <w:t>×</w:t>
            </w:r>
            <w:r>
              <w:rPr>
                <w:snapToGrid w:val="0"/>
                <w:color w:val="auto"/>
                <w:kern w:val="0"/>
                <w:sz w:val="24"/>
                <w:szCs w:val="21"/>
                <w:highlight w:val="none"/>
              </w:rPr>
              <w:t>10</w:t>
            </w:r>
            <w:r>
              <w:rPr>
                <w:snapToGrid w:val="0"/>
                <w:color w:val="auto"/>
                <w:kern w:val="0"/>
                <w:sz w:val="24"/>
                <w:szCs w:val="21"/>
                <w:highlight w:val="none"/>
                <w:vertAlign w:val="superscript"/>
              </w:rPr>
              <w:t>-7</w:t>
            </w:r>
            <w:r>
              <w:rPr>
                <w:snapToGrid w:val="0"/>
                <w:color w:val="auto"/>
                <w:kern w:val="0"/>
                <w:sz w:val="24"/>
                <w:szCs w:val="21"/>
                <w:highlight w:val="none"/>
              </w:rPr>
              <w:t>cm/s</w:t>
            </w:r>
            <w:r>
              <w:rPr>
                <w:rFonts w:hint="eastAsia"/>
                <w:snapToGrid w:val="0"/>
                <w:color w:val="auto"/>
                <w:kern w:val="0"/>
                <w:sz w:val="24"/>
                <w:szCs w:val="21"/>
                <w:highlight w:val="none"/>
              </w:rPr>
              <w:t>；或参照</w:t>
            </w:r>
            <w:r>
              <w:rPr>
                <w:snapToGrid w:val="0"/>
                <w:color w:val="auto"/>
                <w:kern w:val="0"/>
                <w:sz w:val="24"/>
                <w:szCs w:val="21"/>
                <w:highlight w:val="none"/>
              </w:rPr>
              <w:t>GB18598</w:t>
            </w:r>
            <w:r>
              <w:rPr>
                <w:rFonts w:hint="eastAsia"/>
                <w:snapToGrid w:val="0"/>
                <w:color w:val="auto"/>
                <w:kern w:val="0"/>
                <w:sz w:val="24"/>
                <w:szCs w:val="21"/>
                <w:highlight w:val="none"/>
              </w:rPr>
              <w:t>执行”，不会造成绝缘油漫流而污染环境情况发生。</w:t>
            </w:r>
          </w:p>
          <w:p>
            <w:pPr>
              <w:autoSpaceDE w:val="0"/>
              <w:autoSpaceDN w:val="0"/>
              <w:adjustRightInd w:val="0"/>
              <w:spacing w:line="360" w:lineRule="auto"/>
              <w:ind w:firstLine="480" w:firstLineChars="200"/>
              <w:jc w:val="left"/>
              <w:rPr>
                <w:color w:val="auto"/>
                <w:sz w:val="24"/>
                <w:highlight w:val="none"/>
                <w:lang w:bidi="en-US"/>
              </w:rPr>
            </w:pPr>
            <w:r>
              <w:rPr>
                <w:rFonts w:hint="eastAsia"/>
                <w:color w:val="auto"/>
                <w:sz w:val="24"/>
                <w:highlight w:val="none"/>
                <w:lang w:bidi="en-US"/>
              </w:rPr>
              <w:t>（5）生态环境</w:t>
            </w:r>
          </w:p>
          <w:p>
            <w:pPr>
              <w:topLinePunct/>
              <w:autoSpaceDE w:val="0"/>
              <w:autoSpaceDN w:val="0"/>
              <w:adjustRightInd w:val="0"/>
              <w:snapToGrid w:val="0"/>
              <w:spacing w:line="360" w:lineRule="auto"/>
              <w:ind w:firstLine="480" w:firstLineChars="200"/>
              <w:jc w:val="left"/>
              <w:rPr>
                <w:color w:val="auto"/>
                <w:sz w:val="24"/>
                <w:highlight w:val="none"/>
              </w:rPr>
            </w:pPr>
            <w:r>
              <w:rPr>
                <w:rFonts w:hint="eastAsia"/>
                <w:color w:val="auto"/>
                <w:sz w:val="24"/>
                <w:highlight w:val="none"/>
              </w:rPr>
              <w:t>①土地资源保护，加强输变电工程维护人员管理，划定维护人员行走路线，规范维护人员行为，尽量减小输变电工程维护工作对保护区土地资源的占用，优先使用无人机进行巡线。</w:t>
            </w:r>
          </w:p>
          <w:p>
            <w:pPr>
              <w:topLinePunct/>
              <w:autoSpaceDE w:val="0"/>
              <w:autoSpaceDN w:val="0"/>
              <w:adjustRightInd w:val="0"/>
              <w:snapToGrid w:val="0"/>
              <w:spacing w:line="360" w:lineRule="auto"/>
              <w:ind w:firstLine="480" w:firstLineChars="200"/>
              <w:jc w:val="left"/>
              <w:rPr>
                <w:color w:val="auto"/>
                <w:sz w:val="24"/>
                <w:highlight w:val="none"/>
              </w:rPr>
            </w:pPr>
            <w:r>
              <w:rPr>
                <w:rFonts w:hint="eastAsia"/>
                <w:color w:val="auto"/>
                <w:sz w:val="24"/>
                <w:highlight w:val="none"/>
              </w:rPr>
              <w:t>②野生动物保护，加强野生动物保护管理，禁止输电线路维护人员捕捞、捕猎工程附近区域的野生动物。</w:t>
            </w:r>
          </w:p>
          <w:p>
            <w:pPr>
              <w:topLinePunct/>
              <w:autoSpaceDE w:val="0"/>
              <w:autoSpaceDN w:val="0"/>
              <w:adjustRightInd w:val="0"/>
              <w:snapToGrid w:val="0"/>
              <w:spacing w:line="360" w:lineRule="auto"/>
              <w:ind w:firstLine="480" w:firstLineChars="200"/>
              <w:jc w:val="left"/>
              <w:rPr>
                <w:color w:val="auto"/>
                <w:sz w:val="24"/>
                <w:highlight w:val="none"/>
              </w:rPr>
            </w:pPr>
            <w:r>
              <w:rPr>
                <w:rFonts w:hint="eastAsia"/>
                <w:color w:val="auto"/>
                <w:sz w:val="24"/>
                <w:highlight w:val="none"/>
              </w:rPr>
              <w:t>③野生植物保护，强化野生植物和野生动物栖息地保护管理，严禁输电线路维护人员在生态保护红线内实施伐树、砍柴等活动；加强植物检疫工作，防止外来病虫害危害保护区植物资源和栖息地环境。另外，加强对线路运行通道的管理，保护通道内的植被。线路运行通道内，当乔木高度达到最小安全距离4m后，首先考虑升高杆塔高度，其次对乔木进行修剪、剪枝，尽量避免毁坏运行通道内的植物。</w:t>
            </w:r>
          </w:p>
          <w:p>
            <w:pPr>
              <w:topLinePunct/>
              <w:autoSpaceDE w:val="0"/>
              <w:autoSpaceDN w:val="0"/>
              <w:adjustRightInd w:val="0"/>
              <w:snapToGrid w:val="0"/>
              <w:spacing w:line="360" w:lineRule="auto"/>
              <w:ind w:firstLine="480" w:firstLineChars="200"/>
              <w:jc w:val="left"/>
              <w:rPr>
                <w:color w:val="auto"/>
                <w:sz w:val="24"/>
                <w:highlight w:val="none"/>
              </w:rPr>
            </w:pPr>
            <w:r>
              <w:rPr>
                <w:rFonts w:hint="eastAsia"/>
                <w:color w:val="auto"/>
                <w:sz w:val="24"/>
                <w:highlight w:val="none"/>
              </w:rPr>
              <w:t>④鸟类保护</w:t>
            </w:r>
          </w:p>
          <w:p>
            <w:pPr>
              <w:topLinePunct/>
              <w:autoSpaceDE w:val="0"/>
              <w:autoSpaceDN w:val="0"/>
              <w:adjustRightInd w:val="0"/>
              <w:snapToGrid w:val="0"/>
              <w:spacing w:line="360" w:lineRule="auto"/>
              <w:ind w:firstLine="480" w:firstLineChars="200"/>
              <w:jc w:val="left"/>
              <w:rPr>
                <w:rFonts w:hint="eastAsia" w:eastAsia="宋体"/>
                <w:color w:val="auto"/>
                <w:sz w:val="24"/>
                <w:lang w:eastAsia="zh-CN"/>
              </w:rPr>
            </w:pPr>
            <w:r>
              <w:rPr>
                <w:rFonts w:hint="eastAsia"/>
                <w:color w:val="auto"/>
                <w:sz w:val="24"/>
              </w:rPr>
              <w:t>鸟类常栖息于输电线路和杆塔上，鸟类的栖息既不利于对鸟类的保护也不利于输电线路的安全防护</w:t>
            </w:r>
            <w:r>
              <w:rPr>
                <w:rFonts w:hint="eastAsia"/>
                <w:color w:val="auto"/>
                <w:sz w:val="24"/>
                <w:lang w:eastAsia="zh-CN"/>
              </w:rPr>
              <w:t>。</w:t>
            </w:r>
            <w:r>
              <w:rPr>
                <w:rFonts w:hint="eastAsia"/>
                <w:color w:val="auto"/>
                <w:sz w:val="24"/>
                <w:lang w:val="en-US" w:eastAsia="zh-CN"/>
              </w:rPr>
              <w:t>经向国网重庆市电力公司铜梁供电分公司了解，沿线鸟害不大，考虑到鸟类的活动范围很大，本工程无需防鸟措施</w:t>
            </w:r>
            <w:r>
              <w:rPr>
                <w:rFonts w:hint="eastAsia"/>
                <w:color w:val="auto"/>
                <w:sz w:val="24"/>
              </w:rPr>
              <w:t>。</w:t>
            </w:r>
          </w:p>
          <w:p>
            <w:pPr>
              <w:tabs>
                <w:tab w:val="left" w:pos="435"/>
                <w:tab w:val="left" w:pos="825"/>
              </w:tabs>
              <w:adjustRightInd w:val="0"/>
              <w:snapToGrid w:val="0"/>
              <w:spacing w:line="360" w:lineRule="auto"/>
              <w:rPr>
                <w:b/>
                <w:color w:val="auto"/>
                <w:spacing w:val="10"/>
                <w:sz w:val="24"/>
                <w:highlight w:val="none"/>
              </w:rPr>
            </w:pPr>
            <w:r>
              <w:rPr>
                <w:b/>
                <w:color w:val="auto"/>
                <w:spacing w:val="10"/>
                <w:sz w:val="24"/>
                <w:highlight w:val="none"/>
              </w:rPr>
              <w:t>5.</w:t>
            </w:r>
            <w:r>
              <w:rPr>
                <w:rFonts w:hint="eastAsia"/>
                <w:b/>
                <w:color w:val="auto"/>
                <w:spacing w:val="10"/>
                <w:sz w:val="24"/>
                <w:highlight w:val="none"/>
              </w:rPr>
              <w:t>4</w:t>
            </w:r>
            <w:r>
              <w:rPr>
                <w:b/>
                <w:color w:val="auto"/>
                <w:spacing w:val="10"/>
                <w:sz w:val="24"/>
                <w:highlight w:val="none"/>
              </w:rPr>
              <w:t xml:space="preserve"> 环境保护管理</w:t>
            </w:r>
          </w:p>
          <w:p>
            <w:pPr>
              <w:autoSpaceDE w:val="0"/>
              <w:autoSpaceDN w:val="0"/>
              <w:adjustRightInd w:val="0"/>
              <w:snapToGrid w:val="0"/>
              <w:spacing w:line="360" w:lineRule="auto"/>
              <w:ind w:firstLine="482" w:firstLineChars="200"/>
              <w:jc w:val="left"/>
              <w:rPr>
                <w:b/>
                <w:bCs/>
                <w:color w:val="auto"/>
                <w:kern w:val="0"/>
                <w:sz w:val="24"/>
                <w:highlight w:val="none"/>
              </w:rPr>
            </w:pPr>
            <w:r>
              <w:rPr>
                <w:rFonts w:hint="eastAsia"/>
                <w:b/>
                <w:bCs/>
                <w:color w:val="auto"/>
                <w:kern w:val="0"/>
                <w:sz w:val="24"/>
                <w:highlight w:val="none"/>
              </w:rPr>
              <w:t>（</w:t>
            </w:r>
            <w:r>
              <w:rPr>
                <w:b/>
                <w:bCs/>
                <w:color w:val="auto"/>
                <w:kern w:val="0"/>
                <w:sz w:val="24"/>
                <w:highlight w:val="none"/>
              </w:rPr>
              <w:t>1</w:t>
            </w:r>
            <w:r>
              <w:rPr>
                <w:rFonts w:hint="eastAsia"/>
                <w:b/>
                <w:bCs/>
                <w:color w:val="auto"/>
                <w:kern w:val="0"/>
                <w:sz w:val="24"/>
                <w:highlight w:val="none"/>
              </w:rPr>
              <w:t>）管理机构</w:t>
            </w:r>
          </w:p>
          <w:p>
            <w:pPr>
              <w:autoSpaceDE w:val="0"/>
              <w:autoSpaceDN w:val="0"/>
              <w:adjustRightInd w:val="0"/>
              <w:snapToGrid w:val="0"/>
              <w:spacing w:line="360" w:lineRule="auto"/>
              <w:ind w:firstLine="480" w:firstLineChars="200"/>
              <w:jc w:val="left"/>
              <w:rPr>
                <w:color w:val="auto"/>
                <w:kern w:val="0"/>
                <w:sz w:val="24"/>
                <w:highlight w:val="none"/>
              </w:rPr>
            </w:pPr>
            <w:r>
              <w:rPr>
                <w:rFonts w:hint="eastAsia"/>
                <w:color w:val="auto"/>
                <w:kern w:val="0"/>
                <w:sz w:val="24"/>
                <w:highlight w:val="none"/>
              </w:rPr>
              <w:t>本项目的管理机构是</w:t>
            </w:r>
            <w:r>
              <w:rPr>
                <w:rFonts w:hint="eastAsia"/>
                <w:color w:val="auto"/>
                <w:kern w:val="0"/>
                <w:sz w:val="24"/>
                <w:highlight w:val="none"/>
                <w:lang w:eastAsia="zh-CN"/>
              </w:rPr>
              <w:t>国网重庆市电力公司铜梁供电分公司</w:t>
            </w:r>
            <w:r>
              <w:rPr>
                <w:rFonts w:hint="eastAsia"/>
                <w:color w:val="auto"/>
                <w:kern w:val="0"/>
                <w:sz w:val="24"/>
                <w:highlight w:val="none"/>
              </w:rPr>
              <w:t>。</w:t>
            </w:r>
          </w:p>
          <w:p>
            <w:pPr>
              <w:autoSpaceDE w:val="0"/>
              <w:autoSpaceDN w:val="0"/>
              <w:adjustRightInd w:val="0"/>
              <w:snapToGrid w:val="0"/>
              <w:spacing w:line="360" w:lineRule="auto"/>
              <w:ind w:firstLine="482" w:firstLineChars="200"/>
              <w:jc w:val="left"/>
              <w:rPr>
                <w:b/>
                <w:bCs/>
                <w:color w:val="auto"/>
                <w:kern w:val="0"/>
                <w:sz w:val="24"/>
                <w:highlight w:val="none"/>
              </w:rPr>
            </w:pPr>
            <w:r>
              <w:rPr>
                <w:rFonts w:hint="eastAsia"/>
                <w:b/>
                <w:bCs/>
                <w:color w:val="auto"/>
                <w:kern w:val="0"/>
                <w:sz w:val="24"/>
                <w:highlight w:val="none"/>
              </w:rPr>
              <w:t>（</w:t>
            </w:r>
            <w:r>
              <w:rPr>
                <w:b/>
                <w:bCs/>
                <w:color w:val="auto"/>
                <w:kern w:val="0"/>
                <w:sz w:val="24"/>
                <w:highlight w:val="none"/>
              </w:rPr>
              <w:t>2</w:t>
            </w:r>
            <w:r>
              <w:rPr>
                <w:rFonts w:hint="eastAsia"/>
                <w:b/>
                <w:bCs/>
                <w:color w:val="auto"/>
                <w:kern w:val="0"/>
                <w:sz w:val="24"/>
                <w:highlight w:val="none"/>
              </w:rPr>
              <w:t>）施工期环境管理</w:t>
            </w:r>
          </w:p>
          <w:p>
            <w:pPr>
              <w:autoSpaceDE w:val="0"/>
              <w:autoSpaceDN w:val="0"/>
              <w:adjustRightInd w:val="0"/>
              <w:snapToGrid w:val="0"/>
              <w:spacing w:line="360" w:lineRule="auto"/>
              <w:ind w:firstLine="480" w:firstLineChars="200"/>
              <w:jc w:val="left"/>
              <w:rPr>
                <w:color w:val="auto"/>
                <w:kern w:val="0"/>
                <w:sz w:val="24"/>
                <w:highlight w:val="none"/>
              </w:rPr>
            </w:pPr>
            <w:r>
              <w:rPr>
                <w:rFonts w:hint="eastAsia"/>
                <w:color w:val="auto"/>
                <w:kern w:val="0"/>
                <w:sz w:val="24"/>
                <w:highlight w:val="none"/>
              </w:rPr>
              <w:t>本工程的施工将采取招投标制，施工招标中应对投标单位提出建设期间的环保要求，并应对监理单位提出环境保护人员资质要求。在施工设计文件中详细说明建设期应注意的环保问题，严格要求施工单位按设计文件施工，特别是按环保设计要求施工。</w:t>
            </w:r>
          </w:p>
          <w:p>
            <w:pPr>
              <w:autoSpaceDE w:val="0"/>
              <w:autoSpaceDN w:val="0"/>
              <w:adjustRightInd w:val="0"/>
              <w:snapToGrid w:val="0"/>
              <w:spacing w:line="360" w:lineRule="auto"/>
              <w:ind w:firstLine="480" w:firstLineChars="200"/>
              <w:jc w:val="left"/>
              <w:rPr>
                <w:color w:val="auto"/>
                <w:kern w:val="0"/>
                <w:sz w:val="24"/>
                <w:highlight w:val="none"/>
              </w:rPr>
            </w:pPr>
            <w:r>
              <w:rPr>
                <w:rFonts w:hint="eastAsia"/>
                <w:color w:val="auto"/>
                <w:kern w:val="0"/>
                <w:sz w:val="24"/>
                <w:highlight w:val="none"/>
              </w:rPr>
              <w:t>环境监理人员对施工中的每一道工序都应严格检查是否满足环保要求，并不定期地对施工点进行抽查监督检查。建设期环境保护监理及环境管理的职责和任务如下：</w:t>
            </w:r>
          </w:p>
          <w:p>
            <w:pPr>
              <w:autoSpaceDE w:val="0"/>
              <w:autoSpaceDN w:val="0"/>
              <w:adjustRightInd w:val="0"/>
              <w:snapToGrid w:val="0"/>
              <w:spacing w:line="360" w:lineRule="auto"/>
              <w:ind w:firstLine="480" w:firstLineChars="200"/>
              <w:jc w:val="left"/>
              <w:rPr>
                <w:color w:val="auto"/>
                <w:kern w:val="0"/>
                <w:sz w:val="24"/>
                <w:highlight w:val="none"/>
              </w:rPr>
            </w:pPr>
            <w:r>
              <w:rPr>
                <w:rFonts w:hint="eastAsia" w:ascii="宋体" w:hAnsi="宋体" w:cs="宋体"/>
                <w:color w:val="auto"/>
                <w:kern w:val="0"/>
                <w:sz w:val="24"/>
                <w:highlight w:val="none"/>
              </w:rPr>
              <w:t>①</w:t>
            </w:r>
            <w:r>
              <w:rPr>
                <w:rFonts w:hint="eastAsia"/>
                <w:color w:val="auto"/>
                <w:kern w:val="0"/>
                <w:sz w:val="24"/>
                <w:highlight w:val="none"/>
              </w:rPr>
              <w:t>贯彻执行国家的各项环境保护方针、政策、法规和各项规章制度。</w:t>
            </w:r>
          </w:p>
          <w:p>
            <w:pPr>
              <w:autoSpaceDE w:val="0"/>
              <w:autoSpaceDN w:val="0"/>
              <w:adjustRightInd w:val="0"/>
              <w:snapToGrid w:val="0"/>
              <w:spacing w:line="360" w:lineRule="auto"/>
              <w:ind w:firstLine="480" w:firstLineChars="200"/>
              <w:jc w:val="left"/>
              <w:rPr>
                <w:color w:val="auto"/>
                <w:kern w:val="0"/>
                <w:sz w:val="24"/>
                <w:highlight w:val="none"/>
              </w:rPr>
            </w:pPr>
            <w:r>
              <w:rPr>
                <w:rFonts w:hint="eastAsia" w:ascii="宋体" w:hAnsi="宋体" w:cs="宋体"/>
                <w:color w:val="auto"/>
                <w:kern w:val="0"/>
                <w:sz w:val="24"/>
                <w:highlight w:val="none"/>
              </w:rPr>
              <w:t>②</w:t>
            </w:r>
            <w:r>
              <w:rPr>
                <w:rFonts w:hint="eastAsia"/>
                <w:color w:val="auto"/>
                <w:kern w:val="0"/>
                <w:sz w:val="24"/>
                <w:highlight w:val="none"/>
              </w:rPr>
              <w:t>制定本工程施工中的环境保护计划，负责工程施工过程中各项环境保护措施实施的监督和日常管理。</w:t>
            </w:r>
          </w:p>
          <w:p>
            <w:pPr>
              <w:autoSpaceDE w:val="0"/>
              <w:autoSpaceDN w:val="0"/>
              <w:adjustRightInd w:val="0"/>
              <w:snapToGrid w:val="0"/>
              <w:spacing w:line="360" w:lineRule="auto"/>
              <w:ind w:firstLine="480" w:firstLineChars="200"/>
              <w:jc w:val="left"/>
              <w:rPr>
                <w:color w:val="auto"/>
                <w:kern w:val="0"/>
                <w:sz w:val="24"/>
                <w:highlight w:val="none"/>
              </w:rPr>
            </w:pPr>
            <w:r>
              <w:rPr>
                <w:rFonts w:hint="eastAsia" w:ascii="宋体" w:hAnsi="宋体" w:cs="宋体"/>
                <w:color w:val="auto"/>
                <w:kern w:val="0"/>
                <w:sz w:val="24"/>
                <w:highlight w:val="none"/>
              </w:rPr>
              <w:t>③</w:t>
            </w:r>
            <w:r>
              <w:rPr>
                <w:rFonts w:hint="eastAsia"/>
                <w:color w:val="auto"/>
                <w:kern w:val="0"/>
                <w:sz w:val="24"/>
                <w:highlight w:val="none"/>
              </w:rPr>
              <w:t>收集、整理、推广和实施工程建设中各项环境保护的先进工作经验和技术。</w:t>
            </w:r>
          </w:p>
          <w:p>
            <w:pPr>
              <w:autoSpaceDE w:val="0"/>
              <w:autoSpaceDN w:val="0"/>
              <w:adjustRightInd w:val="0"/>
              <w:snapToGrid w:val="0"/>
              <w:spacing w:line="360" w:lineRule="auto"/>
              <w:ind w:firstLine="480" w:firstLineChars="200"/>
              <w:jc w:val="left"/>
              <w:rPr>
                <w:color w:val="auto"/>
                <w:kern w:val="0"/>
                <w:sz w:val="24"/>
                <w:highlight w:val="none"/>
              </w:rPr>
            </w:pPr>
            <w:r>
              <w:rPr>
                <w:rFonts w:hint="eastAsia" w:ascii="宋体" w:hAnsi="宋体" w:cs="宋体"/>
                <w:color w:val="auto"/>
                <w:kern w:val="0"/>
                <w:sz w:val="24"/>
                <w:highlight w:val="none"/>
              </w:rPr>
              <w:t>④</w:t>
            </w:r>
            <w:r>
              <w:rPr>
                <w:rFonts w:hint="eastAsia"/>
                <w:color w:val="auto"/>
                <w:kern w:val="0"/>
                <w:sz w:val="24"/>
                <w:highlight w:val="none"/>
              </w:rPr>
              <w:t>组织和开展对施工人员进行施工活动中应遵循的环保法规、知识的培训，提高全体员工文明施工的认识。</w:t>
            </w:r>
          </w:p>
          <w:p>
            <w:pPr>
              <w:autoSpaceDE w:val="0"/>
              <w:autoSpaceDN w:val="0"/>
              <w:adjustRightInd w:val="0"/>
              <w:snapToGrid w:val="0"/>
              <w:spacing w:line="360" w:lineRule="auto"/>
              <w:ind w:firstLine="480" w:firstLineChars="200"/>
              <w:jc w:val="left"/>
              <w:rPr>
                <w:color w:val="auto"/>
                <w:kern w:val="0"/>
                <w:sz w:val="24"/>
                <w:highlight w:val="none"/>
              </w:rPr>
            </w:pPr>
            <w:r>
              <w:rPr>
                <w:rFonts w:hint="eastAsia" w:ascii="宋体" w:hAnsi="宋体" w:cs="宋体"/>
                <w:color w:val="auto"/>
                <w:kern w:val="0"/>
                <w:sz w:val="24"/>
                <w:highlight w:val="none"/>
              </w:rPr>
              <w:t>⑤</w:t>
            </w:r>
            <w:r>
              <w:rPr>
                <w:rFonts w:hint="eastAsia"/>
                <w:color w:val="auto"/>
                <w:kern w:val="0"/>
                <w:sz w:val="24"/>
                <w:highlight w:val="none"/>
              </w:rPr>
              <w:t>负责日常施工活动中的环境监理工作，做好工程用地区域的环境特征调查，对于环境敏感目标要作到心中有数。</w:t>
            </w:r>
          </w:p>
          <w:p>
            <w:pPr>
              <w:autoSpaceDE w:val="0"/>
              <w:autoSpaceDN w:val="0"/>
              <w:adjustRightInd w:val="0"/>
              <w:snapToGrid w:val="0"/>
              <w:spacing w:line="360" w:lineRule="auto"/>
              <w:ind w:firstLine="480" w:firstLineChars="200"/>
              <w:jc w:val="left"/>
              <w:rPr>
                <w:color w:val="auto"/>
                <w:kern w:val="0"/>
                <w:sz w:val="24"/>
                <w:highlight w:val="none"/>
              </w:rPr>
            </w:pPr>
            <w:r>
              <w:rPr>
                <w:rFonts w:hint="eastAsia" w:ascii="宋体" w:hAnsi="宋体" w:cs="宋体"/>
                <w:color w:val="auto"/>
                <w:kern w:val="0"/>
                <w:sz w:val="24"/>
                <w:highlight w:val="none"/>
              </w:rPr>
              <w:t>⑥</w:t>
            </w:r>
            <w:r>
              <w:rPr>
                <w:rFonts w:hint="eastAsia"/>
                <w:color w:val="auto"/>
                <w:kern w:val="0"/>
                <w:sz w:val="24"/>
                <w:highlight w:val="none"/>
              </w:rPr>
              <w:t>施工计划中应适当计划设备运输道路</w:t>
            </w:r>
            <w:r>
              <w:rPr>
                <w:color w:val="auto"/>
                <w:kern w:val="0"/>
                <w:sz w:val="24"/>
                <w:highlight w:val="none"/>
              </w:rPr>
              <w:t>,</w:t>
            </w:r>
            <w:r>
              <w:rPr>
                <w:rFonts w:hint="eastAsia"/>
                <w:color w:val="auto"/>
                <w:kern w:val="0"/>
                <w:sz w:val="24"/>
                <w:highlight w:val="none"/>
              </w:rPr>
              <w:t>以避免影响当地居民生活，施工中应考虑保护生态和避免水土流失，合理组织施工以减少占用临时施工用地。</w:t>
            </w:r>
          </w:p>
          <w:p>
            <w:pPr>
              <w:autoSpaceDE w:val="0"/>
              <w:autoSpaceDN w:val="0"/>
              <w:adjustRightInd w:val="0"/>
              <w:snapToGrid w:val="0"/>
              <w:spacing w:line="360" w:lineRule="auto"/>
              <w:ind w:firstLine="480" w:firstLineChars="200"/>
              <w:jc w:val="left"/>
              <w:rPr>
                <w:color w:val="auto"/>
                <w:kern w:val="0"/>
                <w:sz w:val="24"/>
                <w:highlight w:val="none"/>
              </w:rPr>
            </w:pPr>
            <w:r>
              <w:rPr>
                <w:rFonts w:hint="eastAsia" w:ascii="宋体" w:hAnsi="宋体" w:cs="宋体"/>
                <w:color w:val="auto"/>
                <w:kern w:val="0"/>
                <w:sz w:val="24"/>
                <w:highlight w:val="none"/>
              </w:rPr>
              <w:t>⑦</w:t>
            </w:r>
            <w:r>
              <w:rPr>
                <w:rFonts w:hint="eastAsia"/>
                <w:color w:val="auto"/>
                <w:kern w:val="0"/>
                <w:sz w:val="24"/>
                <w:highlight w:val="none"/>
              </w:rPr>
              <w:t>做好施工中各种环境问题的收集、记录、建档和处理工作。</w:t>
            </w:r>
          </w:p>
          <w:p>
            <w:pPr>
              <w:autoSpaceDE w:val="0"/>
              <w:autoSpaceDN w:val="0"/>
              <w:adjustRightInd w:val="0"/>
              <w:snapToGrid w:val="0"/>
              <w:spacing w:line="360" w:lineRule="auto"/>
              <w:ind w:firstLine="480" w:firstLineChars="200"/>
              <w:jc w:val="left"/>
              <w:rPr>
                <w:color w:val="auto"/>
                <w:kern w:val="0"/>
                <w:sz w:val="24"/>
                <w:highlight w:val="none"/>
              </w:rPr>
            </w:pPr>
            <w:r>
              <w:rPr>
                <w:rFonts w:hint="eastAsia" w:ascii="宋体" w:hAnsi="宋体" w:cs="宋体"/>
                <w:color w:val="auto"/>
                <w:kern w:val="0"/>
                <w:sz w:val="24"/>
                <w:highlight w:val="none"/>
              </w:rPr>
              <w:t>⑧</w:t>
            </w:r>
            <w:r>
              <w:rPr>
                <w:rFonts w:hint="eastAsia"/>
                <w:color w:val="auto"/>
                <w:kern w:val="0"/>
                <w:sz w:val="24"/>
                <w:highlight w:val="none"/>
              </w:rPr>
              <w:t>监督施工单位，使施工工作完成后的耕地恢复和补偿，水保设施、环保设施等各项保护工程同时完成。</w:t>
            </w:r>
          </w:p>
          <w:p>
            <w:pPr>
              <w:autoSpaceDE w:val="0"/>
              <w:autoSpaceDN w:val="0"/>
              <w:adjustRightInd w:val="0"/>
              <w:snapToGrid w:val="0"/>
              <w:spacing w:line="360" w:lineRule="auto"/>
              <w:ind w:firstLine="480" w:firstLineChars="200"/>
              <w:jc w:val="left"/>
              <w:rPr>
                <w:color w:val="auto"/>
                <w:kern w:val="0"/>
                <w:sz w:val="24"/>
                <w:highlight w:val="none"/>
              </w:rPr>
            </w:pPr>
            <w:r>
              <w:rPr>
                <w:rFonts w:hint="eastAsia" w:ascii="宋体" w:hAnsi="宋体" w:cs="宋体"/>
                <w:color w:val="auto"/>
                <w:kern w:val="0"/>
                <w:sz w:val="24"/>
                <w:highlight w:val="none"/>
              </w:rPr>
              <w:t>⑨</w:t>
            </w:r>
            <w:r>
              <w:rPr>
                <w:rFonts w:hint="eastAsia"/>
                <w:color w:val="auto"/>
                <w:kern w:val="0"/>
                <w:sz w:val="24"/>
                <w:highlight w:val="none"/>
              </w:rPr>
              <w:t>工程竣工后，将各项环保措施落实完成情况上报当地生态环境主管部门。</w:t>
            </w:r>
          </w:p>
          <w:p>
            <w:pPr>
              <w:autoSpaceDE w:val="0"/>
              <w:autoSpaceDN w:val="0"/>
              <w:adjustRightInd w:val="0"/>
              <w:snapToGrid w:val="0"/>
              <w:spacing w:line="360" w:lineRule="auto"/>
              <w:ind w:firstLine="482" w:firstLineChars="200"/>
              <w:jc w:val="left"/>
              <w:rPr>
                <w:b/>
                <w:bCs/>
                <w:color w:val="auto"/>
                <w:kern w:val="0"/>
                <w:sz w:val="24"/>
                <w:highlight w:val="none"/>
              </w:rPr>
            </w:pPr>
            <w:r>
              <w:rPr>
                <w:rFonts w:hint="eastAsia"/>
                <w:b/>
                <w:bCs/>
                <w:color w:val="auto"/>
                <w:kern w:val="0"/>
                <w:sz w:val="24"/>
                <w:highlight w:val="none"/>
              </w:rPr>
              <w:t>（</w:t>
            </w:r>
            <w:r>
              <w:rPr>
                <w:b/>
                <w:bCs/>
                <w:color w:val="auto"/>
                <w:kern w:val="0"/>
                <w:sz w:val="24"/>
                <w:highlight w:val="none"/>
              </w:rPr>
              <w:t>3</w:t>
            </w:r>
            <w:r>
              <w:rPr>
                <w:rFonts w:hint="eastAsia"/>
                <w:b/>
                <w:bCs/>
                <w:color w:val="auto"/>
                <w:kern w:val="0"/>
                <w:sz w:val="24"/>
                <w:highlight w:val="none"/>
              </w:rPr>
              <w:t>）</w:t>
            </w:r>
            <w:r>
              <w:rPr>
                <w:rFonts w:hint="eastAsia"/>
                <w:b/>
                <w:bCs/>
                <w:color w:val="auto"/>
                <w:sz w:val="24"/>
                <w:highlight w:val="none"/>
              </w:rPr>
              <w:t>环境管理计划</w:t>
            </w:r>
          </w:p>
          <w:p>
            <w:pPr>
              <w:autoSpaceDE w:val="0"/>
              <w:autoSpaceDN w:val="0"/>
              <w:adjustRightInd w:val="0"/>
              <w:snapToGrid w:val="0"/>
              <w:spacing w:line="360" w:lineRule="auto"/>
              <w:ind w:firstLine="480" w:firstLineChars="200"/>
              <w:jc w:val="left"/>
              <w:rPr>
                <w:color w:val="auto"/>
                <w:kern w:val="0"/>
                <w:sz w:val="24"/>
                <w:highlight w:val="none"/>
              </w:rPr>
            </w:pPr>
            <w:r>
              <w:rPr>
                <w:color w:val="auto"/>
                <w:kern w:val="0"/>
                <w:sz w:val="24"/>
                <w:highlight w:val="none"/>
              </w:rPr>
              <w:t>环境管理计划内容包括表5-2所列内容。</w:t>
            </w:r>
          </w:p>
          <w:p>
            <w:pPr>
              <w:ind w:firstLine="482"/>
              <w:jc w:val="center"/>
              <w:rPr>
                <w:b/>
                <w:color w:val="auto"/>
                <w:sz w:val="24"/>
                <w:highlight w:val="none"/>
              </w:rPr>
            </w:pPr>
            <w:r>
              <w:rPr>
                <w:rFonts w:hint="eastAsia"/>
                <w:b/>
                <w:color w:val="auto"/>
                <w:sz w:val="24"/>
                <w:highlight w:val="none"/>
              </w:rPr>
              <w:t>表</w:t>
            </w:r>
            <w:r>
              <w:rPr>
                <w:b/>
                <w:color w:val="auto"/>
                <w:sz w:val="24"/>
                <w:highlight w:val="none"/>
              </w:rPr>
              <w:t xml:space="preserve">5-2  </w:t>
            </w:r>
            <w:r>
              <w:rPr>
                <w:rFonts w:hint="eastAsia"/>
                <w:b/>
                <w:color w:val="auto"/>
                <w:sz w:val="24"/>
                <w:highlight w:val="none"/>
              </w:rPr>
              <w:t>拟建项目环境管理计划</w:t>
            </w:r>
          </w:p>
          <w:tbl>
            <w:tblPr>
              <w:tblStyle w:val="28"/>
              <w:tblW w:w="812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95"/>
              <w:gridCol w:w="1537"/>
              <w:gridCol w:w="4494"/>
              <w:gridCol w:w="15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7" w:hRule="atLeast"/>
                <w:jc w:val="center"/>
              </w:trPr>
              <w:tc>
                <w:tcPr>
                  <w:tcW w:w="595" w:type="dxa"/>
                  <w:vAlign w:val="center"/>
                </w:tcPr>
                <w:p>
                  <w:pPr>
                    <w:snapToGrid w:val="0"/>
                    <w:ind w:left="-57" w:right="-57"/>
                    <w:jc w:val="center"/>
                    <w:rPr>
                      <w:color w:val="auto"/>
                      <w:kern w:val="0"/>
                      <w:szCs w:val="21"/>
                      <w:highlight w:val="none"/>
                    </w:rPr>
                  </w:pPr>
                  <w:r>
                    <w:rPr>
                      <w:rFonts w:hint="eastAsia"/>
                      <w:color w:val="auto"/>
                      <w:szCs w:val="21"/>
                      <w:highlight w:val="none"/>
                    </w:rPr>
                    <w:t>阶段</w:t>
                  </w:r>
                </w:p>
              </w:tc>
              <w:tc>
                <w:tcPr>
                  <w:tcW w:w="1537" w:type="dxa"/>
                  <w:vAlign w:val="center"/>
                </w:tcPr>
                <w:p>
                  <w:pPr>
                    <w:snapToGrid w:val="0"/>
                    <w:ind w:left="-57" w:right="-57"/>
                    <w:jc w:val="center"/>
                    <w:rPr>
                      <w:color w:val="auto"/>
                      <w:szCs w:val="21"/>
                      <w:highlight w:val="none"/>
                    </w:rPr>
                  </w:pPr>
                  <w:r>
                    <w:rPr>
                      <w:rFonts w:hint="eastAsia"/>
                      <w:color w:val="auto"/>
                      <w:szCs w:val="21"/>
                      <w:highlight w:val="none"/>
                    </w:rPr>
                    <w:t>影响因素</w:t>
                  </w:r>
                </w:p>
              </w:tc>
              <w:tc>
                <w:tcPr>
                  <w:tcW w:w="4494" w:type="dxa"/>
                  <w:vAlign w:val="center"/>
                </w:tcPr>
                <w:p>
                  <w:pPr>
                    <w:snapToGrid w:val="0"/>
                    <w:ind w:left="-57" w:right="-57"/>
                    <w:jc w:val="center"/>
                    <w:rPr>
                      <w:color w:val="auto"/>
                      <w:szCs w:val="21"/>
                      <w:highlight w:val="none"/>
                    </w:rPr>
                  </w:pPr>
                  <w:r>
                    <w:rPr>
                      <w:rFonts w:hint="eastAsia"/>
                      <w:color w:val="auto"/>
                      <w:szCs w:val="21"/>
                      <w:highlight w:val="none"/>
                    </w:rPr>
                    <w:t>减缓措施</w:t>
                  </w:r>
                </w:p>
              </w:tc>
              <w:tc>
                <w:tcPr>
                  <w:tcW w:w="1503" w:type="dxa"/>
                  <w:vAlign w:val="center"/>
                </w:tcPr>
                <w:p>
                  <w:pPr>
                    <w:snapToGrid w:val="0"/>
                    <w:spacing w:line="324" w:lineRule="auto"/>
                    <w:ind w:left="-57" w:right="-57"/>
                    <w:jc w:val="center"/>
                    <w:rPr>
                      <w:color w:val="auto"/>
                      <w:szCs w:val="21"/>
                      <w:highlight w:val="none"/>
                    </w:rPr>
                  </w:pPr>
                  <w:r>
                    <w:rPr>
                      <w:rFonts w:hint="eastAsia"/>
                      <w:color w:val="auto"/>
                      <w:szCs w:val="21"/>
                      <w:highlight w:val="none"/>
                    </w:rPr>
                    <w:t>实施机构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7" w:hRule="atLeast"/>
                <w:jc w:val="center"/>
              </w:trPr>
              <w:tc>
                <w:tcPr>
                  <w:tcW w:w="595" w:type="dxa"/>
                  <w:vMerge w:val="restart"/>
                  <w:vAlign w:val="center"/>
                </w:tcPr>
                <w:p>
                  <w:pPr>
                    <w:snapToGrid w:val="0"/>
                    <w:ind w:left="-57" w:right="-57"/>
                    <w:jc w:val="center"/>
                    <w:rPr>
                      <w:color w:val="auto"/>
                      <w:szCs w:val="21"/>
                      <w:highlight w:val="none"/>
                    </w:rPr>
                  </w:pPr>
                  <w:r>
                    <w:rPr>
                      <w:rFonts w:hint="eastAsia"/>
                      <w:color w:val="auto"/>
                      <w:szCs w:val="21"/>
                      <w:highlight w:val="none"/>
                    </w:rPr>
                    <w:t>施</w:t>
                  </w:r>
                </w:p>
                <w:p>
                  <w:pPr>
                    <w:snapToGrid w:val="0"/>
                    <w:ind w:left="-57" w:right="-57"/>
                    <w:jc w:val="center"/>
                    <w:rPr>
                      <w:color w:val="auto"/>
                      <w:szCs w:val="21"/>
                      <w:highlight w:val="none"/>
                    </w:rPr>
                  </w:pPr>
                  <w:r>
                    <w:rPr>
                      <w:rFonts w:hint="eastAsia"/>
                      <w:color w:val="auto"/>
                      <w:szCs w:val="21"/>
                      <w:highlight w:val="none"/>
                    </w:rPr>
                    <w:t>工</w:t>
                  </w:r>
                </w:p>
                <w:p>
                  <w:pPr>
                    <w:snapToGrid w:val="0"/>
                    <w:ind w:left="-57" w:right="-57"/>
                    <w:jc w:val="center"/>
                    <w:rPr>
                      <w:color w:val="auto"/>
                      <w:szCs w:val="21"/>
                      <w:highlight w:val="none"/>
                    </w:rPr>
                  </w:pPr>
                  <w:r>
                    <w:rPr>
                      <w:rFonts w:hint="eastAsia"/>
                      <w:color w:val="auto"/>
                      <w:szCs w:val="21"/>
                      <w:highlight w:val="none"/>
                    </w:rPr>
                    <w:t>期</w:t>
                  </w:r>
                </w:p>
              </w:tc>
              <w:tc>
                <w:tcPr>
                  <w:tcW w:w="1537" w:type="dxa"/>
                  <w:vAlign w:val="center"/>
                </w:tcPr>
                <w:p>
                  <w:pPr>
                    <w:adjustRightInd w:val="0"/>
                    <w:snapToGrid w:val="0"/>
                    <w:jc w:val="center"/>
                    <w:rPr>
                      <w:color w:val="auto"/>
                      <w:szCs w:val="21"/>
                      <w:highlight w:val="none"/>
                      <w:lang w:eastAsia="en-US"/>
                    </w:rPr>
                  </w:pPr>
                  <w:r>
                    <w:rPr>
                      <w:rFonts w:hint="eastAsia" w:ascii="宋体" w:hAnsi="宋体" w:cs="宋体"/>
                      <w:color w:val="auto"/>
                      <w:szCs w:val="21"/>
                      <w:highlight w:val="none"/>
                    </w:rPr>
                    <w:t>①</w:t>
                  </w:r>
                  <w:r>
                    <w:rPr>
                      <w:rFonts w:hint="eastAsia"/>
                      <w:color w:val="auto"/>
                      <w:szCs w:val="21"/>
                      <w:highlight w:val="none"/>
                    </w:rPr>
                    <w:t>废水</w:t>
                  </w:r>
                </w:p>
              </w:tc>
              <w:tc>
                <w:tcPr>
                  <w:tcW w:w="4494" w:type="dxa"/>
                  <w:vAlign w:val="center"/>
                </w:tcPr>
                <w:p>
                  <w:pPr>
                    <w:adjustRightInd w:val="0"/>
                    <w:snapToGrid w:val="0"/>
                    <w:rPr>
                      <w:bCs/>
                      <w:snapToGrid w:val="0"/>
                      <w:color w:val="auto"/>
                      <w:szCs w:val="21"/>
                      <w:highlight w:val="none"/>
                    </w:rPr>
                  </w:pPr>
                  <w:r>
                    <w:rPr>
                      <w:rFonts w:hint="eastAsia"/>
                      <w:bCs/>
                      <w:snapToGrid w:val="0"/>
                      <w:color w:val="auto"/>
                      <w:szCs w:val="21"/>
                      <w:highlight w:val="none"/>
                    </w:rPr>
                    <w:t>施工废水收集并做简单沉淀处理后回用于洒水；</w:t>
                  </w:r>
                  <w:r>
                    <w:rPr>
                      <w:rFonts w:hint="eastAsia"/>
                      <w:color w:val="auto"/>
                      <w:szCs w:val="21"/>
                      <w:highlight w:val="none"/>
                      <w:lang w:bidi="ar"/>
                    </w:rPr>
                    <w:t>施工人员产生的生活污水纳入当地生活污水处理系统处理</w:t>
                  </w:r>
                </w:p>
              </w:tc>
              <w:tc>
                <w:tcPr>
                  <w:tcW w:w="1503" w:type="dxa"/>
                  <w:vMerge w:val="restart"/>
                  <w:vAlign w:val="center"/>
                </w:tcPr>
                <w:p>
                  <w:pPr>
                    <w:snapToGrid w:val="0"/>
                    <w:spacing w:line="324" w:lineRule="auto"/>
                    <w:ind w:left="-57" w:right="-57"/>
                    <w:jc w:val="center"/>
                    <w:rPr>
                      <w:color w:val="auto"/>
                      <w:szCs w:val="21"/>
                      <w:highlight w:val="none"/>
                    </w:rPr>
                  </w:pPr>
                  <w:r>
                    <w:rPr>
                      <w:rFonts w:hint="eastAsia"/>
                      <w:color w:val="auto"/>
                      <w:szCs w:val="21"/>
                      <w:highlight w:val="none"/>
                    </w:rPr>
                    <w:t>工程施工单位</w:t>
                  </w:r>
                </w:p>
                <w:p>
                  <w:pPr>
                    <w:snapToGrid w:val="0"/>
                    <w:spacing w:line="324" w:lineRule="auto"/>
                    <w:ind w:left="-57" w:right="-57"/>
                    <w:jc w:val="center"/>
                    <w:rPr>
                      <w:color w:val="auto"/>
                      <w:szCs w:val="21"/>
                      <w:highlight w:val="none"/>
                    </w:rPr>
                  </w:pPr>
                  <w:r>
                    <w:rPr>
                      <w:rFonts w:hint="eastAsia"/>
                      <w:color w:val="auto"/>
                      <w:szCs w:val="21"/>
                      <w:highlight w:val="none"/>
                    </w:rPr>
                    <w:t>工程设计单位</w:t>
                  </w:r>
                </w:p>
                <w:p>
                  <w:pPr>
                    <w:snapToGrid w:val="0"/>
                    <w:spacing w:line="324" w:lineRule="auto"/>
                    <w:ind w:left="-57" w:right="-57"/>
                    <w:jc w:val="center"/>
                    <w:rPr>
                      <w:color w:val="auto"/>
                      <w:szCs w:val="21"/>
                      <w:highlight w:val="none"/>
                    </w:rPr>
                  </w:pPr>
                  <w:r>
                    <w:rPr>
                      <w:rFonts w:hint="eastAsia"/>
                      <w:color w:val="auto"/>
                      <w:szCs w:val="21"/>
                      <w:highlight w:val="none"/>
                    </w:rPr>
                    <w:t>工程监理单位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595" w:type="dxa"/>
                  <w:vMerge w:val="continue"/>
                  <w:vAlign w:val="center"/>
                </w:tcPr>
                <w:p>
                  <w:pPr>
                    <w:rPr>
                      <w:color w:val="auto"/>
                      <w:szCs w:val="21"/>
                      <w:highlight w:val="none"/>
                      <w:lang w:bidi="en-US"/>
                    </w:rPr>
                  </w:pPr>
                </w:p>
              </w:tc>
              <w:tc>
                <w:tcPr>
                  <w:tcW w:w="1537" w:type="dxa"/>
                  <w:vAlign w:val="center"/>
                </w:tcPr>
                <w:p>
                  <w:pPr>
                    <w:adjustRightInd w:val="0"/>
                    <w:snapToGrid w:val="0"/>
                    <w:jc w:val="center"/>
                    <w:rPr>
                      <w:color w:val="auto"/>
                      <w:szCs w:val="21"/>
                      <w:highlight w:val="none"/>
                    </w:rPr>
                  </w:pPr>
                  <w:r>
                    <w:rPr>
                      <w:rFonts w:hint="eastAsia" w:ascii="宋体" w:hAnsi="宋体" w:cs="宋体"/>
                      <w:color w:val="auto"/>
                      <w:szCs w:val="21"/>
                      <w:highlight w:val="none"/>
                    </w:rPr>
                    <w:t>②</w:t>
                  </w:r>
                  <w:r>
                    <w:rPr>
                      <w:rFonts w:hint="eastAsia"/>
                      <w:color w:val="auto"/>
                      <w:szCs w:val="21"/>
                      <w:highlight w:val="none"/>
                    </w:rPr>
                    <w:t>废气</w:t>
                  </w:r>
                </w:p>
              </w:tc>
              <w:tc>
                <w:tcPr>
                  <w:tcW w:w="4494" w:type="dxa"/>
                  <w:vAlign w:val="center"/>
                </w:tcPr>
                <w:p>
                  <w:pPr>
                    <w:adjustRightInd w:val="0"/>
                    <w:snapToGrid w:val="0"/>
                    <w:rPr>
                      <w:bCs/>
                      <w:snapToGrid w:val="0"/>
                      <w:color w:val="auto"/>
                      <w:szCs w:val="21"/>
                      <w:highlight w:val="none"/>
                    </w:rPr>
                  </w:pPr>
                  <w:r>
                    <w:rPr>
                      <w:rFonts w:hint="eastAsia"/>
                      <w:bCs/>
                      <w:snapToGrid w:val="0"/>
                      <w:color w:val="auto"/>
                      <w:szCs w:val="21"/>
                      <w:highlight w:val="none"/>
                    </w:rPr>
                    <w:t>施工场地洒水抑尘</w:t>
                  </w:r>
                </w:p>
              </w:tc>
              <w:tc>
                <w:tcPr>
                  <w:tcW w:w="1503" w:type="dxa"/>
                  <w:vMerge w:val="continue"/>
                  <w:vAlign w:val="center"/>
                </w:tcPr>
                <w:p>
                  <w:pPr>
                    <w:rPr>
                      <w:color w:val="auto"/>
                      <w:szCs w:val="21"/>
                      <w:highlight w:val="none"/>
                      <w:lang w:bidi="en-U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7" w:hRule="atLeast"/>
                <w:jc w:val="center"/>
              </w:trPr>
              <w:tc>
                <w:tcPr>
                  <w:tcW w:w="595" w:type="dxa"/>
                  <w:vMerge w:val="continue"/>
                  <w:vAlign w:val="center"/>
                </w:tcPr>
                <w:p>
                  <w:pPr>
                    <w:rPr>
                      <w:color w:val="auto"/>
                      <w:szCs w:val="21"/>
                      <w:highlight w:val="none"/>
                      <w:lang w:bidi="en-US"/>
                    </w:rPr>
                  </w:pPr>
                </w:p>
              </w:tc>
              <w:tc>
                <w:tcPr>
                  <w:tcW w:w="1537" w:type="dxa"/>
                  <w:vAlign w:val="center"/>
                </w:tcPr>
                <w:p>
                  <w:pPr>
                    <w:adjustRightInd w:val="0"/>
                    <w:snapToGrid w:val="0"/>
                    <w:jc w:val="center"/>
                    <w:rPr>
                      <w:color w:val="auto"/>
                      <w:szCs w:val="21"/>
                      <w:highlight w:val="none"/>
                      <w:lang w:eastAsia="en-US"/>
                    </w:rPr>
                  </w:pPr>
                  <w:r>
                    <w:rPr>
                      <w:rFonts w:hint="eastAsia" w:ascii="宋体" w:hAnsi="宋体" w:cs="宋体"/>
                      <w:color w:val="auto"/>
                      <w:szCs w:val="21"/>
                      <w:highlight w:val="none"/>
                    </w:rPr>
                    <w:t>③</w:t>
                  </w:r>
                  <w:r>
                    <w:rPr>
                      <w:rFonts w:hint="eastAsia"/>
                      <w:color w:val="auto"/>
                      <w:szCs w:val="21"/>
                      <w:highlight w:val="none"/>
                    </w:rPr>
                    <w:t>噪声</w:t>
                  </w:r>
                </w:p>
              </w:tc>
              <w:tc>
                <w:tcPr>
                  <w:tcW w:w="4494" w:type="dxa"/>
                  <w:vAlign w:val="center"/>
                </w:tcPr>
                <w:p>
                  <w:pPr>
                    <w:adjustRightInd w:val="0"/>
                    <w:snapToGrid w:val="0"/>
                    <w:rPr>
                      <w:bCs/>
                      <w:snapToGrid w:val="0"/>
                      <w:color w:val="auto"/>
                      <w:szCs w:val="21"/>
                      <w:highlight w:val="none"/>
                    </w:rPr>
                  </w:pPr>
                  <w:r>
                    <w:rPr>
                      <w:rFonts w:hint="eastAsia"/>
                      <w:bCs/>
                      <w:snapToGrid w:val="0"/>
                      <w:color w:val="auto"/>
                      <w:szCs w:val="21"/>
                      <w:highlight w:val="none"/>
                    </w:rPr>
                    <w:t>合理安排施工时间，合理布局高噪声设备</w:t>
                  </w:r>
                </w:p>
              </w:tc>
              <w:tc>
                <w:tcPr>
                  <w:tcW w:w="1503" w:type="dxa"/>
                  <w:vMerge w:val="continue"/>
                  <w:vAlign w:val="center"/>
                </w:tcPr>
                <w:p>
                  <w:pPr>
                    <w:rPr>
                      <w:color w:val="auto"/>
                      <w:szCs w:val="21"/>
                      <w:highlight w:val="none"/>
                      <w:lang w:bidi="en-U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7" w:hRule="atLeast"/>
                <w:jc w:val="center"/>
              </w:trPr>
              <w:tc>
                <w:tcPr>
                  <w:tcW w:w="595" w:type="dxa"/>
                  <w:vMerge w:val="continue"/>
                  <w:vAlign w:val="center"/>
                </w:tcPr>
                <w:p>
                  <w:pPr>
                    <w:rPr>
                      <w:color w:val="auto"/>
                      <w:szCs w:val="21"/>
                      <w:highlight w:val="none"/>
                      <w:lang w:bidi="en-US"/>
                    </w:rPr>
                  </w:pPr>
                </w:p>
              </w:tc>
              <w:tc>
                <w:tcPr>
                  <w:tcW w:w="1537" w:type="dxa"/>
                  <w:vAlign w:val="center"/>
                </w:tcPr>
                <w:p>
                  <w:pPr>
                    <w:adjustRightInd w:val="0"/>
                    <w:snapToGrid w:val="0"/>
                    <w:jc w:val="center"/>
                    <w:rPr>
                      <w:color w:val="auto"/>
                      <w:szCs w:val="21"/>
                      <w:highlight w:val="none"/>
                    </w:rPr>
                  </w:pPr>
                  <w:r>
                    <w:rPr>
                      <w:rFonts w:hint="eastAsia" w:ascii="宋体" w:hAnsi="宋体" w:cs="宋体"/>
                      <w:color w:val="auto"/>
                      <w:szCs w:val="21"/>
                      <w:highlight w:val="none"/>
                    </w:rPr>
                    <w:t>④</w:t>
                  </w:r>
                  <w:r>
                    <w:rPr>
                      <w:rFonts w:hint="eastAsia"/>
                      <w:color w:val="auto"/>
                      <w:szCs w:val="21"/>
                      <w:highlight w:val="none"/>
                    </w:rPr>
                    <w:t>生态影响</w:t>
                  </w:r>
                </w:p>
              </w:tc>
              <w:tc>
                <w:tcPr>
                  <w:tcW w:w="4494" w:type="dxa"/>
                  <w:vAlign w:val="center"/>
                </w:tcPr>
                <w:p>
                  <w:pPr>
                    <w:adjustRightInd w:val="0"/>
                    <w:snapToGrid w:val="0"/>
                    <w:rPr>
                      <w:bCs/>
                      <w:snapToGrid w:val="0"/>
                      <w:color w:val="auto"/>
                      <w:szCs w:val="21"/>
                      <w:highlight w:val="none"/>
                    </w:rPr>
                  </w:pPr>
                  <w:r>
                    <w:rPr>
                      <w:rFonts w:hint="eastAsia"/>
                      <w:color w:val="auto"/>
                      <w:szCs w:val="21"/>
                      <w:highlight w:val="none"/>
                    </w:rPr>
                    <w:t>基础开挖土石方及时回填、压实，减小水土流失。</w:t>
                  </w:r>
                </w:p>
              </w:tc>
              <w:tc>
                <w:tcPr>
                  <w:tcW w:w="1503" w:type="dxa"/>
                  <w:vMerge w:val="continue"/>
                  <w:vAlign w:val="center"/>
                </w:tcPr>
                <w:p>
                  <w:pPr>
                    <w:rPr>
                      <w:color w:val="auto"/>
                      <w:szCs w:val="21"/>
                      <w:highlight w:val="none"/>
                      <w:lang w:bidi="en-U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1" w:hRule="atLeast"/>
                <w:jc w:val="center"/>
              </w:trPr>
              <w:tc>
                <w:tcPr>
                  <w:tcW w:w="595" w:type="dxa"/>
                  <w:vMerge w:val="restart"/>
                  <w:vAlign w:val="center"/>
                </w:tcPr>
                <w:p>
                  <w:pPr>
                    <w:snapToGrid w:val="0"/>
                    <w:ind w:left="-57" w:right="-57"/>
                    <w:jc w:val="center"/>
                    <w:rPr>
                      <w:color w:val="auto"/>
                      <w:szCs w:val="21"/>
                      <w:highlight w:val="none"/>
                      <w:lang w:eastAsia="en-US"/>
                    </w:rPr>
                  </w:pPr>
                  <w:r>
                    <w:rPr>
                      <w:rFonts w:hint="eastAsia"/>
                      <w:color w:val="auto"/>
                      <w:szCs w:val="21"/>
                      <w:highlight w:val="none"/>
                    </w:rPr>
                    <w:t>营</w:t>
                  </w:r>
                </w:p>
                <w:p>
                  <w:pPr>
                    <w:snapToGrid w:val="0"/>
                    <w:ind w:left="-57" w:right="-57"/>
                    <w:jc w:val="center"/>
                    <w:rPr>
                      <w:color w:val="auto"/>
                      <w:szCs w:val="21"/>
                      <w:highlight w:val="none"/>
                    </w:rPr>
                  </w:pPr>
                  <w:r>
                    <w:rPr>
                      <w:rFonts w:hint="eastAsia"/>
                      <w:color w:val="auto"/>
                      <w:szCs w:val="21"/>
                      <w:highlight w:val="none"/>
                    </w:rPr>
                    <w:t>运</w:t>
                  </w:r>
                </w:p>
                <w:p>
                  <w:pPr>
                    <w:snapToGrid w:val="0"/>
                    <w:ind w:left="-57" w:right="-57"/>
                    <w:jc w:val="center"/>
                    <w:rPr>
                      <w:color w:val="auto"/>
                      <w:szCs w:val="21"/>
                      <w:highlight w:val="none"/>
                    </w:rPr>
                  </w:pPr>
                  <w:r>
                    <w:rPr>
                      <w:rFonts w:hint="eastAsia"/>
                      <w:color w:val="auto"/>
                      <w:szCs w:val="21"/>
                      <w:highlight w:val="none"/>
                    </w:rPr>
                    <w:t>期</w:t>
                  </w:r>
                </w:p>
              </w:tc>
              <w:tc>
                <w:tcPr>
                  <w:tcW w:w="1537" w:type="dxa"/>
                  <w:vAlign w:val="center"/>
                </w:tcPr>
                <w:p>
                  <w:pPr>
                    <w:adjustRightInd w:val="0"/>
                    <w:snapToGrid w:val="0"/>
                    <w:jc w:val="center"/>
                    <w:rPr>
                      <w:color w:val="auto"/>
                      <w:szCs w:val="21"/>
                      <w:highlight w:val="none"/>
                    </w:rPr>
                  </w:pPr>
                  <w:r>
                    <w:rPr>
                      <w:rFonts w:hint="eastAsia" w:ascii="宋体" w:hAnsi="宋体" w:cs="宋体"/>
                      <w:color w:val="auto"/>
                      <w:szCs w:val="21"/>
                      <w:highlight w:val="none"/>
                    </w:rPr>
                    <w:t>①</w:t>
                  </w:r>
                  <w:r>
                    <w:rPr>
                      <w:rFonts w:hint="eastAsia"/>
                      <w:color w:val="auto"/>
                      <w:szCs w:val="21"/>
                      <w:highlight w:val="none"/>
                    </w:rPr>
                    <w:t>噪声</w:t>
                  </w:r>
                </w:p>
              </w:tc>
              <w:tc>
                <w:tcPr>
                  <w:tcW w:w="4494" w:type="dxa"/>
                  <w:vAlign w:val="center"/>
                </w:tcPr>
                <w:p>
                  <w:pPr>
                    <w:adjustRightInd w:val="0"/>
                    <w:snapToGrid w:val="0"/>
                    <w:rPr>
                      <w:color w:val="auto"/>
                      <w:szCs w:val="21"/>
                      <w:highlight w:val="none"/>
                    </w:rPr>
                  </w:pPr>
                  <w:r>
                    <w:rPr>
                      <w:rFonts w:hint="eastAsia"/>
                      <w:color w:val="auto"/>
                      <w:szCs w:val="21"/>
                      <w:highlight w:val="none"/>
                    </w:rPr>
                    <w:t>采用低噪声变压设备，设置隔声、消声、减振等降噪措施</w:t>
                  </w:r>
                </w:p>
              </w:tc>
              <w:tc>
                <w:tcPr>
                  <w:tcW w:w="1503" w:type="dxa"/>
                  <w:vMerge w:val="restart"/>
                  <w:vAlign w:val="center"/>
                </w:tcPr>
                <w:p>
                  <w:pPr>
                    <w:snapToGrid w:val="0"/>
                    <w:spacing w:line="324" w:lineRule="auto"/>
                    <w:ind w:left="-57" w:right="-57"/>
                    <w:jc w:val="center"/>
                    <w:rPr>
                      <w:rFonts w:hint="eastAsia" w:eastAsia="宋体"/>
                      <w:color w:val="auto"/>
                      <w:szCs w:val="21"/>
                      <w:highlight w:val="none"/>
                      <w:lang w:eastAsia="zh-CN"/>
                    </w:rPr>
                  </w:pPr>
                  <w:r>
                    <w:rPr>
                      <w:rFonts w:hint="eastAsia"/>
                      <w:color w:val="auto"/>
                      <w:szCs w:val="21"/>
                      <w:highlight w:val="none"/>
                      <w:lang w:eastAsia="zh-CN"/>
                    </w:rPr>
                    <w:t>国网重庆市电力公司铜梁供电分公司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1" w:hRule="atLeast"/>
                <w:jc w:val="center"/>
              </w:trPr>
              <w:tc>
                <w:tcPr>
                  <w:tcW w:w="595" w:type="dxa"/>
                  <w:vMerge w:val="continue"/>
                  <w:vAlign w:val="center"/>
                </w:tcPr>
                <w:p>
                  <w:pPr>
                    <w:rPr>
                      <w:color w:val="auto"/>
                      <w:szCs w:val="21"/>
                      <w:highlight w:val="none"/>
                      <w:lang w:bidi="en-US"/>
                    </w:rPr>
                  </w:pPr>
                </w:p>
              </w:tc>
              <w:tc>
                <w:tcPr>
                  <w:tcW w:w="1537" w:type="dxa"/>
                  <w:vAlign w:val="center"/>
                </w:tcPr>
                <w:p>
                  <w:pPr>
                    <w:adjustRightInd w:val="0"/>
                    <w:snapToGrid w:val="0"/>
                    <w:jc w:val="center"/>
                    <w:rPr>
                      <w:color w:val="auto"/>
                      <w:szCs w:val="21"/>
                      <w:highlight w:val="none"/>
                    </w:rPr>
                  </w:pPr>
                  <w:r>
                    <w:rPr>
                      <w:rFonts w:hint="eastAsia" w:ascii="宋体" w:hAnsi="宋体" w:cs="宋体"/>
                      <w:color w:val="auto"/>
                      <w:szCs w:val="21"/>
                      <w:highlight w:val="none"/>
                    </w:rPr>
                    <w:t>②</w:t>
                  </w:r>
                  <w:r>
                    <w:rPr>
                      <w:rFonts w:hint="eastAsia"/>
                      <w:color w:val="auto"/>
                      <w:szCs w:val="21"/>
                      <w:highlight w:val="none"/>
                    </w:rPr>
                    <w:t>电场强度</w:t>
                  </w:r>
                </w:p>
              </w:tc>
              <w:tc>
                <w:tcPr>
                  <w:tcW w:w="4494" w:type="dxa"/>
                  <w:vMerge w:val="restart"/>
                  <w:vAlign w:val="center"/>
                </w:tcPr>
                <w:p>
                  <w:pPr>
                    <w:adjustRightInd w:val="0"/>
                    <w:snapToGrid w:val="0"/>
                    <w:rPr>
                      <w:color w:val="auto"/>
                      <w:szCs w:val="21"/>
                      <w:highlight w:val="none"/>
                    </w:rPr>
                  </w:pPr>
                  <w:r>
                    <w:rPr>
                      <w:rFonts w:hint="eastAsia"/>
                      <w:color w:val="auto"/>
                      <w:szCs w:val="21"/>
                      <w:highlight w:val="none"/>
                    </w:rPr>
                    <w:t>加强日常设备维护</w:t>
                  </w:r>
                </w:p>
              </w:tc>
              <w:tc>
                <w:tcPr>
                  <w:tcW w:w="1503" w:type="dxa"/>
                  <w:vMerge w:val="continue"/>
                  <w:vAlign w:val="center"/>
                </w:tcPr>
                <w:p>
                  <w:pPr>
                    <w:rPr>
                      <w:color w:val="auto"/>
                      <w:szCs w:val="21"/>
                      <w:highlight w:val="none"/>
                      <w:lang w:bidi="en-U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8" w:hRule="atLeast"/>
                <w:jc w:val="center"/>
              </w:trPr>
              <w:tc>
                <w:tcPr>
                  <w:tcW w:w="595" w:type="dxa"/>
                  <w:vMerge w:val="continue"/>
                  <w:vAlign w:val="center"/>
                </w:tcPr>
                <w:p>
                  <w:pPr>
                    <w:rPr>
                      <w:color w:val="auto"/>
                      <w:szCs w:val="21"/>
                      <w:highlight w:val="none"/>
                      <w:lang w:eastAsia="en-US" w:bidi="en-US"/>
                    </w:rPr>
                  </w:pPr>
                </w:p>
              </w:tc>
              <w:tc>
                <w:tcPr>
                  <w:tcW w:w="1537" w:type="dxa"/>
                  <w:vAlign w:val="center"/>
                </w:tcPr>
                <w:p>
                  <w:pPr>
                    <w:adjustRightInd w:val="0"/>
                    <w:snapToGrid w:val="0"/>
                    <w:jc w:val="center"/>
                    <w:rPr>
                      <w:color w:val="auto"/>
                      <w:szCs w:val="21"/>
                      <w:highlight w:val="none"/>
                    </w:rPr>
                  </w:pPr>
                  <w:r>
                    <w:rPr>
                      <w:rFonts w:hint="eastAsia" w:ascii="宋体" w:hAnsi="宋体" w:cs="宋体"/>
                      <w:color w:val="auto"/>
                      <w:szCs w:val="21"/>
                      <w:highlight w:val="none"/>
                    </w:rPr>
                    <w:t>③</w:t>
                  </w:r>
                  <w:r>
                    <w:rPr>
                      <w:rFonts w:hint="eastAsia"/>
                      <w:color w:val="auto"/>
                      <w:szCs w:val="21"/>
                      <w:highlight w:val="none"/>
                    </w:rPr>
                    <w:t>磁感应强度</w:t>
                  </w:r>
                </w:p>
              </w:tc>
              <w:tc>
                <w:tcPr>
                  <w:tcW w:w="4494" w:type="dxa"/>
                  <w:vMerge w:val="continue"/>
                  <w:vAlign w:val="center"/>
                </w:tcPr>
                <w:p>
                  <w:pPr>
                    <w:rPr>
                      <w:color w:val="auto"/>
                      <w:szCs w:val="21"/>
                      <w:highlight w:val="none"/>
                      <w:lang w:bidi="en-US"/>
                    </w:rPr>
                  </w:pPr>
                </w:p>
              </w:tc>
              <w:tc>
                <w:tcPr>
                  <w:tcW w:w="1503" w:type="dxa"/>
                  <w:vMerge w:val="continue"/>
                  <w:vAlign w:val="center"/>
                </w:tcPr>
                <w:p>
                  <w:pPr>
                    <w:rPr>
                      <w:color w:val="auto"/>
                      <w:szCs w:val="21"/>
                      <w:highlight w:val="none"/>
                      <w:lang w:bidi="en-U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32" w:hRule="atLeast"/>
                <w:jc w:val="center"/>
              </w:trPr>
              <w:tc>
                <w:tcPr>
                  <w:tcW w:w="595" w:type="dxa"/>
                  <w:vMerge w:val="continue"/>
                  <w:vAlign w:val="center"/>
                </w:tcPr>
                <w:p>
                  <w:pPr>
                    <w:rPr>
                      <w:color w:val="auto"/>
                      <w:szCs w:val="21"/>
                      <w:highlight w:val="none"/>
                      <w:lang w:eastAsia="en-US" w:bidi="en-US"/>
                    </w:rPr>
                  </w:pPr>
                </w:p>
              </w:tc>
              <w:tc>
                <w:tcPr>
                  <w:tcW w:w="1537" w:type="dxa"/>
                  <w:vAlign w:val="center"/>
                </w:tcPr>
                <w:p>
                  <w:pPr>
                    <w:adjustRightInd w:val="0"/>
                    <w:snapToGrid w:val="0"/>
                    <w:jc w:val="center"/>
                    <w:rPr>
                      <w:color w:val="auto"/>
                      <w:szCs w:val="21"/>
                      <w:highlight w:val="none"/>
                    </w:rPr>
                  </w:pPr>
                  <w:r>
                    <w:rPr>
                      <w:color w:val="auto"/>
                      <w:szCs w:val="21"/>
                      <w:highlight w:val="none"/>
                    </w:rPr>
                    <w:fldChar w:fldCharType="begin"/>
                  </w:r>
                  <w:r>
                    <w:rPr>
                      <w:color w:val="auto"/>
                      <w:szCs w:val="21"/>
                      <w:highlight w:val="none"/>
                    </w:rPr>
                    <w:instrText xml:space="preserve"> = 4 \* GB3 </w:instrText>
                  </w:r>
                  <w:r>
                    <w:rPr>
                      <w:color w:val="auto"/>
                      <w:szCs w:val="21"/>
                      <w:highlight w:val="none"/>
                    </w:rPr>
                    <w:fldChar w:fldCharType="separate"/>
                  </w:r>
                  <w:r>
                    <w:rPr>
                      <w:rFonts w:hint="eastAsia" w:ascii="宋体" w:hAnsi="宋体" w:cs="宋体"/>
                      <w:color w:val="auto"/>
                      <w:szCs w:val="21"/>
                      <w:highlight w:val="none"/>
                    </w:rPr>
                    <w:t>④</w:t>
                  </w:r>
                  <w:r>
                    <w:rPr>
                      <w:color w:val="auto"/>
                      <w:szCs w:val="21"/>
                      <w:highlight w:val="none"/>
                    </w:rPr>
                    <w:fldChar w:fldCharType="end"/>
                  </w:r>
                  <w:r>
                    <w:rPr>
                      <w:rFonts w:hint="eastAsia"/>
                      <w:color w:val="auto"/>
                      <w:szCs w:val="21"/>
                      <w:highlight w:val="none"/>
                    </w:rPr>
                    <w:t>生活污水</w:t>
                  </w:r>
                </w:p>
              </w:tc>
              <w:tc>
                <w:tcPr>
                  <w:tcW w:w="4494" w:type="dxa"/>
                  <w:vAlign w:val="center"/>
                </w:tcPr>
                <w:p>
                  <w:pPr>
                    <w:adjustRightInd w:val="0"/>
                    <w:snapToGrid w:val="0"/>
                    <w:rPr>
                      <w:color w:val="auto"/>
                      <w:szCs w:val="21"/>
                      <w:highlight w:val="none"/>
                    </w:rPr>
                  </w:pPr>
                  <w:r>
                    <w:rPr>
                      <w:rFonts w:hint="eastAsia"/>
                      <w:color w:val="auto"/>
                      <w:szCs w:val="21"/>
                      <w:highlight w:val="none"/>
                    </w:rPr>
                    <w:t>新建地埋式污水处理设施</w:t>
                  </w:r>
                </w:p>
              </w:tc>
              <w:tc>
                <w:tcPr>
                  <w:tcW w:w="1503" w:type="dxa"/>
                  <w:vMerge w:val="continue"/>
                  <w:vAlign w:val="center"/>
                </w:tcPr>
                <w:p>
                  <w:pPr>
                    <w:rPr>
                      <w:color w:val="auto"/>
                      <w:szCs w:val="21"/>
                      <w:highlight w:val="none"/>
                      <w:lang w:bidi="en-U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9" w:hRule="atLeast"/>
                <w:jc w:val="center"/>
              </w:trPr>
              <w:tc>
                <w:tcPr>
                  <w:tcW w:w="595" w:type="dxa"/>
                  <w:vMerge w:val="continue"/>
                  <w:vAlign w:val="center"/>
                </w:tcPr>
                <w:p>
                  <w:pPr>
                    <w:rPr>
                      <w:color w:val="auto"/>
                      <w:szCs w:val="21"/>
                      <w:highlight w:val="none"/>
                      <w:lang w:bidi="en-US"/>
                    </w:rPr>
                  </w:pPr>
                </w:p>
              </w:tc>
              <w:tc>
                <w:tcPr>
                  <w:tcW w:w="1537" w:type="dxa"/>
                  <w:vAlign w:val="center"/>
                </w:tcPr>
                <w:p>
                  <w:pPr>
                    <w:adjustRightInd w:val="0"/>
                    <w:snapToGrid w:val="0"/>
                    <w:jc w:val="center"/>
                    <w:rPr>
                      <w:color w:val="auto"/>
                      <w:szCs w:val="21"/>
                      <w:highlight w:val="none"/>
                    </w:rPr>
                  </w:pPr>
                  <w:r>
                    <w:rPr>
                      <w:color w:val="auto"/>
                      <w:szCs w:val="21"/>
                      <w:highlight w:val="none"/>
                    </w:rPr>
                    <w:fldChar w:fldCharType="begin"/>
                  </w:r>
                  <w:r>
                    <w:rPr>
                      <w:color w:val="auto"/>
                      <w:szCs w:val="21"/>
                      <w:highlight w:val="none"/>
                    </w:rPr>
                    <w:instrText xml:space="preserve"> = 5 \* GB3 </w:instrText>
                  </w:r>
                  <w:r>
                    <w:rPr>
                      <w:color w:val="auto"/>
                      <w:szCs w:val="21"/>
                      <w:highlight w:val="none"/>
                    </w:rPr>
                    <w:fldChar w:fldCharType="separate"/>
                  </w:r>
                  <w:r>
                    <w:rPr>
                      <w:rFonts w:hint="eastAsia" w:ascii="宋体" w:hAnsi="宋体" w:cs="宋体"/>
                      <w:color w:val="auto"/>
                      <w:szCs w:val="21"/>
                      <w:highlight w:val="none"/>
                    </w:rPr>
                    <w:t>⑤</w:t>
                  </w:r>
                  <w:r>
                    <w:rPr>
                      <w:color w:val="auto"/>
                      <w:szCs w:val="21"/>
                      <w:highlight w:val="none"/>
                    </w:rPr>
                    <w:fldChar w:fldCharType="end"/>
                  </w:r>
                  <w:r>
                    <w:rPr>
                      <w:rFonts w:hint="eastAsia"/>
                      <w:color w:val="auto"/>
                      <w:szCs w:val="21"/>
                      <w:highlight w:val="none"/>
                    </w:rPr>
                    <w:t>事故油池</w:t>
                  </w:r>
                </w:p>
              </w:tc>
              <w:tc>
                <w:tcPr>
                  <w:tcW w:w="4494" w:type="dxa"/>
                  <w:vAlign w:val="center"/>
                </w:tcPr>
                <w:p>
                  <w:pPr>
                    <w:adjustRightInd w:val="0"/>
                    <w:snapToGrid w:val="0"/>
                    <w:rPr>
                      <w:color w:val="auto"/>
                      <w:szCs w:val="21"/>
                      <w:highlight w:val="none"/>
                    </w:rPr>
                  </w:pPr>
                  <w:r>
                    <w:rPr>
                      <w:rFonts w:hint="eastAsia"/>
                      <w:color w:val="auto"/>
                      <w:szCs w:val="21"/>
                      <w:highlight w:val="none"/>
                    </w:rPr>
                    <w:t>新建事故油池，废油交有资质单位处置</w:t>
                  </w:r>
                </w:p>
              </w:tc>
              <w:tc>
                <w:tcPr>
                  <w:tcW w:w="1503" w:type="dxa"/>
                  <w:vMerge w:val="continue"/>
                  <w:vAlign w:val="center"/>
                </w:tcPr>
                <w:p>
                  <w:pPr>
                    <w:rPr>
                      <w:color w:val="auto"/>
                      <w:szCs w:val="21"/>
                      <w:highlight w:val="none"/>
                      <w:lang w:bidi="en-US"/>
                    </w:rPr>
                  </w:pPr>
                </w:p>
              </w:tc>
            </w:tr>
          </w:tbl>
          <w:p>
            <w:pPr>
              <w:autoSpaceDE w:val="0"/>
              <w:autoSpaceDN w:val="0"/>
              <w:adjustRightInd w:val="0"/>
              <w:snapToGrid w:val="0"/>
              <w:spacing w:line="360" w:lineRule="auto"/>
              <w:ind w:firstLine="482" w:firstLineChars="200"/>
              <w:jc w:val="left"/>
              <w:rPr>
                <w:b/>
                <w:bCs/>
                <w:color w:val="auto"/>
                <w:kern w:val="0"/>
                <w:sz w:val="24"/>
                <w:highlight w:val="none"/>
              </w:rPr>
            </w:pPr>
            <w:r>
              <w:rPr>
                <w:rFonts w:hint="eastAsia"/>
                <w:b/>
                <w:bCs/>
                <w:color w:val="auto"/>
                <w:kern w:val="0"/>
                <w:sz w:val="24"/>
                <w:highlight w:val="none"/>
              </w:rPr>
              <w:t>（</w:t>
            </w:r>
            <w:r>
              <w:rPr>
                <w:b/>
                <w:bCs/>
                <w:color w:val="auto"/>
                <w:kern w:val="0"/>
                <w:sz w:val="24"/>
                <w:highlight w:val="none"/>
              </w:rPr>
              <w:t>4</w:t>
            </w:r>
            <w:r>
              <w:rPr>
                <w:rFonts w:hint="eastAsia"/>
                <w:b/>
                <w:bCs/>
                <w:color w:val="auto"/>
                <w:kern w:val="0"/>
                <w:sz w:val="24"/>
                <w:highlight w:val="none"/>
              </w:rPr>
              <w:t>）环境管理中的注意事项</w:t>
            </w:r>
          </w:p>
          <w:p>
            <w:pPr>
              <w:pStyle w:val="67"/>
              <w:topLinePunct/>
              <w:adjustRightInd w:val="0"/>
              <w:snapToGrid w:val="0"/>
              <w:ind w:firstLine="504"/>
              <w:rPr>
                <w:rFonts w:ascii="Times New Roman" w:hAnsi="Times New Roman" w:eastAsiaTheme="minorEastAsia"/>
                <w:bCs/>
                <w:color w:val="auto"/>
                <w:szCs w:val="24"/>
                <w:highlight w:val="none"/>
              </w:rPr>
            </w:pPr>
            <w:r>
              <w:rPr>
                <w:rFonts w:hint="eastAsia" w:cs="宋体"/>
                <w:bCs/>
                <w:color w:val="auto"/>
                <w:szCs w:val="24"/>
                <w:highlight w:val="none"/>
              </w:rPr>
              <w:t>①</w:t>
            </w:r>
            <w:r>
              <w:rPr>
                <w:rFonts w:hint="eastAsia" w:ascii="Times New Roman" w:hAnsi="Times New Roman" w:eastAsiaTheme="minorEastAsia"/>
                <w:bCs/>
                <w:color w:val="auto"/>
                <w:szCs w:val="24"/>
                <w:highlight w:val="none"/>
              </w:rPr>
              <w:t>设计阶段：设计单位应将环境影响报告表中提出的环保措施落实到设计中，建设单位应对环保工程设计方案进行审查；</w:t>
            </w:r>
            <w:r>
              <w:rPr>
                <w:rFonts w:ascii="Times New Roman" w:hAnsi="Times New Roman" w:eastAsiaTheme="minorEastAsia"/>
                <w:bCs/>
                <w:color w:val="auto"/>
                <w:szCs w:val="24"/>
                <w:highlight w:val="none"/>
              </w:rPr>
              <w:t xml:space="preserve"> </w:t>
            </w:r>
          </w:p>
          <w:p>
            <w:pPr>
              <w:pStyle w:val="67"/>
              <w:topLinePunct/>
              <w:adjustRightInd w:val="0"/>
              <w:snapToGrid w:val="0"/>
              <w:ind w:firstLine="504"/>
              <w:rPr>
                <w:rFonts w:ascii="Times New Roman" w:hAnsi="Times New Roman" w:eastAsiaTheme="minorEastAsia"/>
                <w:bCs/>
                <w:color w:val="auto"/>
                <w:szCs w:val="24"/>
                <w:highlight w:val="none"/>
              </w:rPr>
            </w:pPr>
            <w:r>
              <w:rPr>
                <w:rFonts w:hint="eastAsia" w:cs="宋体"/>
                <w:bCs/>
                <w:color w:val="auto"/>
                <w:szCs w:val="24"/>
                <w:highlight w:val="none"/>
              </w:rPr>
              <w:t>②</w:t>
            </w:r>
            <w:r>
              <w:rPr>
                <w:rFonts w:hint="eastAsia" w:ascii="Times New Roman" w:hAnsi="Times New Roman" w:eastAsiaTheme="minorEastAsia"/>
                <w:bCs/>
                <w:color w:val="auto"/>
                <w:szCs w:val="24"/>
                <w:highlight w:val="none"/>
              </w:rPr>
              <w:t>招标阶段：建设单位在投标中应有环境保护的内容，中标后的合同中应有实施环保措施的条款。</w:t>
            </w:r>
          </w:p>
          <w:p>
            <w:pPr>
              <w:pStyle w:val="15"/>
              <w:autoSpaceDE w:val="0"/>
              <w:autoSpaceDN w:val="0"/>
              <w:adjustRightInd w:val="0"/>
              <w:snapToGrid w:val="0"/>
              <w:spacing w:after="0" w:line="360" w:lineRule="auto"/>
              <w:ind w:left="0" w:leftChars="0" w:firstLine="480" w:firstLineChars="200"/>
              <w:rPr>
                <w:rFonts w:eastAsiaTheme="minorEastAsia"/>
                <w:color w:val="auto"/>
                <w:sz w:val="24"/>
                <w:highlight w:val="none"/>
              </w:rPr>
            </w:pPr>
            <w:r>
              <w:rPr>
                <w:rFonts w:hint="eastAsia" w:ascii="宋体" w:hAnsi="宋体" w:cs="宋体"/>
                <w:bCs/>
                <w:color w:val="auto"/>
                <w:sz w:val="24"/>
                <w:highlight w:val="none"/>
              </w:rPr>
              <w:t>③</w:t>
            </w:r>
            <w:r>
              <w:rPr>
                <w:rFonts w:hint="eastAsia" w:eastAsiaTheme="minorEastAsia"/>
                <w:bCs/>
                <w:color w:val="auto"/>
                <w:sz w:val="24"/>
                <w:highlight w:val="none"/>
              </w:rPr>
              <w:t>建设单位在施工开始后应配</w:t>
            </w:r>
            <w:r>
              <w:rPr>
                <w:rFonts w:eastAsiaTheme="minorEastAsia"/>
                <w:bCs/>
                <w:color w:val="auto"/>
                <w:sz w:val="24"/>
                <w:highlight w:val="none"/>
              </w:rPr>
              <w:t>1</w:t>
            </w:r>
            <w:r>
              <w:rPr>
                <w:rFonts w:hint="eastAsia" w:eastAsiaTheme="minorEastAsia"/>
                <w:bCs/>
                <w:color w:val="auto"/>
                <w:sz w:val="24"/>
                <w:highlight w:val="none"/>
              </w:rPr>
              <w:t>～</w:t>
            </w:r>
            <w:r>
              <w:rPr>
                <w:rFonts w:eastAsiaTheme="minorEastAsia"/>
                <w:bCs/>
                <w:color w:val="auto"/>
                <w:sz w:val="24"/>
                <w:highlight w:val="none"/>
              </w:rPr>
              <w:t>2</w:t>
            </w:r>
            <w:r>
              <w:rPr>
                <w:rFonts w:hint="eastAsia" w:eastAsiaTheme="minorEastAsia"/>
                <w:bCs/>
                <w:color w:val="auto"/>
                <w:sz w:val="24"/>
                <w:highlight w:val="none"/>
              </w:rPr>
              <w:t>名专业人员负责施工期的环境监理与监督，关注</w:t>
            </w:r>
            <w:r>
              <w:rPr>
                <w:rFonts w:hint="eastAsia" w:eastAsiaTheme="minorEastAsia"/>
                <w:color w:val="auto"/>
                <w:sz w:val="24"/>
                <w:highlight w:val="none"/>
              </w:rPr>
              <w:t>施工废渣排放、粉尘污染和噪声扰民等。</w:t>
            </w:r>
          </w:p>
          <w:p>
            <w:pPr>
              <w:pStyle w:val="67"/>
              <w:topLinePunct/>
              <w:adjustRightInd w:val="0"/>
              <w:snapToGrid w:val="0"/>
              <w:ind w:firstLine="0" w:firstLineChars="0"/>
              <w:rPr>
                <w:rFonts w:ascii="Times New Roman" w:hAnsi="Times New Roman" w:eastAsiaTheme="minorEastAsia"/>
                <w:b/>
                <w:bCs/>
                <w:color w:val="auto"/>
                <w:szCs w:val="24"/>
                <w:highlight w:val="none"/>
              </w:rPr>
            </w:pPr>
            <w:r>
              <w:rPr>
                <w:rFonts w:ascii="Times New Roman" w:hAnsi="Times New Roman" w:eastAsiaTheme="minorEastAsia"/>
                <w:b/>
                <w:bCs/>
                <w:color w:val="auto"/>
                <w:spacing w:val="0"/>
                <w:szCs w:val="24"/>
                <w:highlight w:val="none"/>
              </w:rPr>
              <w:t xml:space="preserve">5.5 </w:t>
            </w:r>
            <w:r>
              <w:rPr>
                <w:rFonts w:hint="eastAsia" w:ascii="Times New Roman" w:hAnsi="Times New Roman" w:eastAsiaTheme="minorEastAsia"/>
                <w:b/>
                <w:bCs/>
                <w:color w:val="auto"/>
                <w:spacing w:val="0"/>
                <w:szCs w:val="24"/>
                <w:highlight w:val="none"/>
              </w:rPr>
              <w:t>环境监测计划</w:t>
            </w:r>
          </w:p>
          <w:p>
            <w:pPr>
              <w:pStyle w:val="67"/>
              <w:topLinePunct/>
              <w:adjustRightInd w:val="0"/>
              <w:snapToGrid w:val="0"/>
              <w:ind w:firstLine="480"/>
              <w:jc w:val="left"/>
              <w:rPr>
                <w:rFonts w:ascii="Times New Roman" w:hAnsi="Times New Roman" w:eastAsiaTheme="minorEastAsia"/>
                <w:color w:val="auto"/>
                <w:spacing w:val="0"/>
                <w:szCs w:val="24"/>
                <w:highlight w:val="none"/>
              </w:rPr>
            </w:pPr>
            <w:r>
              <w:rPr>
                <w:rFonts w:hint="eastAsia" w:ascii="Times New Roman" w:hAnsi="Times New Roman" w:eastAsiaTheme="minorEastAsia"/>
                <w:color w:val="auto"/>
                <w:spacing w:val="0"/>
                <w:szCs w:val="24"/>
                <w:highlight w:val="none"/>
              </w:rPr>
              <w:t>制订环境监测计划是为了监督各项环保措施的落实，为环境保护措施的实施时间方案提供依据。制订的原则是根据预测各个时期的主要环境影响及可能超标的指标而定，重点是各环境敏感目标。</w:t>
            </w:r>
          </w:p>
          <w:p>
            <w:pPr>
              <w:autoSpaceDE w:val="0"/>
              <w:autoSpaceDN w:val="0"/>
              <w:adjustRightInd w:val="0"/>
              <w:snapToGrid w:val="0"/>
              <w:spacing w:line="360" w:lineRule="auto"/>
              <w:ind w:firstLine="480" w:firstLineChars="200"/>
              <w:jc w:val="left"/>
              <w:rPr>
                <w:rFonts w:eastAsiaTheme="minorEastAsia"/>
                <w:color w:val="auto"/>
                <w:sz w:val="24"/>
                <w:highlight w:val="none"/>
              </w:rPr>
            </w:pPr>
            <w:r>
              <w:rPr>
                <w:rFonts w:hint="eastAsia"/>
                <w:color w:val="auto"/>
                <w:sz w:val="24"/>
                <w:highlight w:val="none"/>
              </w:rPr>
              <w:t>本次环境监测计划为营运期，营运期由</w:t>
            </w:r>
            <w:r>
              <w:rPr>
                <w:rFonts w:hint="eastAsia"/>
                <w:color w:val="auto"/>
                <w:sz w:val="24"/>
                <w:highlight w:val="none"/>
                <w:lang w:eastAsia="zh-CN"/>
              </w:rPr>
              <w:t>国网重庆市电力公司铜梁供电分公司</w:t>
            </w:r>
            <w:r>
              <w:rPr>
                <w:rFonts w:hint="eastAsia"/>
                <w:color w:val="auto"/>
                <w:sz w:val="24"/>
                <w:highlight w:val="none"/>
              </w:rPr>
              <w:t>委托有相关资质的监测单位进行监测。噪声监测方案按照</w:t>
            </w:r>
            <w:r>
              <w:rPr>
                <w:rFonts w:hint="eastAsia"/>
                <w:color w:val="auto"/>
                <w:kern w:val="0"/>
                <w:sz w:val="24"/>
                <w:highlight w:val="none"/>
              </w:rPr>
              <w:t>《声环境质量标准》（</w:t>
            </w:r>
            <w:r>
              <w:rPr>
                <w:color w:val="auto"/>
                <w:kern w:val="0"/>
                <w:sz w:val="24"/>
                <w:highlight w:val="none"/>
              </w:rPr>
              <w:t>GB3096-2008</w:t>
            </w:r>
            <w:r>
              <w:rPr>
                <w:rFonts w:hint="eastAsia"/>
                <w:color w:val="auto"/>
                <w:kern w:val="0"/>
                <w:sz w:val="24"/>
                <w:highlight w:val="none"/>
              </w:rPr>
              <w:t>），电磁环境监测方法按《交流输变电工程电磁环境监测方法（试行）》（</w:t>
            </w:r>
            <w:r>
              <w:rPr>
                <w:color w:val="auto"/>
                <w:kern w:val="0"/>
                <w:sz w:val="24"/>
                <w:highlight w:val="none"/>
              </w:rPr>
              <w:t>HJ681-2013</w:t>
            </w:r>
            <w:r>
              <w:rPr>
                <w:rFonts w:hint="eastAsia"/>
                <w:color w:val="auto"/>
                <w:kern w:val="0"/>
                <w:sz w:val="24"/>
                <w:highlight w:val="none"/>
              </w:rPr>
              <w:t>）中的方法进行。</w:t>
            </w:r>
          </w:p>
          <w:p>
            <w:pPr>
              <w:autoSpaceDE w:val="0"/>
              <w:adjustRightInd w:val="0"/>
              <w:snapToGrid w:val="0"/>
              <w:spacing w:line="360" w:lineRule="auto"/>
              <w:ind w:firstLine="480" w:firstLineChars="200"/>
              <w:jc w:val="left"/>
              <w:rPr>
                <w:color w:val="auto"/>
                <w:sz w:val="24"/>
                <w:highlight w:val="none"/>
              </w:rPr>
            </w:pPr>
            <w:r>
              <w:rPr>
                <w:rFonts w:hint="eastAsia"/>
                <w:color w:val="auto"/>
                <w:sz w:val="24"/>
                <w:highlight w:val="none"/>
              </w:rPr>
              <w:t>监测计划见表</w:t>
            </w:r>
            <w:r>
              <w:rPr>
                <w:color w:val="auto"/>
                <w:sz w:val="24"/>
                <w:highlight w:val="none"/>
              </w:rPr>
              <w:t>5-3</w:t>
            </w:r>
            <w:r>
              <w:rPr>
                <w:rFonts w:hint="eastAsia"/>
                <w:color w:val="auto"/>
                <w:sz w:val="24"/>
                <w:highlight w:val="none"/>
              </w:rPr>
              <w:t>。</w:t>
            </w:r>
          </w:p>
          <w:p>
            <w:pPr>
              <w:pStyle w:val="15"/>
              <w:autoSpaceDE w:val="0"/>
              <w:autoSpaceDN w:val="0"/>
              <w:adjustRightInd w:val="0"/>
              <w:snapToGrid w:val="0"/>
              <w:spacing w:after="0" w:line="240" w:lineRule="auto"/>
              <w:ind w:left="0" w:leftChars="0" w:firstLine="505"/>
              <w:jc w:val="center"/>
              <w:rPr>
                <w:rFonts w:eastAsiaTheme="minorEastAsia"/>
                <w:b/>
                <w:color w:val="auto"/>
                <w:sz w:val="24"/>
                <w:highlight w:val="none"/>
              </w:rPr>
            </w:pPr>
            <w:r>
              <w:rPr>
                <w:rFonts w:hint="eastAsia" w:eastAsiaTheme="minorEastAsia"/>
                <w:b/>
                <w:color w:val="auto"/>
                <w:sz w:val="24"/>
                <w:highlight w:val="none"/>
              </w:rPr>
              <w:t>表</w:t>
            </w:r>
            <w:r>
              <w:rPr>
                <w:rFonts w:eastAsiaTheme="minorEastAsia"/>
                <w:b/>
                <w:color w:val="auto"/>
                <w:sz w:val="24"/>
                <w:highlight w:val="none"/>
              </w:rPr>
              <w:t xml:space="preserve">5-3  </w:t>
            </w:r>
            <w:r>
              <w:rPr>
                <w:rFonts w:hint="eastAsia" w:eastAsiaTheme="minorEastAsia"/>
                <w:b/>
                <w:color w:val="auto"/>
                <w:sz w:val="24"/>
                <w:highlight w:val="none"/>
              </w:rPr>
              <w:t>营运期环境监测计划</w:t>
            </w:r>
          </w:p>
          <w:tbl>
            <w:tblPr>
              <w:tblStyle w:val="28"/>
              <w:tblW w:w="813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33"/>
              <w:gridCol w:w="3824"/>
              <w:gridCol w:w="1416"/>
              <w:gridCol w:w="1417"/>
              <w:gridCol w:w="8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633" w:type="dxa"/>
                  <w:tcBorders>
                    <w:top w:val="single" w:color="auto" w:sz="12" w:space="0"/>
                    <w:left w:val="nil"/>
                    <w:bottom w:val="single" w:color="auto" w:sz="6" w:space="0"/>
                    <w:right w:val="single" w:color="auto" w:sz="6" w:space="0"/>
                  </w:tcBorders>
                  <w:vAlign w:val="center"/>
                </w:tcPr>
                <w:p>
                  <w:pPr>
                    <w:widowControl/>
                    <w:spacing w:line="320" w:lineRule="exact"/>
                    <w:ind w:left="-105" w:leftChars="-50" w:right="-105" w:rightChars="-50"/>
                    <w:jc w:val="center"/>
                    <w:rPr>
                      <w:b/>
                      <w:snapToGrid w:val="0"/>
                      <w:color w:val="auto"/>
                      <w:kern w:val="0"/>
                      <w:szCs w:val="21"/>
                      <w:highlight w:val="none"/>
                    </w:rPr>
                  </w:pPr>
                  <w:r>
                    <w:rPr>
                      <w:rFonts w:hint="eastAsia"/>
                      <w:b/>
                      <w:snapToGrid w:val="0"/>
                      <w:color w:val="auto"/>
                      <w:kern w:val="0"/>
                      <w:szCs w:val="21"/>
                      <w:highlight w:val="none"/>
                    </w:rPr>
                    <w:t>监测类别</w:t>
                  </w:r>
                </w:p>
              </w:tc>
              <w:tc>
                <w:tcPr>
                  <w:tcW w:w="3824" w:type="dxa"/>
                  <w:tcBorders>
                    <w:top w:val="single" w:color="auto" w:sz="12" w:space="0"/>
                    <w:left w:val="single" w:color="auto" w:sz="6" w:space="0"/>
                    <w:bottom w:val="single" w:color="auto" w:sz="6" w:space="0"/>
                    <w:right w:val="single" w:color="auto" w:sz="6" w:space="0"/>
                  </w:tcBorders>
                  <w:vAlign w:val="center"/>
                </w:tcPr>
                <w:p>
                  <w:pPr>
                    <w:widowControl/>
                    <w:spacing w:line="320" w:lineRule="exact"/>
                    <w:ind w:left="-105" w:leftChars="-50" w:right="-105" w:rightChars="-50"/>
                    <w:jc w:val="center"/>
                    <w:rPr>
                      <w:b/>
                      <w:snapToGrid w:val="0"/>
                      <w:color w:val="auto"/>
                      <w:kern w:val="0"/>
                      <w:szCs w:val="21"/>
                      <w:highlight w:val="none"/>
                    </w:rPr>
                  </w:pPr>
                  <w:r>
                    <w:rPr>
                      <w:rFonts w:hint="eastAsia"/>
                      <w:b/>
                      <w:snapToGrid w:val="0"/>
                      <w:color w:val="auto"/>
                      <w:kern w:val="0"/>
                      <w:szCs w:val="21"/>
                      <w:highlight w:val="none"/>
                    </w:rPr>
                    <w:t>监测位置</w:t>
                  </w:r>
                </w:p>
              </w:tc>
              <w:tc>
                <w:tcPr>
                  <w:tcW w:w="1416" w:type="dxa"/>
                  <w:tcBorders>
                    <w:top w:val="single" w:color="auto" w:sz="12" w:space="0"/>
                    <w:left w:val="single" w:color="auto" w:sz="6" w:space="0"/>
                    <w:bottom w:val="single" w:color="auto" w:sz="6" w:space="0"/>
                    <w:right w:val="single" w:color="auto" w:sz="6" w:space="0"/>
                  </w:tcBorders>
                  <w:vAlign w:val="center"/>
                </w:tcPr>
                <w:p>
                  <w:pPr>
                    <w:widowControl/>
                    <w:spacing w:line="320" w:lineRule="exact"/>
                    <w:ind w:left="-105" w:leftChars="-50" w:right="-105" w:rightChars="-50"/>
                    <w:jc w:val="center"/>
                    <w:rPr>
                      <w:b/>
                      <w:snapToGrid w:val="0"/>
                      <w:color w:val="auto"/>
                      <w:kern w:val="0"/>
                      <w:szCs w:val="21"/>
                      <w:highlight w:val="none"/>
                    </w:rPr>
                  </w:pPr>
                  <w:r>
                    <w:rPr>
                      <w:rFonts w:hint="eastAsia"/>
                      <w:b/>
                      <w:snapToGrid w:val="0"/>
                      <w:color w:val="auto"/>
                      <w:kern w:val="0"/>
                      <w:szCs w:val="21"/>
                      <w:highlight w:val="none"/>
                    </w:rPr>
                    <w:t>监测项目</w:t>
                  </w:r>
                </w:p>
              </w:tc>
              <w:tc>
                <w:tcPr>
                  <w:tcW w:w="1417" w:type="dxa"/>
                  <w:tcBorders>
                    <w:top w:val="single" w:color="auto" w:sz="12" w:space="0"/>
                    <w:left w:val="single" w:color="auto" w:sz="6" w:space="0"/>
                    <w:bottom w:val="single" w:color="auto" w:sz="6" w:space="0"/>
                    <w:right w:val="single" w:color="auto" w:sz="6" w:space="0"/>
                  </w:tcBorders>
                  <w:vAlign w:val="center"/>
                </w:tcPr>
                <w:p>
                  <w:pPr>
                    <w:widowControl/>
                    <w:spacing w:line="320" w:lineRule="exact"/>
                    <w:ind w:left="-105" w:leftChars="-50" w:right="-105" w:rightChars="-50"/>
                    <w:jc w:val="center"/>
                    <w:rPr>
                      <w:b/>
                      <w:snapToGrid w:val="0"/>
                      <w:color w:val="auto"/>
                      <w:kern w:val="0"/>
                      <w:szCs w:val="21"/>
                      <w:highlight w:val="none"/>
                    </w:rPr>
                  </w:pPr>
                  <w:r>
                    <w:rPr>
                      <w:rFonts w:hint="eastAsia"/>
                      <w:b/>
                      <w:snapToGrid w:val="0"/>
                      <w:color w:val="auto"/>
                      <w:kern w:val="0"/>
                      <w:szCs w:val="21"/>
                      <w:highlight w:val="none"/>
                    </w:rPr>
                    <w:t>监测频次</w:t>
                  </w:r>
                </w:p>
              </w:tc>
              <w:tc>
                <w:tcPr>
                  <w:tcW w:w="840" w:type="dxa"/>
                  <w:tcBorders>
                    <w:top w:val="single" w:color="auto" w:sz="12" w:space="0"/>
                    <w:left w:val="single" w:color="auto" w:sz="6" w:space="0"/>
                    <w:bottom w:val="single" w:color="auto" w:sz="6" w:space="0"/>
                    <w:right w:val="nil"/>
                  </w:tcBorders>
                  <w:vAlign w:val="center"/>
                </w:tcPr>
                <w:p>
                  <w:pPr>
                    <w:widowControl/>
                    <w:spacing w:line="320" w:lineRule="exact"/>
                    <w:jc w:val="center"/>
                    <w:rPr>
                      <w:b/>
                      <w:snapToGrid w:val="0"/>
                      <w:color w:val="auto"/>
                      <w:kern w:val="0"/>
                      <w:szCs w:val="21"/>
                      <w:highlight w:val="none"/>
                    </w:rPr>
                  </w:pPr>
                  <w:r>
                    <w:rPr>
                      <w:rFonts w:hint="eastAsia"/>
                      <w:b/>
                      <w:snapToGrid w:val="0"/>
                      <w:color w:val="auto"/>
                      <w:kern w:val="0"/>
                      <w:szCs w:val="21"/>
                      <w:highlight w:val="none"/>
                    </w:rPr>
                    <w:t>监测方法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65" w:hRule="atLeast"/>
                <w:jc w:val="center"/>
              </w:trPr>
              <w:tc>
                <w:tcPr>
                  <w:tcW w:w="633" w:type="dxa"/>
                  <w:tcBorders>
                    <w:top w:val="single" w:color="auto" w:sz="6" w:space="0"/>
                    <w:left w:val="nil"/>
                    <w:bottom w:val="single" w:color="auto" w:sz="6" w:space="0"/>
                    <w:right w:val="single" w:color="auto" w:sz="6" w:space="0"/>
                  </w:tcBorders>
                  <w:vAlign w:val="center"/>
                </w:tcPr>
                <w:p>
                  <w:pPr>
                    <w:widowControl/>
                    <w:spacing w:line="320" w:lineRule="exact"/>
                    <w:ind w:left="-105" w:leftChars="-50" w:right="-105" w:rightChars="-50"/>
                    <w:jc w:val="center"/>
                    <w:rPr>
                      <w:snapToGrid w:val="0"/>
                      <w:color w:val="auto"/>
                      <w:kern w:val="0"/>
                      <w:szCs w:val="21"/>
                      <w:highlight w:val="none"/>
                    </w:rPr>
                  </w:pPr>
                  <w:r>
                    <w:rPr>
                      <w:rFonts w:hint="eastAsia"/>
                      <w:snapToGrid w:val="0"/>
                      <w:color w:val="auto"/>
                      <w:kern w:val="0"/>
                      <w:szCs w:val="21"/>
                      <w:highlight w:val="none"/>
                    </w:rPr>
                    <w:t>噪声</w:t>
                  </w:r>
                </w:p>
              </w:tc>
              <w:tc>
                <w:tcPr>
                  <w:tcW w:w="3824" w:type="dxa"/>
                  <w:tcBorders>
                    <w:top w:val="single" w:color="auto" w:sz="6" w:space="0"/>
                    <w:left w:val="single" w:color="auto" w:sz="6" w:space="0"/>
                    <w:right w:val="single" w:color="auto" w:sz="6" w:space="0"/>
                  </w:tcBorders>
                  <w:vAlign w:val="center"/>
                </w:tcPr>
                <w:p>
                  <w:pPr>
                    <w:widowControl/>
                    <w:spacing w:line="320" w:lineRule="exact"/>
                    <w:ind w:left="-105" w:leftChars="-50" w:right="-105" w:rightChars="-50"/>
                    <w:jc w:val="center"/>
                    <w:rPr>
                      <w:snapToGrid w:val="0"/>
                      <w:color w:val="auto"/>
                      <w:kern w:val="0"/>
                      <w:szCs w:val="21"/>
                      <w:highlight w:val="none"/>
                    </w:rPr>
                  </w:pPr>
                  <w:r>
                    <w:rPr>
                      <w:rFonts w:hint="eastAsia"/>
                      <w:snapToGrid w:val="0"/>
                      <w:color w:val="auto"/>
                      <w:kern w:val="0"/>
                      <w:szCs w:val="21"/>
                      <w:highlight w:val="none"/>
                    </w:rPr>
                    <w:t>变电站站界、</w:t>
                  </w:r>
                  <w:r>
                    <w:rPr>
                      <w:rFonts w:hint="eastAsia"/>
                      <w:color w:val="auto"/>
                      <w:highlight w:val="none"/>
                    </w:rPr>
                    <w:t>具有代表的</w:t>
                  </w:r>
                  <w:r>
                    <w:rPr>
                      <w:rFonts w:hint="eastAsia"/>
                      <w:color w:val="auto"/>
                      <w:szCs w:val="21"/>
                      <w:highlight w:val="none"/>
                    </w:rPr>
                    <w:t>环境保护目标，</w:t>
                  </w:r>
                </w:p>
                <w:p>
                  <w:pPr>
                    <w:spacing w:line="320" w:lineRule="exact"/>
                    <w:ind w:left="-105" w:leftChars="-50" w:right="-105" w:rightChars="-50"/>
                    <w:jc w:val="center"/>
                    <w:rPr>
                      <w:snapToGrid w:val="0"/>
                      <w:color w:val="auto"/>
                      <w:kern w:val="0"/>
                      <w:szCs w:val="21"/>
                      <w:highlight w:val="none"/>
                    </w:rPr>
                  </w:pPr>
                  <w:r>
                    <w:rPr>
                      <w:rFonts w:hint="eastAsia"/>
                      <w:color w:val="auto"/>
                      <w:szCs w:val="21"/>
                      <w:highlight w:val="none"/>
                    </w:rPr>
                    <w:t>线路</w:t>
                  </w:r>
                  <w:r>
                    <w:rPr>
                      <w:rFonts w:hint="eastAsia"/>
                      <w:color w:val="auto"/>
                      <w:highlight w:val="none"/>
                    </w:rPr>
                    <w:t>对跨越等有代表性的声环境敏感目标</w:t>
                  </w:r>
                </w:p>
              </w:tc>
              <w:tc>
                <w:tcPr>
                  <w:tcW w:w="1416" w:type="dxa"/>
                  <w:tcBorders>
                    <w:top w:val="single" w:color="auto" w:sz="6" w:space="0"/>
                    <w:left w:val="single" w:color="auto" w:sz="6" w:space="0"/>
                    <w:right w:val="single" w:color="auto" w:sz="6" w:space="0"/>
                  </w:tcBorders>
                  <w:vAlign w:val="center"/>
                </w:tcPr>
                <w:p>
                  <w:pPr>
                    <w:spacing w:line="320" w:lineRule="exact"/>
                    <w:ind w:left="-105" w:leftChars="-50" w:right="-105" w:rightChars="-50"/>
                    <w:jc w:val="center"/>
                    <w:rPr>
                      <w:snapToGrid w:val="0"/>
                      <w:color w:val="auto"/>
                      <w:kern w:val="0"/>
                      <w:szCs w:val="21"/>
                      <w:highlight w:val="none"/>
                    </w:rPr>
                  </w:pPr>
                  <w:r>
                    <w:rPr>
                      <w:rFonts w:hint="eastAsia"/>
                      <w:snapToGrid w:val="0"/>
                      <w:color w:val="auto"/>
                      <w:kern w:val="0"/>
                      <w:szCs w:val="21"/>
                      <w:highlight w:val="none"/>
                    </w:rPr>
                    <w:t>昼、夜等效连续</w:t>
                  </w:r>
                  <w:r>
                    <w:rPr>
                      <w:snapToGrid w:val="0"/>
                      <w:color w:val="auto"/>
                      <w:kern w:val="0"/>
                      <w:szCs w:val="21"/>
                      <w:highlight w:val="none"/>
                    </w:rPr>
                    <w:t>A</w:t>
                  </w:r>
                  <w:r>
                    <w:rPr>
                      <w:rFonts w:hint="eastAsia"/>
                      <w:snapToGrid w:val="0"/>
                      <w:color w:val="auto"/>
                      <w:kern w:val="0"/>
                      <w:szCs w:val="21"/>
                      <w:highlight w:val="none"/>
                    </w:rPr>
                    <w:t>声级</w:t>
                  </w:r>
                </w:p>
              </w:tc>
              <w:tc>
                <w:tcPr>
                  <w:tcW w:w="1417" w:type="dxa"/>
                  <w:tcBorders>
                    <w:top w:val="single" w:color="auto" w:sz="6" w:space="0"/>
                    <w:left w:val="single" w:color="auto" w:sz="6" w:space="0"/>
                    <w:right w:val="single" w:color="auto" w:sz="6" w:space="0"/>
                  </w:tcBorders>
                  <w:vAlign w:val="center"/>
                </w:tcPr>
                <w:p>
                  <w:pPr>
                    <w:spacing w:line="320" w:lineRule="exact"/>
                    <w:ind w:left="-105" w:leftChars="-50" w:right="-105" w:rightChars="-50"/>
                    <w:jc w:val="center"/>
                    <w:rPr>
                      <w:snapToGrid w:val="0"/>
                      <w:color w:val="auto"/>
                      <w:kern w:val="0"/>
                      <w:szCs w:val="21"/>
                      <w:highlight w:val="none"/>
                    </w:rPr>
                  </w:pPr>
                  <w:r>
                    <w:rPr>
                      <w:rFonts w:hint="eastAsia"/>
                      <w:snapToGrid w:val="0"/>
                      <w:color w:val="auto"/>
                      <w:kern w:val="0"/>
                      <w:szCs w:val="21"/>
                      <w:highlight w:val="none"/>
                    </w:rPr>
                    <w:t>验收监测一次，有需要时进行监测</w:t>
                  </w:r>
                </w:p>
              </w:tc>
              <w:tc>
                <w:tcPr>
                  <w:tcW w:w="840" w:type="dxa"/>
                  <w:vMerge w:val="restart"/>
                  <w:tcBorders>
                    <w:top w:val="single" w:color="auto" w:sz="6" w:space="0"/>
                    <w:left w:val="single" w:color="auto" w:sz="6" w:space="0"/>
                    <w:bottom w:val="single" w:color="auto" w:sz="12" w:space="0"/>
                    <w:right w:val="nil"/>
                  </w:tcBorders>
                  <w:vAlign w:val="center"/>
                </w:tcPr>
                <w:p>
                  <w:pPr>
                    <w:widowControl/>
                    <w:ind w:left="-105" w:leftChars="-50" w:right="-105" w:rightChars="-50"/>
                    <w:jc w:val="center"/>
                    <w:rPr>
                      <w:snapToGrid w:val="0"/>
                      <w:color w:val="auto"/>
                      <w:kern w:val="0"/>
                      <w:szCs w:val="21"/>
                      <w:highlight w:val="none"/>
                    </w:rPr>
                  </w:pPr>
                  <w:r>
                    <w:rPr>
                      <w:rFonts w:hint="eastAsia"/>
                      <w:snapToGrid w:val="0"/>
                      <w:color w:val="auto"/>
                      <w:kern w:val="0"/>
                      <w:szCs w:val="21"/>
                      <w:highlight w:val="none"/>
                    </w:rPr>
                    <w:t>按照相关监测技术规范进行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633" w:type="dxa"/>
                  <w:tcBorders>
                    <w:top w:val="single" w:color="auto" w:sz="6" w:space="0"/>
                    <w:left w:val="nil"/>
                    <w:bottom w:val="single" w:color="auto" w:sz="12" w:space="0"/>
                    <w:right w:val="single" w:color="auto" w:sz="6" w:space="0"/>
                  </w:tcBorders>
                  <w:vAlign w:val="center"/>
                </w:tcPr>
                <w:p>
                  <w:pPr>
                    <w:widowControl/>
                    <w:ind w:left="-105" w:leftChars="-50" w:right="-105" w:rightChars="-50"/>
                    <w:jc w:val="center"/>
                    <w:rPr>
                      <w:snapToGrid w:val="0"/>
                      <w:color w:val="auto"/>
                      <w:kern w:val="0"/>
                      <w:szCs w:val="21"/>
                      <w:highlight w:val="none"/>
                    </w:rPr>
                  </w:pPr>
                  <w:r>
                    <w:rPr>
                      <w:rFonts w:hint="eastAsia"/>
                      <w:snapToGrid w:val="0"/>
                      <w:color w:val="auto"/>
                      <w:kern w:val="0"/>
                      <w:szCs w:val="21"/>
                      <w:highlight w:val="none"/>
                    </w:rPr>
                    <w:t>电磁环境</w:t>
                  </w:r>
                </w:p>
              </w:tc>
              <w:tc>
                <w:tcPr>
                  <w:tcW w:w="3824" w:type="dxa"/>
                  <w:tcBorders>
                    <w:top w:val="single" w:color="auto" w:sz="6" w:space="0"/>
                    <w:left w:val="single" w:color="auto" w:sz="6" w:space="0"/>
                    <w:bottom w:val="single" w:color="auto" w:sz="12" w:space="0"/>
                    <w:right w:val="single" w:color="auto" w:sz="6" w:space="0"/>
                  </w:tcBorders>
                  <w:vAlign w:val="center"/>
                </w:tcPr>
                <w:p>
                  <w:pPr>
                    <w:adjustRightInd w:val="0"/>
                    <w:snapToGrid w:val="0"/>
                    <w:ind w:left="-105" w:leftChars="-50" w:right="-105" w:rightChars="-50"/>
                    <w:jc w:val="left"/>
                    <w:rPr>
                      <w:rFonts w:ascii="宋体" w:hAnsi="宋体" w:cs="宋体"/>
                      <w:color w:val="auto"/>
                      <w:szCs w:val="21"/>
                      <w:highlight w:val="none"/>
                    </w:rPr>
                  </w:pPr>
                  <w:r>
                    <w:rPr>
                      <w:rFonts w:hint="eastAsia" w:ascii="宋体" w:hAnsi="宋体" w:cs="宋体"/>
                      <w:color w:val="auto"/>
                      <w:szCs w:val="21"/>
                      <w:highlight w:val="none"/>
                    </w:rPr>
                    <w:t>①</w:t>
                  </w:r>
                  <w:r>
                    <w:rPr>
                      <w:rFonts w:hint="eastAsia"/>
                      <w:color w:val="auto"/>
                      <w:highlight w:val="none"/>
                    </w:rPr>
                    <w:t>变电站厂界、具有代表的</w:t>
                  </w:r>
                  <w:r>
                    <w:rPr>
                      <w:rFonts w:hint="eastAsia"/>
                      <w:color w:val="auto"/>
                      <w:szCs w:val="21"/>
                      <w:highlight w:val="none"/>
                    </w:rPr>
                    <w:t>环境保护目标。</w:t>
                  </w:r>
                </w:p>
                <w:p>
                  <w:pPr>
                    <w:ind w:left="-105" w:leftChars="-50" w:right="-105" w:rightChars="-50"/>
                    <w:rPr>
                      <w:color w:val="auto"/>
                      <w:szCs w:val="21"/>
                      <w:highlight w:val="none"/>
                    </w:rPr>
                  </w:pPr>
                  <w:r>
                    <w:rPr>
                      <w:rFonts w:hint="eastAsia" w:ascii="宋体" w:hAnsi="宋体" w:cs="宋体"/>
                      <w:color w:val="auto"/>
                      <w:szCs w:val="21"/>
                      <w:highlight w:val="none"/>
                    </w:rPr>
                    <w:t>②</w:t>
                  </w:r>
                  <w:r>
                    <w:rPr>
                      <w:rFonts w:hint="eastAsia"/>
                      <w:color w:val="auto"/>
                      <w:szCs w:val="21"/>
                      <w:highlight w:val="none"/>
                    </w:rPr>
                    <w:t>线路工程跨越等有代表性的环境敏感目标应进行监测。</w:t>
                  </w:r>
                </w:p>
                <w:p>
                  <w:pPr>
                    <w:adjustRightInd w:val="0"/>
                    <w:snapToGrid w:val="0"/>
                    <w:ind w:left="-105" w:leftChars="-50" w:right="-105" w:rightChars="-50"/>
                    <w:jc w:val="left"/>
                    <w:rPr>
                      <w:color w:val="auto"/>
                      <w:szCs w:val="21"/>
                      <w:highlight w:val="none"/>
                    </w:rPr>
                  </w:pPr>
                  <w:r>
                    <w:rPr>
                      <w:rFonts w:hint="eastAsia" w:hAnsi="宋体" w:cs="宋体"/>
                      <w:color w:val="auto"/>
                      <w:highlight w:val="none"/>
                    </w:rPr>
                    <w:t>③</w:t>
                  </w:r>
                  <w:r>
                    <w:rPr>
                      <w:rFonts w:hint="eastAsia"/>
                      <w:color w:val="auto"/>
                      <w:szCs w:val="21"/>
                      <w:highlight w:val="none"/>
                    </w:rPr>
                    <w:t>验收调查范围内存在环保投诉问题的电磁环境敏感目标。</w:t>
                  </w:r>
                </w:p>
                <w:p>
                  <w:pPr>
                    <w:widowControl/>
                    <w:spacing w:line="320" w:lineRule="exact"/>
                    <w:ind w:left="-105" w:leftChars="-50" w:right="-105" w:rightChars="-50"/>
                    <w:rPr>
                      <w:snapToGrid w:val="0"/>
                      <w:color w:val="auto"/>
                      <w:kern w:val="0"/>
                      <w:szCs w:val="21"/>
                      <w:highlight w:val="none"/>
                    </w:rPr>
                  </w:pPr>
                  <w:r>
                    <w:rPr>
                      <w:rFonts w:hint="eastAsia" w:hAnsi="宋体"/>
                      <w:color w:val="auto"/>
                      <w:highlight w:val="none"/>
                    </w:rPr>
                    <w:t>④</w:t>
                  </w:r>
                  <w:r>
                    <w:rPr>
                      <w:rFonts w:hint="eastAsia"/>
                      <w:color w:val="auto"/>
                      <w:highlight w:val="none"/>
                    </w:rPr>
                    <w:t>线路沿线</w:t>
                  </w:r>
                  <w:r>
                    <w:rPr>
                      <w:rFonts w:hint="eastAsia"/>
                      <w:color w:val="auto"/>
                      <w:highlight w:val="none"/>
                      <w:lang w:bidi="en-US"/>
                    </w:rPr>
                    <w:t>地形条件符合断面布点的需布设</w:t>
                  </w:r>
                  <w:r>
                    <w:rPr>
                      <w:rFonts w:hint="eastAsia"/>
                      <w:color w:val="auto"/>
                      <w:highlight w:val="none"/>
                    </w:rPr>
                    <w:t>线路</w:t>
                  </w:r>
                  <w:r>
                    <w:rPr>
                      <w:rFonts w:hint="eastAsia"/>
                      <w:color w:val="auto"/>
                      <w:highlight w:val="none"/>
                      <w:lang w:bidi="en-US"/>
                    </w:rPr>
                    <w:t>断面监测。</w:t>
                  </w:r>
                </w:p>
              </w:tc>
              <w:tc>
                <w:tcPr>
                  <w:tcW w:w="1416" w:type="dxa"/>
                  <w:tcBorders>
                    <w:top w:val="single" w:color="auto" w:sz="6" w:space="0"/>
                    <w:left w:val="single" w:color="auto" w:sz="6" w:space="0"/>
                    <w:bottom w:val="single" w:color="auto" w:sz="12" w:space="0"/>
                    <w:right w:val="single" w:color="auto" w:sz="6" w:space="0"/>
                  </w:tcBorders>
                  <w:vAlign w:val="center"/>
                </w:tcPr>
                <w:p>
                  <w:pPr>
                    <w:adjustRightInd w:val="0"/>
                    <w:snapToGrid w:val="0"/>
                    <w:ind w:left="-105" w:leftChars="-50" w:right="-105" w:rightChars="-50"/>
                    <w:jc w:val="center"/>
                    <w:rPr>
                      <w:color w:val="auto"/>
                      <w:szCs w:val="21"/>
                      <w:highlight w:val="none"/>
                    </w:rPr>
                  </w:pPr>
                  <w:r>
                    <w:rPr>
                      <w:rFonts w:hint="eastAsia"/>
                      <w:color w:val="auto"/>
                      <w:szCs w:val="21"/>
                      <w:highlight w:val="none"/>
                    </w:rPr>
                    <w:t>工频电场强度、</w:t>
                  </w:r>
                </w:p>
                <w:p>
                  <w:pPr>
                    <w:widowControl/>
                    <w:spacing w:line="320" w:lineRule="exact"/>
                    <w:ind w:left="-105" w:leftChars="-50" w:right="-105" w:rightChars="-50"/>
                    <w:jc w:val="center"/>
                    <w:rPr>
                      <w:snapToGrid w:val="0"/>
                      <w:color w:val="auto"/>
                      <w:kern w:val="0"/>
                      <w:szCs w:val="21"/>
                      <w:highlight w:val="none"/>
                    </w:rPr>
                  </w:pPr>
                  <w:r>
                    <w:rPr>
                      <w:rFonts w:hint="eastAsia"/>
                      <w:color w:val="auto"/>
                      <w:szCs w:val="21"/>
                      <w:highlight w:val="none"/>
                    </w:rPr>
                    <w:t>磁感应强度</w:t>
                  </w:r>
                </w:p>
              </w:tc>
              <w:tc>
                <w:tcPr>
                  <w:tcW w:w="1417" w:type="dxa"/>
                  <w:tcBorders>
                    <w:top w:val="single" w:color="auto" w:sz="6" w:space="0"/>
                    <w:left w:val="single" w:color="auto" w:sz="6" w:space="0"/>
                    <w:bottom w:val="single" w:color="auto" w:sz="12" w:space="0"/>
                    <w:right w:val="single" w:color="auto" w:sz="6" w:space="0"/>
                  </w:tcBorders>
                  <w:vAlign w:val="center"/>
                </w:tcPr>
                <w:p>
                  <w:pPr>
                    <w:widowControl/>
                    <w:spacing w:line="320" w:lineRule="exact"/>
                    <w:ind w:left="-105" w:leftChars="-50" w:right="-105" w:rightChars="-50"/>
                    <w:jc w:val="center"/>
                    <w:rPr>
                      <w:snapToGrid w:val="0"/>
                      <w:color w:val="auto"/>
                      <w:kern w:val="0"/>
                      <w:szCs w:val="21"/>
                      <w:highlight w:val="none"/>
                    </w:rPr>
                  </w:pPr>
                  <w:r>
                    <w:rPr>
                      <w:rFonts w:hint="eastAsia"/>
                      <w:snapToGrid w:val="0"/>
                      <w:color w:val="auto"/>
                      <w:kern w:val="0"/>
                      <w:szCs w:val="21"/>
                      <w:highlight w:val="none"/>
                    </w:rPr>
                    <w:t>验收监测一次，有需要时进行监测</w:t>
                  </w:r>
                </w:p>
              </w:tc>
              <w:tc>
                <w:tcPr>
                  <w:tcW w:w="840" w:type="dxa"/>
                  <w:vMerge w:val="continue"/>
                  <w:tcBorders>
                    <w:top w:val="single" w:color="auto" w:sz="6" w:space="0"/>
                    <w:left w:val="single" w:color="auto" w:sz="6" w:space="0"/>
                    <w:bottom w:val="single" w:color="auto" w:sz="12" w:space="0"/>
                    <w:right w:val="nil"/>
                  </w:tcBorders>
                  <w:vAlign w:val="center"/>
                </w:tcPr>
                <w:p>
                  <w:pPr>
                    <w:widowControl/>
                    <w:jc w:val="left"/>
                    <w:rPr>
                      <w:snapToGrid w:val="0"/>
                      <w:color w:val="auto"/>
                      <w:kern w:val="0"/>
                      <w:szCs w:val="21"/>
                      <w:highlight w:val="none"/>
                    </w:rPr>
                  </w:pPr>
                </w:p>
              </w:tc>
            </w:tr>
          </w:tbl>
          <w:p>
            <w:pPr>
              <w:pStyle w:val="66"/>
              <w:snapToGrid w:val="0"/>
              <w:spacing w:line="360" w:lineRule="auto"/>
              <w:ind w:firstLine="522" w:firstLineChars="200"/>
              <w:jc w:val="left"/>
              <w:rPr>
                <w:rFonts w:cs="宋体"/>
                <w:b/>
                <w:color w:val="auto"/>
                <w:spacing w:val="10"/>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9" w:hRule="atLeast"/>
          <w:jc w:val="center"/>
        </w:trPr>
        <w:tc>
          <w:tcPr>
            <w:tcW w:w="408" w:type="pct"/>
            <w:vAlign w:val="center"/>
          </w:tcPr>
          <w:p>
            <w:pPr>
              <w:adjustRightInd w:val="0"/>
              <w:snapToGrid w:val="0"/>
              <w:jc w:val="center"/>
              <w:rPr>
                <w:rFonts w:cs="宋体"/>
                <w:bCs/>
                <w:color w:val="auto"/>
                <w:spacing w:val="10"/>
                <w:szCs w:val="21"/>
                <w:highlight w:val="none"/>
              </w:rPr>
            </w:pPr>
            <w:r>
              <w:rPr>
                <w:rFonts w:hint="eastAsia"/>
                <w:bCs/>
                <w:color w:val="auto"/>
                <w:szCs w:val="21"/>
                <w:highlight w:val="none"/>
              </w:rPr>
              <w:t>其他</w:t>
            </w:r>
          </w:p>
        </w:tc>
        <w:tc>
          <w:tcPr>
            <w:tcW w:w="4591" w:type="pct"/>
            <w:vAlign w:val="center"/>
          </w:tcPr>
          <w:p>
            <w:pPr>
              <w:pStyle w:val="66"/>
              <w:snapToGrid w:val="0"/>
              <w:spacing w:line="360" w:lineRule="auto"/>
              <w:ind w:firstLine="520" w:firstLineChars="200"/>
              <w:rPr>
                <w:rFonts w:cs="宋体"/>
                <w:bCs/>
                <w:color w:val="auto"/>
                <w:spacing w:val="10"/>
                <w:szCs w:val="21"/>
                <w:highlight w:val="none"/>
              </w:rPr>
            </w:pPr>
            <w:r>
              <w:rPr>
                <w:rFonts w:hint="eastAsia" w:cs="宋体"/>
                <w:bCs/>
                <w:color w:val="auto"/>
                <w:spacing w:val="10"/>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408" w:type="pct"/>
            <w:vAlign w:val="center"/>
          </w:tcPr>
          <w:p>
            <w:pPr>
              <w:adjustRightInd w:val="0"/>
              <w:snapToGrid w:val="0"/>
              <w:jc w:val="center"/>
              <w:rPr>
                <w:bCs/>
                <w:color w:val="auto"/>
                <w:szCs w:val="21"/>
                <w:highlight w:val="none"/>
              </w:rPr>
            </w:pPr>
            <w:r>
              <w:rPr>
                <w:rFonts w:hint="eastAsia"/>
                <w:bCs/>
                <w:color w:val="auto"/>
                <w:szCs w:val="21"/>
                <w:highlight w:val="none"/>
              </w:rPr>
              <w:t>环保投资</w:t>
            </w:r>
          </w:p>
        </w:tc>
        <w:tc>
          <w:tcPr>
            <w:tcW w:w="4591" w:type="pct"/>
          </w:tcPr>
          <w:p>
            <w:pPr>
              <w:adjustRightInd w:val="0"/>
              <w:snapToGrid w:val="0"/>
              <w:spacing w:before="120" w:beforeLines="50" w:line="360" w:lineRule="auto"/>
              <w:ind w:firstLine="480" w:firstLineChars="200"/>
              <w:rPr>
                <w:color w:val="auto"/>
                <w:sz w:val="24"/>
                <w:highlight w:val="none"/>
              </w:rPr>
            </w:pPr>
            <w:r>
              <w:rPr>
                <w:rFonts w:hint="eastAsia"/>
                <w:color w:val="auto"/>
                <w:sz w:val="24"/>
                <w:highlight w:val="none"/>
              </w:rPr>
              <w:t>项目环保投资约</w:t>
            </w:r>
            <w:r>
              <w:rPr>
                <w:rFonts w:hint="eastAsia"/>
                <w:color w:val="auto"/>
                <w:sz w:val="24"/>
                <w:highlight w:val="none"/>
                <w:lang w:val="en-US" w:eastAsia="zh-CN"/>
              </w:rPr>
              <w:t>108</w:t>
            </w:r>
            <w:r>
              <w:rPr>
                <w:rFonts w:hint="eastAsia"/>
                <w:color w:val="auto"/>
                <w:sz w:val="24"/>
                <w:highlight w:val="none"/>
              </w:rPr>
              <w:t>万元，详细投资见表</w:t>
            </w:r>
            <w:r>
              <w:rPr>
                <w:color w:val="auto"/>
                <w:sz w:val="24"/>
                <w:highlight w:val="none"/>
              </w:rPr>
              <w:t>5-4</w:t>
            </w:r>
            <w:r>
              <w:rPr>
                <w:rFonts w:hint="eastAsia"/>
                <w:color w:val="auto"/>
                <w:sz w:val="24"/>
                <w:highlight w:val="none"/>
              </w:rPr>
              <w:t>。</w:t>
            </w:r>
          </w:p>
          <w:p>
            <w:pPr>
              <w:adjustRightInd w:val="0"/>
              <w:snapToGrid w:val="0"/>
              <w:jc w:val="center"/>
              <w:rPr>
                <w:b/>
                <w:bCs/>
                <w:color w:val="auto"/>
                <w:sz w:val="24"/>
                <w:highlight w:val="none"/>
              </w:rPr>
            </w:pPr>
            <w:r>
              <w:rPr>
                <w:rFonts w:hint="eastAsia"/>
                <w:b/>
                <w:bCs/>
                <w:color w:val="auto"/>
                <w:sz w:val="24"/>
                <w:highlight w:val="none"/>
              </w:rPr>
              <w:t>表</w:t>
            </w:r>
            <w:r>
              <w:rPr>
                <w:b/>
                <w:bCs/>
                <w:color w:val="auto"/>
                <w:sz w:val="24"/>
                <w:highlight w:val="none"/>
              </w:rPr>
              <w:t xml:space="preserve">5-4  </w:t>
            </w:r>
            <w:r>
              <w:rPr>
                <w:rFonts w:hint="eastAsia"/>
                <w:b/>
                <w:bCs/>
                <w:color w:val="auto"/>
                <w:sz w:val="24"/>
                <w:highlight w:val="none"/>
              </w:rPr>
              <w:t>环保投资一览表</w:t>
            </w:r>
          </w:p>
          <w:tbl>
            <w:tblPr>
              <w:tblStyle w:val="28"/>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2029"/>
              <w:gridCol w:w="4625"/>
              <w:gridCol w:w="1156"/>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299" w:type="pct"/>
                  <w:tcBorders>
                    <w:top w:val="single" w:color="auto" w:sz="12" w:space="0"/>
                    <w:left w:val="nil"/>
                    <w:bottom w:val="single" w:color="auto" w:sz="4" w:space="0"/>
                    <w:right w:val="single" w:color="auto" w:sz="4" w:space="0"/>
                    <w:tl2br w:val="single" w:color="auto" w:sz="4" w:space="0"/>
                  </w:tcBorders>
                  <w:vAlign w:val="center"/>
                </w:tcPr>
                <w:p>
                  <w:pPr>
                    <w:adjustRightInd w:val="0"/>
                    <w:snapToGrid w:val="0"/>
                    <w:jc w:val="left"/>
                    <w:rPr>
                      <w:color w:val="auto"/>
                      <w:szCs w:val="21"/>
                      <w:highlight w:val="none"/>
                    </w:rPr>
                  </w:pPr>
                  <w:r>
                    <w:rPr>
                      <w:color w:val="auto"/>
                      <w:szCs w:val="21"/>
                      <w:highlight w:val="none"/>
                    </w:rPr>
                    <w:t xml:space="preserve">                   </w:t>
                  </w:r>
                  <w:r>
                    <w:rPr>
                      <w:rFonts w:hint="eastAsia"/>
                      <w:color w:val="auto"/>
                      <w:szCs w:val="21"/>
                      <w:highlight w:val="none"/>
                    </w:rPr>
                    <w:t>内容</w:t>
                  </w:r>
                </w:p>
                <w:p>
                  <w:pPr>
                    <w:adjustRightInd w:val="0"/>
                    <w:snapToGrid w:val="0"/>
                    <w:jc w:val="center"/>
                    <w:rPr>
                      <w:color w:val="auto"/>
                      <w:szCs w:val="21"/>
                      <w:highlight w:val="none"/>
                    </w:rPr>
                  </w:pPr>
                  <w:r>
                    <w:rPr>
                      <w:rFonts w:hint="eastAsia"/>
                      <w:color w:val="auto"/>
                      <w:szCs w:val="21"/>
                      <w:highlight w:val="none"/>
                    </w:rPr>
                    <w:t>类型</w:t>
                  </w:r>
                </w:p>
              </w:tc>
              <w:tc>
                <w:tcPr>
                  <w:tcW w:w="2960"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left"/>
                    <w:rPr>
                      <w:color w:val="auto"/>
                      <w:szCs w:val="21"/>
                      <w:highlight w:val="none"/>
                    </w:rPr>
                  </w:pPr>
                  <w:r>
                    <w:rPr>
                      <w:rFonts w:hint="eastAsia"/>
                      <w:color w:val="auto"/>
                      <w:kern w:val="0"/>
                      <w:szCs w:val="21"/>
                      <w:highlight w:val="none"/>
                    </w:rPr>
                    <w:t>环保措施内容</w:t>
                  </w:r>
                </w:p>
              </w:tc>
              <w:tc>
                <w:tcPr>
                  <w:tcW w:w="740" w:type="pct"/>
                  <w:tcBorders>
                    <w:top w:val="single" w:color="auto" w:sz="12" w:space="0"/>
                    <w:left w:val="single" w:color="auto" w:sz="4" w:space="0"/>
                    <w:bottom w:val="single" w:color="auto" w:sz="4" w:space="0"/>
                    <w:right w:val="nil"/>
                  </w:tcBorders>
                  <w:vAlign w:val="center"/>
                </w:tcPr>
                <w:p>
                  <w:pPr>
                    <w:adjustRightInd w:val="0"/>
                    <w:snapToGrid w:val="0"/>
                    <w:jc w:val="left"/>
                    <w:rPr>
                      <w:color w:val="auto"/>
                      <w:szCs w:val="21"/>
                      <w:highlight w:val="none"/>
                    </w:rPr>
                  </w:pPr>
                  <w:r>
                    <w:rPr>
                      <w:rFonts w:hint="eastAsia"/>
                      <w:color w:val="auto"/>
                      <w:szCs w:val="21"/>
                      <w:highlight w:val="none"/>
                    </w:rPr>
                    <w:t>治理投资（万元）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80" w:hRule="atLeast"/>
                <w:jc w:val="center"/>
              </w:trPr>
              <w:tc>
                <w:tcPr>
                  <w:tcW w:w="129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right="0"/>
                    <w:jc w:val="center"/>
                    <w:textAlignment w:val="auto"/>
                    <w:rPr>
                      <w:color w:val="auto"/>
                      <w:szCs w:val="21"/>
                      <w:highlight w:val="none"/>
                      <w:lang w:bidi="en-US"/>
                    </w:rPr>
                  </w:pPr>
                  <w:r>
                    <w:rPr>
                      <w:rFonts w:hint="eastAsia"/>
                      <w:color w:val="auto"/>
                      <w:szCs w:val="21"/>
                      <w:highlight w:val="none"/>
                    </w:rPr>
                    <w:t>大气污染物</w:t>
                  </w:r>
                </w:p>
              </w:tc>
              <w:tc>
                <w:tcPr>
                  <w:tcW w:w="29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right="0"/>
                    <w:jc w:val="left"/>
                    <w:textAlignment w:val="auto"/>
                    <w:rPr>
                      <w:color w:val="auto"/>
                      <w:szCs w:val="21"/>
                      <w:highlight w:val="none"/>
                      <w:lang w:bidi="en-US"/>
                    </w:rPr>
                  </w:pPr>
                  <w:r>
                    <w:rPr>
                      <w:rFonts w:hint="eastAsia"/>
                      <w:color w:val="auto"/>
                      <w:szCs w:val="21"/>
                      <w:highlight w:val="none"/>
                    </w:rPr>
                    <w:t>施工期对干燥的作业面适当洒水抑尘，使作业面保持一定的湿度，减少扬尘</w:t>
                  </w:r>
                </w:p>
              </w:tc>
              <w:tc>
                <w:tcPr>
                  <w:tcW w:w="740" w:type="pct"/>
                  <w:tcBorders>
                    <w:top w:val="single" w:color="auto" w:sz="4" w:space="0"/>
                    <w:left w:val="single" w:color="auto" w:sz="4" w:space="0"/>
                    <w:bottom w:val="single" w:color="auto" w:sz="4" w:space="0"/>
                    <w:right w:val="nil"/>
                  </w:tcBorders>
                  <w:vAlign w:val="center"/>
                </w:tcPr>
                <w:p>
                  <w:pPr>
                    <w:keepNext w:val="0"/>
                    <w:keepLines w:val="0"/>
                    <w:pageBreakBefore w:val="0"/>
                    <w:kinsoku/>
                    <w:wordWrap/>
                    <w:overflowPunct/>
                    <w:topLinePunct w:val="0"/>
                    <w:autoSpaceDE/>
                    <w:autoSpaceDN/>
                    <w:bidi w:val="0"/>
                    <w:adjustRightInd w:val="0"/>
                    <w:snapToGrid w:val="0"/>
                    <w:ind w:right="0"/>
                    <w:jc w:val="center"/>
                    <w:textAlignment w:val="auto"/>
                    <w:rPr>
                      <w:rFonts w:hint="eastAsia" w:eastAsia="宋体"/>
                      <w:snapToGrid w:val="0"/>
                      <w:color w:val="auto"/>
                      <w:kern w:val="0"/>
                      <w:szCs w:val="21"/>
                      <w:highlight w:val="none"/>
                      <w:lang w:eastAsia="zh-CN"/>
                    </w:rPr>
                  </w:pPr>
                  <w:r>
                    <w:rPr>
                      <w:rFonts w:hint="eastAsia"/>
                      <w:snapToGrid w:val="0"/>
                      <w:color w:val="auto"/>
                      <w:kern w:val="0"/>
                      <w:szCs w:val="21"/>
                      <w:highlight w:val="none"/>
                      <w:lang w:val="en-US" w:eastAsia="zh-CN"/>
                    </w:rPr>
                    <w:t>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78" w:hRule="atLeast"/>
                <w:jc w:val="center"/>
              </w:trPr>
              <w:tc>
                <w:tcPr>
                  <w:tcW w:w="1299" w:type="pct"/>
                  <w:tcBorders>
                    <w:top w:val="single" w:color="auto" w:sz="4" w:space="0"/>
                    <w:left w:val="nil"/>
                    <w:bottom w:val="single" w:color="auto" w:sz="6" w:space="0"/>
                    <w:right w:val="single" w:color="auto" w:sz="4" w:space="0"/>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center"/>
                    <w:textAlignment w:val="auto"/>
                    <w:rPr>
                      <w:color w:val="auto"/>
                      <w:kern w:val="2"/>
                      <w:sz w:val="21"/>
                      <w:szCs w:val="21"/>
                      <w:highlight w:val="none"/>
                    </w:rPr>
                  </w:pPr>
                  <w:r>
                    <w:rPr>
                      <w:rFonts w:hint="eastAsia"/>
                      <w:color w:val="auto"/>
                      <w:sz w:val="21"/>
                      <w:szCs w:val="21"/>
                      <w:highlight w:val="none"/>
                    </w:rPr>
                    <w:t>水污染物</w:t>
                  </w:r>
                </w:p>
              </w:tc>
              <w:tc>
                <w:tcPr>
                  <w:tcW w:w="2960" w:type="pct"/>
                  <w:tcBorders>
                    <w:top w:val="single" w:color="auto" w:sz="4" w:space="0"/>
                    <w:left w:val="single" w:color="auto" w:sz="4" w:space="0"/>
                    <w:bottom w:val="single" w:color="auto" w:sz="6" w:space="0"/>
                    <w:right w:val="single" w:color="auto" w:sz="4" w:space="0"/>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left"/>
                    <w:textAlignment w:val="auto"/>
                    <w:rPr>
                      <w:color w:val="auto"/>
                      <w:sz w:val="21"/>
                      <w:szCs w:val="21"/>
                      <w:highlight w:val="none"/>
                    </w:rPr>
                  </w:pPr>
                  <w:r>
                    <w:rPr>
                      <w:rFonts w:hint="eastAsia"/>
                      <w:color w:val="auto"/>
                      <w:sz w:val="21"/>
                      <w:szCs w:val="21"/>
                      <w:highlight w:val="none"/>
                    </w:rPr>
                    <w:t>变电站新建污水处理设施，施工期</w:t>
                  </w:r>
                  <w:r>
                    <w:rPr>
                      <w:rFonts w:hint="eastAsia"/>
                      <w:color w:val="auto"/>
                      <w:sz w:val="21"/>
                      <w:szCs w:val="21"/>
                      <w:highlight w:val="none"/>
                      <w:lang w:eastAsia="zh-CN"/>
                    </w:rPr>
                    <w:t>生活污水</w:t>
                  </w:r>
                  <w:r>
                    <w:rPr>
                      <w:rFonts w:hint="eastAsia"/>
                      <w:color w:val="auto"/>
                      <w:sz w:val="21"/>
                      <w:szCs w:val="21"/>
                      <w:highlight w:val="none"/>
                    </w:rPr>
                    <w:t>依托现有周边现有设施处理、</w:t>
                  </w:r>
                  <w:r>
                    <w:rPr>
                      <w:rFonts w:hint="eastAsia"/>
                      <w:color w:val="auto"/>
                      <w:kern w:val="0"/>
                      <w:sz w:val="21"/>
                      <w:szCs w:val="21"/>
                    </w:rPr>
                    <w:t>施工废水收集并做简单处理</w:t>
                  </w:r>
                  <w:r>
                    <w:rPr>
                      <w:rFonts w:hint="eastAsia"/>
                      <w:color w:val="auto"/>
                      <w:sz w:val="21"/>
                      <w:szCs w:val="21"/>
                      <w:lang w:eastAsia="zh-CN"/>
                    </w:rPr>
                    <w:t>。</w:t>
                  </w:r>
                </w:p>
              </w:tc>
              <w:tc>
                <w:tcPr>
                  <w:tcW w:w="740" w:type="pct"/>
                  <w:tcBorders>
                    <w:top w:val="single" w:color="auto" w:sz="4" w:space="0"/>
                    <w:left w:val="single" w:color="auto" w:sz="4" w:space="0"/>
                    <w:bottom w:val="single" w:color="auto" w:sz="4" w:space="0"/>
                    <w:right w:val="nil"/>
                  </w:tcBorders>
                  <w:vAlign w:val="center"/>
                </w:tcPr>
                <w:p>
                  <w:pPr>
                    <w:keepNext w:val="0"/>
                    <w:keepLines w:val="0"/>
                    <w:pageBreakBefore w:val="0"/>
                    <w:kinsoku/>
                    <w:wordWrap/>
                    <w:overflowPunct/>
                    <w:topLinePunct w:val="0"/>
                    <w:autoSpaceDE/>
                    <w:autoSpaceDN/>
                    <w:bidi w:val="0"/>
                    <w:adjustRightInd w:val="0"/>
                    <w:snapToGrid w:val="0"/>
                    <w:ind w:right="0"/>
                    <w:jc w:val="center"/>
                    <w:textAlignment w:val="auto"/>
                    <w:rPr>
                      <w:snapToGrid w:val="0"/>
                      <w:color w:val="auto"/>
                      <w:kern w:val="0"/>
                      <w:szCs w:val="21"/>
                      <w:highlight w:val="none"/>
                    </w:rPr>
                  </w:pPr>
                  <w:r>
                    <w:rPr>
                      <w:snapToGrid w:val="0"/>
                      <w:color w:val="auto"/>
                      <w:kern w:val="0"/>
                      <w:szCs w:val="21"/>
                      <w:highlight w:val="none"/>
                    </w:rPr>
                    <w:t>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812" w:hRule="atLeast"/>
                <w:jc w:val="center"/>
              </w:trPr>
              <w:tc>
                <w:tcPr>
                  <w:tcW w:w="1299" w:type="pct"/>
                  <w:tcBorders>
                    <w:top w:val="single" w:color="auto" w:sz="4" w:space="0"/>
                    <w:left w:val="nil"/>
                    <w:bottom w:val="single" w:color="auto" w:sz="6" w:space="0"/>
                    <w:right w:val="single" w:color="auto" w:sz="4" w:space="0"/>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center"/>
                    <w:textAlignment w:val="auto"/>
                    <w:rPr>
                      <w:color w:val="auto"/>
                      <w:kern w:val="2"/>
                      <w:sz w:val="21"/>
                      <w:szCs w:val="21"/>
                      <w:highlight w:val="none"/>
                    </w:rPr>
                  </w:pPr>
                  <w:r>
                    <w:rPr>
                      <w:rFonts w:hint="eastAsia"/>
                      <w:color w:val="auto"/>
                      <w:sz w:val="21"/>
                      <w:szCs w:val="21"/>
                      <w:highlight w:val="none"/>
                    </w:rPr>
                    <w:t>固体废物</w:t>
                  </w:r>
                </w:p>
              </w:tc>
              <w:tc>
                <w:tcPr>
                  <w:tcW w:w="2960" w:type="pct"/>
                  <w:tcBorders>
                    <w:top w:val="single" w:color="auto" w:sz="4" w:space="0"/>
                    <w:left w:val="single" w:color="auto" w:sz="4" w:space="0"/>
                    <w:bottom w:val="single" w:color="auto" w:sz="6" w:space="0"/>
                    <w:right w:val="single" w:color="auto" w:sz="4" w:space="0"/>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left"/>
                    <w:textAlignment w:val="auto"/>
                    <w:rPr>
                      <w:rFonts w:hint="eastAsia" w:eastAsia="宋体"/>
                      <w:color w:val="auto"/>
                      <w:sz w:val="21"/>
                      <w:szCs w:val="21"/>
                      <w:highlight w:val="none"/>
                      <w:lang w:eastAsia="zh-CN"/>
                    </w:rPr>
                  </w:pPr>
                  <w:r>
                    <w:rPr>
                      <w:rFonts w:hint="eastAsia"/>
                      <w:color w:val="auto"/>
                      <w:sz w:val="21"/>
                      <w:szCs w:val="21"/>
                      <w:highlight w:val="none"/>
                    </w:rPr>
                    <w:t>变电站生活垃圾由市政部门收集处理</w:t>
                  </w:r>
                  <w:r>
                    <w:rPr>
                      <w:rFonts w:hint="eastAsia"/>
                      <w:color w:val="auto"/>
                      <w:sz w:val="21"/>
                      <w:szCs w:val="21"/>
                      <w:highlight w:val="none"/>
                      <w:lang w:eastAsia="zh-CN"/>
                    </w:rPr>
                    <w:t>，</w:t>
                  </w:r>
                  <w:r>
                    <w:rPr>
                      <w:rFonts w:hint="default" w:ascii="Times New Roman" w:hAnsi="Times New Roman" w:cs="Times New Roman"/>
                      <w:color w:val="auto"/>
                      <w:sz w:val="21"/>
                      <w:szCs w:val="21"/>
                      <w:lang w:val="en-US" w:eastAsia="zh-CN"/>
                    </w:rPr>
                    <w:t>废蓄电池交由资质单位处理，含油棉纱手套等由检修单位带走处置，滤渣由专业过滤单位直接运走，事故废油交有危废处置资质单位处置</w:t>
                  </w:r>
                  <w:r>
                    <w:rPr>
                      <w:rFonts w:hint="eastAsia" w:cs="Times New Roman"/>
                      <w:color w:val="auto"/>
                      <w:sz w:val="21"/>
                      <w:szCs w:val="21"/>
                      <w:lang w:val="en-US" w:eastAsia="zh-CN"/>
                    </w:rPr>
                    <w:t>。</w:t>
                  </w:r>
                  <w:r>
                    <w:rPr>
                      <w:rFonts w:hint="eastAsia"/>
                      <w:color w:val="auto"/>
                      <w:sz w:val="21"/>
                      <w:szCs w:val="21"/>
                      <w:highlight w:val="none"/>
                    </w:rPr>
                    <w:t>施工期生活垃圾清理后转移至工程附近的生活垃圾收集点</w:t>
                  </w:r>
                  <w:r>
                    <w:rPr>
                      <w:rFonts w:hint="eastAsia"/>
                      <w:color w:val="auto"/>
                      <w:sz w:val="21"/>
                      <w:szCs w:val="21"/>
                      <w:highlight w:val="none"/>
                      <w:lang w:eastAsia="zh-CN"/>
                    </w:rPr>
                    <w:t>，弃方运至园区指定地点。</w:t>
                  </w:r>
                </w:p>
              </w:tc>
              <w:tc>
                <w:tcPr>
                  <w:tcW w:w="740" w:type="pct"/>
                  <w:tcBorders>
                    <w:top w:val="single" w:color="auto" w:sz="4" w:space="0"/>
                    <w:left w:val="single" w:color="auto" w:sz="4" w:space="0"/>
                    <w:bottom w:val="single" w:color="auto" w:sz="6" w:space="0"/>
                    <w:right w:val="nil"/>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center"/>
                    <w:textAlignment w:val="auto"/>
                    <w:rPr>
                      <w:color w:val="auto"/>
                      <w:sz w:val="21"/>
                      <w:szCs w:val="21"/>
                      <w:highlight w:val="none"/>
                    </w:rPr>
                  </w:pPr>
                  <w:r>
                    <w:rPr>
                      <w:rFonts w:hint="eastAsia"/>
                      <w:snapToGrid w:val="0"/>
                      <w:color w:val="auto"/>
                      <w:sz w:val="21"/>
                      <w:szCs w:val="21"/>
                      <w:highlight w:val="none"/>
                      <w:lang w:val="en-US" w:eastAsia="zh-CN"/>
                    </w:rPr>
                    <w:t>1</w:t>
                  </w:r>
                  <w:r>
                    <w:rPr>
                      <w:snapToGrid w:val="0"/>
                      <w:color w:val="auto"/>
                      <w:sz w:val="21"/>
                      <w:szCs w:val="21"/>
                      <w:highlight w:val="none"/>
                    </w:rPr>
                    <w:t>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21" w:hRule="atLeast"/>
                <w:jc w:val="center"/>
              </w:trPr>
              <w:tc>
                <w:tcPr>
                  <w:tcW w:w="1299" w:type="pct"/>
                  <w:tcBorders>
                    <w:top w:val="single" w:color="auto" w:sz="4" w:space="0"/>
                    <w:left w:val="nil"/>
                    <w:bottom w:val="single" w:color="auto" w:sz="6" w:space="0"/>
                    <w:right w:val="single" w:color="auto" w:sz="4" w:space="0"/>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center"/>
                    <w:textAlignment w:val="auto"/>
                    <w:rPr>
                      <w:color w:val="auto"/>
                      <w:sz w:val="21"/>
                      <w:szCs w:val="21"/>
                      <w:highlight w:val="none"/>
                    </w:rPr>
                  </w:pPr>
                  <w:r>
                    <w:rPr>
                      <w:rFonts w:hint="eastAsia"/>
                      <w:color w:val="auto"/>
                      <w:sz w:val="21"/>
                      <w:szCs w:val="21"/>
                      <w:highlight w:val="none"/>
                    </w:rPr>
                    <w:t>噪声</w:t>
                  </w:r>
                </w:p>
              </w:tc>
              <w:tc>
                <w:tcPr>
                  <w:tcW w:w="2960" w:type="pct"/>
                  <w:tcBorders>
                    <w:top w:val="single" w:color="auto" w:sz="4" w:space="0"/>
                    <w:left w:val="single" w:color="auto" w:sz="4" w:space="0"/>
                    <w:bottom w:val="single" w:color="auto" w:sz="6" w:space="0"/>
                    <w:right w:val="single" w:color="auto" w:sz="4" w:space="0"/>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left"/>
                    <w:textAlignment w:val="auto"/>
                    <w:rPr>
                      <w:color w:val="auto"/>
                      <w:sz w:val="21"/>
                      <w:szCs w:val="21"/>
                      <w:highlight w:val="none"/>
                    </w:rPr>
                  </w:pPr>
                  <w:r>
                    <w:rPr>
                      <w:rFonts w:hint="eastAsia"/>
                      <w:color w:val="auto"/>
                      <w:sz w:val="21"/>
                      <w:szCs w:val="21"/>
                      <w:highlight w:val="none"/>
                    </w:rPr>
                    <w:t>变电站选用低噪声设备，施工期尽量选用低噪声机械设备或人工开挖，根据周边环境情况合理布置</w:t>
                  </w:r>
                  <w:r>
                    <w:rPr>
                      <w:color w:val="auto"/>
                      <w:sz w:val="21"/>
                      <w:szCs w:val="21"/>
                      <w:highlight w:val="none"/>
                    </w:rPr>
                    <w:t xml:space="preserve"> </w:t>
                  </w:r>
                </w:p>
              </w:tc>
              <w:tc>
                <w:tcPr>
                  <w:tcW w:w="740" w:type="pct"/>
                  <w:tcBorders>
                    <w:top w:val="single" w:color="auto" w:sz="4" w:space="0"/>
                    <w:left w:val="single" w:color="auto" w:sz="4" w:space="0"/>
                    <w:bottom w:val="single" w:color="auto" w:sz="4" w:space="0"/>
                    <w:right w:val="nil"/>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center"/>
                    <w:textAlignment w:val="auto"/>
                    <w:rPr>
                      <w:snapToGrid w:val="0"/>
                      <w:color w:val="auto"/>
                      <w:sz w:val="21"/>
                      <w:szCs w:val="21"/>
                      <w:highlight w:val="none"/>
                    </w:rPr>
                  </w:pPr>
                  <w:r>
                    <w:rPr>
                      <w:color w:val="auto"/>
                      <w:sz w:val="21"/>
                      <w:szCs w:val="21"/>
                      <w:highlight w:val="none"/>
                    </w:rPr>
                    <w:t>10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8" w:hRule="atLeast"/>
                <w:jc w:val="center"/>
              </w:trPr>
              <w:tc>
                <w:tcPr>
                  <w:tcW w:w="1299" w:type="pct"/>
                  <w:tcBorders>
                    <w:top w:val="single" w:color="auto" w:sz="4" w:space="0"/>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center"/>
                    <w:textAlignment w:val="auto"/>
                    <w:rPr>
                      <w:color w:val="auto"/>
                      <w:sz w:val="21"/>
                      <w:szCs w:val="21"/>
                      <w:highlight w:val="none"/>
                    </w:rPr>
                  </w:pPr>
                  <w:r>
                    <w:rPr>
                      <w:rFonts w:hint="eastAsia"/>
                      <w:snapToGrid w:val="0"/>
                      <w:color w:val="auto"/>
                      <w:sz w:val="21"/>
                      <w:szCs w:val="21"/>
                      <w:highlight w:val="none"/>
                    </w:rPr>
                    <w:t>生态环境</w:t>
                  </w:r>
                </w:p>
              </w:tc>
              <w:tc>
                <w:tcPr>
                  <w:tcW w:w="2960" w:type="pc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left"/>
                    <w:textAlignment w:val="auto"/>
                    <w:rPr>
                      <w:color w:val="auto"/>
                      <w:sz w:val="21"/>
                      <w:szCs w:val="21"/>
                      <w:highlight w:val="none"/>
                    </w:rPr>
                  </w:pPr>
                  <w:r>
                    <w:rPr>
                      <w:rFonts w:hint="eastAsia"/>
                      <w:color w:val="auto"/>
                      <w:sz w:val="21"/>
                      <w:szCs w:val="21"/>
                      <w:highlight w:val="none"/>
                    </w:rPr>
                    <w:t>挡土墙（板）、排水沟、迹地恢复等</w:t>
                  </w:r>
                </w:p>
              </w:tc>
              <w:tc>
                <w:tcPr>
                  <w:tcW w:w="740" w:type="pct"/>
                  <w:tcBorders>
                    <w:top w:val="single" w:color="auto" w:sz="4" w:space="0"/>
                    <w:left w:val="single" w:color="auto" w:sz="4" w:space="0"/>
                    <w:bottom w:val="single" w:color="auto" w:sz="4" w:space="0"/>
                    <w:right w:val="nil"/>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center"/>
                    <w:textAlignment w:val="auto"/>
                    <w:rPr>
                      <w:snapToGrid w:val="0"/>
                      <w:color w:val="auto"/>
                      <w:sz w:val="21"/>
                      <w:szCs w:val="21"/>
                      <w:highlight w:val="none"/>
                    </w:rPr>
                  </w:pPr>
                  <w:r>
                    <w:rPr>
                      <w:rFonts w:hint="eastAsia"/>
                      <w:snapToGrid w:val="0"/>
                      <w:color w:val="auto"/>
                      <w:sz w:val="21"/>
                      <w:szCs w:val="21"/>
                      <w:highlight w:val="none"/>
                      <w:lang w:val="en-US" w:eastAsia="zh-CN"/>
                    </w:rPr>
                    <w:t>3</w:t>
                  </w:r>
                  <w:r>
                    <w:rPr>
                      <w:snapToGrid w:val="0"/>
                      <w:color w:val="auto"/>
                      <w:sz w:val="21"/>
                      <w:szCs w:val="21"/>
                      <w:highlight w:val="none"/>
                    </w:rPr>
                    <w:t>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8" w:hRule="atLeast"/>
                <w:jc w:val="center"/>
              </w:trPr>
              <w:tc>
                <w:tcPr>
                  <w:tcW w:w="129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环境风险</w:t>
                  </w:r>
                </w:p>
              </w:tc>
              <w:tc>
                <w:tcPr>
                  <w:tcW w:w="29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textAlignment w:val="auto"/>
                    <w:rPr>
                      <w:rFonts w:hint="eastAsia"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新建事故油池1座，有效容积3</w:t>
                  </w:r>
                  <w:r>
                    <w:rPr>
                      <w:rFonts w:hint="eastAsia" w:cs="Times New Roman"/>
                      <w:color w:val="auto"/>
                      <w:spacing w:val="-6"/>
                      <w:kern w:val="2"/>
                      <w:sz w:val="21"/>
                      <w:szCs w:val="21"/>
                      <w:lang w:val="en-US" w:eastAsia="zh-CN" w:bidi="ar-SA"/>
                    </w:rPr>
                    <w:t>0</w:t>
                  </w:r>
                  <w:r>
                    <w:rPr>
                      <w:rFonts w:hint="default" w:ascii="Times New Roman" w:hAnsi="Times New Roman" w:eastAsia="宋体" w:cs="Times New Roman"/>
                      <w:color w:val="auto"/>
                      <w:spacing w:val="-6"/>
                      <w:kern w:val="2"/>
                      <w:sz w:val="21"/>
                      <w:szCs w:val="21"/>
                      <w:lang w:val="en-US" w:eastAsia="zh-CN" w:bidi="ar-SA"/>
                    </w:rPr>
                    <w:t>m</w:t>
                  </w:r>
                  <w:r>
                    <w:rPr>
                      <w:rFonts w:hint="default" w:ascii="Times New Roman" w:hAnsi="Times New Roman" w:eastAsia="宋体" w:cs="Times New Roman"/>
                      <w:color w:val="auto"/>
                      <w:spacing w:val="-6"/>
                      <w:kern w:val="2"/>
                      <w:sz w:val="21"/>
                      <w:szCs w:val="21"/>
                      <w:vertAlign w:val="superscript"/>
                      <w:lang w:val="en-US" w:eastAsia="zh-CN" w:bidi="ar-SA"/>
                    </w:rPr>
                    <w:t>3</w:t>
                  </w:r>
                  <w:r>
                    <w:rPr>
                      <w:rFonts w:hint="default" w:ascii="Times New Roman" w:hAnsi="Times New Roman" w:eastAsia="宋体" w:cs="Times New Roman"/>
                      <w:color w:val="auto"/>
                      <w:spacing w:val="-6"/>
                      <w:kern w:val="2"/>
                      <w:sz w:val="21"/>
                      <w:szCs w:val="21"/>
                      <w:lang w:val="en-US" w:eastAsia="zh-CN" w:bidi="ar-SA"/>
                    </w:rPr>
                    <w:t>，事故油池具有油水分离装置；</w:t>
                  </w:r>
                  <w:r>
                    <w:rPr>
                      <w:rFonts w:hint="default" w:ascii="Times New Roman" w:hAnsi="Times New Roman" w:cs="Times New Roman"/>
                      <w:bCs/>
                      <w:color w:val="auto"/>
                      <w:kern w:val="2"/>
                      <w:sz w:val="21"/>
                      <w:szCs w:val="21"/>
                      <w:lang w:val="en-US" w:eastAsia="zh-CN" w:bidi="ar-SA"/>
                    </w:rPr>
                    <w:t>事故油池及主变基础均按照重点防渗区建设</w:t>
                  </w:r>
                  <w:r>
                    <w:rPr>
                      <w:rFonts w:hint="default" w:ascii="Times New Roman" w:hAnsi="Times New Roman" w:cs="Times New Roman"/>
                      <w:bCs/>
                      <w:color w:val="auto"/>
                      <w:sz w:val="21"/>
                      <w:szCs w:val="21"/>
                      <w:vertAlign w:val="baseline"/>
                      <w:lang w:eastAsia="zh-CN"/>
                    </w:rPr>
                    <w:t>。</w:t>
                  </w:r>
                </w:p>
              </w:tc>
              <w:tc>
                <w:tcPr>
                  <w:tcW w:w="740" w:type="pct"/>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29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right="0"/>
                    <w:jc w:val="center"/>
                    <w:textAlignment w:val="auto"/>
                    <w:rPr>
                      <w:snapToGrid w:val="0"/>
                      <w:color w:val="auto"/>
                      <w:kern w:val="0"/>
                      <w:szCs w:val="21"/>
                      <w:highlight w:val="none"/>
                    </w:rPr>
                  </w:pPr>
                  <w:r>
                    <w:rPr>
                      <w:rFonts w:hint="eastAsia"/>
                      <w:snapToGrid w:val="0"/>
                      <w:color w:val="auto"/>
                      <w:kern w:val="0"/>
                      <w:szCs w:val="21"/>
                      <w:highlight w:val="none"/>
                    </w:rPr>
                    <w:t>环境咨询</w:t>
                  </w:r>
                </w:p>
              </w:tc>
              <w:tc>
                <w:tcPr>
                  <w:tcW w:w="2960" w:type="pc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left"/>
                    <w:textAlignment w:val="auto"/>
                    <w:rPr>
                      <w:color w:val="auto"/>
                      <w:kern w:val="2"/>
                      <w:sz w:val="21"/>
                      <w:szCs w:val="21"/>
                      <w:highlight w:val="none"/>
                    </w:rPr>
                  </w:pPr>
                  <w:r>
                    <w:rPr>
                      <w:rFonts w:hint="eastAsia"/>
                      <w:color w:val="auto"/>
                      <w:sz w:val="21"/>
                      <w:szCs w:val="21"/>
                      <w:highlight w:val="none"/>
                    </w:rPr>
                    <w:t>环评、验收监测、验收调查等</w:t>
                  </w:r>
                </w:p>
              </w:tc>
              <w:tc>
                <w:tcPr>
                  <w:tcW w:w="740" w:type="pct"/>
                  <w:tcBorders>
                    <w:top w:val="single" w:color="auto" w:sz="4" w:space="0"/>
                    <w:left w:val="single" w:color="auto" w:sz="4" w:space="0"/>
                    <w:bottom w:val="single" w:color="auto" w:sz="4" w:space="0"/>
                    <w:right w:val="nil"/>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center"/>
                    <w:textAlignment w:val="auto"/>
                    <w:rPr>
                      <w:color w:val="auto"/>
                      <w:sz w:val="21"/>
                      <w:szCs w:val="21"/>
                      <w:highlight w:val="none"/>
                    </w:rPr>
                  </w:pPr>
                  <w:r>
                    <w:rPr>
                      <w:snapToGrid w:val="0"/>
                      <w:color w:val="auto"/>
                      <w:sz w:val="21"/>
                      <w:szCs w:val="21"/>
                      <w:highlight w:val="none"/>
                    </w:rPr>
                    <w:t>15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29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right="0"/>
                    <w:jc w:val="center"/>
                    <w:textAlignment w:val="auto"/>
                    <w:rPr>
                      <w:snapToGrid w:val="0"/>
                      <w:color w:val="auto"/>
                      <w:kern w:val="0"/>
                      <w:szCs w:val="21"/>
                      <w:highlight w:val="none"/>
                    </w:rPr>
                  </w:pPr>
                  <w:r>
                    <w:rPr>
                      <w:rFonts w:hint="eastAsia"/>
                      <w:color w:val="auto"/>
                      <w:kern w:val="0"/>
                      <w:szCs w:val="21"/>
                      <w:highlight w:val="none"/>
                    </w:rPr>
                    <w:t>水土保持方案</w:t>
                  </w:r>
                </w:p>
              </w:tc>
              <w:tc>
                <w:tcPr>
                  <w:tcW w:w="2960" w:type="pc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left"/>
                    <w:textAlignment w:val="auto"/>
                    <w:rPr>
                      <w:color w:val="auto"/>
                      <w:kern w:val="2"/>
                      <w:sz w:val="21"/>
                      <w:szCs w:val="21"/>
                      <w:highlight w:val="none"/>
                    </w:rPr>
                  </w:pPr>
                  <w:r>
                    <w:rPr>
                      <w:rFonts w:hint="eastAsia"/>
                      <w:color w:val="auto"/>
                      <w:sz w:val="21"/>
                      <w:szCs w:val="21"/>
                      <w:highlight w:val="none"/>
                    </w:rPr>
                    <w:t>水土保持方案编制费、验收</w:t>
                  </w:r>
                </w:p>
              </w:tc>
              <w:tc>
                <w:tcPr>
                  <w:tcW w:w="740" w:type="pct"/>
                  <w:tcBorders>
                    <w:top w:val="single" w:color="auto" w:sz="4" w:space="0"/>
                    <w:left w:val="single" w:color="auto" w:sz="4" w:space="0"/>
                    <w:bottom w:val="single" w:color="auto" w:sz="4" w:space="0"/>
                    <w:right w:val="nil"/>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center"/>
                    <w:textAlignment w:val="auto"/>
                    <w:rPr>
                      <w:snapToGrid w:val="0"/>
                      <w:color w:val="auto"/>
                      <w:sz w:val="21"/>
                      <w:szCs w:val="21"/>
                      <w:highlight w:val="none"/>
                    </w:rPr>
                  </w:pPr>
                  <w:r>
                    <w:rPr>
                      <w:snapToGrid w:val="0"/>
                      <w:color w:val="auto"/>
                      <w:sz w:val="21"/>
                      <w:szCs w:val="21"/>
                      <w:highlight w:val="none"/>
                    </w:rPr>
                    <w:t>15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4259" w:type="pct"/>
                  <w:gridSpan w:val="2"/>
                  <w:tcBorders>
                    <w:top w:val="single" w:color="auto" w:sz="4" w:space="0"/>
                    <w:left w:val="nil"/>
                    <w:bottom w:val="single" w:color="auto" w:sz="12" w:space="0"/>
                    <w:right w:val="single" w:color="auto" w:sz="4" w:space="0"/>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center"/>
                    <w:textAlignment w:val="auto"/>
                    <w:rPr>
                      <w:color w:val="auto"/>
                      <w:sz w:val="21"/>
                      <w:szCs w:val="21"/>
                      <w:highlight w:val="none"/>
                    </w:rPr>
                  </w:pPr>
                  <w:r>
                    <w:rPr>
                      <w:rFonts w:hint="eastAsia"/>
                      <w:color w:val="auto"/>
                      <w:sz w:val="21"/>
                      <w:szCs w:val="21"/>
                      <w:highlight w:val="none"/>
                    </w:rPr>
                    <w:t>合计</w:t>
                  </w:r>
                </w:p>
              </w:tc>
              <w:tc>
                <w:tcPr>
                  <w:tcW w:w="740" w:type="pct"/>
                  <w:tcBorders>
                    <w:top w:val="single" w:color="auto" w:sz="4" w:space="0"/>
                    <w:left w:val="single" w:color="auto" w:sz="4" w:space="0"/>
                    <w:bottom w:val="single" w:color="auto" w:sz="12" w:space="0"/>
                    <w:right w:val="nil"/>
                  </w:tcBorders>
                  <w:vAlign w:val="center"/>
                </w:tcPr>
                <w:p>
                  <w:pPr>
                    <w:pStyle w:val="9"/>
                    <w:keepNext w:val="0"/>
                    <w:keepLines w:val="0"/>
                    <w:pageBreakBefore w:val="0"/>
                    <w:kinsoku/>
                    <w:wordWrap/>
                    <w:overflowPunct/>
                    <w:topLinePunct w:val="0"/>
                    <w:autoSpaceDE/>
                    <w:autoSpaceDN/>
                    <w:bidi w:val="0"/>
                    <w:adjustRightInd w:val="0"/>
                    <w:snapToGrid w:val="0"/>
                    <w:spacing w:before="0" w:after="0"/>
                    <w:ind w:right="0"/>
                    <w:jc w:val="center"/>
                    <w:textAlignment w:val="auto"/>
                    <w:rPr>
                      <w:rFonts w:hint="default"/>
                      <w:color w:val="auto"/>
                      <w:sz w:val="21"/>
                      <w:szCs w:val="21"/>
                      <w:highlight w:val="none"/>
                      <w:lang w:val="en-US"/>
                    </w:rPr>
                  </w:pPr>
                  <w:r>
                    <w:rPr>
                      <w:rFonts w:hint="eastAsia"/>
                      <w:color w:val="auto"/>
                      <w:sz w:val="21"/>
                      <w:szCs w:val="21"/>
                      <w:highlight w:val="none"/>
                      <w:lang w:val="en-US" w:eastAsia="zh-CN"/>
                    </w:rPr>
                    <w:t>108</w:t>
                  </w:r>
                </w:p>
              </w:tc>
            </w:tr>
          </w:tbl>
          <w:p>
            <w:pPr>
              <w:adjustRightInd w:val="0"/>
              <w:snapToGrid w:val="0"/>
              <w:spacing w:before="120" w:beforeLines="50" w:line="360" w:lineRule="auto"/>
              <w:rPr>
                <w:b/>
                <w:color w:val="auto"/>
                <w:sz w:val="24"/>
                <w:highlight w:val="none"/>
              </w:rPr>
            </w:pPr>
          </w:p>
          <w:p>
            <w:pPr>
              <w:pStyle w:val="35"/>
              <w:rPr>
                <w:color w:val="auto"/>
                <w:highlight w:val="none"/>
              </w:rPr>
            </w:pPr>
          </w:p>
          <w:p>
            <w:pPr>
              <w:pStyle w:val="35"/>
              <w:rPr>
                <w:color w:val="auto"/>
                <w:highlight w:val="yellow"/>
              </w:rPr>
            </w:pPr>
          </w:p>
          <w:p>
            <w:pPr>
              <w:pStyle w:val="35"/>
              <w:rPr>
                <w:color w:val="auto"/>
                <w:highlight w:val="yellow"/>
              </w:rPr>
            </w:pPr>
          </w:p>
          <w:p>
            <w:pPr>
              <w:pStyle w:val="35"/>
              <w:rPr>
                <w:color w:val="auto"/>
                <w:highlight w:val="yellow"/>
              </w:rPr>
            </w:pPr>
          </w:p>
          <w:p>
            <w:pPr>
              <w:pStyle w:val="35"/>
              <w:rPr>
                <w:color w:val="auto"/>
                <w:highlight w:val="yellow"/>
              </w:rPr>
            </w:pPr>
          </w:p>
          <w:p>
            <w:pPr>
              <w:pStyle w:val="35"/>
              <w:rPr>
                <w:color w:val="auto"/>
                <w:highlight w:val="yellow"/>
              </w:rPr>
            </w:pPr>
          </w:p>
          <w:p>
            <w:pPr>
              <w:pStyle w:val="35"/>
              <w:rPr>
                <w:color w:val="auto"/>
                <w:highlight w:val="yellow"/>
              </w:rPr>
            </w:pPr>
          </w:p>
          <w:p>
            <w:pPr>
              <w:pStyle w:val="35"/>
              <w:rPr>
                <w:color w:val="auto"/>
                <w:highlight w:val="yellow"/>
              </w:rPr>
            </w:pPr>
          </w:p>
          <w:p>
            <w:pPr>
              <w:pStyle w:val="35"/>
              <w:rPr>
                <w:color w:val="auto"/>
                <w:highlight w:val="yellow"/>
              </w:rPr>
            </w:pPr>
          </w:p>
          <w:p>
            <w:pPr>
              <w:pStyle w:val="35"/>
              <w:ind w:left="0" w:leftChars="0" w:firstLine="0" w:firstLineChars="0"/>
              <w:rPr>
                <w:color w:val="auto"/>
                <w:highlight w:val="yellow"/>
              </w:rPr>
            </w:pPr>
          </w:p>
        </w:tc>
      </w:tr>
    </w:tbl>
    <w:p>
      <w:pPr>
        <w:rPr>
          <w:color w:val="auto"/>
          <w:highlight w:val="yellow"/>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pPr>
        <w:pStyle w:val="25"/>
        <w:jc w:val="center"/>
        <w:outlineLvl w:val="0"/>
        <w:rPr>
          <w:rFonts w:ascii="Times New Roman" w:hAnsi="Times New Roman"/>
          <w:snapToGrid w:val="0"/>
          <w:color w:val="auto"/>
          <w:sz w:val="30"/>
          <w:szCs w:val="30"/>
          <w:highlight w:val="none"/>
        </w:rPr>
      </w:pPr>
      <w:r>
        <w:rPr>
          <w:rFonts w:hint="eastAsia" w:ascii="Times New Roman" w:hAnsi="Times New Roman"/>
          <w:snapToGrid w:val="0"/>
          <w:color w:val="auto"/>
          <w:sz w:val="30"/>
          <w:szCs w:val="30"/>
          <w:highlight w:val="none"/>
        </w:rPr>
        <w:t>六、生态环境保护措施监督检查清单</w:t>
      </w:r>
    </w:p>
    <w:tbl>
      <w:tblPr>
        <w:tblStyle w:val="28"/>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2191"/>
        <w:gridCol w:w="1390"/>
        <w:gridCol w:w="1486"/>
        <w:gridCol w:w="20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07" w:type="dxa"/>
            <w:vMerge w:val="restart"/>
            <w:tcBorders>
              <w:tl2br w:val="single" w:color="auto" w:sz="4" w:space="0"/>
            </w:tcBorders>
          </w:tcPr>
          <w:p>
            <w:pPr>
              <w:pStyle w:val="25"/>
              <w:adjustRightInd w:val="0"/>
              <w:snapToGrid w:val="0"/>
              <w:spacing w:before="72" w:beforeLines="30" w:beforeAutospacing="0" w:after="0" w:afterAutospacing="0"/>
              <w:jc w:val="center"/>
              <w:outlineLvl w:val="0"/>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 xml:space="preserve">      内容</w:t>
            </w:r>
          </w:p>
          <w:p>
            <w:pPr>
              <w:pStyle w:val="25"/>
              <w:adjustRightInd w:val="0"/>
              <w:snapToGrid w:val="0"/>
              <w:spacing w:before="0" w:beforeAutospacing="0" w:after="0" w:afterAutospacing="0" w:line="14" w:lineRule="auto"/>
              <w:outlineLvl w:val="0"/>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 xml:space="preserve">  </w:t>
            </w:r>
          </w:p>
          <w:p>
            <w:pPr>
              <w:pStyle w:val="25"/>
              <w:adjustRightInd w:val="0"/>
              <w:snapToGrid w:val="0"/>
              <w:spacing w:before="0" w:beforeAutospacing="0" w:after="0" w:afterAutospacing="0"/>
              <w:outlineLvl w:val="0"/>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要素</w:t>
            </w:r>
          </w:p>
        </w:tc>
        <w:tc>
          <w:tcPr>
            <w:tcW w:w="3581" w:type="dxa"/>
            <w:gridSpan w:val="2"/>
            <w:vAlign w:val="center"/>
          </w:tcPr>
          <w:p>
            <w:pPr>
              <w:pStyle w:val="25"/>
              <w:adjustRightInd w:val="0"/>
              <w:snapToGrid w:val="0"/>
              <w:spacing w:before="0" w:beforeAutospacing="0" w:after="0" w:afterAutospacing="0"/>
              <w:jc w:val="center"/>
              <w:outlineLvl w:val="0"/>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施工期</w:t>
            </w:r>
          </w:p>
        </w:tc>
        <w:tc>
          <w:tcPr>
            <w:tcW w:w="3534" w:type="dxa"/>
            <w:gridSpan w:val="2"/>
            <w:vAlign w:val="center"/>
          </w:tcPr>
          <w:p>
            <w:pPr>
              <w:pStyle w:val="25"/>
              <w:adjustRightInd w:val="0"/>
              <w:snapToGrid w:val="0"/>
              <w:spacing w:before="0" w:beforeAutospacing="0" w:after="0" w:afterAutospacing="0"/>
              <w:jc w:val="center"/>
              <w:outlineLvl w:val="0"/>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07" w:type="dxa"/>
            <w:vMerge w:val="continue"/>
          </w:tcPr>
          <w:p>
            <w:pPr>
              <w:pStyle w:val="25"/>
              <w:adjustRightInd w:val="0"/>
              <w:snapToGrid w:val="0"/>
              <w:spacing w:before="0" w:beforeAutospacing="0" w:after="0" w:afterAutospacing="0"/>
              <w:ind w:firstLine="840"/>
              <w:jc w:val="center"/>
              <w:outlineLvl w:val="0"/>
              <w:rPr>
                <w:rFonts w:ascii="Times New Roman" w:hAnsi="Times New Roman" w:cs="宋体"/>
                <w:color w:val="auto"/>
                <w:kern w:val="2"/>
                <w:sz w:val="21"/>
                <w:szCs w:val="21"/>
                <w:highlight w:val="none"/>
              </w:rPr>
            </w:pPr>
          </w:p>
        </w:tc>
        <w:tc>
          <w:tcPr>
            <w:tcW w:w="2191" w:type="dxa"/>
            <w:vAlign w:val="center"/>
          </w:tcPr>
          <w:p>
            <w:pPr>
              <w:pStyle w:val="25"/>
              <w:adjustRightInd w:val="0"/>
              <w:snapToGrid w:val="0"/>
              <w:spacing w:before="0" w:beforeAutospacing="0" w:after="0" w:afterAutospacing="0"/>
              <w:jc w:val="center"/>
              <w:outlineLvl w:val="0"/>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环境保护措施</w:t>
            </w:r>
          </w:p>
        </w:tc>
        <w:tc>
          <w:tcPr>
            <w:tcW w:w="1390" w:type="dxa"/>
            <w:vAlign w:val="center"/>
          </w:tcPr>
          <w:p>
            <w:pPr>
              <w:pStyle w:val="25"/>
              <w:adjustRightInd w:val="0"/>
              <w:snapToGrid w:val="0"/>
              <w:spacing w:before="0" w:beforeAutospacing="0" w:after="0" w:afterAutospacing="0"/>
              <w:jc w:val="center"/>
              <w:outlineLvl w:val="0"/>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验收要求</w:t>
            </w:r>
          </w:p>
        </w:tc>
        <w:tc>
          <w:tcPr>
            <w:tcW w:w="1486" w:type="dxa"/>
            <w:vAlign w:val="center"/>
          </w:tcPr>
          <w:p>
            <w:pPr>
              <w:pStyle w:val="25"/>
              <w:adjustRightInd w:val="0"/>
              <w:snapToGrid w:val="0"/>
              <w:spacing w:before="0" w:beforeAutospacing="0" w:after="0" w:afterAutospacing="0"/>
              <w:jc w:val="center"/>
              <w:outlineLvl w:val="0"/>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环境保护措施</w:t>
            </w:r>
          </w:p>
        </w:tc>
        <w:tc>
          <w:tcPr>
            <w:tcW w:w="2048" w:type="dxa"/>
            <w:vAlign w:val="center"/>
          </w:tcPr>
          <w:p>
            <w:pPr>
              <w:pStyle w:val="25"/>
              <w:adjustRightInd w:val="0"/>
              <w:snapToGrid w:val="0"/>
              <w:spacing w:before="0" w:beforeAutospacing="0" w:after="0" w:afterAutospacing="0"/>
              <w:jc w:val="center"/>
              <w:outlineLvl w:val="0"/>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07" w:type="dxa"/>
            <w:vAlign w:val="center"/>
          </w:tcPr>
          <w:p>
            <w:pPr>
              <w:adjustRightInd w:val="0"/>
              <w:snapToGrid w:val="0"/>
              <w:jc w:val="center"/>
              <w:rPr>
                <w:rFonts w:cs="宋体"/>
                <w:color w:val="auto"/>
                <w:szCs w:val="21"/>
                <w:highlight w:val="none"/>
              </w:rPr>
            </w:pPr>
            <w:r>
              <w:rPr>
                <w:rFonts w:hint="eastAsia" w:cs="宋体"/>
                <w:color w:val="auto"/>
                <w:szCs w:val="21"/>
                <w:highlight w:val="none"/>
              </w:rPr>
              <w:t>生态</w:t>
            </w:r>
          </w:p>
        </w:tc>
        <w:tc>
          <w:tcPr>
            <w:tcW w:w="2191" w:type="dxa"/>
            <w:vAlign w:val="center"/>
          </w:tcPr>
          <w:p>
            <w:pPr>
              <w:pStyle w:val="35"/>
              <w:spacing w:line="240" w:lineRule="auto"/>
              <w:ind w:firstLine="0"/>
              <w:jc w:val="left"/>
              <w:rPr>
                <w:rFonts w:ascii="Times New Roman" w:hAnsi="Times New Roman" w:cs="Times New Roman"/>
                <w:color w:val="auto"/>
                <w:sz w:val="21"/>
                <w:szCs w:val="21"/>
                <w:highlight w:val="none"/>
              </w:rPr>
            </w:pPr>
            <w:r>
              <w:rPr>
                <w:rFonts w:hint="eastAsia" w:ascii="宋体" w:hAnsi="宋体" w:cs="Times New Roman"/>
                <w:color w:val="auto"/>
                <w:sz w:val="21"/>
                <w:szCs w:val="21"/>
                <w:highlight w:val="none"/>
              </w:rPr>
              <w:t>①</w:t>
            </w:r>
            <w:r>
              <w:rPr>
                <w:rFonts w:hint="eastAsia" w:ascii="Times New Roman" w:hAnsi="Times New Roman" w:cs="Times New Roman"/>
                <w:color w:val="auto"/>
                <w:sz w:val="21"/>
                <w:szCs w:val="21"/>
                <w:highlight w:val="none"/>
              </w:rPr>
              <w:t>变电站施工严格控制在用地红线内，施工场地做好雨水导排设施，施工场地、表土堆场均设置于用地红线内；</w:t>
            </w:r>
          </w:p>
          <w:p>
            <w:pPr>
              <w:pStyle w:val="35"/>
              <w:spacing w:line="240" w:lineRule="auto"/>
              <w:ind w:firstLine="0"/>
              <w:jc w:val="left"/>
              <w:rPr>
                <w:rFonts w:ascii="Times New Roman" w:hAnsi="Times New Roman" w:cs="Times New Roman"/>
                <w:color w:val="auto"/>
                <w:sz w:val="21"/>
                <w:szCs w:val="21"/>
                <w:highlight w:val="none"/>
              </w:rPr>
            </w:pPr>
            <w:r>
              <w:rPr>
                <w:rFonts w:hint="eastAsia" w:ascii="宋体" w:hAnsi="宋体" w:cs="Times New Roman"/>
                <w:color w:val="auto"/>
                <w:sz w:val="21"/>
                <w:szCs w:val="21"/>
                <w:highlight w:val="none"/>
              </w:rPr>
              <w:t>②</w:t>
            </w:r>
            <w:r>
              <w:rPr>
                <w:rFonts w:hint="eastAsia" w:ascii="Times New Roman" w:hAnsi="Times New Roman" w:cs="Times New Roman"/>
                <w:color w:val="auto"/>
                <w:sz w:val="21"/>
                <w:szCs w:val="21"/>
                <w:highlight w:val="none"/>
              </w:rPr>
              <w:t>施工前应进行表土剥离，剥离的表土分类存放，用于后期复绿。</w:t>
            </w:r>
          </w:p>
          <w:p>
            <w:pPr>
              <w:pStyle w:val="35"/>
              <w:spacing w:line="240" w:lineRule="auto"/>
              <w:ind w:firstLine="0"/>
              <w:jc w:val="left"/>
              <w:rPr>
                <w:rFonts w:ascii="Times New Roman" w:hAnsi="Times New Roman" w:cs="Times New Roman"/>
                <w:color w:val="auto"/>
                <w:sz w:val="21"/>
                <w:szCs w:val="21"/>
                <w:highlight w:val="none"/>
              </w:rPr>
            </w:pPr>
            <w:r>
              <w:rPr>
                <w:rFonts w:hint="eastAsia" w:ascii="宋体" w:hAnsi="宋体" w:cs="Times New Roman"/>
                <w:color w:val="auto"/>
                <w:sz w:val="21"/>
                <w:szCs w:val="21"/>
                <w:highlight w:val="none"/>
              </w:rPr>
              <w:t>③</w:t>
            </w:r>
            <w:r>
              <w:rPr>
                <w:rFonts w:hint="eastAsia" w:ascii="Times New Roman" w:hAnsi="Times New Roman" w:cs="Times New Roman"/>
                <w:color w:val="auto"/>
                <w:sz w:val="21"/>
                <w:szCs w:val="21"/>
                <w:highlight w:val="none"/>
              </w:rPr>
              <w:t>在立铁塔施工中主要采用人力施工，尽量利用地形，采用全方位高低腿塔，避免大规模开挖；</w:t>
            </w:r>
          </w:p>
          <w:p>
            <w:pPr>
              <w:pStyle w:val="35"/>
              <w:spacing w:line="240" w:lineRule="auto"/>
              <w:ind w:firstLine="0"/>
              <w:jc w:val="left"/>
              <w:rPr>
                <w:rFonts w:ascii="Times New Roman" w:hAnsi="Times New Roman" w:cs="Times New Roman"/>
                <w:color w:val="auto"/>
                <w:sz w:val="21"/>
                <w:szCs w:val="21"/>
                <w:highlight w:val="none"/>
              </w:rPr>
            </w:pPr>
            <w:r>
              <w:rPr>
                <w:rFonts w:hint="eastAsia" w:ascii="宋体" w:hAnsi="宋体"/>
                <w:color w:val="auto"/>
                <w:sz w:val="21"/>
                <w:szCs w:val="21"/>
                <w:highlight w:val="none"/>
              </w:rPr>
              <w:t>④</w:t>
            </w:r>
            <w:r>
              <w:rPr>
                <w:rFonts w:hint="eastAsia" w:ascii="Times New Roman" w:hAnsi="Times New Roman" w:cs="Times New Roman"/>
                <w:color w:val="auto"/>
                <w:sz w:val="21"/>
                <w:szCs w:val="21"/>
                <w:highlight w:val="none"/>
              </w:rPr>
              <w:t>对于塔基占地及临时占地，尽量避开树林茂密处，减少对树木的清理，完工后及时恢复塔基周围等临时占地的植被；</w:t>
            </w:r>
          </w:p>
          <w:p>
            <w:pPr>
              <w:pStyle w:val="35"/>
              <w:spacing w:line="240" w:lineRule="auto"/>
              <w:ind w:firstLine="0"/>
              <w:jc w:val="left"/>
              <w:rPr>
                <w:rFonts w:ascii="Times New Roman" w:hAnsi="Times New Roman" w:cs="Times New Roman"/>
                <w:color w:val="auto"/>
                <w:sz w:val="21"/>
                <w:szCs w:val="21"/>
                <w:highlight w:val="none"/>
              </w:rPr>
            </w:pPr>
            <w:r>
              <w:rPr>
                <w:rFonts w:hint="eastAsia" w:ascii="宋体" w:hAnsi="宋体"/>
                <w:color w:val="auto"/>
                <w:sz w:val="21"/>
                <w:szCs w:val="21"/>
                <w:highlight w:val="none"/>
              </w:rPr>
              <w:t>④</w:t>
            </w:r>
            <w:r>
              <w:rPr>
                <w:rFonts w:hint="eastAsia" w:ascii="Times New Roman" w:hAnsi="Times New Roman" w:cs="Times New Roman"/>
                <w:color w:val="auto"/>
                <w:sz w:val="21"/>
                <w:szCs w:val="21"/>
                <w:highlight w:val="none"/>
              </w:rPr>
              <w:t>应合理安排施工工序，尽量避开在暴雨季节开挖土方，开挖土方回填之前，做好临时的防护措施，土石方集中堆放，同时做好施工工区的排水工作，保证排水系统畅通。要及时清理施工现场，回填方应及时夯实，在工程施工过程中尽量保护生态的原貌，减少对生态的扰动与破坏；</w:t>
            </w:r>
          </w:p>
          <w:p>
            <w:pPr>
              <w:pStyle w:val="35"/>
              <w:spacing w:line="240" w:lineRule="auto"/>
              <w:ind w:firstLine="0"/>
              <w:jc w:val="left"/>
              <w:rPr>
                <w:rFonts w:ascii="Times New Roman" w:hAnsi="Times New Roman" w:cs="Times New Roman"/>
                <w:color w:val="auto"/>
                <w:sz w:val="21"/>
                <w:szCs w:val="21"/>
                <w:highlight w:val="none"/>
              </w:rPr>
            </w:pPr>
            <w:r>
              <w:rPr>
                <w:rFonts w:hint="eastAsia" w:ascii="宋体" w:hAnsi="宋体"/>
                <w:color w:val="auto"/>
                <w:sz w:val="21"/>
                <w:szCs w:val="21"/>
                <w:highlight w:val="none"/>
              </w:rPr>
              <w:t>⑤</w:t>
            </w:r>
            <w:r>
              <w:rPr>
                <w:rFonts w:hint="eastAsia" w:ascii="Times New Roman" w:hAnsi="Times New Roman" w:cs="Times New Roman"/>
                <w:color w:val="auto"/>
                <w:sz w:val="21"/>
                <w:szCs w:val="21"/>
                <w:highlight w:val="none"/>
              </w:rPr>
              <w:t>在放线和附件安装阶段，注意对周围环境的保护，文明施工；</w:t>
            </w:r>
          </w:p>
          <w:p>
            <w:pPr>
              <w:pStyle w:val="35"/>
              <w:spacing w:line="240" w:lineRule="auto"/>
              <w:ind w:firstLine="0"/>
              <w:jc w:val="left"/>
              <w:rPr>
                <w:rFonts w:ascii="Times New Roman" w:hAnsi="Times New Roman" w:cs="Times New Roman"/>
                <w:color w:val="auto"/>
                <w:sz w:val="21"/>
                <w:szCs w:val="21"/>
                <w:highlight w:val="none"/>
              </w:rPr>
            </w:pPr>
            <w:r>
              <w:rPr>
                <w:rFonts w:hint="eastAsia" w:ascii="宋体" w:hAnsi="宋体"/>
                <w:color w:val="auto"/>
                <w:sz w:val="21"/>
                <w:szCs w:val="21"/>
                <w:highlight w:val="none"/>
              </w:rPr>
              <w:t>⑥</w:t>
            </w:r>
            <w:r>
              <w:rPr>
                <w:rFonts w:hint="eastAsia" w:ascii="Times New Roman" w:hAnsi="Times New Roman" w:cs="Times New Roman"/>
                <w:color w:val="auto"/>
                <w:sz w:val="21"/>
                <w:szCs w:val="21"/>
                <w:highlight w:val="none"/>
              </w:rPr>
              <w:t>业主应以合同形式要求施工单位按照设计要求，严格控制开挖量及开挖范围；</w:t>
            </w:r>
          </w:p>
          <w:p>
            <w:pPr>
              <w:adjustRightInd w:val="0"/>
              <w:snapToGrid w:val="0"/>
              <w:rPr>
                <w:rFonts w:cs="宋体"/>
                <w:color w:val="auto"/>
                <w:szCs w:val="21"/>
                <w:highlight w:val="none"/>
              </w:rPr>
            </w:pPr>
            <w:r>
              <w:rPr>
                <w:rFonts w:hint="eastAsia" w:ascii="宋体" w:hAnsi="宋体"/>
                <w:color w:val="auto"/>
                <w:szCs w:val="21"/>
                <w:highlight w:val="none"/>
              </w:rPr>
              <w:t>⑦</w:t>
            </w:r>
            <w:r>
              <w:rPr>
                <w:rFonts w:hint="eastAsia"/>
                <w:color w:val="auto"/>
                <w:szCs w:val="21"/>
                <w:highlight w:val="none"/>
              </w:rPr>
              <w:t>临时用地选址避开自然保护区、生态保护红线等区域，优先选择建设用地。</w:t>
            </w:r>
          </w:p>
        </w:tc>
        <w:tc>
          <w:tcPr>
            <w:tcW w:w="1390" w:type="dxa"/>
            <w:vAlign w:val="center"/>
          </w:tcPr>
          <w:p>
            <w:pPr>
              <w:adjustRightInd w:val="0"/>
              <w:snapToGrid w:val="0"/>
              <w:jc w:val="center"/>
              <w:rPr>
                <w:rFonts w:cs="宋体"/>
                <w:color w:val="auto"/>
                <w:szCs w:val="21"/>
                <w:highlight w:val="none"/>
              </w:rPr>
            </w:pPr>
            <w:r>
              <w:rPr>
                <w:rFonts w:hint="eastAsia" w:cs="宋体"/>
                <w:color w:val="auto"/>
                <w:szCs w:val="21"/>
                <w:highlight w:val="none"/>
              </w:rPr>
              <w:t>符合环</w:t>
            </w:r>
          </w:p>
          <w:p>
            <w:pPr>
              <w:adjustRightInd w:val="0"/>
              <w:snapToGrid w:val="0"/>
              <w:jc w:val="center"/>
              <w:rPr>
                <w:rFonts w:cs="宋体"/>
                <w:color w:val="auto"/>
                <w:szCs w:val="21"/>
                <w:highlight w:val="none"/>
              </w:rPr>
            </w:pPr>
            <w:r>
              <w:rPr>
                <w:rFonts w:hint="eastAsia" w:cs="宋体"/>
                <w:color w:val="auto"/>
                <w:szCs w:val="21"/>
                <w:highlight w:val="none"/>
              </w:rPr>
              <w:t>保要求</w:t>
            </w:r>
          </w:p>
        </w:tc>
        <w:tc>
          <w:tcPr>
            <w:tcW w:w="1486" w:type="dxa"/>
            <w:vAlign w:val="center"/>
          </w:tcPr>
          <w:p>
            <w:pPr>
              <w:jc w:val="center"/>
              <w:rPr>
                <w:color w:val="auto"/>
                <w:szCs w:val="21"/>
                <w:highlight w:val="none"/>
              </w:rPr>
            </w:pPr>
            <w:r>
              <w:rPr>
                <w:rFonts w:hint="eastAsia"/>
                <w:color w:val="auto"/>
                <w:szCs w:val="21"/>
                <w:highlight w:val="none"/>
              </w:rPr>
              <w:t>/</w:t>
            </w:r>
          </w:p>
        </w:tc>
        <w:tc>
          <w:tcPr>
            <w:tcW w:w="2048" w:type="dxa"/>
            <w:vAlign w:val="center"/>
          </w:tcPr>
          <w:p>
            <w:pPr>
              <w:adjustRightInd w:val="0"/>
              <w:snapToGrid w:val="0"/>
              <w:jc w:val="center"/>
              <w:rPr>
                <w:rFonts w:cs="宋体"/>
                <w:color w:val="auto"/>
                <w:szCs w:val="21"/>
                <w:highlight w:val="none"/>
              </w:rPr>
            </w:pPr>
            <w:r>
              <w:rPr>
                <w:rFonts w:hint="eastAsia" w:cs="宋体"/>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7" w:type="dxa"/>
            <w:vAlign w:val="center"/>
          </w:tcPr>
          <w:p>
            <w:pPr>
              <w:adjustRightInd w:val="0"/>
              <w:snapToGrid w:val="0"/>
              <w:jc w:val="center"/>
              <w:rPr>
                <w:rFonts w:cs="宋体"/>
                <w:color w:val="auto"/>
                <w:szCs w:val="21"/>
                <w:highlight w:val="none"/>
              </w:rPr>
            </w:pPr>
            <w:r>
              <w:rPr>
                <w:rFonts w:hint="eastAsia" w:cs="宋体"/>
                <w:color w:val="auto"/>
                <w:szCs w:val="21"/>
                <w:highlight w:val="none"/>
              </w:rPr>
              <w:t>水生生态</w:t>
            </w:r>
          </w:p>
        </w:tc>
        <w:tc>
          <w:tcPr>
            <w:tcW w:w="2191" w:type="dxa"/>
            <w:vAlign w:val="center"/>
          </w:tcPr>
          <w:p>
            <w:pPr>
              <w:adjustRightInd w:val="0"/>
              <w:snapToGrid w:val="0"/>
              <w:rPr>
                <w:color w:val="auto"/>
                <w:szCs w:val="21"/>
                <w:highlight w:val="none"/>
              </w:rPr>
            </w:pPr>
            <w:r>
              <w:rPr>
                <w:rFonts w:hint="eastAsia"/>
                <w:color w:val="auto"/>
                <w:szCs w:val="21"/>
                <w:highlight w:val="none"/>
              </w:rPr>
              <w:t>禁止向水体倾倒生活垃圾、建筑垃圾、弃土弃渣等行为</w:t>
            </w:r>
          </w:p>
        </w:tc>
        <w:tc>
          <w:tcPr>
            <w:tcW w:w="1390" w:type="dxa"/>
            <w:vAlign w:val="center"/>
          </w:tcPr>
          <w:p>
            <w:pPr>
              <w:adjustRightInd w:val="0"/>
              <w:snapToGrid w:val="0"/>
              <w:jc w:val="center"/>
              <w:rPr>
                <w:color w:val="auto"/>
                <w:szCs w:val="21"/>
                <w:highlight w:val="none"/>
              </w:rPr>
            </w:pPr>
            <w:r>
              <w:rPr>
                <w:rFonts w:hint="eastAsia"/>
                <w:color w:val="auto"/>
                <w:highlight w:val="none"/>
              </w:rPr>
              <w:t>无扰动</w:t>
            </w:r>
          </w:p>
        </w:tc>
        <w:tc>
          <w:tcPr>
            <w:tcW w:w="1486" w:type="dxa"/>
            <w:vAlign w:val="center"/>
          </w:tcPr>
          <w:p>
            <w:pPr>
              <w:jc w:val="center"/>
              <w:rPr>
                <w:color w:val="auto"/>
                <w:szCs w:val="21"/>
                <w:highlight w:val="none"/>
              </w:rPr>
            </w:pPr>
            <w:r>
              <w:rPr>
                <w:rFonts w:hint="eastAsia"/>
                <w:color w:val="auto"/>
                <w:szCs w:val="21"/>
                <w:highlight w:val="none"/>
              </w:rPr>
              <w:t>/</w:t>
            </w:r>
          </w:p>
        </w:tc>
        <w:tc>
          <w:tcPr>
            <w:tcW w:w="2048" w:type="dxa"/>
            <w:vAlign w:val="center"/>
          </w:tcPr>
          <w:p>
            <w:pPr>
              <w:adjustRightInd w:val="0"/>
              <w:snapToGrid w:val="0"/>
              <w:jc w:val="center"/>
              <w:rPr>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07" w:type="dxa"/>
            <w:vAlign w:val="center"/>
          </w:tcPr>
          <w:p>
            <w:pPr>
              <w:adjustRightInd w:val="0"/>
              <w:snapToGrid w:val="0"/>
              <w:jc w:val="center"/>
              <w:rPr>
                <w:rFonts w:cs="宋体"/>
                <w:color w:val="auto"/>
                <w:szCs w:val="21"/>
                <w:highlight w:val="none"/>
              </w:rPr>
            </w:pPr>
            <w:r>
              <w:rPr>
                <w:rFonts w:hint="eastAsia" w:cs="宋体"/>
                <w:color w:val="auto"/>
                <w:szCs w:val="21"/>
                <w:highlight w:val="none"/>
              </w:rPr>
              <w:t>地表水环境</w:t>
            </w:r>
          </w:p>
        </w:tc>
        <w:tc>
          <w:tcPr>
            <w:tcW w:w="2191" w:type="dxa"/>
            <w:vAlign w:val="center"/>
          </w:tcPr>
          <w:p>
            <w:pPr>
              <w:adjustRightInd w:val="0"/>
              <w:snapToGrid w:val="0"/>
              <w:rPr>
                <w:color w:val="auto"/>
                <w:szCs w:val="21"/>
                <w:highlight w:val="none"/>
              </w:rPr>
            </w:pPr>
            <w:r>
              <w:rPr>
                <w:rFonts w:hint="eastAsia"/>
                <w:color w:val="auto"/>
                <w:highlight w:val="none"/>
              </w:rPr>
              <w:t>生活污水利用现有公共设施污水处理系统处理</w:t>
            </w:r>
          </w:p>
        </w:tc>
        <w:tc>
          <w:tcPr>
            <w:tcW w:w="1390" w:type="dxa"/>
            <w:vAlign w:val="center"/>
          </w:tcPr>
          <w:p>
            <w:pPr>
              <w:adjustRightInd w:val="0"/>
              <w:snapToGrid w:val="0"/>
              <w:rPr>
                <w:color w:val="auto"/>
                <w:szCs w:val="21"/>
                <w:highlight w:val="none"/>
              </w:rPr>
            </w:pPr>
            <w:r>
              <w:rPr>
                <w:rFonts w:hint="eastAsia"/>
                <w:color w:val="auto"/>
                <w:szCs w:val="21"/>
                <w:highlight w:val="none"/>
              </w:rPr>
              <w:t>施工时有无污染发生，确保符合环境要求</w:t>
            </w:r>
          </w:p>
        </w:tc>
        <w:tc>
          <w:tcPr>
            <w:tcW w:w="1486" w:type="dxa"/>
            <w:vAlign w:val="center"/>
          </w:tcPr>
          <w:p>
            <w:pPr>
              <w:adjustRightInd w:val="0"/>
              <w:snapToGrid w:val="0"/>
              <w:jc w:val="center"/>
              <w:rPr>
                <w:rFonts w:cs="宋体"/>
                <w:color w:val="auto"/>
                <w:szCs w:val="21"/>
                <w:highlight w:val="none"/>
              </w:rPr>
            </w:pPr>
            <w:r>
              <w:rPr>
                <w:rFonts w:hint="eastAsia"/>
                <w:color w:val="auto"/>
                <w:szCs w:val="21"/>
                <w:highlight w:val="none"/>
              </w:rPr>
              <w:t>站内</w:t>
            </w:r>
            <w:r>
              <w:rPr>
                <w:rFonts w:hint="eastAsia" w:cs="宋体"/>
                <w:color w:val="auto"/>
                <w:szCs w:val="21"/>
                <w:highlight w:val="none"/>
              </w:rPr>
              <w:t>一体化污水处理设施处理</w:t>
            </w:r>
          </w:p>
        </w:tc>
        <w:tc>
          <w:tcPr>
            <w:tcW w:w="2048" w:type="dxa"/>
            <w:vAlign w:val="center"/>
          </w:tcPr>
          <w:p>
            <w:pPr>
              <w:adjustRightInd w:val="0"/>
              <w:snapToGrid w:val="0"/>
              <w:jc w:val="center"/>
              <w:rPr>
                <w:rFonts w:cs="宋体"/>
                <w:color w:val="auto"/>
                <w:szCs w:val="21"/>
                <w:highlight w:val="none"/>
              </w:rPr>
            </w:pPr>
            <w:r>
              <w:rPr>
                <w:rFonts w:hint="eastAsia" w:cs="宋体"/>
                <w:color w:val="auto"/>
                <w:szCs w:val="21"/>
                <w:highlight w:val="none"/>
              </w:rPr>
              <w:t>一体化污水处理设施处理后，近期用于</w:t>
            </w:r>
            <w:r>
              <w:rPr>
                <w:rFonts w:hint="eastAsia"/>
                <w:bCs/>
                <w:color w:val="auto"/>
                <w:sz w:val="21"/>
                <w:szCs w:val="21"/>
              </w:rPr>
              <w:t>绿化</w:t>
            </w:r>
            <w:r>
              <w:rPr>
                <w:rFonts w:hint="eastAsia"/>
                <w:bCs/>
                <w:color w:val="auto"/>
                <w:sz w:val="21"/>
                <w:szCs w:val="21"/>
                <w:lang w:eastAsia="zh-CN"/>
              </w:rPr>
              <w:t>施肥</w:t>
            </w:r>
            <w:r>
              <w:rPr>
                <w:rFonts w:hint="eastAsia" w:cs="宋体"/>
                <w:color w:val="auto"/>
                <w:szCs w:val="21"/>
                <w:highlight w:val="none"/>
              </w:rPr>
              <w:t>，远期待园区污水管网建成后经市政污水管网进入东城污水处理厂处理后进入淮远河。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07" w:type="dxa"/>
            <w:vAlign w:val="center"/>
          </w:tcPr>
          <w:p>
            <w:pPr>
              <w:adjustRightInd w:val="0"/>
              <w:snapToGrid w:val="0"/>
              <w:jc w:val="center"/>
              <w:rPr>
                <w:rFonts w:cs="宋体"/>
                <w:color w:val="auto"/>
                <w:szCs w:val="21"/>
                <w:highlight w:val="none"/>
              </w:rPr>
            </w:pPr>
            <w:r>
              <w:rPr>
                <w:rFonts w:hint="eastAsia" w:cs="宋体"/>
                <w:color w:val="auto"/>
                <w:szCs w:val="21"/>
                <w:highlight w:val="none"/>
              </w:rPr>
              <w:t>地下水及土壤环境</w:t>
            </w:r>
          </w:p>
        </w:tc>
        <w:tc>
          <w:tcPr>
            <w:tcW w:w="2191" w:type="dxa"/>
            <w:vAlign w:val="center"/>
          </w:tcPr>
          <w:p>
            <w:pPr>
              <w:adjustRightInd w:val="0"/>
              <w:snapToGrid w:val="0"/>
              <w:jc w:val="center"/>
              <w:rPr>
                <w:color w:val="auto"/>
                <w:szCs w:val="21"/>
                <w:highlight w:val="none"/>
              </w:rPr>
            </w:pPr>
            <w:r>
              <w:rPr>
                <w:color w:val="auto"/>
                <w:szCs w:val="21"/>
                <w:highlight w:val="none"/>
              </w:rPr>
              <w:t>/</w:t>
            </w:r>
          </w:p>
        </w:tc>
        <w:tc>
          <w:tcPr>
            <w:tcW w:w="1390" w:type="dxa"/>
            <w:vAlign w:val="center"/>
          </w:tcPr>
          <w:p>
            <w:pPr>
              <w:adjustRightInd w:val="0"/>
              <w:snapToGrid w:val="0"/>
              <w:jc w:val="center"/>
              <w:rPr>
                <w:color w:val="auto"/>
                <w:szCs w:val="21"/>
                <w:highlight w:val="none"/>
              </w:rPr>
            </w:pPr>
            <w:r>
              <w:rPr>
                <w:color w:val="auto"/>
                <w:szCs w:val="21"/>
                <w:highlight w:val="none"/>
              </w:rPr>
              <w:t>/</w:t>
            </w:r>
          </w:p>
        </w:tc>
        <w:tc>
          <w:tcPr>
            <w:tcW w:w="1486" w:type="dxa"/>
            <w:vAlign w:val="center"/>
          </w:tcPr>
          <w:p>
            <w:pPr>
              <w:adjustRightInd w:val="0"/>
              <w:snapToGrid w:val="0"/>
              <w:jc w:val="center"/>
              <w:rPr>
                <w:color w:val="auto"/>
                <w:szCs w:val="21"/>
                <w:highlight w:val="none"/>
              </w:rPr>
            </w:pPr>
            <w:r>
              <w:rPr>
                <w:rFonts w:hint="eastAsia"/>
                <w:color w:val="auto"/>
                <w:szCs w:val="21"/>
                <w:highlight w:val="none"/>
              </w:rPr>
              <w:t>/</w:t>
            </w:r>
          </w:p>
        </w:tc>
        <w:tc>
          <w:tcPr>
            <w:tcW w:w="2048" w:type="dxa"/>
            <w:vAlign w:val="center"/>
          </w:tcPr>
          <w:p>
            <w:pPr>
              <w:adjustRightInd w:val="0"/>
              <w:snapToGrid w:val="0"/>
              <w:jc w:val="center"/>
              <w:rPr>
                <w:color w:val="auto"/>
                <w:szCs w:val="21"/>
                <w:highlight w:val="none"/>
              </w:rPr>
            </w:pPr>
            <w:r>
              <w:rPr>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3" w:hRule="atLeast"/>
          <w:jc w:val="center"/>
        </w:trPr>
        <w:tc>
          <w:tcPr>
            <w:tcW w:w="1407" w:type="dxa"/>
            <w:vAlign w:val="center"/>
          </w:tcPr>
          <w:p>
            <w:pPr>
              <w:adjustRightInd w:val="0"/>
              <w:snapToGrid w:val="0"/>
              <w:jc w:val="center"/>
              <w:rPr>
                <w:rFonts w:cs="宋体"/>
                <w:color w:val="auto"/>
                <w:szCs w:val="21"/>
                <w:highlight w:val="none"/>
              </w:rPr>
            </w:pPr>
            <w:r>
              <w:rPr>
                <w:rFonts w:hint="eastAsia" w:cs="宋体"/>
                <w:color w:val="auto"/>
                <w:szCs w:val="21"/>
                <w:highlight w:val="none"/>
              </w:rPr>
              <w:t>声环境</w:t>
            </w:r>
          </w:p>
        </w:tc>
        <w:tc>
          <w:tcPr>
            <w:tcW w:w="2191" w:type="dxa"/>
            <w:vAlign w:val="center"/>
          </w:tcPr>
          <w:p>
            <w:pPr>
              <w:snapToGrid w:val="0"/>
              <w:jc w:val="left"/>
              <w:rPr>
                <w:color w:val="auto"/>
                <w:szCs w:val="21"/>
                <w:highlight w:val="none"/>
              </w:rPr>
            </w:pPr>
            <w:r>
              <w:rPr>
                <w:rFonts w:hint="eastAsia" w:ascii="宋体" w:hAnsi="宋体" w:cs="宋体"/>
                <w:color w:val="auto"/>
                <w:szCs w:val="21"/>
                <w:highlight w:val="none"/>
              </w:rPr>
              <w:t>①</w:t>
            </w:r>
            <w:r>
              <w:rPr>
                <w:rFonts w:hint="eastAsia"/>
                <w:color w:val="auto"/>
                <w:szCs w:val="21"/>
                <w:highlight w:val="none"/>
              </w:rPr>
              <w:t>在满足施工需要的前提下，尽可能选取低噪声的先进设备，控制使用高噪声施工设备，并调整高噪声施工时间；</w:t>
            </w:r>
          </w:p>
          <w:p>
            <w:pPr>
              <w:snapToGrid w:val="0"/>
              <w:jc w:val="left"/>
              <w:rPr>
                <w:color w:val="auto"/>
                <w:szCs w:val="21"/>
                <w:highlight w:val="none"/>
              </w:rPr>
            </w:pPr>
            <w:r>
              <w:rPr>
                <w:rFonts w:hint="eastAsia" w:ascii="宋体" w:hAnsi="宋体" w:cs="宋体"/>
                <w:color w:val="auto"/>
                <w:szCs w:val="21"/>
                <w:highlight w:val="none"/>
              </w:rPr>
              <w:t>②</w:t>
            </w:r>
            <w:r>
              <w:rPr>
                <w:rFonts w:hint="eastAsia"/>
                <w:color w:val="auto"/>
                <w:szCs w:val="21"/>
                <w:highlight w:val="none"/>
              </w:rPr>
              <w:t>加强施工区内动力设备管理，并根据周边环境情况合理布置，使声源尽可能远离敏感区域，加强施工机械的维修保养，避免由于设备性能差而使机械噪声增大现象发生；</w:t>
            </w:r>
          </w:p>
          <w:p>
            <w:pPr>
              <w:adjustRightInd w:val="0"/>
              <w:snapToGrid w:val="0"/>
              <w:rPr>
                <w:rFonts w:cs="宋体"/>
                <w:color w:val="auto"/>
                <w:szCs w:val="21"/>
                <w:highlight w:val="none"/>
              </w:rPr>
            </w:pPr>
            <w:r>
              <w:rPr>
                <w:rFonts w:hint="eastAsia" w:ascii="宋体" w:hAnsi="宋体" w:cs="宋体"/>
                <w:color w:val="auto"/>
                <w:szCs w:val="21"/>
                <w:highlight w:val="none"/>
              </w:rPr>
              <w:t>③</w:t>
            </w:r>
            <w:r>
              <w:rPr>
                <w:rFonts w:hint="eastAsia"/>
                <w:color w:val="auto"/>
                <w:szCs w:val="21"/>
                <w:highlight w:val="none"/>
              </w:rPr>
              <w:t>工程运输机动车辆禁止使用高音喇叭，车辆运输行经居民区采取减速禁鸣</w:t>
            </w:r>
          </w:p>
        </w:tc>
        <w:tc>
          <w:tcPr>
            <w:tcW w:w="1390" w:type="dxa"/>
            <w:vAlign w:val="center"/>
          </w:tcPr>
          <w:p>
            <w:pPr>
              <w:adjustRightInd w:val="0"/>
              <w:snapToGrid w:val="0"/>
              <w:rPr>
                <w:rFonts w:cs="宋体"/>
                <w:color w:val="auto"/>
                <w:szCs w:val="21"/>
                <w:highlight w:val="none"/>
              </w:rPr>
            </w:pPr>
            <w:r>
              <w:rPr>
                <w:color w:val="auto"/>
                <w:szCs w:val="21"/>
                <w:highlight w:val="none"/>
              </w:rPr>
              <w:t>施工时有无污染发生</w:t>
            </w:r>
            <w:r>
              <w:rPr>
                <w:rFonts w:hint="eastAsia"/>
                <w:color w:val="auto"/>
                <w:szCs w:val="21"/>
                <w:highlight w:val="none"/>
              </w:rPr>
              <w:t>，确保符合环境要求</w:t>
            </w:r>
          </w:p>
        </w:tc>
        <w:tc>
          <w:tcPr>
            <w:tcW w:w="1486" w:type="dxa"/>
            <w:vAlign w:val="center"/>
          </w:tcPr>
          <w:p>
            <w:pPr>
              <w:adjustRightInd w:val="0"/>
              <w:snapToGrid w:val="0"/>
              <w:rPr>
                <w:rFonts w:cs="宋体"/>
                <w:color w:val="auto"/>
                <w:szCs w:val="21"/>
                <w:highlight w:val="none"/>
              </w:rPr>
            </w:pPr>
            <w:r>
              <w:rPr>
                <w:rFonts w:hint="eastAsia"/>
                <w:color w:val="auto"/>
                <w:szCs w:val="21"/>
                <w:highlight w:val="none"/>
              </w:rPr>
              <w:t>选用低噪声设备，同时</w:t>
            </w:r>
            <w:r>
              <w:rPr>
                <w:color w:val="auto"/>
                <w:szCs w:val="21"/>
                <w:highlight w:val="none"/>
              </w:rPr>
              <w:t>加强</w:t>
            </w:r>
            <w:r>
              <w:rPr>
                <w:rFonts w:hint="eastAsia"/>
                <w:color w:val="auto"/>
                <w:szCs w:val="21"/>
                <w:highlight w:val="none"/>
              </w:rPr>
              <w:t>设备的</w:t>
            </w:r>
            <w:r>
              <w:rPr>
                <w:color w:val="auto"/>
                <w:szCs w:val="21"/>
                <w:highlight w:val="none"/>
              </w:rPr>
              <w:t>保养</w:t>
            </w:r>
          </w:p>
        </w:tc>
        <w:tc>
          <w:tcPr>
            <w:tcW w:w="2048" w:type="dxa"/>
            <w:vAlign w:val="center"/>
          </w:tcPr>
          <w:p>
            <w:pPr>
              <w:adjustRightInd w:val="0"/>
              <w:snapToGrid w:val="0"/>
              <w:rPr>
                <w:rFonts w:cs="宋体"/>
                <w:color w:val="auto"/>
                <w:szCs w:val="21"/>
                <w:highlight w:val="none"/>
              </w:rPr>
            </w:pPr>
            <w:r>
              <w:rPr>
                <w:rFonts w:hint="eastAsia"/>
                <w:color w:val="auto"/>
                <w:szCs w:val="21"/>
                <w:highlight w:val="none"/>
                <w:lang w:eastAsia="zh-CN"/>
              </w:rPr>
              <w:t>淮阳变电站厂界、全德</w:t>
            </w:r>
            <w:r>
              <w:rPr>
                <w:rFonts w:hint="eastAsia"/>
                <w:color w:val="auto"/>
                <w:szCs w:val="21"/>
                <w:highlight w:val="none"/>
              </w:rPr>
              <w:t>变电站</w:t>
            </w:r>
            <w:r>
              <w:rPr>
                <w:rFonts w:hint="eastAsia"/>
                <w:color w:val="auto"/>
                <w:lang w:eastAsia="zh-CN"/>
              </w:rPr>
              <w:t>扩建间隔侧</w:t>
            </w:r>
            <w:r>
              <w:rPr>
                <w:rFonts w:hint="eastAsia"/>
                <w:color w:val="auto"/>
                <w:szCs w:val="21"/>
                <w:highlight w:val="none"/>
              </w:rPr>
              <w:t>厂界噪声</w:t>
            </w:r>
            <w:r>
              <w:rPr>
                <w:rFonts w:hint="eastAsia"/>
                <w:color w:val="auto"/>
                <w:szCs w:val="21"/>
                <w:highlight w:val="none"/>
                <w:lang w:eastAsia="zh-CN"/>
              </w:rPr>
              <w:t>分别</w:t>
            </w:r>
            <w:r>
              <w:rPr>
                <w:rFonts w:hint="eastAsia"/>
                <w:color w:val="auto"/>
                <w:szCs w:val="21"/>
                <w:highlight w:val="none"/>
              </w:rPr>
              <w:t>满足《工业企业厂界环境噪声排放标准》（GB12348-2008）</w:t>
            </w:r>
            <w:r>
              <w:rPr>
                <w:color w:val="auto"/>
                <w:szCs w:val="21"/>
                <w:highlight w:val="none"/>
              </w:rPr>
              <w:t>中</w:t>
            </w:r>
            <w:r>
              <w:rPr>
                <w:rFonts w:hint="eastAsia"/>
                <w:color w:val="auto"/>
                <w:szCs w:val="21"/>
                <w:highlight w:val="none"/>
                <w:lang w:val="en-US" w:eastAsia="zh-CN"/>
              </w:rPr>
              <w:t>3</w:t>
            </w:r>
            <w:r>
              <w:rPr>
                <w:color w:val="auto"/>
                <w:szCs w:val="21"/>
                <w:highlight w:val="none"/>
              </w:rPr>
              <w:t>类</w:t>
            </w:r>
            <w:r>
              <w:rPr>
                <w:rFonts w:hint="eastAsia"/>
                <w:color w:val="auto"/>
                <w:szCs w:val="21"/>
                <w:highlight w:val="none"/>
                <w:lang w:eastAsia="zh-CN"/>
              </w:rPr>
              <w:t>、</w:t>
            </w:r>
            <w:r>
              <w:rPr>
                <w:rFonts w:hint="eastAsia"/>
                <w:color w:val="auto"/>
                <w:szCs w:val="21"/>
                <w:highlight w:val="none"/>
                <w:lang w:val="en-US" w:eastAsia="zh-CN"/>
              </w:rPr>
              <w:t>2类</w:t>
            </w:r>
            <w:r>
              <w:rPr>
                <w:rFonts w:hint="eastAsia"/>
                <w:color w:val="auto"/>
                <w:szCs w:val="21"/>
                <w:highlight w:val="none"/>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407" w:type="dxa"/>
            <w:vAlign w:val="center"/>
          </w:tcPr>
          <w:p>
            <w:pPr>
              <w:adjustRightInd w:val="0"/>
              <w:snapToGrid w:val="0"/>
              <w:jc w:val="center"/>
              <w:rPr>
                <w:rFonts w:cs="宋体"/>
                <w:color w:val="auto"/>
                <w:szCs w:val="21"/>
                <w:highlight w:val="none"/>
              </w:rPr>
            </w:pPr>
            <w:r>
              <w:rPr>
                <w:rFonts w:hint="eastAsia"/>
                <w:color w:val="auto"/>
                <w:highlight w:val="none"/>
              </w:rPr>
              <w:t>振动</w:t>
            </w:r>
          </w:p>
        </w:tc>
        <w:tc>
          <w:tcPr>
            <w:tcW w:w="2191" w:type="dxa"/>
            <w:vAlign w:val="center"/>
          </w:tcPr>
          <w:p>
            <w:pPr>
              <w:adjustRightInd w:val="0"/>
              <w:snapToGrid w:val="0"/>
              <w:jc w:val="center"/>
              <w:rPr>
                <w:color w:val="auto"/>
                <w:szCs w:val="21"/>
                <w:highlight w:val="none"/>
              </w:rPr>
            </w:pPr>
            <w:r>
              <w:rPr>
                <w:rFonts w:hint="eastAsia"/>
                <w:color w:val="auto"/>
                <w:szCs w:val="21"/>
                <w:highlight w:val="none"/>
              </w:rPr>
              <w:t>/</w:t>
            </w:r>
          </w:p>
        </w:tc>
        <w:tc>
          <w:tcPr>
            <w:tcW w:w="1390" w:type="dxa"/>
            <w:vAlign w:val="center"/>
          </w:tcPr>
          <w:p>
            <w:pPr>
              <w:adjustRightInd w:val="0"/>
              <w:snapToGrid w:val="0"/>
              <w:jc w:val="center"/>
              <w:rPr>
                <w:color w:val="auto"/>
                <w:szCs w:val="21"/>
                <w:highlight w:val="none"/>
              </w:rPr>
            </w:pPr>
            <w:r>
              <w:rPr>
                <w:rFonts w:hint="eastAsia"/>
                <w:color w:val="auto"/>
                <w:szCs w:val="21"/>
                <w:highlight w:val="none"/>
              </w:rPr>
              <w:t>/</w:t>
            </w:r>
          </w:p>
        </w:tc>
        <w:tc>
          <w:tcPr>
            <w:tcW w:w="1486" w:type="dxa"/>
            <w:vAlign w:val="center"/>
          </w:tcPr>
          <w:p>
            <w:pPr>
              <w:adjustRightInd w:val="0"/>
              <w:snapToGrid w:val="0"/>
              <w:jc w:val="center"/>
              <w:rPr>
                <w:color w:val="auto"/>
                <w:szCs w:val="21"/>
                <w:highlight w:val="none"/>
              </w:rPr>
            </w:pPr>
            <w:r>
              <w:rPr>
                <w:rFonts w:hint="eastAsia"/>
                <w:color w:val="auto"/>
                <w:szCs w:val="21"/>
                <w:highlight w:val="none"/>
              </w:rPr>
              <w:t>/</w:t>
            </w:r>
          </w:p>
        </w:tc>
        <w:tc>
          <w:tcPr>
            <w:tcW w:w="2048" w:type="dxa"/>
            <w:vAlign w:val="center"/>
          </w:tcPr>
          <w:p>
            <w:pPr>
              <w:adjustRightInd w:val="0"/>
              <w:snapToGrid w:val="0"/>
              <w:jc w:val="center"/>
              <w:rPr>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07" w:type="dxa"/>
            <w:vAlign w:val="center"/>
          </w:tcPr>
          <w:p>
            <w:pPr>
              <w:adjustRightInd w:val="0"/>
              <w:snapToGrid w:val="0"/>
              <w:jc w:val="center"/>
              <w:rPr>
                <w:rFonts w:cs="宋体"/>
                <w:color w:val="auto"/>
                <w:szCs w:val="21"/>
                <w:highlight w:val="none"/>
              </w:rPr>
            </w:pPr>
            <w:r>
              <w:rPr>
                <w:rFonts w:hint="eastAsia" w:cs="宋体"/>
                <w:color w:val="auto"/>
                <w:szCs w:val="21"/>
                <w:highlight w:val="none"/>
              </w:rPr>
              <w:t>大气环境</w:t>
            </w:r>
          </w:p>
        </w:tc>
        <w:tc>
          <w:tcPr>
            <w:tcW w:w="2191" w:type="dxa"/>
            <w:vAlign w:val="center"/>
          </w:tcPr>
          <w:p>
            <w:pPr>
              <w:pStyle w:val="35"/>
              <w:spacing w:line="240" w:lineRule="auto"/>
              <w:ind w:firstLine="0"/>
              <w:rPr>
                <w:rFonts w:ascii="宋体" w:hAnsi="宋体"/>
                <w:color w:val="auto"/>
                <w:sz w:val="21"/>
                <w:szCs w:val="21"/>
                <w:highlight w:val="none"/>
              </w:rPr>
            </w:pPr>
            <w:r>
              <w:rPr>
                <w:rFonts w:hint="eastAsia" w:ascii="宋体" w:hAnsi="宋体"/>
                <w:color w:val="auto"/>
                <w:sz w:val="21"/>
                <w:szCs w:val="21"/>
                <w:highlight w:val="none"/>
              </w:rPr>
              <w:t>①对临时堆放的土石方进行遮盖，施工完毕后及时进行回填压实；</w:t>
            </w:r>
          </w:p>
          <w:p>
            <w:pPr>
              <w:pStyle w:val="35"/>
              <w:spacing w:line="240" w:lineRule="auto"/>
              <w:ind w:firstLine="0"/>
              <w:rPr>
                <w:rFonts w:ascii="Times New Roman" w:hAnsi="Times New Roman" w:cs="Times New Roman"/>
                <w:color w:val="auto"/>
                <w:sz w:val="21"/>
                <w:szCs w:val="21"/>
                <w:highlight w:val="none"/>
              </w:rPr>
            </w:pPr>
            <w:r>
              <w:rPr>
                <w:rFonts w:hint="eastAsia" w:ascii="宋体" w:hAnsi="宋体"/>
                <w:color w:val="auto"/>
                <w:sz w:val="21"/>
                <w:szCs w:val="21"/>
                <w:highlight w:val="none"/>
              </w:rPr>
              <w:t>②</w:t>
            </w:r>
            <w:r>
              <w:rPr>
                <w:rFonts w:hint="eastAsia" w:ascii="Times New Roman" w:hAnsi="Times New Roman" w:cs="Times New Roman"/>
                <w:color w:val="auto"/>
                <w:sz w:val="21"/>
                <w:szCs w:val="21"/>
                <w:highlight w:val="none"/>
              </w:rPr>
              <w:t>水泥、河沙等粉性材料运输时合理装卸、规范操作，对运输车辆按照规范要求采用密封、遮盖等防尘措施；</w:t>
            </w:r>
          </w:p>
          <w:p>
            <w:pPr>
              <w:pStyle w:val="35"/>
              <w:spacing w:line="240" w:lineRule="auto"/>
              <w:ind w:firstLine="0"/>
              <w:rPr>
                <w:rFonts w:ascii="宋体" w:hAnsi="宋体"/>
                <w:color w:val="auto"/>
                <w:sz w:val="21"/>
                <w:szCs w:val="21"/>
                <w:highlight w:val="none"/>
              </w:rPr>
            </w:pPr>
            <w:r>
              <w:rPr>
                <w:rFonts w:hint="eastAsia" w:ascii="宋体" w:hAnsi="宋体"/>
                <w:color w:val="auto"/>
                <w:sz w:val="21"/>
                <w:szCs w:val="21"/>
                <w:highlight w:val="none"/>
              </w:rPr>
              <w:t>③在干燥或大风天气环境下，对施工现场采取洒水措施，抑制扬尘产生；</w:t>
            </w:r>
          </w:p>
          <w:p>
            <w:pPr>
              <w:pStyle w:val="35"/>
              <w:spacing w:line="240" w:lineRule="auto"/>
              <w:ind w:firstLine="0"/>
              <w:rPr>
                <w:rFonts w:ascii="宋体" w:hAnsi="宋体"/>
                <w:color w:val="auto"/>
                <w:sz w:val="21"/>
                <w:szCs w:val="21"/>
                <w:highlight w:val="none"/>
              </w:rPr>
            </w:pPr>
            <w:r>
              <w:rPr>
                <w:rFonts w:hint="eastAsia" w:ascii="宋体" w:hAnsi="宋体"/>
                <w:color w:val="auto"/>
                <w:sz w:val="21"/>
                <w:szCs w:val="21"/>
                <w:highlight w:val="none"/>
              </w:rPr>
              <w:t>④采用人工掏挖基础方式，仅开挖杆塔基础区域，不整体开挖，以减少开挖面和开挖量。</w:t>
            </w:r>
          </w:p>
        </w:tc>
        <w:tc>
          <w:tcPr>
            <w:tcW w:w="1390" w:type="dxa"/>
            <w:vAlign w:val="center"/>
          </w:tcPr>
          <w:p>
            <w:pPr>
              <w:adjustRightInd w:val="0"/>
              <w:snapToGrid w:val="0"/>
              <w:rPr>
                <w:rFonts w:cs="宋体"/>
                <w:color w:val="auto"/>
                <w:szCs w:val="21"/>
                <w:highlight w:val="none"/>
              </w:rPr>
            </w:pPr>
            <w:r>
              <w:rPr>
                <w:color w:val="auto"/>
                <w:szCs w:val="21"/>
                <w:highlight w:val="none"/>
              </w:rPr>
              <w:t>施工时有无污染发生</w:t>
            </w:r>
            <w:r>
              <w:rPr>
                <w:rFonts w:hint="eastAsia"/>
                <w:color w:val="auto"/>
                <w:szCs w:val="21"/>
                <w:highlight w:val="none"/>
              </w:rPr>
              <w:t>，确保符合环境要求</w:t>
            </w:r>
          </w:p>
        </w:tc>
        <w:tc>
          <w:tcPr>
            <w:tcW w:w="1486" w:type="dxa"/>
            <w:vAlign w:val="center"/>
          </w:tcPr>
          <w:p>
            <w:pPr>
              <w:adjustRightInd w:val="0"/>
              <w:snapToGrid w:val="0"/>
              <w:jc w:val="center"/>
              <w:rPr>
                <w:rFonts w:cs="宋体"/>
                <w:color w:val="auto"/>
                <w:szCs w:val="21"/>
                <w:highlight w:val="none"/>
              </w:rPr>
            </w:pPr>
            <w:r>
              <w:rPr>
                <w:rFonts w:hint="eastAsia"/>
                <w:color w:val="auto"/>
                <w:szCs w:val="21"/>
                <w:highlight w:val="none"/>
              </w:rPr>
              <w:t>/</w:t>
            </w:r>
          </w:p>
        </w:tc>
        <w:tc>
          <w:tcPr>
            <w:tcW w:w="2048" w:type="dxa"/>
            <w:vAlign w:val="center"/>
          </w:tcPr>
          <w:p>
            <w:pPr>
              <w:adjustRightInd w:val="0"/>
              <w:snapToGrid w:val="0"/>
              <w:jc w:val="center"/>
              <w:rPr>
                <w:rFonts w:cs="宋体"/>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407" w:type="dxa"/>
            <w:vAlign w:val="center"/>
          </w:tcPr>
          <w:p>
            <w:pPr>
              <w:adjustRightInd w:val="0"/>
              <w:snapToGrid w:val="0"/>
              <w:jc w:val="center"/>
              <w:rPr>
                <w:rFonts w:cs="宋体"/>
                <w:color w:val="auto"/>
                <w:szCs w:val="21"/>
                <w:highlight w:val="none"/>
              </w:rPr>
            </w:pPr>
            <w:r>
              <w:rPr>
                <w:rFonts w:hint="eastAsia" w:cs="宋体"/>
                <w:color w:val="auto"/>
                <w:szCs w:val="21"/>
                <w:highlight w:val="none"/>
              </w:rPr>
              <w:t>固体废物</w:t>
            </w:r>
          </w:p>
        </w:tc>
        <w:tc>
          <w:tcPr>
            <w:tcW w:w="2191" w:type="dxa"/>
            <w:vAlign w:val="center"/>
          </w:tcPr>
          <w:p>
            <w:pPr>
              <w:rPr>
                <w:color w:val="auto"/>
                <w:szCs w:val="21"/>
                <w:highlight w:val="none"/>
              </w:rPr>
            </w:pPr>
            <w:r>
              <w:rPr>
                <w:rFonts w:hint="eastAsia" w:ascii="宋体" w:hAnsi="宋体" w:cs="宋体"/>
                <w:color w:val="auto"/>
                <w:szCs w:val="21"/>
                <w:highlight w:val="none"/>
              </w:rPr>
              <w:t>①</w:t>
            </w:r>
            <w:r>
              <w:rPr>
                <w:rFonts w:hint="eastAsia"/>
                <w:color w:val="auto"/>
                <w:szCs w:val="21"/>
                <w:highlight w:val="none"/>
              </w:rPr>
              <w:t>施工期生活垃圾交由环卫部门清运；</w:t>
            </w:r>
          </w:p>
          <w:p>
            <w:pPr>
              <w:pStyle w:val="35"/>
              <w:spacing w:line="240" w:lineRule="auto"/>
              <w:ind w:firstLine="0"/>
              <w:rPr>
                <w:rFonts w:ascii="Times New Roman" w:hAnsi="Times New Roman" w:cs="Times New Roman"/>
                <w:color w:val="auto"/>
                <w:sz w:val="21"/>
                <w:szCs w:val="21"/>
                <w:highlight w:val="none"/>
              </w:rPr>
            </w:pPr>
            <w:r>
              <w:rPr>
                <w:rFonts w:hint="eastAsia" w:ascii="宋体" w:hAnsi="宋体"/>
                <w:color w:val="auto"/>
                <w:sz w:val="21"/>
                <w:szCs w:val="21"/>
                <w:highlight w:val="none"/>
              </w:rPr>
              <w:t>②</w:t>
            </w:r>
            <w:r>
              <w:rPr>
                <w:rFonts w:hint="eastAsia" w:ascii="Times New Roman" w:hAnsi="Times New Roman" w:cs="Times New Roman"/>
                <w:color w:val="auto"/>
                <w:sz w:val="21"/>
                <w:szCs w:val="21"/>
                <w:highlight w:val="none"/>
              </w:rPr>
              <w:t>施工期无随意倾倒生活垃圾、固体废物的现象。变电站土石方全部回填</w:t>
            </w:r>
            <w:r>
              <w:rPr>
                <w:rFonts w:hint="eastAsia" w:ascii="Times New Roman" w:hAnsi="Times New Roman" w:cs="Times New Roman"/>
                <w:color w:val="auto"/>
                <w:sz w:val="21"/>
                <w:szCs w:val="21"/>
                <w:highlight w:val="none"/>
                <w:lang w:eastAsia="zh-CN"/>
              </w:rPr>
              <w:t>，弃方运至园区指定地点；</w:t>
            </w:r>
            <w:r>
              <w:rPr>
                <w:rFonts w:hint="eastAsia" w:ascii="Times New Roman" w:hAnsi="Times New Roman" w:cs="Times New Roman"/>
                <w:color w:val="auto"/>
                <w:sz w:val="21"/>
                <w:szCs w:val="21"/>
                <w:highlight w:val="none"/>
              </w:rPr>
              <w:t>架空线路</w:t>
            </w:r>
            <w:r>
              <w:rPr>
                <w:rFonts w:hint="eastAsia" w:ascii="Times New Roman" w:hAnsi="Times New Roman" w:cs="Times New Roman"/>
                <w:color w:val="auto"/>
                <w:sz w:val="21"/>
                <w:szCs w:val="21"/>
                <w:highlight w:val="none"/>
                <w:lang w:eastAsia="zh-CN"/>
              </w:rPr>
              <w:t>挖方全部回填</w:t>
            </w:r>
            <w:r>
              <w:rPr>
                <w:rFonts w:hint="eastAsia" w:ascii="Times New Roman" w:hAnsi="Times New Roman" w:cs="Times New Roman"/>
                <w:color w:val="auto"/>
                <w:sz w:val="21"/>
                <w:szCs w:val="21"/>
                <w:highlight w:val="none"/>
              </w:rPr>
              <w:t>。</w:t>
            </w:r>
          </w:p>
          <w:p>
            <w:pPr>
              <w:pStyle w:val="35"/>
              <w:spacing w:line="240" w:lineRule="auto"/>
              <w:ind w:firstLine="0"/>
              <w:rPr>
                <w:color w:val="auto"/>
                <w:highlight w:val="none"/>
              </w:rPr>
            </w:pPr>
          </w:p>
        </w:tc>
        <w:tc>
          <w:tcPr>
            <w:tcW w:w="1390" w:type="dxa"/>
            <w:vAlign w:val="center"/>
          </w:tcPr>
          <w:p>
            <w:pPr>
              <w:adjustRightInd w:val="0"/>
              <w:snapToGrid w:val="0"/>
              <w:rPr>
                <w:rFonts w:cs="宋体"/>
                <w:color w:val="auto"/>
                <w:szCs w:val="21"/>
                <w:highlight w:val="none"/>
              </w:rPr>
            </w:pPr>
            <w:r>
              <w:rPr>
                <w:color w:val="auto"/>
                <w:szCs w:val="21"/>
                <w:highlight w:val="none"/>
              </w:rPr>
              <w:t>调查施工期有无随意倾倒生活垃圾、固体废物的现象</w:t>
            </w:r>
            <w:r>
              <w:rPr>
                <w:rFonts w:hint="eastAsia"/>
                <w:color w:val="auto"/>
                <w:szCs w:val="21"/>
                <w:highlight w:val="none"/>
              </w:rPr>
              <w:t>，确保符合环境要求</w:t>
            </w:r>
          </w:p>
        </w:tc>
        <w:tc>
          <w:tcPr>
            <w:tcW w:w="1486" w:type="dxa"/>
            <w:vAlign w:val="center"/>
          </w:tcPr>
          <w:p>
            <w:pPr>
              <w:adjustRightInd w:val="0"/>
              <w:snapToGrid w:val="0"/>
              <w:jc w:val="center"/>
              <w:rPr>
                <w:rFonts w:cs="宋体"/>
                <w:color w:val="auto"/>
                <w:szCs w:val="21"/>
                <w:highlight w:val="none"/>
              </w:rPr>
            </w:pPr>
            <w:r>
              <w:rPr>
                <w:rFonts w:hint="default" w:ascii="Times New Roman" w:hAnsi="Times New Roman" w:cs="Times New Roman"/>
                <w:color w:val="auto"/>
                <w:szCs w:val="21"/>
              </w:rPr>
              <w:t>站内生活垃圾交环卫部门收集处理，废蓄电池交由资质单位处理，含油棉纱手套等由检修单位带走处置，滤渣由专业过滤单位直接运走，事故废油交有危废处置资质单位处置</w:t>
            </w:r>
          </w:p>
        </w:tc>
        <w:tc>
          <w:tcPr>
            <w:tcW w:w="2048" w:type="dxa"/>
            <w:vAlign w:val="center"/>
          </w:tcPr>
          <w:p>
            <w:pPr>
              <w:adjustRightInd w:val="0"/>
              <w:snapToGrid w:val="0"/>
              <w:jc w:val="center"/>
              <w:rPr>
                <w:rFonts w:cs="宋体"/>
                <w:color w:val="auto"/>
                <w:szCs w:val="21"/>
                <w:highlight w:val="none"/>
              </w:rPr>
            </w:pPr>
            <w:r>
              <w:rPr>
                <w:rFonts w:hint="default" w:ascii="Times New Roman" w:hAnsi="Times New Roman" w:cs="Times New Roman"/>
                <w:color w:val="auto"/>
                <w:szCs w:val="21"/>
              </w:rPr>
              <w:t>签订危废处置协议，设置危废台账，执行联单制度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07" w:type="dxa"/>
            <w:vAlign w:val="center"/>
          </w:tcPr>
          <w:p>
            <w:pPr>
              <w:adjustRightInd w:val="0"/>
              <w:snapToGrid w:val="0"/>
              <w:jc w:val="center"/>
              <w:rPr>
                <w:rFonts w:cs="宋体"/>
                <w:color w:val="auto"/>
                <w:szCs w:val="21"/>
                <w:highlight w:val="none"/>
              </w:rPr>
            </w:pPr>
            <w:r>
              <w:rPr>
                <w:rFonts w:cs="宋体"/>
                <w:color w:val="auto"/>
                <w:szCs w:val="21"/>
                <w:highlight w:val="none"/>
              </w:rPr>
              <w:t>电磁环境</w:t>
            </w:r>
          </w:p>
        </w:tc>
        <w:tc>
          <w:tcPr>
            <w:tcW w:w="2191" w:type="dxa"/>
            <w:vAlign w:val="center"/>
          </w:tcPr>
          <w:p>
            <w:pPr>
              <w:adjustRightInd w:val="0"/>
              <w:snapToGrid w:val="0"/>
              <w:jc w:val="center"/>
              <w:rPr>
                <w:rFonts w:cs="宋体"/>
                <w:color w:val="auto"/>
                <w:szCs w:val="21"/>
                <w:highlight w:val="none"/>
              </w:rPr>
            </w:pPr>
            <w:r>
              <w:rPr>
                <w:rFonts w:hint="eastAsia"/>
                <w:color w:val="auto"/>
                <w:szCs w:val="21"/>
                <w:highlight w:val="none"/>
              </w:rPr>
              <w:t>/</w:t>
            </w:r>
          </w:p>
        </w:tc>
        <w:tc>
          <w:tcPr>
            <w:tcW w:w="1390" w:type="dxa"/>
            <w:vAlign w:val="center"/>
          </w:tcPr>
          <w:p>
            <w:pPr>
              <w:adjustRightInd w:val="0"/>
              <w:snapToGrid w:val="0"/>
              <w:jc w:val="center"/>
              <w:rPr>
                <w:rFonts w:cs="宋体"/>
                <w:color w:val="auto"/>
                <w:szCs w:val="21"/>
                <w:highlight w:val="none"/>
              </w:rPr>
            </w:pPr>
            <w:r>
              <w:rPr>
                <w:rFonts w:hint="eastAsia"/>
                <w:color w:val="auto"/>
                <w:szCs w:val="21"/>
                <w:highlight w:val="none"/>
              </w:rPr>
              <w:t>/</w:t>
            </w:r>
          </w:p>
        </w:tc>
        <w:tc>
          <w:tcPr>
            <w:tcW w:w="1486" w:type="dxa"/>
            <w:vAlign w:val="center"/>
          </w:tcPr>
          <w:p>
            <w:pPr>
              <w:adjustRightInd w:val="0"/>
              <w:snapToGrid w:val="0"/>
              <w:rPr>
                <w:rFonts w:cs="宋体"/>
                <w:color w:val="auto"/>
                <w:szCs w:val="21"/>
                <w:highlight w:val="none"/>
              </w:rPr>
            </w:pPr>
            <w:r>
              <w:rPr>
                <w:color w:val="auto"/>
                <w:szCs w:val="21"/>
                <w:highlight w:val="none"/>
              </w:rPr>
              <w:t>应加强环境管理，定期进行环境监测工作，保证电场强度、磁感应强度均小于评价标准限值</w:t>
            </w:r>
          </w:p>
        </w:tc>
        <w:tc>
          <w:tcPr>
            <w:tcW w:w="2048" w:type="dxa"/>
            <w:vAlign w:val="center"/>
          </w:tcPr>
          <w:p>
            <w:pPr>
              <w:adjustRightInd w:val="0"/>
              <w:snapToGrid w:val="0"/>
              <w:rPr>
                <w:rFonts w:cs="宋体"/>
                <w:color w:val="auto"/>
                <w:szCs w:val="21"/>
                <w:highlight w:val="none"/>
              </w:rPr>
            </w:pPr>
            <w:r>
              <w:rPr>
                <w:rFonts w:hint="eastAsia"/>
                <w:color w:val="auto"/>
                <w:szCs w:val="21"/>
                <w:highlight w:val="none"/>
              </w:rPr>
              <w:t>满足</w:t>
            </w:r>
            <w:r>
              <w:rPr>
                <w:color w:val="auto"/>
                <w:szCs w:val="21"/>
                <w:highlight w:val="none"/>
              </w:rPr>
              <w:t>《电磁环境控制限值》（GB8702-2014）：</w:t>
            </w:r>
            <w:r>
              <w:rPr>
                <w:rFonts w:hint="eastAsia"/>
                <w:color w:val="auto"/>
                <w:szCs w:val="21"/>
                <w:highlight w:val="none"/>
              </w:rPr>
              <w:t>变电站场界、项目各</w:t>
            </w:r>
            <w:r>
              <w:rPr>
                <w:color w:val="auto"/>
                <w:szCs w:val="21"/>
                <w:highlight w:val="none"/>
              </w:rPr>
              <w:t>保护目标处工频电场强度4000V/m；磁感应强度100μT</w:t>
            </w:r>
            <w:r>
              <w:rPr>
                <w:rFonts w:hint="eastAsia"/>
                <w:color w:val="auto"/>
                <w:szCs w:val="21"/>
                <w:highlight w:val="none"/>
              </w:rPr>
              <w:t>。架空输电线路下的耕地、园地、牧草地、畜禽饲养地、养殖水面、道路等场所，电场强度</w:t>
            </w:r>
            <w:r>
              <w:rPr>
                <w:color w:val="auto"/>
                <w:szCs w:val="21"/>
                <w:highlight w:val="none"/>
              </w:rPr>
              <w:t>≤10kV/m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407" w:type="dxa"/>
            <w:vAlign w:val="center"/>
          </w:tcPr>
          <w:p>
            <w:pPr>
              <w:adjustRightInd w:val="0"/>
              <w:snapToGrid w:val="0"/>
              <w:jc w:val="center"/>
              <w:rPr>
                <w:rFonts w:cs="宋体"/>
                <w:color w:val="auto"/>
                <w:szCs w:val="21"/>
                <w:highlight w:val="none"/>
              </w:rPr>
            </w:pPr>
            <w:r>
              <w:rPr>
                <w:rFonts w:hint="eastAsia" w:cs="宋体"/>
                <w:color w:val="auto"/>
                <w:szCs w:val="21"/>
                <w:highlight w:val="none"/>
              </w:rPr>
              <w:t>环境风险</w:t>
            </w:r>
          </w:p>
        </w:tc>
        <w:tc>
          <w:tcPr>
            <w:tcW w:w="2191" w:type="dxa"/>
            <w:vAlign w:val="center"/>
          </w:tcPr>
          <w:p>
            <w:pPr>
              <w:adjustRightInd w:val="0"/>
              <w:snapToGrid w:val="0"/>
              <w:jc w:val="center"/>
              <w:rPr>
                <w:rFonts w:cs="宋体"/>
                <w:color w:val="auto"/>
                <w:szCs w:val="21"/>
                <w:highlight w:val="none"/>
              </w:rPr>
            </w:pPr>
            <w:r>
              <w:rPr>
                <w:rFonts w:hint="eastAsia" w:cs="宋体"/>
                <w:color w:val="auto"/>
                <w:szCs w:val="21"/>
                <w:highlight w:val="none"/>
              </w:rPr>
              <w:t>/</w:t>
            </w:r>
          </w:p>
        </w:tc>
        <w:tc>
          <w:tcPr>
            <w:tcW w:w="1390" w:type="dxa"/>
            <w:vAlign w:val="center"/>
          </w:tcPr>
          <w:p>
            <w:pPr>
              <w:adjustRightInd w:val="0"/>
              <w:snapToGrid w:val="0"/>
              <w:jc w:val="center"/>
              <w:rPr>
                <w:rFonts w:cs="宋体"/>
                <w:color w:val="auto"/>
                <w:szCs w:val="21"/>
                <w:highlight w:val="none"/>
              </w:rPr>
            </w:pPr>
            <w:r>
              <w:rPr>
                <w:rFonts w:hint="eastAsia"/>
                <w:color w:val="auto"/>
                <w:szCs w:val="21"/>
                <w:highlight w:val="none"/>
              </w:rPr>
              <w:t>/</w:t>
            </w:r>
          </w:p>
        </w:tc>
        <w:tc>
          <w:tcPr>
            <w:tcW w:w="1486" w:type="dxa"/>
            <w:vAlign w:val="center"/>
          </w:tcPr>
          <w:p>
            <w:pPr>
              <w:adjustRightInd w:val="0"/>
              <w:snapToGrid w:val="0"/>
              <w:rPr>
                <w:rFonts w:cs="宋体"/>
                <w:color w:val="auto"/>
                <w:szCs w:val="21"/>
                <w:highlight w:val="none"/>
              </w:rPr>
            </w:pPr>
            <w:r>
              <w:rPr>
                <w:rFonts w:hint="eastAsia"/>
                <w:color w:val="auto"/>
                <w:szCs w:val="21"/>
                <w:highlight w:val="none"/>
              </w:rPr>
              <w:t>新建</w:t>
            </w:r>
            <w:r>
              <w:rPr>
                <w:rFonts w:hint="eastAsia"/>
                <w:bCs/>
                <w:color w:val="auto"/>
                <w:szCs w:val="21"/>
                <w:highlight w:val="none"/>
              </w:rPr>
              <w:t>事故</w:t>
            </w:r>
            <w:r>
              <w:rPr>
                <w:color w:val="auto"/>
                <w:szCs w:val="21"/>
                <w:highlight w:val="none"/>
              </w:rPr>
              <w:t>油池</w:t>
            </w:r>
            <w:r>
              <w:rPr>
                <w:rFonts w:hint="eastAsia"/>
                <w:color w:val="auto"/>
                <w:szCs w:val="21"/>
                <w:highlight w:val="none"/>
              </w:rPr>
              <w:t>1座</w:t>
            </w:r>
            <w:r>
              <w:rPr>
                <w:color w:val="auto"/>
                <w:szCs w:val="21"/>
                <w:highlight w:val="none"/>
              </w:rPr>
              <w:t>，</w:t>
            </w:r>
            <w:r>
              <w:rPr>
                <w:bCs/>
                <w:color w:val="auto"/>
                <w:szCs w:val="21"/>
                <w:highlight w:val="none"/>
              </w:rPr>
              <w:t>容积为</w:t>
            </w:r>
            <w:r>
              <w:rPr>
                <w:rFonts w:hint="eastAsia"/>
                <w:bCs/>
                <w:color w:val="auto"/>
                <w:szCs w:val="21"/>
                <w:highlight w:val="none"/>
                <w:lang w:val="en-US" w:eastAsia="zh-CN"/>
              </w:rPr>
              <w:t>30</w:t>
            </w:r>
            <w:r>
              <w:rPr>
                <w:bCs/>
                <w:color w:val="auto"/>
                <w:szCs w:val="21"/>
                <w:highlight w:val="none"/>
              </w:rPr>
              <w:t>m</w:t>
            </w:r>
            <w:r>
              <w:rPr>
                <w:bCs/>
                <w:color w:val="auto"/>
                <w:szCs w:val="21"/>
                <w:highlight w:val="none"/>
                <w:vertAlign w:val="superscript"/>
              </w:rPr>
              <w:t>3</w:t>
            </w:r>
            <w:r>
              <w:rPr>
                <w:rFonts w:hint="eastAsia"/>
                <w:bCs/>
                <w:color w:val="auto"/>
                <w:szCs w:val="21"/>
                <w:highlight w:val="none"/>
              </w:rPr>
              <w:t>，事故油池设置油水分离装置。</w:t>
            </w:r>
            <w:r>
              <w:rPr>
                <w:rFonts w:hint="eastAsia" w:cs="宋体"/>
                <w:color w:val="auto"/>
                <w:szCs w:val="21"/>
                <w:highlight w:val="none"/>
              </w:rPr>
              <w:t>要求变电站主变压器故障时，废变压器油由有资质的单位统一回收，严格禁止变压器油的事故排放。</w:t>
            </w:r>
          </w:p>
        </w:tc>
        <w:tc>
          <w:tcPr>
            <w:tcW w:w="2048" w:type="dxa"/>
            <w:vAlign w:val="center"/>
          </w:tcPr>
          <w:p>
            <w:pPr>
              <w:adjustRightInd w:val="0"/>
              <w:snapToGrid w:val="0"/>
              <w:jc w:val="center"/>
              <w:rPr>
                <w:rFonts w:cs="宋体"/>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07" w:type="dxa"/>
            <w:vAlign w:val="center"/>
          </w:tcPr>
          <w:p>
            <w:pPr>
              <w:adjustRightInd w:val="0"/>
              <w:snapToGrid w:val="0"/>
              <w:jc w:val="center"/>
              <w:rPr>
                <w:rFonts w:cs="宋体"/>
                <w:color w:val="auto"/>
                <w:szCs w:val="21"/>
                <w:highlight w:val="none"/>
              </w:rPr>
            </w:pPr>
            <w:r>
              <w:rPr>
                <w:rFonts w:hint="eastAsia" w:cs="宋体"/>
                <w:color w:val="auto"/>
                <w:szCs w:val="21"/>
                <w:highlight w:val="none"/>
              </w:rPr>
              <w:t>环境监测</w:t>
            </w:r>
          </w:p>
        </w:tc>
        <w:tc>
          <w:tcPr>
            <w:tcW w:w="2191" w:type="dxa"/>
            <w:vAlign w:val="center"/>
          </w:tcPr>
          <w:p>
            <w:pPr>
              <w:adjustRightInd w:val="0"/>
              <w:snapToGrid w:val="0"/>
              <w:jc w:val="center"/>
              <w:rPr>
                <w:rFonts w:cs="宋体"/>
                <w:color w:val="auto"/>
                <w:szCs w:val="21"/>
                <w:highlight w:val="none"/>
              </w:rPr>
            </w:pPr>
            <w:r>
              <w:rPr>
                <w:rFonts w:hint="eastAsia"/>
                <w:color w:val="auto"/>
                <w:szCs w:val="21"/>
                <w:highlight w:val="none"/>
              </w:rPr>
              <w:t>/</w:t>
            </w:r>
          </w:p>
        </w:tc>
        <w:tc>
          <w:tcPr>
            <w:tcW w:w="1390" w:type="dxa"/>
            <w:vAlign w:val="center"/>
          </w:tcPr>
          <w:p>
            <w:pPr>
              <w:adjustRightInd w:val="0"/>
              <w:snapToGrid w:val="0"/>
              <w:jc w:val="center"/>
              <w:rPr>
                <w:rFonts w:cs="宋体"/>
                <w:color w:val="auto"/>
                <w:szCs w:val="21"/>
                <w:highlight w:val="none"/>
              </w:rPr>
            </w:pPr>
            <w:r>
              <w:rPr>
                <w:rFonts w:hint="eastAsia"/>
                <w:color w:val="auto"/>
                <w:szCs w:val="21"/>
                <w:highlight w:val="none"/>
              </w:rPr>
              <w:t>/</w:t>
            </w:r>
          </w:p>
        </w:tc>
        <w:tc>
          <w:tcPr>
            <w:tcW w:w="1486" w:type="dxa"/>
            <w:vAlign w:val="center"/>
          </w:tcPr>
          <w:p>
            <w:pPr>
              <w:jc w:val="center"/>
              <w:rPr>
                <w:color w:val="auto"/>
                <w:highlight w:val="none"/>
              </w:rPr>
            </w:pPr>
            <w:r>
              <w:rPr>
                <w:rFonts w:hint="eastAsia"/>
                <w:color w:val="auto"/>
                <w:highlight w:val="none"/>
              </w:rPr>
              <w:t>变电站</w:t>
            </w:r>
            <w:r>
              <w:rPr>
                <w:color w:val="auto"/>
                <w:highlight w:val="none"/>
              </w:rPr>
              <w:t>厂界</w:t>
            </w:r>
            <w:r>
              <w:rPr>
                <w:rFonts w:hint="eastAsia"/>
                <w:color w:val="auto"/>
                <w:highlight w:val="none"/>
              </w:rPr>
              <w:t>、敏感点处；线路沿线</w:t>
            </w:r>
            <w:r>
              <w:rPr>
                <w:rFonts w:hint="eastAsia"/>
                <w:color w:val="auto"/>
                <w:szCs w:val="21"/>
                <w:highlight w:val="none"/>
              </w:rPr>
              <w:t>环境保护目标</w:t>
            </w:r>
          </w:p>
        </w:tc>
        <w:tc>
          <w:tcPr>
            <w:tcW w:w="2048" w:type="dxa"/>
            <w:vAlign w:val="center"/>
          </w:tcPr>
          <w:p>
            <w:pPr>
              <w:adjustRightInd w:val="0"/>
              <w:snapToGrid w:val="0"/>
              <w:rPr>
                <w:color w:val="auto"/>
                <w:highlight w:val="none"/>
              </w:rPr>
            </w:pPr>
            <w:r>
              <w:rPr>
                <w:rFonts w:hint="eastAsia"/>
                <w:color w:val="auto"/>
                <w:highlight w:val="none"/>
              </w:rPr>
              <w:t>电磁：</w:t>
            </w:r>
            <w:r>
              <w:rPr>
                <w:color w:val="auto"/>
                <w:highlight w:val="none"/>
              </w:rPr>
              <w:t>验收监测点位按照HJ705-2020的要求布设，验收监测限值执行《电磁环境控制限值》（GB8702-2014）</w:t>
            </w:r>
            <w:r>
              <w:rPr>
                <w:rFonts w:hint="eastAsia"/>
                <w:color w:val="auto"/>
                <w:highlight w:val="none"/>
              </w:rPr>
              <w:t>中相应标准要求；</w:t>
            </w:r>
          </w:p>
          <w:p>
            <w:pPr>
              <w:adjustRightInd w:val="0"/>
              <w:snapToGrid w:val="0"/>
              <w:rPr>
                <w:rFonts w:cs="宋体"/>
                <w:color w:val="auto"/>
                <w:szCs w:val="21"/>
                <w:highlight w:val="none"/>
              </w:rPr>
            </w:pPr>
            <w:r>
              <w:rPr>
                <w:rFonts w:hint="eastAsia"/>
                <w:color w:val="auto"/>
                <w:szCs w:val="21"/>
                <w:highlight w:val="none"/>
              </w:rPr>
              <w:t>噪声：</w:t>
            </w:r>
            <w:r>
              <w:rPr>
                <w:rFonts w:hint="eastAsia"/>
                <w:color w:val="auto"/>
                <w:szCs w:val="21"/>
                <w:highlight w:val="none"/>
                <w:lang w:eastAsia="zh-CN"/>
              </w:rPr>
              <w:t>淮阳变电站厂界、全德</w:t>
            </w:r>
            <w:r>
              <w:rPr>
                <w:rFonts w:hint="eastAsia"/>
                <w:color w:val="auto"/>
                <w:szCs w:val="21"/>
                <w:highlight w:val="none"/>
              </w:rPr>
              <w:t>变电站</w:t>
            </w:r>
            <w:r>
              <w:rPr>
                <w:rFonts w:hint="eastAsia"/>
                <w:color w:val="auto"/>
                <w:lang w:eastAsia="zh-CN"/>
              </w:rPr>
              <w:t>扩建间隔侧</w:t>
            </w:r>
            <w:r>
              <w:rPr>
                <w:rFonts w:hint="eastAsia"/>
                <w:color w:val="auto"/>
                <w:szCs w:val="21"/>
                <w:highlight w:val="none"/>
              </w:rPr>
              <w:t>噪声</w:t>
            </w:r>
            <w:r>
              <w:rPr>
                <w:rFonts w:hint="eastAsia"/>
                <w:color w:val="auto"/>
                <w:szCs w:val="21"/>
                <w:highlight w:val="none"/>
                <w:lang w:eastAsia="zh-CN"/>
              </w:rPr>
              <w:t>分别</w:t>
            </w:r>
            <w:r>
              <w:rPr>
                <w:rFonts w:hint="eastAsia"/>
                <w:color w:val="auto"/>
                <w:szCs w:val="21"/>
                <w:highlight w:val="none"/>
              </w:rPr>
              <w:t>满足《工业企业厂界环境噪声排放标准》（GB12348-2008）中</w:t>
            </w:r>
            <w:r>
              <w:rPr>
                <w:rFonts w:hint="eastAsia"/>
                <w:color w:val="auto"/>
                <w:szCs w:val="21"/>
                <w:highlight w:val="none"/>
                <w:lang w:val="en-US" w:eastAsia="zh-CN"/>
              </w:rPr>
              <w:t>3</w:t>
            </w:r>
            <w:r>
              <w:rPr>
                <w:rFonts w:hint="eastAsia"/>
                <w:color w:val="auto"/>
                <w:szCs w:val="21"/>
                <w:highlight w:val="none"/>
              </w:rPr>
              <w:t>类</w:t>
            </w:r>
            <w:r>
              <w:rPr>
                <w:rFonts w:hint="eastAsia"/>
                <w:color w:val="auto"/>
                <w:szCs w:val="21"/>
                <w:highlight w:val="none"/>
                <w:lang w:eastAsia="zh-CN"/>
              </w:rPr>
              <w:t>、</w:t>
            </w:r>
            <w:r>
              <w:rPr>
                <w:rFonts w:hint="eastAsia"/>
                <w:color w:val="auto"/>
                <w:szCs w:val="21"/>
                <w:highlight w:val="none"/>
                <w:lang w:val="en-US" w:eastAsia="zh-CN"/>
              </w:rPr>
              <w:t>2类</w:t>
            </w:r>
            <w:r>
              <w:rPr>
                <w:rFonts w:hint="eastAsia"/>
                <w:color w:val="auto"/>
                <w:szCs w:val="21"/>
                <w:highlight w:val="none"/>
              </w:rPr>
              <w:t>标准；环境保护目标处满足《声环境质量标准》（</w:t>
            </w:r>
            <w:r>
              <w:rPr>
                <w:color w:val="auto"/>
                <w:szCs w:val="21"/>
                <w:highlight w:val="none"/>
              </w:rPr>
              <w:t>GB3096-2008</w:t>
            </w:r>
            <w:r>
              <w:rPr>
                <w:rFonts w:hint="eastAsia"/>
                <w:color w:val="auto"/>
                <w:szCs w:val="21"/>
                <w:highlight w:val="none"/>
              </w:rPr>
              <w:t>）</w:t>
            </w:r>
            <w:r>
              <w:rPr>
                <w:color w:val="auto"/>
                <w:szCs w:val="21"/>
                <w:highlight w:val="none"/>
              </w:rPr>
              <w:t>中</w:t>
            </w:r>
            <w:r>
              <w:rPr>
                <w:rFonts w:hint="eastAsia"/>
                <w:color w:val="auto"/>
                <w:szCs w:val="21"/>
                <w:highlight w:val="none"/>
              </w:rPr>
              <w:t>相应</w:t>
            </w:r>
            <w:r>
              <w:rPr>
                <w:color w:val="auto"/>
                <w:szCs w:val="21"/>
                <w:highlight w:val="none"/>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1407" w:type="dxa"/>
            <w:vAlign w:val="center"/>
          </w:tcPr>
          <w:p>
            <w:pPr>
              <w:adjustRightInd w:val="0"/>
              <w:snapToGrid w:val="0"/>
              <w:jc w:val="center"/>
              <w:rPr>
                <w:rFonts w:cs="宋体"/>
                <w:color w:val="auto"/>
                <w:szCs w:val="21"/>
                <w:highlight w:val="none"/>
              </w:rPr>
            </w:pPr>
            <w:r>
              <w:rPr>
                <w:rFonts w:hint="eastAsia" w:cs="宋体"/>
                <w:color w:val="auto"/>
                <w:szCs w:val="21"/>
                <w:highlight w:val="none"/>
              </w:rPr>
              <w:t>其他</w:t>
            </w:r>
          </w:p>
        </w:tc>
        <w:tc>
          <w:tcPr>
            <w:tcW w:w="2191" w:type="dxa"/>
            <w:vAlign w:val="center"/>
          </w:tcPr>
          <w:p>
            <w:pPr>
              <w:adjustRightInd w:val="0"/>
              <w:snapToGrid w:val="0"/>
              <w:jc w:val="center"/>
              <w:rPr>
                <w:rFonts w:cs="宋体"/>
                <w:color w:val="auto"/>
                <w:szCs w:val="21"/>
                <w:highlight w:val="none"/>
              </w:rPr>
            </w:pPr>
            <w:r>
              <w:rPr>
                <w:rFonts w:hint="eastAsia"/>
                <w:color w:val="auto"/>
                <w:szCs w:val="21"/>
                <w:highlight w:val="none"/>
              </w:rPr>
              <w:t>/</w:t>
            </w:r>
          </w:p>
        </w:tc>
        <w:tc>
          <w:tcPr>
            <w:tcW w:w="1390" w:type="dxa"/>
            <w:vAlign w:val="center"/>
          </w:tcPr>
          <w:p>
            <w:pPr>
              <w:adjustRightInd w:val="0"/>
              <w:snapToGrid w:val="0"/>
              <w:jc w:val="center"/>
              <w:rPr>
                <w:rFonts w:cs="宋体"/>
                <w:color w:val="auto"/>
                <w:szCs w:val="21"/>
                <w:highlight w:val="none"/>
              </w:rPr>
            </w:pPr>
            <w:r>
              <w:rPr>
                <w:rFonts w:hint="eastAsia"/>
                <w:color w:val="auto"/>
                <w:szCs w:val="21"/>
                <w:highlight w:val="none"/>
              </w:rPr>
              <w:t>/</w:t>
            </w:r>
          </w:p>
        </w:tc>
        <w:tc>
          <w:tcPr>
            <w:tcW w:w="1486" w:type="dxa"/>
            <w:vAlign w:val="center"/>
          </w:tcPr>
          <w:p>
            <w:pPr>
              <w:adjustRightInd w:val="0"/>
              <w:snapToGrid w:val="0"/>
              <w:jc w:val="center"/>
              <w:rPr>
                <w:rFonts w:cs="宋体"/>
                <w:color w:val="auto"/>
                <w:szCs w:val="21"/>
                <w:highlight w:val="none"/>
              </w:rPr>
            </w:pPr>
            <w:r>
              <w:rPr>
                <w:rFonts w:hint="eastAsia"/>
                <w:color w:val="auto"/>
                <w:szCs w:val="21"/>
                <w:highlight w:val="none"/>
              </w:rPr>
              <w:t>/</w:t>
            </w:r>
          </w:p>
        </w:tc>
        <w:tc>
          <w:tcPr>
            <w:tcW w:w="2048" w:type="dxa"/>
            <w:vAlign w:val="center"/>
          </w:tcPr>
          <w:p>
            <w:pPr>
              <w:adjustRightInd w:val="0"/>
              <w:snapToGrid w:val="0"/>
              <w:jc w:val="center"/>
              <w:rPr>
                <w:rFonts w:cs="宋体"/>
                <w:color w:val="auto"/>
                <w:szCs w:val="21"/>
                <w:highlight w:val="none"/>
              </w:rPr>
            </w:pPr>
            <w:r>
              <w:rPr>
                <w:rFonts w:hint="eastAsia"/>
                <w:color w:val="auto"/>
                <w:szCs w:val="21"/>
                <w:highlight w:val="none"/>
              </w:rPr>
              <w:t>/</w:t>
            </w:r>
          </w:p>
        </w:tc>
      </w:tr>
    </w:tbl>
    <w:p>
      <w:pPr>
        <w:pStyle w:val="25"/>
        <w:spacing w:before="0" w:beforeAutospacing="0" w:line="14" w:lineRule="auto"/>
        <w:jc w:val="center"/>
        <w:outlineLvl w:val="0"/>
        <w:rPr>
          <w:rFonts w:ascii="Times New Roman" w:hAnsi="Times New Roman"/>
          <w:snapToGrid w:val="0"/>
          <w:color w:val="auto"/>
          <w:sz w:val="30"/>
          <w:szCs w:val="30"/>
          <w:highlight w:val="yellow"/>
        </w:rPr>
      </w:pPr>
    </w:p>
    <w:p>
      <w:pPr>
        <w:widowControl/>
        <w:jc w:val="left"/>
        <w:rPr>
          <w:snapToGrid w:val="0"/>
          <w:color w:val="auto"/>
          <w:kern w:val="0"/>
          <w:sz w:val="30"/>
          <w:szCs w:val="30"/>
          <w:highlight w:val="yellow"/>
        </w:rPr>
      </w:pPr>
      <w:r>
        <w:rPr>
          <w:snapToGrid w:val="0"/>
          <w:color w:val="auto"/>
          <w:sz w:val="30"/>
          <w:szCs w:val="30"/>
          <w:highlight w:val="yellow"/>
        </w:rPr>
        <w:br w:type="page"/>
      </w:r>
    </w:p>
    <w:p>
      <w:pPr>
        <w:pStyle w:val="25"/>
        <w:spacing w:before="192" w:beforeLines="80" w:beforeAutospacing="0"/>
        <w:jc w:val="center"/>
        <w:outlineLvl w:val="0"/>
        <w:rPr>
          <w:rFonts w:ascii="Times New Roman" w:hAnsi="Times New Roman"/>
          <w:snapToGrid w:val="0"/>
          <w:color w:val="auto"/>
          <w:sz w:val="30"/>
          <w:szCs w:val="30"/>
          <w:highlight w:val="none"/>
        </w:rPr>
      </w:pPr>
      <w:r>
        <w:rPr>
          <w:rFonts w:hint="eastAsia" w:ascii="Times New Roman" w:hAnsi="Times New Roman"/>
          <w:snapToGrid w:val="0"/>
          <w:color w:val="auto"/>
          <w:sz w:val="30"/>
          <w:szCs w:val="30"/>
          <w:highlight w:val="none"/>
        </w:rPr>
        <w:t>七、结论</w:t>
      </w:r>
    </w:p>
    <w:tbl>
      <w:tblPr>
        <w:tblStyle w:val="28"/>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pPr>
              <w:adjustRightInd w:val="0"/>
              <w:snapToGrid w:val="0"/>
              <w:spacing w:line="360" w:lineRule="auto"/>
              <w:ind w:firstLine="480" w:firstLineChars="200"/>
              <w:rPr>
                <w:color w:val="auto"/>
                <w:sz w:val="24"/>
                <w:highlight w:val="none"/>
              </w:rPr>
            </w:pPr>
            <w:r>
              <w:rPr>
                <w:rFonts w:hint="eastAsia" w:cs="宋体"/>
                <w:color w:val="auto"/>
                <w:sz w:val="24"/>
                <w:highlight w:val="none"/>
                <w:lang w:eastAsia="zh-CN"/>
              </w:rPr>
              <w:t>铜梁淮阳110千伏输变电工程</w:t>
            </w:r>
            <w:r>
              <w:rPr>
                <w:color w:val="auto"/>
                <w:sz w:val="24"/>
                <w:highlight w:val="none"/>
              </w:rPr>
              <w:t>符合国家产业政策</w:t>
            </w:r>
            <w:r>
              <w:rPr>
                <w:rFonts w:hint="eastAsia"/>
                <w:color w:val="auto"/>
                <w:sz w:val="24"/>
                <w:highlight w:val="none"/>
              </w:rPr>
              <w:t>及</w:t>
            </w:r>
            <w:r>
              <w:rPr>
                <w:color w:val="auto"/>
                <w:sz w:val="24"/>
                <w:highlight w:val="none"/>
              </w:rPr>
              <w:t>相关规划</w:t>
            </w:r>
            <w:r>
              <w:rPr>
                <w:rFonts w:hint="eastAsia"/>
                <w:color w:val="auto"/>
                <w:sz w:val="24"/>
                <w:highlight w:val="none"/>
              </w:rPr>
              <w:t>，</w:t>
            </w:r>
            <w:r>
              <w:rPr>
                <w:color w:val="auto"/>
                <w:sz w:val="24"/>
                <w:highlight w:val="none"/>
              </w:rPr>
              <w:t>工程建设产生的各类污染物</w:t>
            </w:r>
            <w:r>
              <w:rPr>
                <w:rFonts w:hint="eastAsia"/>
                <w:color w:val="auto"/>
                <w:sz w:val="24"/>
                <w:highlight w:val="none"/>
              </w:rPr>
              <w:t>及生态影响</w:t>
            </w:r>
            <w:r>
              <w:rPr>
                <w:color w:val="auto"/>
                <w:sz w:val="24"/>
                <w:highlight w:val="none"/>
              </w:rPr>
              <w:t>在采取各项污染防治措施</w:t>
            </w:r>
            <w:r>
              <w:rPr>
                <w:rFonts w:hint="eastAsia"/>
                <w:color w:val="auto"/>
                <w:sz w:val="24"/>
                <w:highlight w:val="none"/>
              </w:rPr>
              <w:t>及生态保护措施</w:t>
            </w:r>
            <w:r>
              <w:rPr>
                <w:color w:val="auto"/>
                <w:sz w:val="24"/>
                <w:highlight w:val="none"/>
              </w:rPr>
              <w:t>（含本评价要求的措施）后其不利影响能得到有效控制</w:t>
            </w:r>
            <w:r>
              <w:rPr>
                <w:rFonts w:hint="eastAsia"/>
                <w:color w:val="auto"/>
                <w:sz w:val="24"/>
                <w:highlight w:val="none"/>
              </w:rPr>
              <w:t>。</w:t>
            </w:r>
            <w:r>
              <w:rPr>
                <w:color w:val="auto"/>
                <w:sz w:val="24"/>
                <w:highlight w:val="none"/>
              </w:rPr>
              <w:t>因此，从</w:t>
            </w:r>
            <w:r>
              <w:rPr>
                <w:rFonts w:hint="eastAsia"/>
                <w:color w:val="auto"/>
                <w:sz w:val="24"/>
                <w:highlight w:val="none"/>
              </w:rPr>
              <w:t>生态</w:t>
            </w:r>
            <w:r>
              <w:rPr>
                <w:color w:val="auto"/>
                <w:sz w:val="24"/>
                <w:highlight w:val="none"/>
              </w:rPr>
              <w:t>环境保护的角度，本工程的建设是可行的。</w:t>
            </w:r>
          </w:p>
        </w:tc>
      </w:tr>
    </w:tbl>
    <w:p>
      <w:pPr>
        <w:tabs>
          <w:tab w:val="left" w:pos="1085"/>
        </w:tabs>
        <w:spacing w:line="360" w:lineRule="auto"/>
        <w:jc w:val="center"/>
        <w:rPr>
          <w:b/>
          <w:bCs/>
          <w:color w:val="auto"/>
          <w:sz w:val="28"/>
          <w:szCs w:val="28"/>
          <w:highlight w:val="yellow"/>
        </w:rPr>
      </w:pPr>
    </w:p>
    <w:p>
      <w:pPr>
        <w:pStyle w:val="35"/>
        <w:rPr>
          <w:color w:val="auto"/>
          <w:highlight w:val="yellow"/>
        </w:rPr>
      </w:pPr>
    </w:p>
    <w:p>
      <w:pPr>
        <w:keepNext w:val="0"/>
        <w:keepLines w:val="0"/>
        <w:pageBreakBefore w:val="0"/>
        <w:widowControl w:val="0"/>
        <w:tabs>
          <w:tab w:val="left" w:pos="1665"/>
        </w:tabs>
        <w:kinsoku/>
        <w:wordWrap/>
        <w:overflowPunct/>
        <w:topLinePunct w:val="0"/>
        <w:autoSpaceDE/>
        <w:autoSpaceDN/>
        <w:bidi w:val="0"/>
        <w:adjustRightInd w:val="0"/>
        <w:snapToGrid w:val="0"/>
        <w:spacing w:line="336" w:lineRule="auto"/>
        <w:ind w:firstLine="420" w:firstLineChars="200"/>
        <w:jc w:val="left"/>
        <w:textAlignment w:val="auto"/>
        <w:rPr>
          <w:rFonts w:hint="eastAsia"/>
          <w:color w:val="auto"/>
          <w:sz w:val="24"/>
          <w:highlight w:val="none"/>
          <w:lang w:eastAsia="zh-CN"/>
        </w:rPr>
      </w:pPr>
      <w:r>
        <w:drawing>
          <wp:inline distT="0" distB="0" distL="114300" distR="114300">
            <wp:extent cx="4676775" cy="5762625"/>
            <wp:effectExtent l="0" t="0" r="9525"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1"/>
                    <a:stretch>
                      <a:fillRect/>
                    </a:stretch>
                  </pic:blipFill>
                  <pic:spPr>
                    <a:xfrm>
                      <a:off x="0" y="0"/>
                      <a:ext cx="4676775" cy="5762625"/>
                    </a:xfrm>
                    <a:prstGeom prst="rect">
                      <a:avLst/>
                    </a:prstGeom>
                    <a:noFill/>
                    <a:ln>
                      <a:noFill/>
                    </a:ln>
                  </pic:spPr>
                </pic:pic>
              </a:graphicData>
            </a:graphic>
          </wp:inline>
        </w:drawing>
      </w:r>
    </w:p>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10" w:usb3="00000000" w:csb0="00040001" w:csb1="00000000"/>
  </w:font>
  <w:font w:name="TimesNewRomanPS-BoldMT">
    <w:altName w:val="宋体"/>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Wingdings 2">
    <w:panose1 w:val="05020102010507070707"/>
    <w:charset w:val="02"/>
    <w:family w:val="roman"/>
    <w:pitch w:val="default"/>
    <w:sig w:usb0="00000000" w:usb1="00000000" w:usb2="00000000" w:usb3="00000000" w:csb0="80000000" w:csb1="00000000"/>
  </w:font>
  <w:font w:name="等线">
    <w:altName w:val="Arial Unicode MS"/>
    <w:panose1 w:val="02010600030101010101"/>
    <w:charset w:val="86"/>
    <w:family w:val="auto"/>
    <w:pitch w:val="default"/>
    <w:sig w:usb0="00000000" w:usb1="00000000" w:usb2="00000016" w:usb3="00000000" w:csb0="0004000F" w:csb1="00000000"/>
  </w:font>
  <w:font w:name="SymbolMT">
    <w:altName w:val="宋体"/>
    <w:panose1 w:val="00000000000000000000"/>
    <w:charset w:val="86"/>
    <w:family w:val="auto"/>
    <w:pitch w:val="default"/>
    <w:sig w:usb0="00000000" w:usb1="00000000" w:usb2="00000010" w:usb3="00000000" w:csb0="00040000"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6217267"/>
    </w:sdtPr>
    <w:sdtContent>
      <w:p>
        <w:pPr>
          <w:pStyle w:val="17"/>
          <w:jc w:val="center"/>
        </w:pPr>
        <w:r>
          <w:fldChar w:fldCharType="begin"/>
        </w:r>
        <w:r>
          <w:instrText xml:space="preserve">PAGE   \* MERGEFORMAT</w:instrText>
        </w:r>
        <w:r>
          <w:fldChar w:fldCharType="separate"/>
        </w:r>
        <w:r>
          <w:rPr>
            <w:lang w:val="zh-CN"/>
          </w:rPr>
          <w:t>2</w:t>
        </w:r>
        <w:r>
          <w:fldChar w:fldCharType="end"/>
        </w:r>
      </w:p>
    </w:sdtContent>
  </w:sdt>
  <w:p>
    <w:pPr>
      <w:pStyle w:val="17"/>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15173"/>
    <w:multiLevelType w:val="singleLevel"/>
    <w:tmpl w:val="82215173"/>
    <w:lvl w:ilvl="0" w:tentative="0">
      <w:start w:val="1"/>
      <w:numFmt w:val="decimal"/>
      <w:suff w:val="nothing"/>
      <w:lvlText w:val="（%1）"/>
      <w:lvlJc w:val="left"/>
    </w:lvl>
  </w:abstractNum>
  <w:abstractNum w:abstractNumId="1">
    <w:nsid w:val="B10F2EE0"/>
    <w:multiLevelType w:val="singleLevel"/>
    <w:tmpl w:val="B10F2EE0"/>
    <w:lvl w:ilvl="0" w:tentative="0">
      <w:start w:val="1"/>
      <w:numFmt w:val="bullet"/>
      <w:pStyle w:val="10"/>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5Y2JhNDEyYjJmYzM4MTBjZGNkOWI2NDc3YzM2ZGIifQ=="/>
  </w:docVars>
  <w:rsids>
    <w:rsidRoot w:val="00172A27"/>
    <w:rsid w:val="00001401"/>
    <w:rsid w:val="00001CED"/>
    <w:rsid w:val="00001E67"/>
    <w:rsid w:val="00003B20"/>
    <w:rsid w:val="00003CD8"/>
    <w:rsid w:val="00005596"/>
    <w:rsid w:val="0000564F"/>
    <w:rsid w:val="00006D42"/>
    <w:rsid w:val="00007C0E"/>
    <w:rsid w:val="00011C75"/>
    <w:rsid w:val="0001232D"/>
    <w:rsid w:val="00012F21"/>
    <w:rsid w:val="00013B5F"/>
    <w:rsid w:val="00014965"/>
    <w:rsid w:val="00014D44"/>
    <w:rsid w:val="00014E0C"/>
    <w:rsid w:val="0001523A"/>
    <w:rsid w:val="0001559B"/>
    <w:rsid w:val="00016A50"/>
    <w:rsid w:val="00016ECB"/>
    <w:rsid w:val="00017BE8"/>
    <w:rsid w:val="00021641"/>
    <w:rsid w:val="00022F06"/>
    <w:rsid w:val="00026857"/>
    <w:rsid w:val="000269F6"/>
    <w:rsid w:val="00027BDD"/>
    <w:rsid w:val="00030FA4"/>
    <w:rsid w:val="0003176E"/>
    <w:rsid w:val="00031939"/>
    <w:rsid w:val="000321D5"/>
    <w:rsid w:val="00032D25"/>
    <w:rsid w:val="00033501"/>
    <w:rsid w:val="00033CC9"/>
    <w:rsid w:val="00034130"/>
    <w:rsid w:val="000349F2"/>
    <w:rsid w:val="00037AE6"/>
    <w:rsid w:val="00042573"/>
    <w:rsid w:val="00043616"/>
    <w:rsid w:val="00045C22"/>
    <w:rsid w:val="0005219D"/>
    <w:rsid w:val="000526F6"/>
    <w:rsid w:val="00052808"/>
    <w:rsid w:val="00052F5F"/>
    <w:rsid w:val="0005568F"/>
    <w:rsid w:val="0006127F"/>
    <w:rsid w:val="0006153D"/>
    <w:rsid w:val="00061B1F"/>
    <w:rsid w:val="0006344E"/>
    <w:rsid w:val="0006379F"/>
    <w:rsid w:val="00064A4C"/>
    <w:rsid w:val="000664DB"/>
    <w:rsid w:val="00070250"/>
    <w:rsid w:val="00070EE6"/>
    <w:rsid w:val="0007127D"/>
    <w:rsid w:val="00071AE5"/>
    <w:rsid w:val="0007227D"/>
    <w:rsid w:val="00072AB0"/>
    <w:rsid w:val="0007464C"/>
    <w:rsid w:val="00074783"/>
    <w:rsid w:val="00075781"/>
    <w:rsid w:val="000759A6"/>
    <w:rsid w:val="00077FAF"/>
    <w:rsid w:val="000801E0"/>
    <w:rsid w:val="00080876"/>
    <w:rsid w:val="00080D80"/>
    <w:rsid w:val="00081761"/>
    <w:rsid w:val="00082A29"/>
    <w:rsid w:val="0008331D"/>
    <w:rsid w:val="00083C18"/>
    <w:rsid w:val="00083D5A"/>
    <w:rsid w:val="00090445"/>
    <w:rsid w:val="00092265"/>
    <w:rsid w:val="00092760"/>
    <w:rsid w:val="00092899"/>
    <w:rsid w:val="0009431C"/>
    <w:rsid w:val="00094C82"/>
    <w:rsid w:val="000960DE"/>
    <w:rsid w:val="00096646"/>
    <w:rsid w:val="000971B5"/>
    <w:rsid w:val="000A01EB"/>
    <w:rsid w:val="000A0923"/>
    <w:rsid w:val="000A0967"/>
    <w:rsid w:val="000A1105"/>
    <w:rsid w:val="000A1430"/>
    <w:rsid w:val="000A178E"/>
    <w:rsid w:val="000A27EB"/>
    <w:rsid w:val="000A384D"/>
    <w:rsid w:val="000A557E"/>
    <w:rsid w:val="000A5FC3"/>
    <w:rsid w:val="000A724A"/>
    <w:rsid w:val="000B058F"/>
    <w:rsid w:val="000B1174"/>
    <w:rsid w:val="000B226E"/>
    <w:rsid w:val="000B45E8"/>
    <w:rsid w:val="000B693F"/>
    <w:rsid w:val="000C03BC"/>
    <w:rsid w:val="000C09AC"/>
    <w:rsid w:val="000C0A63"/>
    <w:rsid w:val="000C2C98"/>
    <w:rsid w:val="000C354E"/>
    <w:rsid w:val="000C437E"/>
    <w:rsid w:val="000C43DA"/>
    <w:rsid w:val="000C4490"/>
    <w:rsid w:val="000C4F9F"/>
    <w:rsid w:val="000D03CF"/>
    <w:rsid w:val="000D0F73"/>
    <w:rsid w:val="000D1EC6"/>
    <w:rsid w:val="000D3057"/>
    <w:rsid w:val="000D380D"/>
    <w:rsid w:val="000E2F37"/>
    <w:rsid w:val="000E324A"/>
    <w:rsid w:val="000E5F16"/>
    <w:rsid w:val="000F0B67"/>
    <w:rsid w:val="000F2282"/>
    <w:rsid w:val="000F23BD"/>
    <w:rsid w:val="000F4452"/>
    <w:rsid w:val="000F531D"/>
    <w:rsid w:val="000F6CA6"/>
    <w:rsid w:val="000F6DA1"/>
    <w:rsid w:val="000F701B"/>
    <w:rsid w:val="001017E9"/>
    <w:rsid w:val="00101B70"/>
    <w:rsid w:val="001056A0"/>
    <w:rsid w:val="001058FF"/>
    <w:rsid w:val="001063AF"/>
    <w:rsid w:val="00106FB3"/>
    <w:rsid w:val="001106E7"/>
    <w:rsid w:val="00110B86"/>
    <w:rsid w:val="00112B16"/>
    <w:rsid w:val="001141A6"/>
    <w:rsid w:val="00115279"/>
    <w:rsid w:val="00117459"/>
    <w:rsid w:val="0011749A"/>
    <w:rsid w:val="00117ABE"/>
    <w:rsid w:val="00121A2D"/>
    <w:rsid w:val="001225A4"/>
    <w:rsid w:val="00123505"/>
    <w:rsid w:val="0012447A"/>
    <w:rsid w:val="00126B22"/>
    <w:rsid w:val="00127A68"/>
    <w:rsid w:val="00131045"/>
    <w:rsid w:val="0013453B"/>
    <w:rsid w:val="00134778"/>
    <w:rsid w:val="00134DBF"/>
    <w:rsid w:val="00136205"/>
    <w:rsid w:val="001376FA"/>
    <w:rsid w:val="00140000"/>
    <w:rsid w:val="00140B13"/>
    <w:rsid w:val="0014122D"/>
    <w:rsid w:val="00141B68"/>
    <w:rsid w:val="001431D4"/>
    <w:rsid w:val="00143676"/>
    <w:rsid w:val="001466DA"/>
    <w:rsid w:val="00147272"/>
    <w:rsid w:val="00151FFB"/>
    <w:rsid w:val="00154DE1"/>
    <w:rsid w:val="00155B40"/>
    <w:rsid w:val="00157435"/>
    <w:rsid w:val="00160678"/>
    <w:rsid w:val="00161AD8"/>
    <w:rsid w:val="00162F56"/>
    <w:rsid w:val="00163CA0"/>
    <w:rsid w:val="00163EEA"/>
    <w:rsid w:val="00164DCF"/>
    <w:rsid w:val="00165714"/>
    <w:rsid w:val="0016740F"/>
    <w:rsid w:val="00167A07"/>
    <w:rsid w:val="0017041F"/>
    <w:rsid w:val="0017046A"/>
    <w:rsid w:val="001704A3"/>
    <w:rsid w:val="00171F88"/>
    <w:rsid w:val="00172A27"/>
    <w:rsid w:val="00174615"/>
    <w:rsid w:val="00174BF4"/>
    <w:rsid w:val="0017504D"/>
    <w:rsid w:val="00177422"/>
    <w:rsid w:val="001820B8"/>
    <w:rsid w:val="00182B83"/>
    <w:rsid w:val="00184F10"/>
    <w:rsid w:val="00185546"/>
    <w:rsid w:val="001858DA"/>
    <w:rsid w:val="00185B1D"/>
    <w:rsid w:val="0019032F"/>
    <w:rsid w:val="0019146B"/>
    <w:rsid w:val="001924B3"/>
    <w:rsid w:val="00193EAB"/>
    <w:rsid w:val="00194398"/>
    <w:rsid w:val="00196518"/>
    <w:rsid w:val="00196DC2"/>
    <w:rsid w:val="0019723B"/>
    <w:rsid w:val="001A10F2"/>
    <w:rsid w:val="001A24EB"/>
    <w:rsid w:val="001A4433"/>
    <w:rsid w:val="001A5004"/>
    <w:rsid w:val="001A5383"/>
    <w:rsid w:val="001A664D"/>
    <w:rsid w:val="001A698B"/>
    <w:rsid w:val="001A72F3"/>
    <w:rsid w:val="001A7D2A"/>
    <w:rsid w:val="001B574C"/>
    <w:rsid w:val="001B62EC"/>
    <w:rsid w:val="001B681D"/>
    <w:rsid w:val="001B7AFC"/>
    <w:rsid w:val="001C0936"/>
    <w:rsid w:val="001C0AF9"/>
    <w:rsid w:val="001C155A"/>
    <w:rsid w:val="001C1E74"/>
    <w:rsid w:val="001C24CF"/>
    <w:rsid w:val="001C3CBA"/>
    <w:rsid w:val="001C48C0"/>
    <w:rsid w:val="001C4B7D"/>
    <w:rsid w:val="001C78C1"/>
    <w:rsid w:val="001C7EF8"/>
    <w:rsid w:val="001D0470"/>
    <w:rsid w:val="001D2FA6"/>
    <w:rsid w:val="001D5AAD"/>
    <w:rsid w:val="001D5CDE"/>
    <w:rsid w:val="001D6726"/>
    <w:rsid w:val="001D77F5"/>
    <w:rsid w:val="001E0289"/>
    <w:rsid w:val="001E0AF7"/>
    <w:rsid w:val="001E0FE5"/>
    <w:rsid w:val="001E104B"/>
    <w:rsid w:val="001E333D"/>
    <w:rsid w:val="001E540A"/>
    <w:rsid w:val="001E5873"/>
    <w:rsid w:val="001E69F5"/>
    <w:rsid w:val="001E7799"/>
    <w:rsid w:val="001F07FF"/>
    <w:rsid w:val="001F0880"/>
    <w:rsid w:val="001F0916"/>
    <w:rsid w:val="001F102E"/>
    <w:rsid w:val="001F19F4"/>
    <w:rsid w:val="001F220F"/>
    <w:rsid w:val="001F32C9"/>
    <w:rsid w:val="001F3347"/>
    <w:rsid w:val="001F4440"/>
    <w:rsid w:val="001F4AD8"/>
    <w:rsid w:val="001F69E4"/>
    <w:rsid w:val="001F7642"/>
    <w:rsid w:val="001F766F"/>
    <w:rsid w:val="0020171C"/>
    <w:rsid w:val="00201B9D"/>
    <w:rsid w:val="00206A65"/>
    <w:rsid w:val="002100B4"/>
    <w:rsid w:val="00211FCF"/>
    <w:rsid w:val="00212D31"/>
    <w:rsid w:val="002130C7"/>
    <w:rsid w:val="00213A66"/>
    <w:rsid w:val="0021537D"/>
    <w:rsid w:val="00215E25"/>
    <w:rsid w:val="00216AE8"/>
    <w:rsid w:val="002218A8"/>
    <w:rsid w:val="0022287E"/>
    <w:rsid w:val="0022306D"/>
    <w:rsid w:val="00224E4C"/>
    <w:rsid w:val="0022548D"/>
    <w:rsid w:val="00226574"/>
    <w:rsid w:val="002278EC"/>
    <w:rsid w:val="00230ACE"/>
    <w:rsid w:val="00231193"/>
    <w:rsid w:val="002357C7"/>
    <w:rsid w:val="00235D56"/>
    <w:rsid w:val="00235DB8"/>
    <w:rsid w:val="00236575"/>
    <w:rsid w:val="002367C4"/>
    <w:rsid w:val="00236F8D"/>
    <w:rsid w:val="00240B04"/>
    <w:rsid w:val="00242448"/>
    <w:rsid w:val="00243F89"/>
    <w:rsid w:val="00247456"/>
    <w:rsid w:val="002474C3"/>
    <w:rsid w:val="00247BF0"/>
    <w:rsid w:val="0025054D"/>
    <w:rsid w:val="002518F3"/>
    <w:rsid w:val="00251F76"/>
    <w:rsid w:val="002529C0"/>
    <w:rsid w:val="0025679E"/>
    <w:rsid w:val="002567A7"/>
    <w:rsid w:val="00257191"/>
    <w:rsid w:val="00257A22"/>
    <w:rsid w:val="00260C68"/>
    <w:rsid w:val="0026114B"/>
    <w:rsid w:val="00261304"/>
    <w:rsid w:val="0026141A"/>
    <w:rsid w:val="00263F98"/>
    <w:rsid w:val="00264226"/>
    <w:rsid w:val="002648B0"/>
    <w:rsid w:val="00266BC8"/>
    <w:rsid w:val="002711B4"/>
    <w:rsid w:val="00272FF0"/>
    <w:rsid w:val="0027365D"/>
    <w:rsid w:val="00275271"/>
    <w:rsid w:val="0027535E"/>
    <w:rsid w:val="00275AA6"/>
    <w:rsid w:val="00276BC0"/>
    <w:rsid w:val="002807D5"/>
    <w:rsid w:val="00280CAC"/>
    <w:rsid w:val="00282CCD"/>
    <w:rsid w:val="002836A4"/>
    <w:rsid w:val="00287263"/>
    <w:rsid w:val="0029042A"/>
    <w:rsid w:val="002907B4"/>
    <w:rsid w:val="00292194"/>
    <w:rsid w:val="00296DF3"/>
    <w:rsid w:val="002A168C"/>
    <w:rsid w:val="002A2C48"/>
    <w:rsid w:val="002A2CA5"/>
    <w:rsid w:val="002A3EED"/>
    <w:rsid w:val="002A4A39"/>
    <w:rsid w:val="002A4DE0"/>
    <w:rsid w:val="002A5A17"/>
    <w:rsid w:val="002A6425"/>
    <w:rsid w:val="002A6ABE"/>
    <w:rsid w:val="002A725F"/>
    <w:rsid w:val="002A7635"/>
    <w:rsid w:val="002B0579"/>
    <w:rsid w:val="002B4839"/>
    <w:rsid w:val="002B49E2"/>
    <w:rsid w:val="002B4B88"/>
    <w:rsid w:val="002B5085"/>
    <w:rsid w:val="002B5388"/>
    <w:rsid w:val="002B7B00"/>
    <w:rsid w:val="002B7C44"/>
    <w:rsid w:val="002C1388"/>
    <w:rsid w:val="002C31B2"/>
    <w:rsid w:val="002C39C1"/>
    <w:rsid w:val="002C3C6A"/>
    <w:rsid w:val="002C58BE"/>
    <w:rsid w:val="002C5ECC"/>
    <w:rsid w:val="002C7EA8"/>
    <w:rsid w:val="002C7F31"/>
    <w:rsid w:val="002D1A16"/>
    <w:rsid w:val="002D1BFC"/>
    <w:rsid w:val="002D42DB"/>
    <w:rsid w:val="002D4387"/>
    <w:rsid w:val="002D5D06"/>
    <w:rsid w:val="002D5D12"/>
    <w:rsid w:val="002E1663"/>
    <w:rsid w:val="002E16A4"/>
    <w:rsid w:val="002E1C25"/>
    <w:rsid w:val="002E1F3A"/>
    <w:rsid w:val="002E216B"/>
    <w:rsid w:val="002E298A"/>
    <w:rsid w:val="002E4304"/>
    <w:rsid w:val="002E649E"/>
    <w:rsid w:val="002F02A4"/>
    <w:rsid w:val="002F0F6F"/>
    <w:rsid w:val="002F22F6"/>
    <w:rsid w:val="002F272B"/>
    <w:rsid w:val="002F3AB5"/>
    <w:rsid w:val="002F4F3E"/>
    <w:rsid w:val="002F6A46"/>
    <w:rsid w:val="002F6E34"/>
    <w:rsid w:val="002F7C6D"/>
    <w:rsid w:val="00300204"/>
    <w:rsid w:val="00301123"/>
    <w:rsid w:val="003027E4"/>
    <w:rsid w:val="0030299C"/>
    <w:rsid w:val="0030332C"/>
    <w:rsid w:val="00305883"/>
    <w:rsid w:val="00307392"/>
    <w:rsid w:val="00307755"/>
    <w:rsid w:val="003104D0"/>
    <w:rsid w:val="00312296"/>
    <w:rsid w:val="0031340E"/>
    <w:rsid w:val="00313539"/>
    <w:rsid w:val="003137B3"/>
    <w:rsid w:val="00313C43"/>
    <w:rsid w:val="00315038"/>
    <w:rsid w:val="003156D3"/>
    <w:rsid w:val="00315F1A"/>
    <w:rsid w:val="00316464"/>
    <w:rsid w:val="0031681D"/>
    <w:rsid w:val="0032073A"/>
    <w:rsid w:val="00321D8E"/>
    <w:rsid w:val="00327268"/>
    <w:rsid w:val="00330086"/>
    <w:rsid w:val="00332B3F"/>
    <w:rsid w:val="00333828"/>
    <w:rsid w:val="00334204"/>
    <w:rsid w:val="0033460D"/>
    <w:rsid w:val="00334961"/>
    <w:rsid w:val="00334996"/>
    <w:rsid w:val="00336969"/>
    <w:rsid w:val="00336C52"/>
    <w:rsid w:val="00341B3E"/>
    <w:rsid w:val="00341B42"/>
    <w:rsid w:val="00345154"/>
    <w:rsid w:val="0034560E"/>
    <w:rsid w:val="00346141"/>
    <w:rsid w:val="003467D1"/>
    <w:rsid w:val="00350523"/>
    <w:rsid w:val="00352506"/>
    <w:rsid w:val="00352975"/>
    <w:rsid w:val="00356868"/>
    <w:rsid w:val="00357447"/>
    <w:rsid w:val="00357ED0"/>
    <w:rsid w:val="00360A9C"/>
    <w:rsid w:val="0036162D"/>
    <w:rsid w:val="00361690"/>
    <w:rsid w:val="0036198E"/>
    <w:rsid w:val="0036485B"/>
    <w:rsid w:val="00366F6C"/>
    <w:rsid w:val="003720D3"/>
    <w:rsid w:val="00373564"/>
    <w:rsid w:val="003738CE"/>
    <w:rsid w:val="00373B0D"/>
    <w:rsid w:val="00376988"/>
    <w:rsid w:val="003815E9"/>
    <w:rsid w:val="00381A72"/>
    <w:rsid w:val="0038207E"/>
    <w:rsid w:val="0038333D"/>
    <w:rsid w:val="00384367"/>
    <w:rsid w:val="003851EB"/>
    <w:rsid w:val="003857F9"/>
    <w:rsid w:val="00390E9E"/>
    <w:rsid w:val="003920B8"/>
    <w:rsid w:val="003922AF"/>
    <w:rsid w:val="003947C2"/>
    <w:rsid w:val="00397572"/>
    <w:rsid w:val="003975F2"/>
    <w:rsid w:val="003A00B6"/>
    <w:rsid w:val="003A1948"/>
    <w:rsid w:val="003A1F53"/>
    <w:rsid w:val="003A5625"/>
    <w:rsid w:val="003A5E0E"/>
    <w:rsid w:val="003A7D30"/>
    <w:rsid w:val="003B0ECC"/>
    <w:rsid w:val="003B152A"/>
    <w:rsid w:val="003B3F60"/>
    <w:rsid w:val="003B4C39"/>
    <w:rsid w:val="003B4C46"/>
    <w:rsid w:val="003B545B"/>
    <w:rsid w:val="003B646B"/>
    <w:rsid w:val="003B7588"/>
    <w:rsid w:val="003C0364"/>
    <w:rsid w:val="003C09BB"/>
    <w:rsid w:val="003C1541"/>
    <w:rsid w:val="003C19F3"/>
    <w:rsid w:val="003C1CE9"/>
    <w:rsid w:val="003C2AF3"/>
    <w:rsid w:val="003C5D3F"/>
    <w:rsid w:val="003C7468"/>
    <w:rsid w:val="003D0E38"/>
    <w:rsid w:val="003D16C0"/>
    <w:rsid w:val="003D28B8"/>
    <w:rsid w:val="003D3036"/>
    <w:rsid w:val="003D3D5B"/>
    <w:rsid w:val="003D3EE9"/>
    <w:rsid w:val="003D5E21"/>
    <w:rsid w:val="003D6AA8"/>
    <w:rsid w:val="003D7046"/>
    <w:rsid w:val="003D7D7E"/>
    <w:rsid w:val="003E0737"/>
    <w:rsid w:val="003E4832"/>
    <w:rsid w:val="003E5D9C"/>
    <w:rsid w:val="003E6080"/>
    <w:rsid w:val="003E73C4"/>
    <w:rsid w:val="003E7681"/>
    <w:rsid w:val="003F0809"/>
    <w:rsid w:val="003F0818"/>
    <w:rsid w:val="003F56F9"/>
    <w:rsid w:val="003F611C"/>
    <w:rsid w:val="003F755C"/>
    <w:rsid w:val="004002FE"/>
    <w:rsid w:val="00400655"/>
    <w:rsid w:val="00401C58"/>
    <w:rsid w:val="00402C58"/>
    <w:rsid w:val="00402F95"/>
    <w:rsid w:val="00403286"/>
    <w:rsid w:val="004047B2"/>
    <w:rsid w:val="00406F01"/>
    <w:rsid w:val="00410D39"/>
    <w:rsid w:val="00411428"/>
    <w:rsid w:val="00411619"/>
    <w:rsid w:val="00411B36"/>
    <w:rsid w:val="004121D7"/>
    <w:rsid w:val="0041482B"/>
    <w:rsid w:val="00416300"/>
    <w:rsid w:val="00416D50"/>
    <w:rsid w:val="00417772"/>
    <w:rsid w:val="00417956"/>
    <w:rsid w:val="0042042A"/>
    <w:rsid w:val="00420E6A"/>
    <w:rsid w:val="00421E26"/>
    <w:rsid w:val="004255A2"/>
    <w:rsid w:val="004270CB"/>
    <w:rsid w:val="0043044D"/>
    <w:rsid w:val="0043280F"/>
    <w:rsid w:val="00433255"/>
    <w:rsid w:val="00433CA9"/>
    <w:rsid w:val="0043422A"/>
    <w:rsid w:val="0043521D"/>
    <w:rsid w:val="00435C11"/>
    <w:rsid w:val="00440059"/>
    <w:rsid w:val="0044172F"/>
    <w:rsid w:val="00442024"/>
    <w:rsid w:val="004423DB"/>
    <w:rsid w:val="0044254C"/>
    <w:rsid w:val="004430EF"/>
    <w:rsid w:val="00443EF1"/>
    <w:rsid w:val="00443F6A"/>
    <w:rsid w:val="00444620"/>
    <w:rsid w:val="00445B25"/>
    <w:rsid w:val="0044629F"/>
    <w:rsid w:val="0045035E"/>
    <w:rsid w:val="00450A17"/>
    <w:rsid w:val="00450E0E"/>
    <w:rsid w:val="00455999"/>
    <w:rsid w:val="00455A91"/>
    <w:rsid w:val="00462244"/>
    <w:rsid w:val="0046505B"/>
    <w:rsid w:val="00466321"/>
    <w:rsid w:val="0046661F"/>
    <w:rsid w:val="004672AF"/>
    <w:rsid w:val="00471718"/>
    <w:rsid w:val="00472051"/>
    <w:rsid w:val="004727B0"/>
    <w:rsid w:val="00473C66"/>
    <w:rsid w:val="00476602"/>
    <w:rsid w:val="0047743E"/>
    <w:rsid w:val="00480247"/>
    <w:rsid w:val="00480812"/>
    <w:rsid w:val="0048081D"/>
    <w:rsid w:val="004810E1"/>
    <w:rsid w:val="0048117E"/>
    <w:rsid w:val="00481ABB"/>
    <w:rsid w:val="004823A9"/>
    <w:rsid w:val="004850B2"/>
    <w:rsid w:val="004855F6"/>
    <w:rsid w:val="00486F0C"/>
    <w:rsid w:val="00487EF3"/>
    <w:rsid w:val="00494670"/>
    <w:rsid w:val="00495D65"/>
    <w:rsid w:val="00496BA5"/>
    <w:rsid w:val="004A0EB4"/>
    <w:rsid w:val="004A3823"/>
    <w:rsid w:val="004A494B"/>
    <w:rsid w:val="004A4F1B"/>
    <w:rsid w:val="004A59BB"/>
    <w:rsid w:val="004A5CC6"/>
    <w:rsid w:val="004A6566"/>
    <w:rsid w:val="004A6A8C"/>
    <w:rsid w:val="004A6C11"/>
    <w:rsid w:val="004A7476"/>
    <w:rsid w:val="004B0317"/>
    <w:rsid w:val="004B1BB7"/>
    <w:rsid w:val="004B28EA"/>
    <w:rsid w:val="004B2A7E"/>
    <w:rsid w:val="004B31EE"/>
    <w:rsid w:val="004B43A3"/>
    <w:rsid w:val="004B4C49"/>
    <w:rsid w:val="004B572D"/>
    <w:rsid w:val="004B58A5"/>
    <w:rsid w:val="004B63D9"/>
    <w:rsid w:val="004C0829"/>
    <w:rsid w:val="004C0882"/>
    <w:rsid w:val="004C0CA8"/>
    <w:rsid w:val="004C0F99"/>
    <w:rsid w:val="004C3C30"/>
    <w:rsid w:val="004C55BE"/>
    <w:rsid w:val="004C562E"/>
    <w:rsid w:val="004C6C55"/>
    <w:rsid w:val="004D0819"/>
    <w:rsid w:val="004D18D0"/>
    <w:rsid w:val="004D2910"/>
    <w:rsid w:val="004D380D"/>
    <w:rsid w:val="004D42FE"/>
    <w:rsid w:val="004D4751"/>
    <w:rsid w:val="004D59A4"/>
    <w:rsid w:val="004E0833"/>
    <w:rsid w:val="004E0DE8"/>
    <w:rsid w:val="004E1DFD"/>
    <w:rsid w:val="004E235E"/>
    <w:rsid w:val="004E3D9C"/>
    <w:rsid w:val="004E4B2D"/>
    <w:rsid w:val="004E5B30"/>
    <w:rsid w:val="004F0338"/>
    <w:rsid w:val="004F0779"/>
    <w:rsid w:val="004F1230"/>
    <w:rsid w:val="004F173F"/>
    <w:rsid w:val="004F177C"/>
    <w:rsid w:val="004F2DCE"/>
    <w:rsid w:val="004F461D"/>
    <w:rsid w:val="004F47DB"/>
    <w:rsid w:val="004F636B"/>
    <w:rsid w:val="004F7438"/>
    <w:rsid w:val="00503996"/>
    <w:rsid w:val="005039CB"/>
    <w:rsid w:val="00505206"/>
    <w:rsid w:val="0050558F"/>
    <w:rsid w:val="005057E0"/>
    <w:rsid w:val="00506286"/>
    <w:rsid w:val="00510813"/>
    <w:rsid w:val="0051106F"/>
    <w:rsid w:val="00511DE0"/>
    <w:rsid w:val="005147FD"/>
    <w:rsid w:val="00514A9B"/>
    <w:rsid w:val="0051770E"/>
    <w:rsid w:val="00517F02"/>
    <w:rsid w:val="00517FCD"/>
    <w:rsid w:val="00521648"/>
    <w:rsid w:val="00521F14"/>
    <w:rsid w:val="00522CF9"/>
    <w:rsid w:val="00524547"/>
    <w:rsid w:val="0052540D"/>
    <w:rsid w:val="005258A2"/>
    <w:rsid w:val="00527F7C"/>
    <w:rsid w:val="00530A4A"/>
    <w:rsid w:val="00530BEB"/>
    <w:rsid w:val="00530F7C"/>
    <w:rsid w:val="005320BA"/>
    <w:rsid w:val="00534567"/>
    <w:rsid w:val="00534F43"/>
    <w:rsid w:val="00535A84"/>
    <w:rsid w:val="00536889"/>
    <w:rsid w:val="00536F70"/>
    <w:rsid w:val="00542E07"/>
    <w:rsid w:val="00543EF9"/>
    <w:rsid w:val="00544FA7"/>
    <w:rsid w:val="005520DE"/>
    <w:rsid w:val="005547B3"/>
    <w:rsid w:val="00554A7B"/>
    <w:rsid w:val="0055572C"/>
    <w:rsid w:val="00555FA0"/>
    <w:rsid w:val="0055642A"/>
    <w:rsid w:val="00556F44"/>
    <w:rsid w:val="00557917"/>
    <w:rsid w:val="00557E7F"/>
    <w:rsid w:val="005605B2"/>
    <w:rsid w:val="0056064F"/>
    <w:rsid w:val="00560BF8"/>
    <w:rsid w:val="00561B84"/>
    <w:rsid w:val="00562DD8"/>
    <w:rsid w:val="00563B0D"/>
    <w:rsid w:val="00564A51"/>
    <w:rsid w:val="00564C14"/>
    <w:rsid w:val="00566DB2"/>
    <w:rsid w:val="00567022"/>
    <w:rsid w:val="005707CE"/>
    <w:rsid w:val="00571D98"/>
    <w:rsid w:val="00571EF9"/>
    <w:rsid w:val="005720AE"/>
    <w:rsid w:val="005751DD"/>
    <w:rsid w:val="00576AC6"/>
    <w:rsid w:val="00576BF6"/>
    <w:rsid w:val="00577FD7"/>
    <w:rsid w:val="0058030D"/>
    <w:rsid w:val="00581D80"/>
    <w:rsid w:val="00582045"/>
    <w:rsid w:val="00582F99"/>
    <w:rsid w:val="00583701"/>
    <w:rsid w:val="0058404A"/>
    <w:rsid w:val="00585FF8"/>
    <w:rsid w:val="00590796"/>
    <w:rsid w:val="00590AE3"/>
    <w:rsid w:val="005918F1"/>
    <w:rsid w:val="00591A60"/>
    <w:rsid w:val="00594C4F"/>
    <w:rsid w:val="0059662D"/>
    <w:rsid w:val="00596EEE"/>
    <w:rsid w:val="005A06B7"/>
    <w:rsid w:val="005A1759"/>
    <w:rsid w:val="005A2467"/>
    <w:rsid w:val="005A3585"/>
    <w:rsid w:val="005A506F"/>
    <w:rsid w:val="005A6D00"/>
    <w:rsid w:val="005B0AE4"/>
    <w:rsid w:val="005B2672"/>
    <w:rsid w:val="005B287F"/>
    <w:rsid w:val="005B6132"/>
    <w:rsid w:val="005B623E"/>
    <w:rsid w:val="005B6A7D"/>
    <w:rsid w:val="005C1651"/>
    <w:rsid w:val="005C5C16"/>
    <w:rsid w:val="005C676B"/>
    <w:rsid w:val="005C6E8A"/>
    <w:rsid w:val="005C7ECE"/>
    <w:rsid w:val="005D0369"/>
    <w:rsid w:val="005D3EEF"/>
    <w:rsid w:val="005D53FE"/>
    <w:rsid w:val="005D5979"/>
    <w:rsid w:val="005D5BC3"/>
    <w:rsid w:val="005D7A0F"/>
    <w:rsid w:val="005E0438"/>
    <w:rsid w:val="005E1791"/>
    <w:rsid w:val="005E273C"/>
    <w:rsid w:val="005E27C0"/>
    <w:rsid w:val="005E28D0"/>
    <w:rsid w:val="005E2CE6"/>
    <w:rsid w:val="005E603B"/>
    <w:rsid w:val="005E6324"/>
    <w:rsid w:val="005E67B8"/>
    <w:rsid w:val="005E6A7A"/>
    <w:rsid w:val="005E7547"/>
    <w:rsid w:val="005E7671"/>
    <w:rsid w:val="005F123D"/>
    <w:rsid w:val="005F228B"/>
    <w:rsid w:val="005F29CD"/>
    <w:rsid w:val="005F2ADA"/>
    <w:rsid w:val="005F3938"/>
    <w:rsid w:val="005F428C"/>
    <w:rsid w:val="005F4DFB"/>
    <w:rsid w:val="005F6CC0"/>
    <w:rsid w:val="006026DE"/>
    <w:rsid w:val="00602BF1"/>
    <w:rsid w:val="00603E5B"/>
    <w:rsid w:val="00604BC8"/>
    <w:rsid w:val="006063D8"/>
    <w:rsid w:val="0060662E"/>
    <w:rsid w:val="00606645"/>
    <w:rsid w:val="0061243A"/>
    <w:rsid w:val="0061399D"/>
    <w:rsid w:val="006142B4"/>
    <w:rsid w:val="00615B4C"/>
    <w:rsid w:val="00615B5D"/>
    <w:rsid w:val="00616CCF"/>
    <w:rsid w:val="00617830"/>
    <w:rsid w:val="00620027"/>
    <w:rsid w:val="00620406"/>
    <w:rsid w:val="0062146F"/>
    <w:rsid w:val="00624722"/>
    <w:rsid w:val="00625A13"/>
    <w:rsid w:val="006343AF"/>
    <w:rsid w:val="0063634A"/>
    <w:rsid w:val="0064250D"/>
    <w:rsid w:val="00643698"/>
    <w:rsid w:val="0064560D"/>
    <w:rsid w:val="00646086"/>
    <w:rsid w:val="0064681D"/>
    <w:rsid w:val="00650DFC"/>
    <w:rsid w:val="0065162C"/>
    <w:rsid w:val="006535EB"/>
    <w:rsid w:val="0065436C"/>
    <w:rsid w:val="00657402"/>
    <w:rsid w:val="00663016"/>
    <w:rsid w:val="006632CD"/>
    <w:rsid w:val="00664429"/>
    <w:rsid w:val="00667972"/>
    <w:rsid w:val="0067081A"/>
    <w:rsid w:val="0067091F"/>
    <w:rsid w:val="006736C7"/>
    <w:rsid w:val="006738D9"/>
    <w:rsid w:val="00674605"/>
    <w:rsid w:val="006747E9"/>
    <w:rsid w:val="006748B8"/>
    <w:rsid w:val="00675CED"/>
    <w:rsid w:val="006769A0"/>
    <w:rsid w:val="0067775B"/>
    <w:rsid w:val="00682AEE"/>
    <w:rsid w:val="0068535B"/>
    <w:rsid w:val="00686590"/>
    <w:rsid w:val="00687058"/>
    <w:rsid w:val="0068736E"/>
    <w:rsid w:val="006875B2"/>
    <w:rsid w:val="0069290A"/>
    <w:rsid w:val="00692A52"/>
    <w:rsid w:val="00693CF7"/>
    <w:rsid w:val="00694411"/>
    <w:rsid w:val="00694BF6"/>
    <w:rsid w:val="00694E21"/>
    <w:rsid w:val="00697032"/>
    <w:rsid w:val="00697597"/>
    <w:rsid w:val="006975AC"/>
    <w:rsid w:val="006A15FB"/>
    <w:rsid w:val="006A330A"/>
    <w:rsid w:val="006A3782"/>
    <w:rsid w:val="006A3FA2"/>
    <w:rsid w:val="006A52F1"/>
    <w:rsid w:val="006A72BF"/>
    <w:rsid w:val="006A759A"/>
    <w:rsid w:val="006B097A"/>
    <w:rsid w:val="006B09DB"/>
    <w:rsid w:val="006B1653"/>
    <w:rsid w:val="006B2488"/>
    <w:rsid w:val="006B332A"/>
    <w:rsid w:val="006B33BD"/>
    <w:rsid w:val="006C119D"/>
    <w:rsid w:val="006C2F66"/>
    <w:rsid w:val="006C3F75"/>
    <w:rsid w:val="006C5178"/>
    <w:rsid w:val="006D0640"/>
    <w:rsid w:val="006D16C1"/>
    <w:rsid w:val="006D170E"/>
    <w:rsid w:val="006D3030"/>
    <w:rsid w:val="006D3E3A"/>
    <w:rsid w:val="006D3EEE"/>
    <w:rsid w:val="006D4D9E"/>
    <w:rsid w:val="006D7094"/>
    <w:rsid w:val="006E02FA"/>
    <w:rsid w:val="006E06AF"/>
    <w:rsid w:val="006E0ED5"/>
    <w:rsid w:val="006E145C"/>
    <w:rsid w:val="006E38B2"/>
    <w:rsid w:val="006E38E9"/>
    <w:rsid w:val="006E4533"/>
    <w:rsid w:val="006E4C4F"/>
    <w:rsid w:val="006F030D"/>
    <w:rsid w:val="006F061D"/>
    <w:rsid w:val="006F1789"/>
    <w:rsid w:val="006F1A3F"/>
    <w:rsid w:val="006F1C86"/>
    <w:rsid w:val="006F22AD"/>
    <w:rsid w:val="006F28EA"/>
    <w:rsid w:val="006F356F"/>
    <w:rsid w:val="006F4E70"/>
    <w:rsid w:val="006F5C31"/>
    <w:rsid w:val="00700AAD"/>
    <w:rsid w:val="00701164"/>
    <w:rsid w:val="00701D90"/>
    <w:rsid w:val="00702205"/>
    <w:rsid w:val="00703229"/>
    <w:rsid w:val="0070457A"/>
    <w:rsid w:val="00706951"/>
    <w:rsid w:val="00706C5D"/>
    <w:rsid w:val="0071180F"/>
    <w:rsid w:val="00711860"/>
    <w:rsid w:val="007118E6"/>
    <w:rsid w:val="00711C7B"/>
    <w:rsid w:val="007125B0"/>
    <w:rsid w:val="00712DA2"/>
    <w:rsid w:val="007148F8"/>
    <w:rsid w:val="00715B1A"/>
    <w:rsid w:val="00716ECA"/>
    <w:rsid w:val="0072083A"/>
    <w:rsid w:val="007225C9"/>
    <w:rsid w:val="007232B8"/>
    <w:rsid w:val="00726446"/>
    <w:rsid w:val="007264BD"/>
    <w:rsid w:val="00726990"/>
    <w:rsid w:val="00727391"/>
    <w:rsid w:val="0073278B"/>
    <w:rsid w:val="00732EB0"/>
    <w:rsid w:val="00734D26"/>
    <w:rsid w:val="00735CD7"/>
    <w:rsid w:val="0073659A"/>
    <w:rsid w:val="00736B02"/>
    <w:rsid w:val="00737F53"/>
    <w:rsid w:val="007413FF"/>
    <w:rsid w:val="007428F5"/>
    <w:rsid w:val="00745E89"/>
    <w:rsid w:val="00750A42"/>
    <w:rsid w:val="0075123A"/>
    <w:rsid w:val="00751DFC"/>
    <w:rsid w:val="0075365B"/>
    <w:rsid w:val="00754034"/>
    <w:rsid w:val="0075422D"/>
    <w:rsid w:val="00754AB5"/>
    <w:rsid w:val="00754BF1"/>
    <w:rsid w:val="007557D4"/>
    <w:rsid w:val="00755A30"/>
    <w:rsid w:val="00755E1C"/>
    <w:rsid w:val="00756158"/>
    <w:rsid w:val="00756556"/>
    <w:rsid w:val="0076132B"/>
    <w:rsid w:val="007623AE"/>
    <w:rsid w:val="007628D1"/>
    <w:rsid w:val="00762E59"/>
    <w:rsid w:val="00766119"/>
    <w:rsid w:val="00767E51"/>
    <w:rsid w:val="00770B19"/>
    <w:rsid w:val="007713F4"/>
    <w:rsid w:val="00772AF8"/>
    <w:rsid w:val="00773A01"/>
    <w:rsid w:val="00774FA0"/>
    <w:rsid w:val="00775195"/>
    <w:rsid w:val="007755DB"/>
    <w:rsid w:val="0077592B"/>
    <w:rsid w:val="00776620"/>
    <w:rsid w:val="00777B6D"/>
    <w:rsid w:val="00781386"/>
    <w:rsid w:val="007843D8"/>
    <w:rsid w:val="00784855"/>
    <w:rsid w:val="00784F39"/>
    <w:rsid w:val="0078545C"/>
    <w:rsid w:val="00785EB6"/>
    <w:rsid w:val="007906C4"/>
    <w:rsid w:val="00793FE5"/>
    <w:rsid w:val="007940EA"/>
    <w:rsid w:val="0079417F"/>
    <w:rsid w:val="00794ABA"/>
    <w:rsid w:val="00794FC3"/>
    <w:rsid w:val="007956F6"/>
    <w:rsid w:val="00795AD8"/>
    <w:rsid w:val="0079660C"/>
    <w:rsid w:val="007967E8"/>
    <w:rsid w:val="007A0BEB"/>
    <w:rsid w:val="007A0CE7"/>
    <w:rsid w:val="007A1209"/>
    <w:rsid w:val="007A2AF4"/>
    <w:rsid w:val="007A61D2"/>
    <w:rsid w:val="007A63F2"/>
    <w:rsid w:val="007B0187"/>
    <w:rsid w:val="007B556F"/>
    <w:rsid w:val="007B57B8"/>
    <w:rsid w:val="007B59EC"/>
    <w:rsid w:val="007B68DE"/>
    <w:rsid w:val="007B6E38"/>
    <w:rsid w:val="007B709A"/>
    <w:rsid w:val="007C1857"/>
    <w:rsid w:val="007C2D49"/>
    <w:rsid w:val="007C50AF"/>
    <w:rsid w:val="007C514F"/>
    <w:rsid w:val="007C5FE8"/>
    <w:rsid w:val="007D0F95"/>
    <w:rsid w:val="007D5E14"/>
    <w:rsid w:val="007D66E9"/>
    <w:rsid w:val="007D7ECB"/>
    <w:rsid w:val="007E0336"/>
    <w:rsid w:val="007E06FE"/>
    <w:rsid w:val="007E1CD0"/>
    <w:rsid w:val="007E20A7"/>
    <w:rsid w:val="007E25A1"/>
    <w:rsid w:val="007E4BD2"/>
    <w:rsid w:val="007E7145"/>
    <w:rsid w:val="007F0DCA"/>
    <w:rsid w:val="007F22B0"/>
    <w:rsid w:val="007F2375"/>
    <w:rsid w:val="007F3916"/>
    <w:rsid w:val="007F3F00"/>
    <w:rsid w:val="007F6223"/>
    <w:rsid w:val="007F6D57"/>
    <w:rsid w:val="00800BCD"/>
    <w:rsid w:val="00801179"/>
    <w:rsid w:val="00801428"/>
    <w:rsid w:val="00801775"/>
    <w:rsid w:val="00802479"/>
    <w:rsid w:val="00804B3E"/>
    <w:rsid w:val="00805372"/>
    <w:rsid w:val="00805B7B"/>
    <w:rsid w:val="00806E7F"/>
    <w:rsid w:val="008104FE"/>
    <w:rsid w:val="00812443"/>
    <w:rsid w:val="0081293E"/>
    <w:rsid w:val="00813237"/>
    <w:rsid w:val="0081424C"/>
    <w:rsid w:val="00814FFB"/>
    <w:rsid w:val="00820568"/>
    <w:rsid w:val="00822852"/>
    <w:rsid w:val="00823925"/>
    <w:rsid w:val="00823EC6"/>
    <w:rsid w:val="008251CA"/>
    <w:rsid w:val="008267EB"/>
    <w:rsid w:val="00826CAF"/>
    <w:rsid w:val="00827DDD"/>
    <w:rsid w:val="00831A80"/>
    <w:rsid w:val="00831FF0"/>
    <w:rsid w:val="008332C8"/>
    <w:rsid w:val="00833743"/>
    <w:rsid w:val="008340A4"/>
    <w:rsid w:val="008342C9"/>
    <w:rsid w:val="00836799"/>
    <w:rsid w:val="00837028"/>
    <w:rsid w:val="00837131"/>
    <w:rsid w:val="0084038E"/>
    <w:rsid w:val="00843BA6"/>
    <w:rsid w:val="00845F57"/>
    <w:rsid w:val="008506F4"/>
    <w:rsid w:val="00851D7C"/>
    <w:rsid w:val="008521E0"/>
    <w:rsid w:val="008525B0"/>
    <w:rsid w:val="00853734"/>
    <w:rsid w:val="00853CAA"/>
    <w:rsid w:val="008542FD"/>
    <w:rsid w:val="008607AD"/>
    <w:rsid w:val="00862071"/>
    <w:rsid w:val="00862666"/>
    <w:rsid w:val="0086272D"/>
    <w:rsid w:val="00864F4D"/>
    <w:rsid w:val="00865579"/>
    <w:rsid w:val="008673BD"/>
    <w:rsid w:val="0086748D"/>
    <w:rsid w:val="00867CBC"/>
    <w:rsid w:val="00872D64"/>
    <w:rsid w:val="00873374"/>
    <w:rsid w:val="008737A7"/>
    <w:rsid w:val="00875E0B"/>
    <w:rsid w:val="00876902"/>
    <w:rsid w:val="00876C30"/>
    <w:rsid w:val="00877017"/>
    <w:rsid w:val="008773C0"/>
    <w:rsid w:val="00877F19"/>
    <w:rsid w:val="00880364"/>
    <w:rsid w:val="0088257A"/>
    <w:rsid w:val="00882A06"/>
    <w:rsid w:val="00885987"/>
    <w:rsid w:val="00886C4C"/>
    <w:rsid w:val="0088711C"/>
    <w:rsid w:val="00890D49"/>
    <w:rsid w:val="00891A01"/>
    <w:rsid w:val="00892ECF"/>
    <w:rsid w:val="00892F06"/>
    <w:rsid w:val="00894285"/>
    <w:rsid w:val="00896B78"/>
    <w:rsid w:val="00896CBC"/>
    <w:rsid w:val="008A40AE"/>
    <w:rsid w:val="008A4316"/>
    <w:rsid w:val="008A4E19"/>
    <w:rsid w:val="008A550C"/>
    <w:rsid w:val="008A67C5"/>
    <w:rsid w:val="008B12E8"/>
    <w:rsid w:val="008B1F28"/>
    <w:rsid w:val="008B22E1"/>
    <w:rsid w:val="008B31E5"/>
    <w:rsid w:val="008B394B"/>
    <w:rsid w:val="008B3C78"/>
    <w:rsid w:val="008B4AE9"/>
    <w:rsid w:val="008B5B24"/>
    <w:rsid w:val="008B7CEE"/>
    <w:rsid w:val="008C2796"/>
    <w:rsid w:val="008C30AD"/>
    <w:rsid w:val="008C3344"/>
    <w:rsid w:val="008C69F0"/>
    <w:rsid w:val="008D045F"/>
    <w:rsid w:val="008D068E"/>
    <w:rsid w:val="008D0F7A"/>
    <w:rsid w:val="008D63BE"/>
    <w:rsid w:val="008D71C0"/>
    <w:rsid w:val="008E04C5"/>
    <w:rsid w:val="008E0A61"/>
    <w:rsid w:val="008E0CFF"/>
    <w:rsid w:val="008E1378"/>
    <w:rsid w:val="008E487F"/>
    <w:rsid w:val="008E4EF7"/>
    <w:rsid w:val="008E5D6B"/>
    <w:rsid w:val="008E689B"/>
    <w:rsid w:val="008E76F0"/>
    <w:rsid w:val="008E79A1"/>
    <w:rsid w:val="008F13A5"/>
    <w:rsid w:val="008F15FE"/>
    <w:rsid w:val="008F19C1"/>
    <w:rsid w:val="008F1E48"/>
    <w:rsid w:val="008F2A94"/>
    <w:rsid w:val="008F32E0"/>
    <w:rsid w:val="008F390F"/>
    <w:rsid w:val="008F490A"/>
    <w:rsid w:val="008F49C2"/>
    <w:rsid w:val="008F49D9"/>
    <w:rsid w:val="008F5187"/>
    <w:rsid w:val="008F5CC8"/>
    <w:rsid w:val="008F709C"/>
    <w:rsid w:val="00901B21"/>
    <w:rsid w:val="009024B1"/>
    <w:rsid w:val="00902695"/>
    <w:rsid w:val="0090312B"/>
    <w:rsid w:val="009031E4"/>
    <w:rsid w:val="00904961"/>
    <w:rsid w:val="0090565C"/>
    <w:rsid w:val="00905A09"/>
    <w:rsid w:val="00905F2A"/>
    <w:rsid w:val="009079C1"/>
    <w:rsid w:val="009104A5"/>
    <w:rsid w:val="00913370"/>
    <w:rsid w:val="00913B9E"/>
    <w:rsid w:val="00913C5E"/>
    <w:rsid w:val="00914863"/>
    <w:rsid w:val="0091647E"/>
    <w:rsid w:val="00916B9D"/>
    <w:rsid w:val="0091736D"/>
    <w:rsid w:val="00920802"/>
    <w:rsid w:val="00922AFB"/>
    <w:rsid w:val="00922D2A"/>
    <w:rsid w:val="00926E8F"/>
    <w:rsid w:val="009277CC"/>
    <w:rsid w:val="00930321"/>
    <w:rsid w:val="00931001"/>
    <w:rsid w:val="0093151A"/>
    <w:rsid w:val="00931863"/>
    <w:rsid w:val="00932A6B"/>
    <w:rsid w:val="00933524"/>
    <w:rsid w:val="0093388C"/>
    <w:rsid w:val="00935910"/>
    <w:rsid w:val="009372C7"/>
    <w:rsid w:val="00940613"/>
    <w:rsid w:val="00941AC0"/>
    <w:rsid w:val="0094278D"/>
    <w:rsid w:val="00944D14"/>
    <w:rsid w:val="00945001"/>
    <w:rsid w:val="009513A5"/>
    <w:rsid w:val="0095308A"/>
    <w:rsid w:val="009532A6"/>
    <w:rsid w:val="009543F6"/>
    <w:rsid w:val="00954F3A"/>
    <w:rsid w:val="0095545D"/>
    <w:rsid w:val="00955AEE"/>
    <w:rsid w:val="00956F14"/>
    <w:rsid w:val="009620FD"/>
    <w:rsid w:val="0096247A"/>
    <w:rsid w:val="00964E3A"/>
    <w:rsid w:val="00965B65"/>
    <w:rsid w:val="00965F4B"/>
    <w:rsid w:val="00965F76"/>
    <w:rsid w:val="009674FA"/>
    <w:rsid w:val="00970F8A"/>
    <w:rsid w:val="00971FB5"/>
    <w:rsid w:val="00972D2A"/>
    <w:rsid w:val="00973938"/>
    <w:rsid w:val="00974838"/>
    <w:rsid w:val="00974A5F"/>
    <w:rsid w:val="00974FA9"/>
    <w:rsid w:val="00975585"/>
    <w:rsid w:val="00975CC5"/>
    <w:rsid w:val="00976328"/>
    <w:rsid w:val="00976951"/>
    <w:rsid w:val="00976B4E"/>
    <w:rsid w:val="0097752D"/>
    <w:rsid w:val="0097772B"/>
    <w:rsid w:val="00982FCF"/>
    <w:rsid w:val="009838DB"/>
    <w:rsid w:val="00984458"/>
    <w:rsid w:val="00985283"/>
    <w:rsid w:val="00985465"/>
    <w:rsid w:val="0098555E"/>
    <w:rsid w:val="0098591C"/>
    <w:rsid w:val="009864C0"/>
    <w:rsid w:val="00987322"/>
    <w:rsid w:val="00990071"/>
    <w:rsid w:val="00990B66"/>
    <w:rsid w:val="009929BF"/>
    <w:rsid w:val="00992C06"/>
    <w:rsid w:val="00993E37"/>
    <w:rsid w:val="009944CF"/>
    <w:rsid w:val="0099476B"/>
    <w:rsid w:val="0099596E"/>
    <w:rsid w:val="0099777D"/>
    <w:rsid w:val="009A0F3B"/>
    <w:rsid w:val="009A3B1C"/>
    <w:rsid w:val="009A4736"/>
    <w:rsid w:val="009A5829"/>
    <w:rsid w:val="009A5EC0"/>
    <w:rsid w:val="009A72C7"/>
    <w:rsid w:val="009B0897"/>
    <w:rsid w:val="009B13E4"/>
    <w:rsid w:val="009B1846"/>
    <w:rsid w:val="009B33AA"/>
    <w:rsid w:val="009C0493"/>
    <w:rsid w:val="009C37BB"/>
    <w:rsid w:val="009C4348"/>
    <w:rsid w:val="009C4B6C"/>
    <w:rsid w:val="009C5FAA"/>
    <w:rsid w:val="009D0521"/>
    <w:rsid w:val="009D0852"/>
    <w:rsid w:val="009D189F"/>
    <w:rsid w:val="009D1E17"/>
    <w:rsid w:val="009D1FBF"/>
    <w:rsid w:val="009D22A8"/>
    <w:rsid w:val="009E2A81"/>
    <w:rsid w:val="009E399C"/>
    <w:rsid w:val="009E43C1"/>
    <w:rsid w:val="009E6F88"/>
    <w:rsid w:val="009E726D"/>
    <w:rsid w:val="009E7E95"/>
    <w:rsid w:val="009F046D"/>
    <w:rsid w:val="009F116F"/>
    <w:rsid w:val="009F1EA3"/>
    <w:rsid w:val="009F329E"/>
    <w:rsid w:val="009F372B"/>
    <w:rsid w:val="009F526D"/>
    <w:rsid w:val="009F5B74"/>
    <w:rsid w:val="009F5E69"/>
    <w:rsid w:val="009F6874"/>
    <w:rsid w:val="009F7599"/>
    <w:rsid w:val="009F7ED3"/>
    <w:rsid w:val="00A008FF"/>
    <w:rsid w:val="00A01216"/>
    <w:rsid w:val="00A033D6"/>
    <w:rsid w:val="00A03607"/>
    <w:rsid w:val="00A047FF"/>
    <w:rsid w:val="00A04FEF"/>
    <w:rsid w:val="00A0559C"/>
    <w:rsid w:val="00A07C17"/>
    <w:rsid w:val="00A122CD"/>
    <w:rsid w:val="00A12A32"/>
    <w:rsid w:val="00A14248"/>
    <w:rsid w:val="00A14947"/>
    <w:rsid w:val="00A14C93"/>
    <w:rsid w:val="00A15E71"/>
    <w:rsid w:val="00A167BC"/>
    <w:rsid w:val="00A16D9A"/>
    <w:rsid w:val="00A20082"/>
    <w:rsid w:val="00A2117B"/>
    <w:rsid w:val="00A22823"/>
    <w:rsid w:val="00A23334"/>
    <w:rsid w:val="00A23DC5"/>
    <w:rsid w:val="00A23E43"/>
    <w:rsid w:val="00A2475A"/>
    <w:rsid w:val="00A24D59"/>
    <w:rsid w:val="00A33468"/>
    <w:rsid w:val="00A33B93"/>
    <w:rsid w:val="00A34028"/>
    <w:rsid w:val="00A3532D"/>
    <w:rsid w:val="00A35568"/>
    <w:rsid w:val="00A369CB"/>
    <w:rsid w:val="00A37056"/>
    <w:rsid w:val="00A37CD7"/>
    <w:rsid w:val="00A403C0"/>
    <w:rsid w:val="00A421A1"/>
    <w:rsid w:val="00A4259B"/>
    <w:rsid w:val="00A42A39"/>
    <w:rsid w:val="00A4358F"/>
    <w:rsid w:val="00A46EBB"/>
    <w:rsid w:val="00A46F67"/>
    <w:rsid w:val="00A50A5C"/>
    <w:rsid w:val="00A51439"/>
    <w:rsid w:val="00A515AB"/>
    <w:rsid w:val="00A53031"/>
    <w:rsid w:val="00A54AA1"/>
    <w:rsid w:val="00A558E9"/>
    <w:rsid w:val="00A568FF"/>
    <w:rsid w:val="00A605FF"/>
    <w:rsid w:val="00A609EA"/>
    <w:rsid w:val="00A61496"/>
    <w:rsid w:val="00A61833"/>
    <w:rsid w:val="00A624C6"/>
    <w:rsid w:val="00A62879"/>
    <w:rsid w:val="00A63CEC"/>
    <w:rsid w:val="00A65B0B"/>
    <w:rsid w:val="00A65E23"/>
    <w:rsid w:val="00A7031E"/>
    <w:rsid w:val="00A728B1"/>
    <w:rsid w:val="00A763DE"/>
    <w:rsid w:val="00A803D6"/>
    <w:rsid w:val="00A81282"/>
    <w:rsid w:val="00A812E8"/>
    <w:rsid w:val="00A8389B"/>
    <w:rsid w:val="00A83C09"/>
    <w:rsid w:val="00A86F0F"/>
    <w:rsid w:val="00A8713F"/>
    <w:rsid w:val="00A87DDD"/>
    <w:rsid w:val="00A91167"/>
    <w:rsid w:val="00A9171C"/>
    <w:rsid w:val="00A922BF"/>
    <w:rsid w:val="00A92573"/>
    <w:rsid w:val="00A92FFD"/>
    <w:rsid w:val="00A94F0C"/>
    <w:rsid w:val="00A95975"/>
    <w:rsid w:val="00A9708D"/>
    <w:rsid w:val="00A9714A"/>
    <w:rsid w:val="00AA23DA"/>
    <w:rsid w:val="00AA2C17"/>
    <w:rsid w:val="00AA4172"/>
    <w:rsid w:val="00AA4A45"/>
    <w:rsid w:val="00AA4C33"/>
    <w:rsid w:val="00AA68B0"/>
    <w:rsid w:val="00AA7794"/>
    <w:rsid w:val="00AB1656"/>
    <w:rsid w:val="00AB1914"/>
    <w:rsid w:val="00AB2BF3"/>
    <w:rsid w:val="00AB3793"/>
    <w:rsid w:val="00AB3946"/>
    <w:rsid w:val="00AB42A1"/>
    <w:rsid w:val="00AB5330"/>
    <w:rsid w:val="00AB583E"/>
    <w:rsid w:val="00AB7747"/>
    <w:rsid w:val="00AB7E09"/>
    <w:rsid w:val="00AC0C60"/>
    <w:rsid w:val="00AC2532"/>
    <w:rsid w:val="00AC3F66"/>
    <w:rsid w:val="00AC5AC5"/>
    <w:rsid w:val="00AD0AA0"/>
    <w:rsid w:val="00AD1507"/>
    <w:rsid w:val="00AD34FB"/>
    <w:rsid w:val="00AD5A70"/>
    <w:rsid w:val="00AD5B21"/>
    <w:rsid w:val="00AD7239"/>
    <w:rsid w:val="00AD738B"/>
    <w:rsid w:val="00AD7BE9"/>
    <w:rsid w:val="00AE0067"/>
    <w:rsid w:val="00AE1BF4"/>
    <w:rsid w:val="00AE1F96"/>
    <w:rsid w:val="00AE5D97"/>
    <w:rsid w:val="00AE63FB"/>
    <w:rsid w:val="00AE6794"/>
    <w:rsid w:val="00AF43F4"/>
    <w:rsid w:val="00AF463C"/>
    <w:rsid w:val="00AF5D73"/>
    <w:rsid w:val="00B00865"/>
    <w:rsid w:val="00B01110"/>
    <w:rsid w:val="00B02262"/>
    <w:rsid w:val="00B03CEC"/>
    <w:rsid w:val="00B11037"/>
    <w:rsid w:val="00B11E41"/>
    <w:rsid w:val="00B1209F"/>
    <w:rsid w:val="00B12453"/>
    <w:rsid w:val="00B12AD0"/>
    <w:rsid w:val="00B15323"/>
    <w:rsid w:val="00B202C2"/>
    <w:rsid w:val="00B248F0"/>
    <w:rsid w:val="00B24C4B"/>
    <w:rsid w:val="00B24F30"/>
    <w:rsid w:val="00B26D72"/>
    <w:rsid w:val="00B2768A"/>
    <w:rsid w:val="00B27E62"/>
    <w:rsid w:val="00B30BD1"/>
    <w:rsid w:val="00B31ABF"/>
    <w:rsid w:val="00B32609"/>
    <w:rsid w:val="00B32D3F"/>
    <w:rsid w:val="00B335AE"/>
    <w:rsid w:val="00B36747"/>
    <w:rsid w:val="00B37162"/>
    <w:rsid w:val="00B37CE1"/>
    <w:rsid w:val="00B404A3"/>
    <w:rsid w:val="00B408DB"/>
    <w:rsid w:val="00B40ACF"/>
    <w:rsid w:val="00B40B05"/>
    <w:rsid w:val="00B422C9"/>
    <w:rsid w:val="00B4259C"/>
    <w:rsid w:val="00B446AC"/>
    <w:rsid w:val="00B46BAA"/>
    <w:rsid w:val="00B478EE"/>
    <w:rsid w:val="00B50B5F"/>
    <w:rsid w:val="00B512A3"/>
    <w:rsid w:val="00B54128"/>
    <w:rsid w:val="00B55826"/>
    <w:rsid w:val="00B57877"/>
    <w:rsid w:val="00B60426"/>
    <w:rsid w:val="00B622DD"/>
    <w:rsid w:val="00B63522"/>
    <w:rsid w:val="00B64895"/>
    <w:rsid w:val="00B653BB"/>
    <w:rsid w:val="00B7205D"/>
    <w:rsid w:val="00B722E3"/>
    <w:rsid w:val="00B72909"/>
    <w:rsid w:val="00B76026"/>
    <w:rsid w:val="00B763C7"/>
    <w:rsid w:val="00B76A27"/>
    <w:rsid w:val="00B76CC8"/>
    <w:rsid w:val="00B76F1D"/>
    <w:rsid w:val="00B77A2A"/>
    <w:rsid w:val="00B77BEF"/>
    <w:rsid w:val="00B810AD"/>
    <w:rsid w:val="00B8172E"/>
    <w:rsid w:val="00B866EB"/>
    <w:rsid w:val="00B87151"/>
    <w:rsid w:val="00B90EC1"/>
    <w:rsid w:val="00B926F4"/>
    <w:rsid w:val="00B92A19"/>
    <w:rsid w:val="00B93150"/>
    <w:rsid w:val="00B9544C"/>
    <w:rsid w:val="00B96F75"/>
    <w:rsid w:val="00B975B1"/>
    <w:rsid w:val="00BA0EB9"/>
    <w:rsid w:val="00BA184A"/>
    <w:rsid w:val="00BA29E9"/>
    <w:rsid w:val="00BA2B15"/>
    <w:rsid w:val="00BA2DE3"/>
    <w:rsid w:val="00BA5E4C"/>
    <w:rsid w:val="00BA7CB7"/>
    <w:rsid w:val="00BB07BD"/>
    <w:rsid w:val="00BB094A"/>
    <w:rsid w:val="00BB0D6C"/>
    <w:rsid w:val="00BB1126"/>
    <w:rsid w:val="00BB22F7"/>
    <w:rsid w:val="00BB3618"/>
    <w:rsid w:val="00BB72A7"/>
    <w:rsid w:val="00BC0C9E"/>
    <w:rsid w:val="00BC0E50"/>
    <w:rsid w:val="00BC1A54"/>
    <w:rsid w:val="00BC2C8B"/>
    <w:rsid w:val="00BC32DC"/>
    <w:rsid w:val="00BC3ABF"/>
    <w:rsid w:val="00BC5C77"/>
    <w:rsid w:val="00BC63AB"/>
    <w:rsid w:val="00BC772E"/>
    <w:rsid w:val="00BD1B51"/>
    <w:rsid w:val="00BD2EBB"/>
    <w:rsid w:val="00BD37E3"/>
    <w:rsid w:val="00BD47F6"/>
    <w:rsid w:val="00BE312D"/>
    <w:rsid w:val="00BE3939"/>
    <w:rsid w:val="00BE3FCA"/>
    <w:rsid w:val="00BE575B"/>
    <w:rsid w:val="00BF097B"/>
    <w:rsid w:val="00BF0C99"/>
    <w:rsid w:val="00BF2213"/>
    <w:rsid w:val="00BF710D"/>
    <w:rsid w:val="00BF77F3"/>
    <w:rsid w:val="00C02E2B"/>
    <w:rsid w:val="00C03A2D"/>
    <w:rsid w:val="00C05719"/>
    <w:rsid w:val="00C100A0"/>
    <w:rsid w:val="00C10578"/>
    <w:rsid w:val="00C16E82"/>
    <w:rsid w:val="00C17D62"/>
    <w:rsid w:val="00C216FA"/>
    <w:rsid w:val="00C21FDC"/>
    <w:rsid w:val="00C24EE7"/>
    <w:rsid w:val="00C2596A"/>
    <w:rsid w:val="00C26CF0"/>
    <w:rsid w:val="00C271BE"/>
    <w:rsid w:val="00C27425"/>
    <w:rsid w:val="00C30AF1"/>
    <w:rsid w:val="00C328FE"/>
    <w:rsid w:val="00C33A05"/>
    <w:rsid w:val="00C3641C"/>
    <w:rsid w:val="00C36E24"/>
    <w:rsid w:val="00C40512"/>
    <w:rsid w:val="00C41D5E"/>
    <w:rsid w:val="00C42389"/>
    <w:rsid w:val="00C42500"/>
    <w:rsid w:val="00C43396"/>
    <w:rsid w:val="00C4409D"/>
    <w:rsid w:val="00C455BE"/>
    <w:rsid w:val="00C471BB"/>
    <w:rsid w:val="00C51259"/>
    <w:rsid w:val="00C51E5F"/>
    <w:rsid w:val="00C53500"/>
    <w:rsid w:val="00C548E8"/>
    <w:rsid w:val="00C54E82"/>
    <w:rsid w:val="00C552A8"/>
    <w:rsid w:val="00C55FE9"/>
    <w:rsid w:val="00C564AC"/>
    <w:rsid w:val="00C56C28"/>
    <w:rsid w:val="00C571C8"/>
    <w:rsid w:val="00C61E4B"/>
    <w:rsid w:val="00C62E3A"/>
    <w:rsid w:val="00C64503"/>
    <w:rsid w:val="00C64A1F"/>
    <w:rsid w:val="00C64BFF"/>
    <w:rsid w:val="00C65158"/>
    <w:rsid w:val="00C7077F"/>
    <w:rsid w:val="00C71266"/>
    <w:rsid w:val="00C71ACD"/>
    <w:rsid w:val="00C71D47"/>
    <w:rsid w:val="00C741ED"/>
    <w:rsid w:val="00C763C9"/>
    <w:rsid w:val="00C76ADF"/>
    <w:rsid w:val="00C80057"/>
    <w:rsid w:val="00C82227"/>
    <w:rsid w:val="00C82C79"/>
    <w:rsid w:val="00C84753"/>
    <w:rsid w:val="00C851AF"/>
    <w:rsid w:val="00C866A8"/>
    <w:rsid w:val="00C90D02"/>
    <w:rsid w:val="00C91611"/>
    <w:rsid w:val="00C920D5"/>
    <w:rsid w:val="00C933EB"/>
    <w:rsid w:val="00C944CE"/>
    <w:rsid w:val="00C96056"/>
    <w:rsid w:val="00C96503"/>
    <w:rsid w:val="00C96D6A"/>
    <w:rsid w:val="00CA2058"/>
    <w:rsid w:val="00CA3585"/>
    <w:rsid w:val="00CA3976"/>
    <w:rsid w:val="00CA3D5A"/>
    <w:rsid w:val="00CA4BAF"/>
    <w:rsid w:val="00CA4C7C"/>
    <w:rsid w:val="00CA5423"/>
    <w:rsid w:val="00CB0183"/>
    <w:rsid w:val="00CB03B2"/>
    <w:rsid w:val="00CB04CA"/>
    <w:rsid w:val="00CB063E"/>
    <w:rsid w:val="00CB1EA3"/>
    <w:rsid w:val="00CB22F4"/>
    <w:rsid w:val="00CB372A"/>
    <w:rsid w:val="00CB38E9"/>
    <w:rsid w:val="00CB552C"/>
    <w:rsid w:val="00CB6A9E"/>
    <w:rsid w:val="00CC08B2"/>
    <w:rsid w:val="00CC2A79"/>
    <w:rsid w:val="00CC6181"/>
    <w:rsid w:val="00CC744E"/>
    <w:rsid w:val="00CC7DB3"/>
    <w:rsid w:val="00CD014B"/>
    <w:rsid w:val="00CD2BCD"/>
    <w:rsid w:val="00CD36AA"/>
    <w:rsid w:val="00CD3791"/>
    <w:rsid w:val="00CD65B0"/>
    <w:rsid w:val="00CE02CD"/>
    <w:rsid w:val="00CE10E9"/>
    <w:rsid w:val="00CE3A1C"/>
    <w:rsid w:val="00CE5388"/>
    <w:rsid w:val="00CE7F8A"/>
    <w:rsid w:val="00CF0294"/>
    <w:rsid w:val="00CF07A1"/>
    <w:rsid w:val="00CF3E20"/>
    <w:rsid w:val="00CF5FA3"/>
    <w:rsid w:val="00CF6F4E"/>
    <w:rsid w:val="00D0072E"/>
    <w:rsid w:val="00D01576"/>
    <w:rsid w:val="00D03E25"/>
    <w:rsid w:val="00D1094D"/>
    <w:rsid w:val="00D10DFC"/>
    <w:rsid w:val="00D112E6"/>
    <w:rsid w:val="00D1245E"/>
    <w:rsid w:val="00D128AC"/>
    <w:rsid w:val="00D14370"/>
    <w:rsid w:val="00D151B9"/>
    <w:rsid w:val="00D15727"/>
    <w:rsid w:val="00D16332"/>
    <w:rsid w:val="00D209B4"/>
    <w:rsid w:val="00D20A58"/>
    <w:rsid w:val="00D23F21"/>
    <w:rsid w:val="00D24972"/>
    <w:rsid w:val="00D2515E"/>
    <w:rsid w:val="00D26E60"/>
    <w:rsid w:val="00D272FD"/>
    <w:rsid w:val="00D30124"/>
    <w:rsid w:val="00D308ED"/>
    <w:rsid w:val="00D337FA"/>
    <w:rsid w:val="00D33BC9"/>
    <w:rsid w:val="00D3730B"/>
    <w:rsid w:val="00D40B05"/>
    <w:rsid w:val="00D44041"/>
    <w:rsid w:val="00D444FC"/>
    <w:rsid w:val="00D448D2"/>
    <w:rsid w:val="00D44CDF"/>
    <w:rsid w:val="00D454C5"/>
    <w:rsid w:val="00D4687F"/>
    <w:rsid w:val="00D504AF"/>
    <w:rsid w:val="00D50A3C"/>
    <w:rsid w:val="00D515C9"/>
    <w:rsid w:val="00D56178"/>
    <w:rsid w:val="00D56835"/>
    <w:rsid w:val="00D56CF0"/>
    <w:rsid w:val="00D56F5C"/>
    <w:rsid w:val="00D61D90"/>
    <w:rsid w:val="00D64C69"/>
    <w:rsid w:val="00D651ED"/>
    <w:rsid w:val="00D666DF"/>
    <w:rsid w:val="00D704B1"/>
    <w:rsid w:val="00D70B3E"/>
    <w:rsid w:val="00D70B63"/>
    <w:rsid w:val="00D725D2"/>
    <w:rsid w:val="00D72B92"/>
    <w:rsid w:val="00D72BCF"/>
    <w:rsid w:val="00D72ED4"/>
    <w:rsid w:val="00D73F61"/>
    <w:rsid w:val="00D754C0"/>
    <w:rsid w:val="00D776A2"/>
    <w:rsid w:val="00D77CA2"/>
    <w:rsid w:val="00D801C4"/>
    <w:rsid w:val="00D8236E"/>
    <w:rsid w:val="00D83422"/>
    <w:rsid w:val="00D84A42"/>
    <w:rsid w:val="00D868DA"/>
    <w:rsid w:val="00D90836"/>
    <w:rsid w:val="00D933DD"/>
    <w:rsid w:val="00D95896"/>
    <w:rsid w:val="00D95CC6"/>
    <w:rsid w:val="00D96552"/>
    <w:rsid w:val="00DA02BB"/>
    <w:rsid w:val="00DA0746"/>
    <w:rsid w:val="00DA2DA3"/>
    <w:rsid w:val="00DA5092"/>
    <w:rsid w:val="00DA5F44"/>
    <w:rsid w:val="00DA6615"/>
    <w:rsid w:val="00DA6CD3"/>
    <w:rsid w:val="00DA6FB2"/>
    <w:rsid w:val="00DA76AE"/>
    <w:rsid w:val="00DB09FE"/>
    <w:rsid w:val="00DB181E"/>
    <w:rsid w:val="00DB1C7A"/>
    <w:rsid w:val="00DB2983"/>
    <w:rsid w:val="00DB343D"/>
    <w:rsid w:val="00DB36CF"/>
    <w:rsid w:val="00DB37AD"/>
    <w:rsid w:val="00DB46DB"/>
    <w:rsid w:val="00DB5579"/>
    <w:rsid w:val="00DB5CFE"/>
    <w:rsid w:val="00DC2028"/>
    <w:rsid w:val="00DC6047"/>
    <w:rsid w:val="00DC72A6"/>
    <w:rsid w:val="00DC75DA"/>
    <w:rsid w:val="00DD0E3E"/>
    <w:rsid w:val="00DD163D"/>
    <w:rsid w:val="00DD1ED8"/>
    <w:rsid w:val="00DD1FD9"/>
    <w:rsid w:val="00DD2113"/>
    <w:rsid w:val="00DD265E"/>
    <w:rsid w:val="00DD2CDF"/>
    <w:rsid w:val="00DD2FB4"/>
    <w:rsid w:val="00DD5A28"/>
    <w:rsid w:val="00DD75DF"/>
    <w:rsid w:val="00DE164F"/>
    <w:rsid w:val="00DE1BD7"/>
    <w:rsid w:val="00DE3259"/>
    <w:rsid w:val="00DE6524"/>
    <w:rsid w:val="00DE75AB"/>
    <w:rsid w:val="00DE76AA"/>
    <w:rsid w:val="00DE76D0"/>
    <w:rsid w:val="00DF0CC7"/>
    <w:rsid w:val="00DF1930"/>
    <w:rsid w:val="00DF3EDE"/>
    <w:rsid w:val="00DF418F"/>
    <w:rsid w:val="00DF42C4"/>
    <w:rsid w:val="00DF514A"/>
    <w:rsid w:val="00DF7BA1"/>
    <w:rsid w:val="00DF7EAB"/>
    <w:rsid w:val="00E0029D"/>
    <w:rsid w:val="00E01723"/>
    <w:rsid w:val="00E02BD4"/>
    <w:rsid w:val="00E0358D"/>
    <w:rsid w:val="00E05C16"/>
    <w:rsid w:val="00E06327"/>
    <w:rsid w:val="00E11A05"/>
    <w:rsid w:val="00E15182"/>
    <w:rsid w:val="00E1630E"/>
    <w:rsid w:val="00E16848"/>
    <w:rsid w:val="00E16F1D"/>
    <w:rsid w:val="00E2064B"/>
    <w:rsid w:val="00E2183B"/>
    <w:rsid w:val="00E22823"/>
    <w:rsid w:val="00E24D5E"/>
    <w:rsid w:val="00E25239"/>
    <w:rsid w:val="00E265B1"/>
    <w:rsid w:val="00E275B0"/>
    <w:rsid w:val="00E309F4"/>
    <w:rsid w:val="00E3168C"/>
    <w:rsid w:val="00E363E2"/>
    <w:rsid w:val="00E37D02"/>
    <w:rsid w:val="00E37E31"/>
    <w:rsid w:val="00E412D0"/>
    <w:rsid w:val="00E416EC"/>
    <w:rsid w:val="00E429AB"/>
    <w:rsid w:val="00E43B0A"/>
    <w:rsid w:val="00E443CF"/>
    <w:rsid w:val="00E46FD9"/>
    <w:rsid w:val="00E47CDB"/>
    <w:rsid w:val="00E5050C"/>
    <w:rsid w:val="00E51D37"/>
    <w:rsid w:val="00E5518E"/>
    <w:rsid w:val="00E566BC"/>
    <w:rsid w:val="00E60742"/>
    <w:rsid w:val="00E60982"/>
    <w:rsid w:val="00E60C7E"/>
    <w:rsid w:val="00E60C8D"/>
    <w:rsid w:val="00E6162F"/>
    <w:rsid w:val="00E61B92"/>
    <w:rsid w:val="00E6311B"/>
    <w:rsid w:val="00E63A16"/>
    <w:rsid w:val="00E65D97"/>
    <w:rsid w:val="00E67EFD"/>
    <w:rsid w:val="00E7019E"/>
    <w:rsid w:val="00E702DC"/>
    <w:rsid w:val="00E71FFB"/>
    <w:rsid w:val="00E72381"/>
    <w:rsid w:val="00E7256F"/>
    <w:rsid w:val="00E737B3"/>
    <w:rsid w:val="00E73DF1"/>
    <w:rsid w:val="00E7400C"/>
    <w:rsid w:val="00E7582F"/>
    <w:rsid w:val="00E76166"/>
    <w:rsid w:val="00E76D1D"/>
    <w:rsid w:val="00E806F8"/>
    <w:rsid w:val="00E81A27"/>
    <w:rsid w:val="00E81E67"/>
    <w:rsid w:val="00E844D4"/>
    <w:rsid w:val="00E868FE"/>
    <w:rsid w:val="00E86A60"/>
    <w:rsid w:val="00E874BF"/>
    <w:rsid w:val="00E874D4"/>
    <w:rsid w:val="00E87752"/>
    <w:rsid w:val="00E8793B"/>
    <w:rsid w:val="00E87CE9"/>
    <w:rsid w:val="00E90F81"/>
    <w:rsid w:val="00E91A6D"/>
    <w:rsid w:val="00E91BFA"/>
    <w:rsid w:val="00E9242D"/>
    <w:rsid w:val="00E9432B"/>
    <w:rsid w:val="00E96795"/>
    <w:rsid w:val="00E96D69"/>
    <w:rsid w:val="00EA18E6"/>
    <w:rsid w:val="00EA19BE"/>
    <w:rsid w:val="00EA4621"/>
    <w:rsid w:val="00EA5642"/>
    <w:rsid w:val="00EA5DBE"/>
    <w:rsid w:val="00EA6BFF"/>
    <w:rsid w:val="00EA7A4F"/>
    <w:rsid w:val="00EB041C"/>
    <w:rsid w:val="00EB136F"/>
    <w:rsid w:val="00EB14F1"/>
    <w:rsid w:val="00EB2F1E"/>
    <w:rsid w:val="00EB4548"/>
    <w:rsid w:val="00EB65B7"/>
    <w:rsid w:val="00EB7173"/>
    <w:rsid w:val="00EC0133"/>
    <w:rsid w:val="00EC19C7"/>
    <w:rsid w:val="00EC350E"/>
    <w:rsid w:val="00EC4262"/>
    <w:rsid w:val="00EC475C"/>
    <w:rsid w:val="00EC5874"/>
    <w:rsid w:val="00EC5BAE"/>
    <w:rsid w:val="00EC7CC3"/>
    <w:rsid w:val="00ED192D"/>
    <w:rsid w:val="00ED262A"/>
    <w:rsid w:val="00ED30B4"/>
    <w:rsid w:val="00ED31F5"/>
    <w:rsid w:val="00ED475E"/>
    <w:rsid w:val="00ED595D"/>
    <w:rsid w:val="00EE41ED"/>
    <w:rsid w:val="00EE5747"/>
    <w:rsid w:val="00EE5D44"/>
    <w:rsid w:val="00EF1954"/>
    <w:rsid w:val="00EF2522"/>
    <w:rsid w:val="00EF2759"/>
    <w:rsid w:val="00EF2EFD"/>
    <w:rsid w:val="00EF45EB"/>
    <w:rsid w:val="00EF5099"/>
    <w:rsid w:val="00EF57F7"/>
    <w:rsid w:val="00EF5E33"/>
    <w:rsid w:val="00EF5E83"/>
    <w:rsid w:val="00EF7D54"/>
    <w:rsid w:val="00EF7E10"/>
    <w:rsid w:val="00F00075"/>
    <w:rsid w:val="00F00D3C"/>
    <w:rsid w:val="00F00E25"/>
    <w:rsid w:val="00F03813"/>
    <w:rsid w:val="00F0756C"/>
    <w:rsid w:val="00F07822"/>
    <w:rsid w:val="00F10CA0"/>
    <w:rsid w:val="00F12627"/>
    <w:rsid w:val="00F13B45"/>
    <w:rsid w:val="00F14B35"/>
    <w:rsid w:val="00F15AF9"/>
    <w:rsid w:val="00F15C95"/>
    <w:rsid w:val="00F1680D"/>
    <w:rsid w:val="00F212FB"/>
    <w:rsid w:val="00F21EE3"/>
    <w:rsid w:val="00F22985"/>
    <w:rsid w:val="00F2406E"/>
    <w:rsid w:val="00F241AB"/>
    <w:rsid w:val="00F251AA"/>
    <w:rsid w:val="00F25D1F"/>
    <w:rsid w:val="00F25E2F"/>
    <w:rsid w:val="00F27FC4"/>
    <w:rsid w:val="00F30BD4"/>
    <w:rsid w:val="00F31382"/>
    <w:rsid w:val="00F3252C"/>
    <w:rsid w:val="00F33727"/>
    <w:rsid w:val="00F35829"/>
    <w:rsid w:val="00F35CAD"/>
    <w:rsid w:val="00F42868"/>
    <w:rsid w:val="00F44C7D"/>
    <w:rsid w:val="00F45E3A"/>
    <w:rsid w:val="00F465A7"/>
    <w:rsid w:val="00F47447"/>
    <w:rsid w:val="00F47F4D"/>
    <w:rsid w:val="00F505C9"/>
    <w:rsid w:val="00F50B7C"/>
    <w:rsid w:val="00F50FE6"/>
    <w:rsid w:val="00F5202D"/>
    <w:rsid w:val="00F52CF6"/>
    <w:rsid w:val="00F54496"/>
    <w:rsid w:val="00F56B5E"/>
    <w:rsid w:val="00F60C60"/>
    <w:rsid w:val="00F61097"/>
    <w:rsid w:val="00F627B0"/>
    <w:rsid w:val="00F628CD"/>
    <w:rsid w:val="00F64734"/>
    <w:rsid w:val="00F70F48"/>
    <w:rsid w:val="00F71231"/>
    <w:rsid w:val="00F72E25"/>
    <w:rsid w:val="00F740CB"/>
    <w:rsid w:val="00F74345"/>
    <w:rsid w:val="00F74441"/>
    <w:rsid w:val="00F748FF"/>
    <w:rsid w:val="00F76A79"/>
    <w:rsid w:val="00F76E94"/>
    <w:rsid w:val="00F7738A"/>
    <w:rsid w:val="00F773E1"/>
    <w:rsid w:val="00F77901"/>
    <w:rsid w:val="00F77F30"/>
    <w:rsid w:val="00F82589"/>
    <w:rsid w:val="00F82B19"/>
    <w:rsid w:val="00F8717E"/>
    <w:rsid w:val="00F8760A"/>
    <w:rsid w:val="00F90AA7"/>
    <w:rsid w:val="00F9212D"/>
    <w:rsid w:val="00F939C4"/>
    <w:rsid w:val="00F94C12"/>
    <w:rsid w:val="00F97150"/>
    <w:rsid w:val="00F97893"/>
    <w:rsid w:val="00F97A7B"/>
    <w:rsid w:val="00FA301A"/>
    <w:rsid w:val="00FA354A"/>
    <w:rsid w:val="00FA406A"/>
    <w:rsid w:val="00FA5CB6"/>
    <w:rsid w:val="00FB0000"/>
    <w:rsid w:val="00FB4177"/>
    <w:rsid w:val="00FB41CA"/>
    <w:rsid w:val="00FB4261"/>
    <w:rsid w:val="00FB5E86"/>
    <w:rsid w:val="00FB5FD9"/>
    <w:rsid w:val="00FB6643"/>
    <w:rsid w:val="00FB759C"/>
    <w:rsid w:val="00FC0BA5"/>
    <w:rsid w:val="00FC14C2"/>
    <w:rsid w:val="00FC26F2"/>
    <w:rsid w:val="00FC39C0"/>
    <w:rsid w:val="00FC39D7"/>
    <w:rsid w:val="00FC4E82"/>
    <w:rsid w:val="00FC66AC"/>
    <w:rsid w:val="00FC7A5C"/>
    <w:rsid w:val="00FC7E44"/>
    <w:rsid w:val="00FD1365"/>
    <w:rsid w:val="00FD18F4"/>
    <w:rsid w:val="00FD19A4"/>
    <w:rsid w:val="00FD4154"/>
    <w:rsid w:val="00FD718F"/>
    <w:rsid w:val="00FD74B4"/>
    <w:rsid w:val="00FE2F16"/>
    <w:rsid w:val="00FE32CC"/>
    <w:rsid w:val="00FE3A01"/>
    <w:rsid w:val="00FE3D20"/>
    <w:rsid w:val="00FE621A"/>
    <w:rsid w:val="00FE6EE4"/>
    <w:rsid w:val="00FF1703"/>
    <w:rsid w:val="00FF3054"/>
    <w:rsid w:val="00FF3DFE"/>
    <w:rsid w:val="00FF488A"/>
    <w:rsid w:val="00FF5819"/>
    <w:rsid w:val="00FF6FCE"/>
    <w:rsid w:val="00FF7518"/>
    <w:rsid w:val="00FF7C45"/>
    <w:rsid w:val="00FF7FD8"/>
    <w:rsid w:val="01073D81"/>
    <w:rsid w:val="01202343"/>
    <w:rsid w:val="01716552"/>
    <w:rsid w:val="019A3EBD"/>
    <w:rsid w:val="01D80157"/>
    <w:rsid w:val="023F66B6"/>
    <w:rsid w:val="025B6927"/>
    <w:rsid w:val="02651781"/>
    <w:rsid w:val="02863B56"/>
    <w:rsid w:val="02892562"/>
    <w:rsid w:val="02DF46A0"/>
    <w:rsid w:val="03060F81"/>
    <w:rsid w:val="0333594B"/>
    <w:rsid w:val="04001E75"/>
    <w:rsid w:val="040D6820"/>
    <w:rsid w:val="04245136"/>
    <w:rsid w:val="046F5FEB"/>
    <w:rsid w:val="053C512E"/>
    <w:rsid w:val="0547389B"/>
    <w:rsid w:val="056E1E2D"/>
    <w:rsid w:val="05742AC8"/>
    <w:rsid w:val="062D7CBF"/>
    <w:rsid w:val="06352F05"/>
    <w:rsid w:val="063E7D85"/>
    <w:rsid w:val="06B70F10"/>
    <w:rsid w:val="07000440"/>
    <w:rsid w:val="070875E0"/>
    <w:rsid w:val="07293586"/>
    <w:rsid w:val="07295285"/>
    <w:rsid w:val="07423A94"/>
    <w:rsid w:val="07507D6B"/>
    <w:rsid w:val="07770C56"/>
    <w:rsid w:val="078F6D5A"/>
    <w:rsid w:val="07D373DB"/>
    <w:rsid w:val="07DB6955"/>
    <w:rsid w:val="07E01466"/>
    <w:rsid w:val="07F0056B"/>
    <w:rsid w:val="07F52985"/>
    <w:rsid w:val="08205412"/>
    <w:rsid w:val="08394D9B"/>
    <w:rsid w:val="085A706A"/>
    <w:rsid w:val="08901A19"/>
    <w:rsid w:val="092217DD"/>
    <w:rsid w:val="092812C3"/>
    <w:rsid w:val="093A7294"/>
    <w:rsid w:val="09E05E63"/>
    <w:rsid w:val="0B2B6019"/>
    <w:rsid w:val="0B2D1FFE"/>
    <w:rsid w:val="0B4821A6"/>
    <w:rsid w:val="0B4E7969"/>
    <w:rsid w:val="0B6424FB"/>
    <w:rsid w:val="0B7C2B99"/>
    <w:rsid w:val="0B984EA0"/>
    <w:rsid w:val="0BD27BF6"/>
    <w:rsid w:val="0BEE5C90"/>
    <w:rsid w:val="0C201306"/>
    <w:rsid w:val="0C3365D6"/>
    <w:rsid w:val="0C6742F2"/>
    <w:rsid w:val="0CA06260"/>
    <w:rsid w:val="0CA1574D"/>
    <w:rsid w:val="0CC52030"/>
    <w:rsid w:val="0D4A5F0F"/>
    <w:rsid w:val="0D752A39"/>
    <w:rsid w:val="0D8A75D3"/>
    <w:rsid w:val="0D960E83"/>
    <w:rsid w:val="0DAE533D"/>
    <w:rsid w:val="0DD8176C"/>
    <w:rsid w:val="0DDC7256"/>
    <w:rsid w:val="0E110D06"/>
    <w:rsid w:val="0E690F2C"/>
    <w:rsid w:val="0EB32B78"/>
    <w:rsid w:val="0EEF4A27"/>
    <w:rsid w:val="0F130CAE"/>
    <w:rsid w:val="0F13775A"/>
    <w:rsid w:val="0F3A0440"/>
    <w:rsid w:val="0F423ADE"/>
    <w:rsid w:val="0F747510"/>
    <w:rsid w:val="0F921386"/>
    <w:rsid w:val="0F9A112B"/>
    <w:rsid w:val="0FF509EA"/>
    <w:rsid w:val="10214D5A"/>
    <w:rsid w:val="106D2F64"/>
    <w:rsid w:val="10806817"/>
    <w:rsid w:val="10845622"/>
    <w:rsid w:val="10B63710"/>
    <w:rsid w:val="10D12BCF"/>
    <w:rsid w:val="10DF2D2C"/>
    <w:rsid w:val="111C2F7A"/>
    <w:rsid w:val="113013DE"/>
    <w:rsid w:val="11533BA1"/>
    <w:rsid w:val="116432A2"/>
    <w:rsid w:val="11BE7BEC"/>
    <w:rsid w:val="122B06C2"/>
    <w:rsid w:val="123A0C48"/>
    <w:rsid w:val="1241385E"/>
    <w:rsid w:val="125D0E86"/>
    <w:rsid w:val="12842BE0"/>
    <w:rsid w:val="12843C71"/>
    <w:rsid w:val="12CD5618"/>
    <w:rsid w:val="12FA3919"/>
    <w:rsid w:val="137F78F4"/>
    <w:rsid w:val="13951726"/>
    <w:rsid w:val="13E1377E"/>
    <w:rsid w:val="14396509"/>
    <w:rsid w:val="1447165C"/>
    <w:rsid w:val="145857DA"/>
    <w:rsid w:val="14B83E6B"/>
    <w:rsid w:val="14CE3B89"/>
    <w:rsid w:val="14F21366"/>
    <w:rsid w:val="14F41582"/>
    <w:rsid w:val="150D2DEC"/>
    <w:rsid w:val="15201F95"/>
    <w:rsid w:val="15472D22"/>
    <w:rsid w:val="155165E4"/>
    <w:rsid w:val="158D06CE"/>
    <w:rsid w:val="15B83591"/>
    <w:rsid w:val="15E46F00"/>
    <w:rsid w:val="161C42EC"/>
    <w:rsid w:val="166C19E4"/>
    <w:rsid w:val="167819E9"/>
    <w:rsid w:val="16C44110"/>
    <w:rsid w:val="16D1492C"/>
    <w:rsid w:val="16D83A1E"/>
    <w:rsid w:val="17735226"/>
    <w:rsid w:val="17781E1A"/>
    <w:rsid w:val="18377D7C"/>
    <w:rsid w:val="187300DF"/>
    <w:rsid w:val="18760A0B"/>
    <w:rsid w:val="18827915"/>
    <w:rsid w:val="195279F9"/>
    <w:rsid w:val="19A10856"/>
    <w:rsid w:val="19D83220"/>
    <w:rsid w:val="1A00021A"/>
    <w:rsid w:val="1A1308A7"/>
    <w:rsid w:val="1A1C66C0"/>
    <w:rsid w:val="1A42393B"/>
    <w:rsid w:val="1A7975BC"/>
    <w:rsid w:val="1A902F99"/>
    <w:rsid w:val="1AC252C2"/>
    <w:rsid w:val="1ADC1279"/>
    <w:rsid w:val="1B046F80"/>
    <w:rsid w:val="1B097834"/>
    <w:rsid w:val="1B1D47A2"/>
    <w:rsid w:val="1B3267B5"/>
    <w:rsid w:val="1BC25DC8"/>
    <w:rsid w:val="1C1A25A1"/>
    <w:rsid w:val="1C271D37"/>
    <w:rsid w:val="1C455095"/>
    <w:rsid w:val="1C5E7925"/>
    <w:rsid w:val="1C887FC8"/>
    <w:rsid w:val="1CA4702B"/>
    <w:rsid w:val="1CBA7A2B"/>
    <w:rsid w:val="1D3B4934"/>
    <w:rsid w:val="1D5F6196"/>
    <w:rsid w:val="1D6132A5"/>
    <w:rsid w:val="1D8E56D5"/>
    <w:rsid w:val="1D945DB2"/>
    <w:rsid w:val="1DC664DA"/>
    <w:rsid w:val="1E0A7720"/>
    <w:rsid w:val="1E645700"/>
    <w:rsid w:val="1E7A43DA"/>
    <w:rsid w:val="1E803E86"/>
    <w:rsid w:val="1EB12D5C"/>
    <w:rsid w:val="1EB277FE"/>
    <w:rsid w:val="1EED45DF"/>
    <w:rsid w:val="1F2A1266"/>
    <w:rsid w:val="1F431432"/>
    <w:rsid w:val="1F9A5C92"/>
    <w:rsid w:val="1FAF4CF7"/>
    <w:rsid w:val="1FE7539E"/>
    <w:rsid w:val="203179D5"/>
    <w:rsid w:val="20963CB8"/>
    <w:rsid w:val="20B07FB6"/>
    <w:rsid w:val="20F97115"/>
    <w:rsid w:val="213B74B1"/>
    <w:rsid w:val="214116AB"/>
    <w:rsid w:val="21421605"/>
    <w:rsid w:val="215A2310"/>
    <w:rsid w:val="21692AF1"/>
    <w:rsid w:val="21BF657D"/>
    <w:rsid w:val="21D9496C"/>
    <w:rsid w:val="21DE318A"/>
    <w:rsid w:val="21EF5B80"/>
    <w:rsid w:val="221628EC"/>
    <w:rsid w:val="22576990"/>
    <w:rsid w:val="22704020"/>
    <w:rsid w:val="229C4EAB"/>
    <w:rsid w:val="23996ED4"/>
    <w:rsid w:val="23C35770"/>
    <w:rsid w:val="24271692"/>
    <w:rsid w:val="24CF66BB"/>
    <w:rsid w:val="251C78A5"/>
    <w:rsid w:val="252D53FE"/>
    <w:rsid w:val="255624C7"/>
    <w:rsid w:val="25AA28BC"/>
    <w:rsid w:val="25BE7053"/>
    <w:rsid w:val="25D97F80"/>
    <w:rsid w:val="25EC2D81"/>
    <w:rsid w:val="26146435"/>
    <w:rsid w:val="26277B43"/>
    <w:rsid w:val="263B5685"/>
    <w:rsid w:val="264528BD"/>
    <w:rsid w:val="26584F46"/>
    <w:rsid w:val="26EC4BED"/>
    <w:rsid w:val="26F54D29"/>
    <w:rsid w:val="272628AA"/>
    <w:rsid w:val="275D4D64"/>
    <w:rsid w:val="27AC1848"/>
    <w:rsid w:val="27C27FE0"/>
    <w:rsid w:val="27D15DD1"/>
    <w:rsid w:val="27D54622"/>
    <w:rsid w:val="27D85321"/>
    <w:rsid w:val="27EA6E22"/>
    <w:rsid w:val="28066AEE"/>
    <w:rsid w:val="28A76295"/>
    <w:rsid w:val="28B0223E"/>
    <w:rsid w:val="28B210E0"/>
    <w:rsid w:val="29206EB8"/>
    <w:rsid w:val="299D769A"/>
    <w:rsid w:val="29C61098"/>
    <w:rsid w:val="29CF7060"/>
    <w:rsid w:val="29E325E0"/>
    <w:rsid w:val="2A0E5077"/>
    <w:rsid w:val="2A45052D"/>
    <w:rsid w:val="2A452503"/>
    <w:rsid w:val="2A51704C"/>
    <w:rsid w:val="2A696F9E"/>
    <w:rsid w:val="2A9D0AA0"/>
    <w:rsid w:val="2B090C97"/>
    <w:rsid w:val="2BA936A8"/>
    <w:rsid w:val="2C191A9F"/>
    <w:rsid w:val="2C315A5A"/>
    <w:rsid w:val="2C5223C6"/>
    <w:rsid w:val="2CA91BAE"/>
    <w:rsid w:val="2D9E56F5"/>
    <w:rsid w:val="2DBE31D1"/>
    <w:rsid w:val="2E1F5D68"/>
    <w:rsid w:val="2E2D74E2"/>
    <w:rsid w:val="2E600FFF"/>
    <w:rsid w:val="2E6100EC"/>
    <w:rsid w:val="2E662F1C"/>
    <w:rsid w:val="2E667F96"/>
    <w:rsid w:val="2E8226AB"/>
    <w:rsid w:val="2E890A70"/>
    <w:rsid w:val="2F6539F4"/>
    <w:rsid w:val="2F7323E3"/>
    <w:rsid w:val="2F754B98"/>
    <w:rsid w:val="2F832C79"/>
    <w:rsid w:val="2FBD7F70"/>
    <w:rsid w:val="2FEF2D58"/>
    <w:rsid w:val="30580BC9"/>
    <w:rsid w:val="30BC32EF"/>
    <w:rsid w:val="311E2ED7"/>
    <w:rsid w:val="315C449C"/>
    <w:rsid w:val="317B7A58"/>
    <w:rsid w:val="31AF2660"/>
    <w:rsid w:val="31B82709"/>
    <w:rsid w:val="31F12C79"/>
    <w:rsid w:val="32127B29"/>
    <w:rsid w:val="323446FA"/>
    <w:rsid w:val="32400B34"/>
    <w:rsid w:val="3293788C"/>
    <w:rsid w:val="329E6876"/>
    <w:rsid w:val="32F26066"/>
    <w:rsid w:val="337C76E9"/>
    <w:rsid w:val="33D934D4"/>
    <w:rsid w:val="33F055F4"/>
    <w:rsid w:val="33FE2F6A"/>
    <w:rsid w:val="341724A7"/>
    <w:rsid w:val="341866C8"/>
    <w:rsid w:val="346F3B42"/>
    <w:rsid w:val="346F65B1"/>
    <w:rsid w:val="34A2025B"/>
    <w:rsid w:val="34E673F6"/>
    <w:rsid w:val="34FA5548"/>
    <w:rsid w:val="356419B4"/>
    <w:rsid w:val="356F20E1"/>
    <w:rsid w:val="35D14A2D"/>
    <w:rsid w:val="35D76ECB"/>
    <w:rsid w:val="36074A7F"/>
    <w:rsid w:val="36156BE6"/>
    <w:rsid w:val="36923549"/>
    <w:rsid w:val="36B75FBF"/>
    <w:rsid w:val="36CA3A99"/>
    <w:rsid w:val="36FB4891"/>
    <w:rsid w:val="37034109"/>
    <w:rsid w:val="37737CCB"/>
    <w:rsid w:val="37BD53AB"/>
    <w:rsid w:val="380C1058"/>
    <w:rsid w:val="383A485D"/>
    <w:rsid w:val="387502A5"/>
    <w:rsid w:val="38767A34"/>
    <w:rsid w:val="38F12CD3"/>
    <w:rsid w:val="38F94775"/>
    <w:rsid w:val="39237555"/>
    <w:rsid w:val="392971ED"/>
    <w:rsid w:val="398B5761"/>
    <w:rsid w:val="3A046503"/>
    <w:rsid w:val="3A0F5081"/>
    <w:rsid w:val="3A2E002F"/>
    <w:rsid w:val="3AAB3AE0"/>
    <w:rsid w:val="3AF56CBD"/>
    <w:rsid w:val="3AF859C8"/>
    <w:rsid w:val="3B2C41BC"/>
    <w:rsid w:val="3B3763D1"/>
    <w:rsid w:val="3B6E0DBB"/>
    <w:rsid w:val="3B91581C"/>
    <w:rsid w:val="3B9308FD"/>
    <w:rsid w:val="3B9F495D"/>
    <w:rsid w:val="3BC77005"/>
    <w:rsid w:val="3C3A41E0"/>
    <w:rsid w:val="3CAD05FD"/>
    <w:rsid w:val="3CDA245A"/>
    <w:rsid w:val="3CEE0A37"/>
    <w:rsid w:val="3D036235"/>
    <w:rsid w:val="3D0E776B"/>
    <w:rsid w:val="3D2F5158"/>
    <w:rsid w:val="3D5076F9"/>
    <w:rsid w:val="3D557D15"/>
    <w:rsid w:val="3D97696D"/>
    <w:rsid w:val="3DCB6ED1"/>
    <w:rsid w:val="3DD236CE"/>
    <w:rsid w:val="3E784700"/>
    <w:rsid w:val="3E7E7642"/>
    <w:rsid w:val="3E8A3067"/>
    <w:rsid w:val="3E934423"/>
    <w:rsid w:val="3F016561"/>
    <w:rsid w:val="3F071615"/>
    <w:rsid w:val="3F220166"/>
    <w:rsid w:val="3F4C0D71"/>
    <w:rsid w:val="3F5B5EB8"/>
    <w:rsid w:val="3F660E74"/>
    <w:rsid w:val="3F6C24AD"/>
    <w:rsid w:val="3F89497B"/>
    <w:rsid w:val="3F922CBB"/>
    <w:rsid w:val="3FCE074A"/>
    <w:rsid w:val="3FDF34B0"/>
    <w:rsid w:val="401D732F"/>
    <w:rsid w:val="403C258C"/>
    <w:rsid w:val="407A6407"/>
    <w:rsid w:val="407C22A8"/>
    <w:rsid w:val="40B04D54"/>
    <w:rsid w:val="40DB7344"/>
    <w:rsid w:val="413E2CB1"/>
    <w:rsid w:val="41601F71"/>
    <w:rsid w:val="41771065"/>
    <w:rsid w:val="41980F9B"/>
    <w:rsid w:val="41A265EF"/>
    <w:rsid w:val="41DC034C"/>
    <w:rsid w:val="41DD1CB3"/>
    <w:rsid w:val="41E25CB0"/>
    <w:rsid w:val="423A3BCC"/>
    <w:rsid w:val="4270516F"/>
    <w:rsid w:val="429A6A15"/>
    <w:rsid w:val="433A6FE6"/>
    <w:rsid w:val="4350713C"/>
    <w:rsid w:val="43605608"/>
    <w:rsid w:val="436653E0"/>
    <w:rsid w:val="439D4A0F"/>
    <w:rsid w:val="43C31F9B"/>
    <w:rsid w:val="442A09AC"/>
    <w:rsid w:val="447525F5"/>
    <w:rsid w:val="44801C3A"/>
    <w:rsid w:val="44901D3B"/>
    <w:rsid w:val="44CD14E0"/>
    <w:rsid w:val="44E26451"/>
    <w:rsid w:val="454513E5"/>
    <w:rsid w:val="45796DB6"/>
    <w:rsid w:val="45876274"/>
    <w:rsid w:val="458946E9"/>
    <w:rsid w:val="463352C3"/>
    <w:rsid w:val="469A0A3E"/>
    <w:rsid w:val="46D955A7"/>
    <w:rsid w:val="46EE3897"/>
    <w:rsid w:val="47133957"/>
    <w:rsid w:val="4779329E"/>
    <w:rsid w:val="47A07E0C"/>
    <w:rsid w:val="47CC15CE"/>
    <w:rsid w:val="47FF0EDB"/>
    <w:rsid w:val="484424DA"/>
    <w:rsid w:val="48537D92"/>
    <w:rsid w:val="48626F1E"/>
    <w:rsid w:val="4870272E"/>
    <w:rsid w:val="488F1B48"/>
    <w:rsid w:val="489B7043"/>
    <w:rsid w:val="48BE5ADE"/>
    <w:rsid w:val="48CA2299"/>
    <w:rsid w:val="48CD540E"/>
    <w:rsid w:val="490C7E26"/>
    <w:rsid w:val="49726DB8"/>
    <w:rsid w:val="4990049A"/>
    <w:rsid w:val="49DC7715"/>
    <w:rsid w:val="49DE604E"/>
    <w:rsid w:val="49F66C27"/>
    <w:rsid w:val="4A023139"/>
    <w:rsid w:val="4A115474"/>
    <w:rsid w:val="4A24108E"/>
    <w:rsid w:val="4A7B576F"/>
    <w:rsid w:val="4AB85174"/>
    <w:rsid w:val="4B182BCD"/>
    <w:rsid w:val="4B721B60"/>
    <w:rsid w:val="4B7D0E16"/>
    <w:rsid w:val="4BAB52EA"/>
    <w:rsid w:val="4BD51861"/>
    <w:rsid w:val="4BDF36EB"/>
    <w:rsid w:val="4C4A0649"/>
    <w:rsid w:val="4C9E4758"/>
    <w:rsid w:val="4CC06B0E"/>
    <w:rsid w:val="4CE470D3"/>
    <w:rsid w:val="4D0212BB"/>
    <w:rsid w:val="4D83703A"/>
    <w:rsid w:val="4DC77EE6"/>
    <w:rsid w:val="4DEA7C52"/>
    <w:rsid w:val="4DEC4FB0"/>
    <w:rsid w:val="4E047D31"/>
    <w:rsid w:val="4E075D8A"/>
    <w:rsid w:val="4E350F9C"/>
    <w:rsid w:val="4EFC6D1B"/>
    <w:rsid w:val="4F245FE4"/>
    <w:rsid w:val="4F335FB1"/>
    <w:rsid w:val="4F343D4D"/>
    <w:rsid w:val="4F936DDD"/>
    <w:rsid w:val="4FC62A8C"/>
    <w:rsid w:val="4FD01CC8"/>
    <w:rsid w:val="4FD66230"/>
    <w:rsid w:val="4FE20F0D"/>
    <w:rsid w:val="50095200"/>
    <w:rsid w:val="504F1E9B"/>
    <w:rsid w:val="50504C4B"/>
    <w:rsid w:val="506A4D74"/>
    <w:rsid w:val="509C6E7C"/>
    <w:rsid w:val="50A31504"/>
    <w:rsid w:val="50C7131D"/>
    <w:rsid w:val="511C77BF"/>
    <w:rsid w:val="5162104E"/>
    <w:rsid w:val="518C15A2"/>
    <w:rsid w:val="51D50F8B"/>
    <w:rsid w:val="51D76E6B"/>
    <w:rsid w:val="51FA74D0"/>
    <w:rsid w:val="521628AD"/>
    <w:rsid w:val="52306A4E"/>
    <w:rsid w:val="523F2203"/>
    <w:rsid w:val="52780D0E"/>
    <w:rsid w:val="529133F1"/>
    <w:rsid w:val="53116247"/>
    <w:rsid w:val="534D2A02"/>
    <w:rsid w:val="535E2093"/>
    <w:rsid w:val="53A039CC"/>
    <w:rsid w:val="53A1505A"/>
    <w:rsid w:val="53F05F76"/>
    <w:rsid w:val="53F50B18"/>
    <w:rsid w:val="54063E08"/>
    <w:rsid w:val="543437E8"/>
    <w:rsid w:val="549336E8"/>
    <w:rsid w:val="54A61249"/>
    <w:rsid w:val="551777EB"/>
    <w:rsid w:val="559B174B"/>
    <w:rsid w:val="55B76F9C"/>
    <w:rsid w:val="55CE0CF4"/>
    <w:rsid w:val="560F3096"/>
    <w:rsid w:val="56666EE2"/>
    <w:rsid w:val="56862B93"/>
    <w:rsid w:val="569819EA"/>
    <w:rsid w:val="56B22A9C"/>
    <w:rsid w:val="56DC31DE"/>
    <w:rsid w:val="570861EB"/>
    <w:rsid w:val="573B65F8"/>
    <w:rsid w:val="574A792F"/>
    <w:rsid w:val="57553AAF"/>
    <w:rsid w:val="578B217A"/>
    <w:rsid w:val="57AE6D93"/>
    <w:rsid w:val="57B72A76"/>
    <w:rsid w:val="57B95D36"/>
    <w:rsid w:val="580C0704"/>
    <w:rsid w:val="58A55937"/>
    <w:rsid w:val="591A2681"/>
    <w:rsid w:val="595347AB"/>
    <w:rsid w:val="598E4C28"/>
    <w:rsid w:val="59B8606C"/>
    <w:rsid w:val="59D30CE7"/>
    <w:rsid w:val="59D94AFA"/>
    <w:rsid w:val="59EE36F2"/>
    <w:rsid w:val="5A3C747D"/>
    <w:rsid w:val="5ABE2233"/>
    <w:rsid w:val="5AC6035D"/>
    <w:rsid w:val="5B0D2022"/>
    <w:rsid w:val="5B276D18"/>
    <w:rsid w:val="5B4672E2"/>
    <w:rsid w:val="5B53055A"/>
    <w:rsid w:val="5B84644A"/>
    <w:rsid w:val="5BA76B2F"/>
    <w:rsid w:val="5BCF552A"/>
    <w:rsid w:val="5BDF5D95"/>
    <w:rsid w:val="5C300FF0"/>
    <w:rsid w:val="5C344D30"/>
    <w:rsid w:val="5C627E63"/>
    <w:rsid w:val="5D2406F3"/>
    <w:rsid w:val="5D494E68"/>
    <w:rsid w:val="5D4D46FA"/>
    <w:rsid w:val="5DAF1585"/>
    <w:rsid w:val="5DB2614B"/>
    <w:rsid w:val="5DF87A0F"/>
    <w:rsid w:val="5E146A5A"/>
    <w:rsid w:val="5E1650A1"/>
    <w:rsid w:val="5E197DFF"/>
    <w:rsid w:val="5E20681F"/>
    <w:rsid w:val="5E7E0E19"/>
    <w:rsid w:val="5ED34FEA"/>
    <w:rsid w:val="5EE661AF"/>
    <w:rsid w:val="5F1A2B43"/>
    <w:rsid w:val="5F2D797B"/>
    <w:rsid w:val="5F50343E"/>
    <w:rsid w:val="5FB837BB"/>
    <w:rsid w:val="605207EF"/>
    <w:rsid w:val="60602BF4"/>
    <w:rsid w:val="60936B26"/>
    <w:rsid w:val="60E530F9"/>
    <w:rsid w:val="613C721D"/>
    <w:rsid w:val="614748C1"/>
    <w:rsid w:val="62023B22"/>
    <w:rsid w:val="62364782"/>
    <w:rsid w:val="624F4CCE"/>
    <w:rsid w:val="62593606"/>
    <w:rsid w:val="62EC623E"/>
    <w:rsid w:val="631C1312"/>
    <w:rsid w:val="63414ADD"/>
    <w:rsid w:val="63C95F28"/>
    <w:rsid w:val="63D40BE9"/>
    <w:rsid w:val="63E0211F"/>
    <w:rsid w:val="64632CB3"/>
    <w:rsid w:val="64B00B24"/>
    <w:rsid w:val="650812D1"/>
    <w:rsid w:val="652A5B5F"/>
    <w:rsid w:val="65373578"/>
    <w:rsid w:val="663A0F0C"/>
    <w:rsid w:val="66846F11"/>
    <w:rsid w:val="66CD08B8"/>
    <w:rsid w:val="66D87988"/>
    <w:rsid w:val="66F4051F"/>
    <w:rsid w:val="66FD3A84"/>
    <w:rsid w:val="673F2C7A"/>
    <w:rsid w:val="675C0C85"/>
    <w:rsid w:val="68180C7F"/>
    <w:rsid w:val="681F6961"/>
    <w:rsid w:val="6846773F"/>
    <w:rsid w:val="68487097"/>
    <w:rsid w:val="68610A2F"/>
    <w:rsid w:val="687D48AF"/>
    <w:rsid w:val="68805514"/>
    <w:rsid w:val="689A37BD"/>
    <w:rsid w:val="694E2071"/>
    <w:rsid w:val="695C4D7D"/>
    <w:rsid w:val="697A3B33"/>
    <w:rsid w:val="69892779"/>
    <w:rsid w:val="699E2456"/>
    <w:rsid w:val="69B435D2"/>
    <w:rsid w:val="69F702C3"/>
    <w:rsid w:val="6A292C42"/>
    <w:rsid w:val="6A54724C"/>
    <w:rsid w:val="6A90057A"/>
    <w:rsid w:val="6A930876"/>
    <w:rsid w:val="6AE0244C"/>
    <w:rsid w:val="6AE33DE6"/>
    <w:rsid w:val="6B322639"/>
    <w:rsid w:val="6B5F1CFB"/>
    <w:rsid w:val="6BA047ED"/>
    <w:rsid w:val="6BDB7674"/>
    <w:rsid w:val="6C4E249B"/>
    <w:rsid w:val="6C5F3041"/>
    <w:rsid w:val="6C636C38"/>
    <w:rsid w:val="6CFD3AF4"/>
    <w:rsid w:val="6D310680"/>
    <w:rsid w:val="6DAE6A5B"/>
    <w:rsid w:val="6DB34098"/>
    <w:rsid w:val="6DB43FA4"/>
    <w:rsid w:val="6DB545B6"/>
    <w:rsid w:val="6DED7F0C"/>
    <w:rsid w:val="6E1537CA"/>
    <w:rsid w:val="6E4375A0"/>
    <w:rsid w:val="6E4E0530"/>
    <w:rsid w:val="6E514CED"/>
    <w:rsid w:val="6E5552C0"/>
    <w:rsid w:val="6E79491A"/>
    <w:rsid w:val="6E7E436A"/>
    <w:rsid w:val="6EA30ECC"/>
    <w:rsid w:val="6EB563D5"/>
    <w:rsid w:val="6EEA21AA"/>
    <w:rsid w:val="6F16009E"/>
    <w:rsid w:val="6F225983"/>
    <w:rsid w:val="6F6F075E"/>
    <w:rsid w:val="6F736086"/>
    <w:rsid w:val="6F7A769A"/>
    <w:rsid w:val="6F9F238A"/>
    <w:rsid w:val="6FFC5590"/>
    <w:rsid w:val="702E6294"/>
    <w:rsid w:val="70301DA3"/>
    <w:rsid w:val="705D48FB"/>
    <w:rsid w:val="706D1DD0"/>
    <w:rsid w:val="70856B87"/>
    <w:rsid w:val="70C64104"/>
    <w:rsid w:val="70D527EE"/>
    <w:rsid w:val="70E923A1"/>
    <w:rsid w:val="70F30876"/>
    <w:rsid w:val="710B095A"/>
    <w:rsid w:val="71154DB3"/>
    <w:rsid w:val="715358E4"/>
    <w:rsid w:val="715B5300"/>
    <w:rsid w:val="715F4BD7"/>
    <w:rsid w:val="719170B1"/>
    <w:rsid w:val="71AF0B24"/>
    <w:rsid w:val="71D27F8A"/>
    <w:rsid w:val="71F744C6"/>
    <w:rsid w:val="71F960CF"/>
    <w:rsid w:val="72063163"/>
    <w:rsid w:val="72586682"/>
    <w:rsid w:val="729C5E25"/>
    <w:rsid w:val="731F5D5E"/>
    <w:rsid w:val="734D3084"/>
    <w:rsid w:val="735F5298"/>
    <w:rsid w:val="73E208E9"/>
    <w:rsid w:val="73EC590F"/>
    <w:rsid w:val="741E793C"/>
    <w:rsid w:val="7460638E"/>
    <w:rsid w:val="746F1879"/>
    <w:rsid w:val="74CE54BD"/>
    <w:rsid w:val="74EE7B6D"/>
    <w:rsid w:val="750710F3"/>
    <w:rsid w:val="750E239F"/>
    <w:rsid w:val="755512E0"/>
    <w:rsid w:val="75761BA0"/>
    <w:rsid w:val="758C18D7"/>
    <w:rsid w:val="758D75E2"/>
    <w:rsid w:val="75F0066E"/>
    <w:rsid w:val="7646356E"/>
    <w:rsid w:val="765B7C8E"/>
    <w:rsid w:val="770F5410"/>
    <w:rsid w:val="77762421"/>
    <w:rsid w:val="780B2412"/>
    <w:rsid w:val="780F09F4"/>
    <w:rsid w:val="78915914"/>
    <w:rsid w:val="789C4F47"/>
    <w:rsid w:val="78A90480"/>
    <w:rsid w:val="78DF304B"/>
    <w:rsid w:val="78F468F4"/>
    <w:rsid w:val="791A126D"/>
    <w:rsid w:val="79573564"/>
    <w:rsid w:val="796057F4"/>
    <w:rsid w:val="79811327"/>
    <w:rsid w:val="79A86D1D"/>
    <w:rsid w:val="7A364017"/>
    <w:rsid w:val="7A524266"/>
    <w:rsid w:val="7A6F25AF"/>
    <w:rsid w:val="7A8265E1"/>
    <w:rsid w:val="7AC05467"/>
    <w:rsid w:val="7B1B3F68"/>
    <w:rsid w:val="7B3F7B7E"/>
    <w:rsid w:val="7B686D42"/>
    <w:rsid w:val="7B841746"/>
    <w:rsid w:val="7BAF02C3"/>
    <w:rsid w:val="7BB3217A"/>
    <w:rsid w:val="7BB74544"/>
    <w:rsid w:val="7BCF7855"/>
    <w:rsid w:val="7BD87FDA"/>
    <w:rsid w:val="7BEA5AB0"/>
    <w:rsid w:val="7BEC774C"/>
    <w:rsid w:val="7CBD4AB8"/>
    <w:rsid w:val="7CE34539"/>
    <w:rsid w:val="7CE913DB"/>
    <w:rsid w:val="7D0239FF"/>
    <w:rsid w:val="7D5E40CD"/>
    <w:rsid w:val="7D693BED"/>
    <w:rsid w:val="7DA7789B"/>
    <w:rsid w:val="7DB40D4B"/>
    <w:rsid w:val="7DFB3B08"/>
    <w:rsid w:val="7E33329E"/>
    <w:rsid w:val="7FE47E50"/>
    <w:rsid w:val="7FE504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ocked="1"/>
    <w:lsdException w:qFormat="1" w:unhideWhenUsed="0" w:uiPriority="0" w:semiHidden="0" w:name="toc 2" w:locked="1"/>
    <w:lsdException w:uiPriority="0" w:name="toc 3" w:locked="1"/>
    <w:lsdException w:uiPriority="0" w:name="toc 4" w:locked="1"/>
    <w:lsdException w:qFormat="1" w:unhideWhenUsed="0" w:uiPriority="39" w:semiHidden="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qFormat="1"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iPriority="99"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iPriority="0" w:name="Hyperlink"/>
    <w:lsdException w:uiPriority="0" w:name="FollowedHyperlink"/>
    <w:lsdException w:qFormat="1" w:unhideWhenUsed="0" w:uiPriority="22" w:semiHidden="0" w:name="Strong" w:locked="1"/>
    <w:lsdException w:qFormat="1" w:unhideWhenUsed="0" w:uiPriority="0" w:semiHidden="0" w:name="Emphasis" w:locked="1"/>
    <w:lsdException w:uiPriority="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39"/>
    <w:qFormat/>
    <w:locked/>
    <w:uiPriority w:val="0"/>
    <w:pPr>
      <w:keepNext/>
      <w:keepLines/>
      <w:widowControl/>
      <w:spacing w:before="260" w:after="260" w:line="416" w:lineRule="auto"/>
      <w:jc w:val="left"/>
      <w:outlineLvl w:val="1"/>
    </w:pPr>
    <w:rPr>
      <w:rFonts w:ascii="Arial" w:hAnsi="Arial" w:eastAsia="黑体"/>
      <w:b/>
      <w:bCs/>
      <w:kern w:val="0"/>
      <w:sz w:val="32"/>
      <w:szCs w:val="32"/>
    </w:rPr>
  </w:style>
  <w:style w:type="paragraph" w:styleId="4">
    <w:name w:val="heading 3"/>
    <w:basedOn w:val="1"/>
    <w:next w:val="1"/>
    <w:link w:val="40"/>
    <w:qFormat/>
    <w:locked/>
    <w:uiPriority w:val="0"/>
    <w:pPr>
      <w:keepNext/>
      <w:keepLines/>
      <w:spacing w:before="260" w:after="260" w:line="416" w:lineRule="auto"/>
      <w:outlineLvl w:val="2"/>
    </w:pPr>
    <w:rPr>
      <w:b/>
      <w:bCs/>
      <w:sz w:val="32"/>
      <w:szCs w:val="32"/>
    </w:rPr>
  </w:style>
  <w:style w:type="paragraph" w:styleId="5">
    <w:name w:val="heading 4"/>
    <w:basedOn w:val="1"/>
    <w:next w:val="1"/>
    <w:qFormat/>
    <w:locked/>
    <w:uiPriority w:val="9"/>
    <w:pPr>
      <w:keepNext/>
      <w:spacing w:before="240" w:after="60"/>
      <w:outlineLvl w:val="3"/>
    </w:pPr>
    <w:rPr>
      <w:b/>
      <w:bCs/>
      <w:sz w:val="28"/>
      <w:szCs w:val="28"/>
    </w:rPr>
  </w:style>
  <w:style w:type="paragraph" w:styleId="6">
    <w:name w:val="heading 6"/>
    <w:basedOn w:val="1"/>
    <w:next w:val="1"/>
    <w:link w:val="41"/>
    <w:semiHidden/>
    <w:unhideWhenUsed/>
    <w:qFormat/>
    <w:locked/>
    <w:uiPriority w:val="0"/>
    <w:pPr>
      <w:keepNext/>
      <w:keepLines/>
      <w:spacing w:before="240" w:after="64" w:line="320" w:lineRule="auto"/>
      <w:outlineLvl w:val="5"/>
    </w:pPr>
    <w:rPr>
      <w:rFonts w:asciiTheme="majorHAnsi" w:hAnsiTheme="majorHAnsi" w:eastAsiaTheme="majorEastAsia" w:cstheme="majorBidi"/>
      <w:b/>
      <w:bCs/>
      <w:sz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38"/>
    <w:qFormat/>
    <w:uiPriority w:val="0"/>
    <w:pPr>
      <w:ind w:firstLine="420" w:firstLineChars="200"/>
    </w:pPr>
    <w:rPr>
      <w:sz w:val="24"/>
      <w:szCs w:val="20"/>
    </w:rPr>
  </w:style>
  <w:style w:type="paragraph" w:styleId="8">
    <w:name w:val="annotation text"/>
    <w:basedOn w:val="1"/>
    <w:link w:val="42"/>
    <w:semiHidden/>
    <w:qFormat/>
    <w:uiPriority w:val="0"/>
    <w:pPr>
      <w:jc w:val="left"/>
    </w:pPr>
    <w:rPr>
      <w:kern w:val="0"/>
      <w:sz w:val="24"/>
      <w:szCs w:val="20"/>
    </w:rPr>
  </w:style>
  <w:style w:type="paragraph" w:styleId="9">
    <w:name w:val="Body Text"/>
    <w:basedOn w:val="1"/>
    <w:next w:val="10"/>
    <w:link w:val="43"/>
    <w:qFormat/>
    <w:uiPriority w:val="0"/>
    <w:pPr>
      <w:widowControl/>
      <w:snapToGrid w:val="0"/>
      <w:spacing w:before="60" w:after="160" w:line="259" w:lineRule="auto"/>
      <w:ind w:right="113"/>
    </w:pPr>
    <w:rPr>
      <w:kern w:val="0"/>
      <w:sz w:val="18"/>
      <w:szCs w:val="20"/>
    </w:rPr>
  </w:style>
  <w:style w:type="paragraph" w:styleId="10">
    <w:name w:val="List Bullet 5"/>
    <w:basedOn w:val="1"/>
    <w:semiHidden/>
    <w:unhideWhenUsed/>
    <w:qFormat/>
    <w:uiPriority w:val="0"/>
    <w:pPr>
      <w:numPr>
        <w:ilvl w:val="0"/>
        <w:numId w:val="1"/>
      </w:numPr>
    </w:pPr>
  </w:style>
  <w:style w:type="paragraph" w:styleId="11">
    <w:name w:val="Body Text Indent"/>
    <w:basedOn w:val="1"/>
    <w:link w:val="44"/>
    <w:semiHidden/>
    <w:qFormat/>
    <w:uiPriority w:val="0"/>
    <w:pPr>
      <w:spacing w:after="120"/>
      <w:ind w:left="420" w:leftChars="200"/>
    </w:pPr>
    <w:rPr>
      <w:kern w:val="0"/>
      <w:sz w:val="24"/>
    </w:rPr>
  </w:style>
  <w:style w:type="paragraph" w:styleId="12">
    <w:name w:val="toc 5"/>
    <w:basedOn w:val="1"/>
    <w:next w:val="1"/>
    <w:qFormat/>
    <w:locked/>
    <w:uiPriority w:val="39"/>
    <w:pPr>
      <w:ind w:left="1680" w:leftChars="800"/>
    </w:pPr>
  </w:style>
  <w:style w:type="paragraph" w:styleId="13">
    <w:name w:val="Plain Text"/>
    <w:basedOn w:val="1"/>
    <w:link w:val="45"/>
    <w:qFormat/>
    <w:uiPriority w:val="99"/>
    <w:rPr>
      <w:rFonts w:ascii="宋体" w:hAnsi="Courier New"/>
      <w:szCs w:val="20"/>
    </w:rPr>
  </w:style>
  <w:style w:type="paragraph" w:styleId="14">
    <w:name w:val="Date"/>
    <w:basedOn w:val="1"/>
    <w:next w:val="1"/>
    <w:link w:val="46"/>
    <w:qFormat/>
    <w:uiPriority w:val="0"/>
    <w:pPr>
      <w:ind w:left="100" w:leftChars="2500"/>
    </w:pPr>
    <w:rPr>
      <w:kern w:val="0"/>
      <w:sz w:val="24"/>
      <w:szCs w:val="20"/>
    </w:rPr>
  </w:style>
  <w:style w:type="paragraph" w:styleId="15">
    <w:name w:val="Body Text Indent 2"/>
    <w:basedOn w:val="1"/>
    <w:link w:val="47"/>
    <w:qFormat/>
    <w:uiPriority w:val="0"/>
    <w:pPr>
      <w:spacing w:after="120" w:line="480" w:lineRule="auto"/>
      <w:ind w:left="420" w:leftChars="200"/>
    </w:pPr>
  </w:style>
  <w:style w:type="paragraph" w:styleId="16">
    <w:name w:val="Balloon Text"/>
    <w:basedOn w:val="1"/>
    <w:link w:val="48"/>
    <w:semiHidden/>
    <w:qFormat/>
    <w:uiPriority w:val="0"/>
    <w:rPr>
      <w:kern w:val="0"/>
      <w:sz w:val="18"/>
      <w:szCs w:val="18"/>
    </w:rPr>
  </w:style>
  <w:style w:type="paragraph" w:styleId="17">
    <w:name w:val="footer"/>
    <w:basedOn w:val="1"/>
    <w:link w:val="49"/>
    <w:qFormat/>
    <w:uiPriority w:val="99"/>
    <w:pPr>
      <w:tabs>
        <w:tab w:val="center" w:pos="4153"/>
        <w:tab w:val="right" w:pos="8306"/>
      </w:tabs>
      <w:snapToGrid w:val="0"/>
      <w:jc w:val="left"/>
    </w:pPr>
    <w:rPr>
      <w:kern w:val="0"/>
      <w:sz w:val="18"/>
      <w:szCs w:val="18"/>
    </w:rPr>
  </w:style>
  <w:style w:type="paragraph" w:styleId="18">
    <w:name w:val="header"/>
    <w:basedOn w:val="1"/>
    <w:link w:val="50"/>
    <w:qFormat/>
    <w:uiPriority w:val="99"/>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semiHidden/>
    <w:qFormat/>
    <w:locked/>
    <w:uiPriority w:val="0"/>
    <w:pPr>
      <w:tabs>
        <w:tab w:val="right" w:leader="dot" w:pos="8505"/>
      </w:tabs>
      <w:spacing w:before="120" w:after="120" w:line="360" w:lineRule="auto"/>
    </w:pPr>
    <w:rPr>
      <w:b/>
      <w:bCs/>
      <w:caps/>
      <w:sz w:val="28"/>
      <w:szCs w:val="28"/>
    </w:rPr>
  </w:style>
  <w:style w:type="paragraph" w:styleId="20">
    <w:name w:val="List"/>
    <w:basedOn w:val="1"/>
    <w:qFormat/>
    <w:uiPriority w:val="0"/>
    <w:pPr>
      <w:spacing w:line="312" w:lineRule="atLeast"/>
      <w:ind w:left="200" w:hanging="200" w:hangingChars="200"/>
      <w:textAlignment w:val="baseline"/>
    </w:pPr>
    <w:rPr>
      <w:kern w:val="0"/>
    </w:rPr>
  </w:style>
  <w:style w:type="paragraph" w:styleId="21">
    <w:name w:val="Body Text Indent 3"/>
    <w:basedOn w:val="1"/>
    <w:link w:val="51"/>
    <w:qFormat/>
    <w:uiPriority w:val="0"/>
    <w:pPr>
      <w:spacing w:after="120"/>
      <w:ind w:left="420" w:leftChars="200"/>
    </w:pPr>
    <w:rPr>
      <w:sz w:val="16"/>
      <w:szCs w:val="16"/>
    </w:rPr>
  </w:style>
  <w:style w:type="paragraph" w:styleId="22">
    <w:name w:val="toc 2"/>
    <w:basedOn w:val="1"/>
    <w:next w:val="1"/>
    <w:qFormat/>
    <w:locked/>
    <w:uiPriority w:val="0"/>
    <w:pPr>
      <w:ind w:left="420" w:leftChars="200"/>
    </w:pPr>
  </w:style>
  <w:style w:type="paragraph" w:styleId="23">
    <w:name w:val="Body Text 2"/>
    <w:basedOn w:val="1"/>
    <w:next w:val="1"/>
    <w:unhideWhenUsed/>
    <w:qFormat/>
    <w:uiPriority w:val="99"/>
    <w:pPr>
      <w:spacing w:after="120" w:line="480" w:lineRule="auto"/>
    </w:pPr>
  </w:style>
  <w:style w:type="paragraph" w:styleId="24">
    <w:name w:val="HTML Preformatted"/>
    <w:basedOn w:val="1"/>
    <w:link w:val="89"/>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5">
    <w:name w:val="Normal (Web)"/>
    <w:basedOn w:val="1"/>
    <w:link w:val="52"/>
    <w:qFormat/>
    <w:uiPriority w:val="99"/>
    <w:pPr>
      <w:widowControl/>
      <w:spacing w:before="100" w:beforeAutospacing="1" w:after="100" w:afterAutospacing="1"/>
      <w:jc w:val="left"/>
    </w:pPr>
    <w:rPr>
      <w:rFonts w:ascii="宋体" w:hAnsi="宋体"/>
      <w:kern w:val="0"/>
      <w:sz w:val="24"/>
      <w:szCs w:val="20"/>
    </w:rPr>
  </w:style>
  <w:style w:type="paragraph" w:styleId="26">
    <w:name w:val="annotation subject"/>
    <w:basedOn w:val="8"/>
    <w:next w:val="8"/>
    <w:link w:val="53"/>
    <w:semiHidden/>
    <w:qFormat/>
    <w:uiPriority w:val="0"/>
    <w:rPr>
      <w:b/>
      <w:bCs/>
      <w:kern w:val="2"/>
      <w:szCs w:val="24"/>
    </w:rPr>
  </w:style>
  <w:style w:type="paragraph" w:styleId="27">
    <w:name w:val="Body Text First Indent"/>
    <w:basedOn w:val="9"/>
    <w:link w:val="54"/>
    <w:qFormat/>
    <w:uiPriority w:val="0"/>
    <w:pPr>
      <w:widowControl w:val="0"/>
      <w:snapToGrid/>
      <w:spacing w:before="0" w:after="120" w:line="240" w:lineRule="auto"/>
      <w:ind w:right="0" w:firstLine="420" w:firstLineChars="100"/>
    </w:pPr>
    <w:rPr>
      <w:kern w:val="2"/>
      <w:sz w:val="21"/>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locked/>
    <w:uiPriority w:val="22"/>
    <w:rPr>
      <w:b/>
      <w:bCs/>
    </w:rPr>
  </w:style>
  <w:style w:type="character" w:styleId="32">
    <w:name w:val="page number"/>
    <w:basedOn w:val="30"/>
    <w:qFormat/>
    <w:uiPriority w:val="0"/>
  </w:style>
  <w:style w:type="character" w:styleId="33">
    <w:name w:val="Hyperlink"/>
    <w:basedOn w:val="30"/>
    <w:semiHidden/>
    <w:unhideWhenUsed/>
    <w:qFormat/>
    <w:uiPriority w:val="0"/>
    <w:rPr>
      <w:color w:val="0000FF"/>
      <w:u w:val="single"/>
    </w:rPr>
  </w:style>
  <w:style w:type="character" w:styleId="34">
    <w:name w:val="annotation reference"/>
    <w:qFormat/>
    <w:uiPriority w:val="0"/>
    <w:rPr>
      <w:sz w:val="21"/>
    </w:rPr>
  </w:style>
  <w:style w:type="paragraph" w:customStyle="1" w:styleId="35">
    <w:name w:val="样式 正文缩进正文缩进2正文缩进 Char Char正文缩进 Char Char Char Char正文缩进 Char ..."/>
    <w:basedOn w:val="7"/>
    <w:qFormat/>
    <w:uiPriority w:val="0"/>
    <w:pPr>
      <w:spacing w:line="360" w:lineRule="auto"/>
      <w:ind w:firstLine="200" w:firstLineChars="0"/>
    </w:pPr>
    <w:rPr>
      <w:rFonts w:ascii="Calibri" w:hAnsi="Calibri" w:cs="宋体"/>
    </w:rPr>
  </w:style>
  <w:style w:type="paragraph" w:customStyle="1" w:styleId="36">
    <w:name w:val="Default"/>
    <w:basedOn w:val="37"/>
    <w:unhideWhenUsed/>
    <w:qFormat/>
    <w:uiPriority w:val="0"/>
    <w:pPr>
      <w:widowControl w:val="0"/>
      <w:autoSpaceDE w:val="0"/>
      <w:autoSpaceDN w:val="0"/>
      <w:adjustRightInd w:val="0"/>
    </w:pPr>
    <w:rPr>
      <w:rFonts w:hint="eastAsia" w:ascii="宋体" w:hAnsi="宋体" w:eastAsia="宋体" w:cs="Times New Roman"/>
      <w:color w:val="000000"/>
      <w:sz w:val="24"/>
      <w:szCs w:val="24"/>
      <w:lang w:val="en-US" w:eastAsia="zh-CN" w:bidi="ar-SA"/>
    </w:rPr>
  </w:style>
  <w:style w:type="paragraph" w:customStyle="1" w:styleId="37">
    <w:name w:val="标题 段落4级"/>
    <w:qFormat/>
    <w:uiPriority w:val="0"/>
    <w:pPr>
      <w:spacing w:line="500" w:lineRule="exact"/>
      <w:outlineLvl w:val="3"/>
    </w:pPr>
    <w:rPr>
      <w:rFonts w:ascii="Times New Roman" w:hAnsi="Times New Roman" w:eastAsia="仿宋_GB2312" w:cs="Times New Roman"/>
      <w:b/>
      <w:kern w:val="2"/>
      <w:sz w:val="28"/>
      <w:lang w:val="en-US" w:eastAsia="zh-CN" w:bidi="ar-SA"/>
    </w:rPr>
  </w:style>
  <w:style w:type="character" w:customStyle="1" w:styleId="38">
    <w:name w:val="正文缩进 字符"/>
    <w:link w:val="7"/>
    <w:qFormat/>
    <w:uiPriority w:val="0"/>
    <w:rPr>
      <w:kern w:val="2"/>
      <w:sz w:val="24"/>
    </w:rPr>
  </w:style>
  <w:style w:type="character" w:customStyle="1" w:styleId="39">
    <w:name w:val="标题 2 字符"/>
    <w:link w:val="3"/>
    <w:qFormat/>
    <w:uiPriority w:val="0"/>
    <w:rPr>
      <w:rFonts w:ascii="Arial" w:hAnsi="Arial" w:eastAsia="黑体"/>
      <w:b/>
      <w:bCs/>
      <w:sz w:val="32"/>
      <w:szCs w:val="32"/>
    </w:rPr>
  </w:style>
  <w:style w:type="character" w:customStyle="1" w:styleId="40">
    <w:name w:val="标题 3 字符"/>
    <w:link w:val="4"/>
    <w:qFormat/>
    <w:uiPriority w:val="0"/>
    <w:rPr>
      <w:b/>
      <w:bCs/>
      <w:kern w:val="2"/>
      <w:sz w:val="32"/>
      <w:szCs w:val="32"/>
    </w:rPr>
  </w:style>
  <w:style w:type="character" w:customStyle="1" w:styleId="41">
    <w:name w:val="标题 6 字符"/>
    <w:basedOn w:val="30"/>
    <w:link w:val="6"/>
    <w:semiHidden/>
    <w:qFormat/>
    <w:uiPriority w:val="0"/>
    <w:rPr>
      <w:rFonts w:asciiTheme="majorHAnsi" w:hAnsiTheme="majorHAnsi" w:eastAsiaTheme="majorEastAsia" w:cstheme="majorBidi"/>
      <w:b/>
      <w:bCs/>
      <w:kern w:val="2"/>
      <w:sz w:val="24"/>
      <w:szCs w:val="24"/>
    </w:rPr>
  </w:style>
  <w:style w:type="character" w:customStyle="1" w:styleId="42">
    <w:name w:val="批注文字 字符"/>
    <w:link w:val="8"/>
    <w:qFormat/>
    <w:locked/>
    <w:uiPriority w:val="0"/>
    <w:rPr>
      <w:rFonts w:ascii="Times New Roman" w:hAnsi="Times New Roman" w:eastAsia="宋体"/>
      <w:sz w:val="24"/>
    </w:rPr>
  </w:style>
  <w:style w:type="character" w:customStyle="1" w:styleId="43">
    <w:name w:val="正文文本 字符"/>
    <w:link w:val="9"/>
    <w:qFormat/>
    <w:locked/>
    <w:uiPriority w:val="0"/>
    <w:rPr>
      <w:sz w:val="18"/>
    </w:rPr>
  </w:style>
  <w:style w:type="character" w:customStyle="1" w:styleId="44">
    <w:name w:val="正文文本缩进 字符"/>
    <w:link w:val="11"/>
    <w:semiHidden/>
    <w:qFormat/>
    <w:locked/>
    <w:uiPriority w:val="0"/>
    <w:rPr>
      <w:rFonts w:ascii="Times New Roman" w:hAnsi="Times New Roman" w:eastAsia="宋体" w:cs="Times New Roman"/>
      <w:sz w:val="24"/>
      <w:szCs w:val="24"/>
    </w:rPr>
  </w:style>
  <w:style w:type="character" w:customStyle="1" w:styleId="45">
    <w:name w:val="纯文本 字符"/>
    <w:link w:val="13"/>
    <w:qFormat/>
    <w:uiPriority w:val="99"/>
    <w:rPr>
      <w:rFonts w:ascii="宋体" w:hAnsi="Courier New"/>
      <w:kern w:val="2"/>
      <w:sz w:val="21"/>
    </w:rPr>
  </w:style>
  <w:style w:type="character" w:customStyle="1" w:styleId="46">
    <w:name w:val="日期 字符1"/>
    <w:link w:val="14"/>
    <w:qFormat/>
    <w:locked/>
    <w:uiPriority w:val="0"/>
    <w:rPr>
      <w:rFonts w:ascii="Times New Roman" w:hAnsi="Times New Roman" w:eastAsia="宋体"/>
      <w:sz w:val="24"/>
    </w:rPr>
  </w:style>
  <w:style w:type="character" w:customStyle="1" w:styleId="47">
    <w:name w:val="正文文本缩进 2 字符"/>
    <w:link w:val="15"/>
    <w:qFormat/>
    <w:uiPriority w:val="0"/>
    <w:rPr>
      <w:kern w:val="2"/>
      <w:sz w:val="21"/>
      <w:szCs w:val="24"/>
    </w:rPr>
  </w:style>
  <w:style w:type="character" w:customStyle="1" w:styleId="48">
    <w:name w:val="批注框文本 字符"/>
    <w:link w:val="16"/>
    <w:semiHidden/>
    <w:qFormat/>
    <w:locked/>
    <w:uiPriority w:val="0"/>
    <w:rPr>
      <w:rFonts w:ascii="Times New Roman" w:hAnsi="Times New Roman" w:eastAsia="宋体" w:cs="Times New Roman"/>
      <w:sz w:val="18"/>
      <w:szCs w:val="18"/>
    </w:rPr>
  </w:style>
  <w:style w:type="character" w:customStyle="1" w:styleId="49">
    <w:name w:val="页脚 字符"/>
    <w:link w:val="17"/>
    <w:qFormat/>
    <w:locked/>
    <w:uiPriority w:val="99"/>
    <w:rPr>
      <w:rFonts w:cs="Times New Roman"/>
      <w:sz w:val="18"/>
      <w:szCs w:val="18"/>
    </w:rPr>
  </w:style>
  <w:style w:type="character" w:customStyle="1" w:styleId="50">
    <w:name w:val="页眉 字符"/>
    <w:link w:val="18"/>
    <w:qFormat/>
    <w:locked/>
    <w:uiPriority w:val="99"/>
    <w:rPr>
      <w:rFonts w:cs="Times New Roman"/>
      <w:sz w:val="18"/>
      <w:szCs w:val="18"/>
    </w:rPr>
  </w:style>
  <w:style w:type="character" w:customStyle="1" w:styleId="51">
    <w:name w:val="正文文本缩进 3 字符"/>
    <w:link w:val="21"/>
    <w:qFormat/>
    <w:uiPriority w:val="0"/>
    <w:rPr>
      <w:kern w:val="2"/>
      <w:sz w:val="16"/>
      <w:szCs w:val="16"/>
    </w:rPr>
  </w:style>
  <w:style w:type="character" w:customStyle="1" w:styleId="52">
    <w:name w:val="普通(网站) 字符"/>
    <w:link w:val="25"/>
    <w:qFormat/>
    <w:locked/>
    <w:uiPriority w:val="99"/>
    <w:rPr>
      <w:rFonts w:ascii="宋体" w:hAnsi="宋体" w:eastAsia="宋体"/>
      <w:sz w:val="24"/>
    </w:rPr>
  </w:style>
  <w:style w:type="character" w:customStyle="1" w:styleId="53">
    <w:name w:val="批注主题 字符"/>
    <w:link w:val="26"/>
    <w:semiHidden/>
    <w:qFormat/>
    <w:locked/>
    <w:uiPriority w:val="0"/>
    <w:rPr>
      <w:rFonts w:ascii="Times New Roman" w:hAnsi="Times New Roman" w:eastAsia="宋体" w:cs="Times New Roman"/>
      <w:b/>
      <w:bCs/>
      <w:kern w:val="2"/>
      <w:sz w:val="24"/>
      <w:szCs w:val="24"/>
    </w:rPr>
  </w:style>
  <w:style w:type="character" w:customStyle="1" w:styleId="54">
    <w:name w:val="正文文本首行缩进 字符"/>
    <w:link w:val="27"/>
    <w:qFormat/>
    <w:uiPriority w:val="0"/>
    <w:rPr>
      <w:kern w:val="2"/>
      <w:sz w:val="21"/>
      <w:szCs w:val="24"/>
    </w:rPr>
  </w:style>
  <w:style w:type="character" w:customStyle="1" w:styleId="55">
    <w:name w:val="批注文字 字符1"/>
    <w:semiHidden/>
    <w:qFormat/>
    <w:uiPriority w:val="0"/>
    <w:rPr>
      <w:rFonts w:ascii="Times New Roman" w:hAnsi="Times New Roman" w:eastAsia="宋体" w:cs="Times New Roman"/>
      <w:sz w:val="24"/>
      <w:szCs w:val="24"/>
    </w:rPr>
  </w:style>
  <w:style w:type="character" w:customStyle="1" w:styleId="56">
    <w:name w:val="正文文本 字符1"/>
    <w:semiHidden/>
    <w:qFormat/>
    <w:uiPriority w:val="0"/>
    <w:rPr>
      <w:rFonts w:ascii="Times New Roman" w:hAnsi="Times New Roman" w:eastAsia="宋体" w:cs="Times New Roman"/>
      <w:sz w:val="24"/>
      <w:szCs w:val="24"/>
    </w:rPr>
  </w:style>
  <w:style w:type="character" w:customStyle="1" w:styleId="57">
    <w:name w:val="fontstyle01"/>
    <w:qFormat/>
    <w:uiPriority w:val="0"/>
    <w:rPr>
      <w:rFonts w:hint="eastAsia" w:ascii="宋体" w:hAnsi="宋体" w:eastAsia="宋体"/>
      <w:color w:val="000000"/>
      <w:sz w:val="22"/>
      <w:szCs w:val="22"/>
    </w:rPr>
  </w:style>
  <w:style w:type="character" w:customStyle="1" w:styleId="58">
    <w:name w:val="普通(网站) Char"/>
    <w:qFormat/>
    <w:locked/>
    <w:uiPriority w:val="0"/>
    <w:rPr>
      <w:rFonts w:ascii="宋体" w:hAnsi="宋体" w:eastAsia="宋体"/>
      <w:sz w:val="24"/>
    </w:rPr>
  </w:style>
  <w:style w:type="character" w:customStyle="1" w:styleId="59">
    <w:name w:val="表格 Char"/>
    <w:link w:val="60"/>
    <w:qFormat/>
    <w:locked/>
    <w:uiPriority w:val="0"/>
    <w:rPr>
      <w:rFonts w:ascii="宋体"/>
      <w:sz w:val="21"/>
    </w:rPr>
  </w:style>
  <w:style w:type="paragraph" w:customStyle="1" w:styleId="60">
    <w:name w:val="表格"/>
    <w:basedOn w:val="1"/>
    <w:link w:val="59"/>
    <w:qFormat/>
    <w:uiPriority w:val="0"/>
    <w:pPr>
      <w:adjustRightInd w:val="0"/>
      <w:snapToGrid w:val="0"/>
      <w:spacing w:beforeLines="10" w:afterLines="10" w:line="259" w:lineRule="auto"/>
      <w:jc w:val="center"/>
    </w:pPr>
    <w:rPr>
      <w:rFonts w:ascii="宋体"/>
      <w:kern w:val="0"/>
      <w:szCs w:val="20"/>
    </w:rPr>
  </w:style>
  <w:style w:type="character" w:customStyle="1" w:styleId="61">
    <w:name w:val="fontstyle21"/>
    <w:qFormat/>
    <w:uiPriority w:val="0"/>
    <w:rPr>
      <w:rFonts w:hint="default" w:ascii="TimesNewRomanPSMT" w:hAnsi="TimesNewRomanPSMT"/>
      <w:color w:val="000000"/>
      <w:sz w:val="22"/>
      <w:szCs w:val="22"/>
    </w:rPr>
  </w:style>
  <w:style w:type="character" w:customStyle="1" w:styleId="62">
    <w:name w:val="fontstyle11"/>
    <w:qFormat/>
    <w:uiPriority w:val="0"/>
    <w:rPr>
      <w:rFonts w:hint="default" w:ascii="TimesNewRomanPS-BoldMT" w:hAnsi="TimesNewRomanPS-BoldMT"/>
      <w:b/>
      <w:bCs/>
      <w:color w:val="000000"/>
      <w:sz w:val="28"/>
      <w:szCs w:val="28"/>
    </w:rPr>
  </w:style>
  <w:style w:type="character" w:customStyle="1" w:styleId="63">
    <w:name w:val="纯文本 字符1"/>
    <w:qFormat/>
    <w:uiPriority w:val="0"/>
    <w:rPr>
      <w:rFonts w:ascii="宋体" w:hAnsi="Courier New" w:cs="Courier New"/>
      <w:kern w:val="2"/>
      <w:sz w:val="21"/>
      <w:szCs w:val="21"/>
    </w:rPr>
  </w:style>
  <w:style w:type="character" w:customStyle="1" w:styleId="64">
    <w:name w:val="日期 字符"/>
    <w:semiHidden/>
    <w:qFormat/>
    <w:uiPriority w:val="0"/>
    <w:rPr>
      <w:rFonts w:ascii="Times New Roman" w:hAnsi="Times New Roman" w:eastAsia="宋体" w:cs="Times New Roman"/>
      <w:sz w:val="24"/>
      <w:szCs w:val="24"/>
    </w:rPr>
  </w:style>
  <w:style w:type="character" w:customStyle="1" w:styleId="65">
    <w:name w:val="样式2 Char Char"/>
    <w:link w:val="66"/>
    <w:qFormat/>
    <w:uiPriority w:val="0"/>
    <w:rPr>
      <w:sz w:val="24"/>
    </w:rPr>
  </w:style>
  <w:style w:type="paragraph" w:customStyle="1" w:styleId="66">
    <w:name w:val="样式2"/>
    <w:basedOn w:val="1"/>
    <w:link w:val="65"/>
    <w:qFormat/>
    <w:uiPriority w:val="0"/>
    <w:pPr>
      <w:autoSpaceDE w:val="0"/>
      <w:autoSpaceDN w:val="0"/>
      <w:adjustRightInd w:val="0"/>
      <w:spacing w:line="480" w:lineRule="exact"/>
      <w:jc w:val="center"/>
    </w:pPr>
    <w:rPr>
      <w:kern w:val="0"/>
      <w:sz w:val="24"/>
      <w:szCs w:val="20"/>
    </w:rPr>
  </w:style>
  <w:style w:type="paragraph" w:customStyle="1" w:styleId="67">
    <w:name w:val="正文文本缩进 21"/>
    <w:basedOn w:val="1"/>
    <w:qFormat/>
    <w:uiPriority w:val="0"/>
    <w:pPr>
      <w:spacing w:line="360" w:lineRule="auto"/>
      <w:ind w:firstLine="601" w:firstLineChars="200"/>
    </w:pPr>
    <w:rPr>
      <w:rFonts w:ascii="宋体" w:hAnsi="宋体"/>
      <w:spacing w:val="6"/>
      <w:sz w:val="24"/>
      <w:szCs w:val="28"/>
    </w:rPr>
  </w:style>
  <w:style w:type="paragraph" w:customStyle="1" w:styleId="68">
    <w:name w:val="样式 样式 样式 正文缩进s4 + 首行缩进:  2 字符 + 首行缩进:  2 字符 +"/>
    <w:basedOn w:val="1"/>
    <w:qFormat/>
    <w:uiPriority w:val="0"/>
    <w:pPr>
      <w:spacing w:line="360" w:lineRule="auto"/>
      <w:ind w:firstLine="480" w:firstLineChars="200"/>
    </w:pPr>
    <w:rPr>
      <w:rFonts w:hAnsi="宋体"/>
      <w:sz w:val="24"/>
      <w:szCs w:val="20"/>
    </w:rPr>
  </w:style>
  <w:style w:type="paragraph" w:customStyle="1" w:styleId="69">
    <w:name w:val="Char1 Char Char Char"/>
    <w:basedOn w:val="1"/>
    <w:qFormat/>
    <w:uiPriority w:val="0"/>
  </w:style>
  <w:style w:type="paragraph" w:customStyle="1" w:styleId="7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1">
    <w:name w:val="western"/>
    <w:basedOn w:val="1"/>
    <w:qFormat/>
    <w:uiPriority w:val="0"/>
    <w:pPr>
      <w:widowControl/>
      <w:spacing w:before="100" w:beforeAutospacing="1" w:after="100" w:afterAutospacing="1"/>
      <w:jc w:val="left"/>
    </w:pPr>
    <w:rPr>
      <w:rFonts w:ascii="宋体" w:hAnsi="宋体" w:cs="宋体"/>
      <w:kern w:val="0"/>
      <w:sz w:val="24"/>
    </w:rPr>
  </w:style>
  <w:style w:type="paragraph" w:customStyle="1" w:styleId="72">
    <w:name w:val="p0"/>
    <w:basedOn w:val="1"/>
    <w:qFormat/>
    <w:uiPriority w:val="0"/>
    <w:pPr>
      <w:widowControl/>
    </w:pPr>
    <w:rPr>
      <w:kern w:val="0"/>
      <w:szCs w:val="21"/>
    </w:rPr>
  </w:style>
  <w:style w:type="paragraph" w:customStyle="1" w:styleId="73">
    <w:name w:val="纯文本1"/>
    <w:basedOn w:val="1"/>
    <w:qFormat/>
    <w:uiPriority w:val="0"/>
    <w:pPr>
      <w:widowControl/>
      <w:jc w:val="left"/>
    </w:pPr>
    <w:rPr>
      <w:rFonts w:ascii="宋体" w:hAnsi="Courier New"/>
      <w:lang w:eastAsia="en-US" w:bidi="en-US"/>
    </w:rPr>
  </w:style>
  <w:style w:type="paragraph" w:customStyle="1" w:styleId="74">
    <w:name w:val="样式 首行缩进:  2 字符"/>
    <w:basedOn w:val="1"/>
    <w:qFormat/>
    <w:uiPriority w:val="0"/>
    <w:pPr>
      <w:spacing w:line="440" w:lineRule="exact"/>
      <w:ind w:firstLine="480" w:firstLineChars="200"/>
    </w:pPr>
  </w:style>
  <w:style w:type="paragraph" w:customStyle="1" w:styleId="75">
    <w:name w:val="样式 正文缩进正文（首行缩进两字）首缩两字 + 首行缩进:  2 字符"/>
    <w:basedOn w:val="7"/>
    <w:qFormat/>
    <w:uiPriority w:val="0"/>
    <w:pPr>
      <w:ind w:firstLine="419"/>
    </w:pPr>
    <w:rPr>
      <w:sz w:val="28"/>
      <w:szCs w:val="24"/>
    </w:rPr>
  </w:style>
  <w:style w:type="paragraph" w:customStyle="1" w:styleId="76">
    <w:name w:val="正文文本缩进 31"/>
    <w:basedOn w:val="1"/>
    <w:qFormat/>
    <w:uiPriority w:val="0"/>
    <w:pPr>
      <w:spacing w:line="400" w:lineRule="exact"/>
      <w:ind w:left="-3" w:firstLine="525" w:firstLineChars="200"/>
    </w:pPr>
    <w:rPr>
      <w:sz w:val="24"/>
      <w:szCs w:val="20"/>
    </w:rPr>
  </w:style>
  <w:style w:type="character" w:customStyle="1" w:styleId="77">
    <w:name w:val="font21"/>
    <w:qFormat/>
    <w:uiPriority w:val="0"/>
    <w:rPr>
      <w:rFonts w:hint="eastAsia" w:ascii="宋体" w:hAnsi="宋体" w:eastAsia="宋体"/>
      <w:color w:val="000000"/>
      <w:sz w:val="26"/>
      <w:szCs w:val="26"/>
      <w:u w:val="none"/>
    </w:rPr>
  </w:style>
  <w:style w:type="character" w:customStyle="1" w:styleId="78">
    <w:name w:val="font41"/>
    <w:qFormat/>
    <w:uiPriority w:val="0"/>
    <w:rPr>
      <w:rFonts w:hint="default" w:ascii="Times New Roman" w:hAnsi="Times New Roman" w:cs="Times New Roman"/>
      <w:color w:val="000000"/>
      <w:sz w:val="26"/>
      <w:szCs w:val="26"/>
      <w:u w:val="none"/>
    </w:rPr>
  </w:style>
  <w:style w:type="character" w:customStyle="1" w:styleId="79">
    <w:name w:val="font01"/>
    <w:qFormat/>
    <w:uiPriority w:val="0"/>
    <w:rPr>
      <w:rFonts w:hint="eastAsia" w:ascii="宋体" w:hAnsi="宋体" w:eastAsia="宋体"/>
      <w:color w:val="000000"/>
      <w:sz w:val="24"/>
      <w:szCs w:val="24"/>
      <w:u w:val="none"/>
    </w:rPr>
  </w:style>
  <w:style w:type="paragraph" w:customStyle="1" w:styleId="80">
    <w:name w:val="图形中文字"/>
    <w:basedOn w:val="1"/>
    <w:qFormat/>
    <w:uiPriority w:val="0"/>
    <w:pPr>
      <w:autoSpaceDE w:val="0"/>
      <w:autoSpaceDN w:val="0"/>
      <w:adjustRightInd w:val="0"/>
      <w:jc w:val="center"/>
    </w:pPr>
    <w:rPr>
      <w:rFonts w:ascii="宋体"/>
      <w:kern w:val="0"/>
      <w:sz w:val="24"/>
    </w:rPr>
  </w:style>
  <w:style w:type="character" w:customStyle="1" w:styleId="81">
    <w:name w:val="font11"/>
    <w:qFormat/>
    <w:uiPriority w:val="0"/>
    <w:rPr>
      <w:rFonts w:hint="eastAsia" w:ascii="宋体" w:hAnsi="宋体" w:eastAsia="宋体"/>
      <w:color w:val="000000"/>
      <w:sz w:val="22"/>
      <w:szCs w:val="22"/>
      <w:u w:val="none"/>
    </w:rPr>
  </w:style>
  <w:style w:type="paragraph" w:styleId="82">
    <w:name w:val="List Paragraph"/>
    <w:basedOn w:val="1"/>
    <w:qFormat/>
    <w:uiPriority w:val="99"/>
    <w:pPr>
      <w:ind w:firstLine="420" w:firstLineChars="200"/>
    </w:pPr>
  </w:style>
  <w:style w:type="paragraph" w:customStyle="1" w:styleId="83">
    <w:name w:val="xl31"/>
    <w:basedOn w:val="1"/>
    <w:qFormat/>
    <w:uiPriority w:val="99"/>
    <w:pPr>
      <w:widowControl/>
      <w:spacing w:before="100" w:beforeAutospacing="1" w:after="100" w:afterAutospacing="1"/>
      <w:jc w:val="center"/>
    </w:pPr>
    <w:rPr>
      <w:kern w:val="0"/>
    </w:rPr>
  </w:style>
  <w:style w:type="paragraph" w:customStyle="1" w:styleId="84">
    <w:name w:val="样式 标题 2标题 2 Char Char + 小三"/>
    <w:basedOn w:val="3"/>
    <w:qFormat/>
    <w:uiPriority w:val="0"/>
    <w:pPr>
      <w:spacing w:line="288" w:lineRule="auto"/>
    </w:pPr>
    <w:rPr>
      <w:rFonts w:ascii="Times New Roman" w:hAnsi="Times New Roman"/>
      <w:sz w:val="30"/>
      <w:szCs w:val="20"/>
    </w:rPr>
  </w:style>
  <w:style w:type="paragraph" w:customStyle="1" w:styleId="85">
    <w:name w:val="样式1"/>
    <w:basedOn w:val="1"/>
    <w:qFormat/>
    <w:uiPriority w:val="0"/>
    <w:pPr>
      <w:spacing w:after="40" w:line="300" w:lineRule="atLeast"/>
      <w:jc w:val="center"/>
      <w:outlineLvl w:val="2"/>
    </w:pPr>
    <w:rPr>
      <w:rFonts w:eastAsia="楷体_GB2312"/>
      <w:szCs w:val="20"/>
    </w:rPr>
  </w:style>
  <w:style w:type="paragraph" w:customStyle="1" w:styleId="86">
    <w:name w:val="表文"/>
    <w:basedOn w:val="1"/>
    <w:qFormat/>
    <w:uiPriority w:val="0"/>
    <w:pPr>
      <w:overflowPunct w:val="0"/>
      <w:jc w:val="center"/>
    </w:pPr>
    <w:rPr>
      <w:kern w:val="0"/>
      <w:sz w:val="20"/>
      <w:szCs w:val="20"/>
    </w:rPr>
  </w:style>
  <w:style w:type="paragraph" w:customStyle="1" w:styleId="87">
    <w:name w:val="Char"/>
    <w:basedOn w:val="1"/>
    <w:qFormat/>
    <w:uiPriority w:val="0"/>
    <w:pPr>
      <w:widowControl/>
      <w:spacing w:line="360" w:lineRule="auto"/>
      <w:jc w:val="center"/>
    </w:pPr>
    <w:rPr>
      <w:kern w:val="0"/>
      <w:sz w:val="28"/>
      <w:szCs w:val="28"/>
      <w:lang w:eastAsia="en-US" w:bidi="en-US"/>
    </w:rPr>
  </w:style>
  <w:style w:type="paragraph" w:customStyle="1" w:styleId="88">
    <w:name w:val="简单回函地址"/>
    <w:basedOn w:val="1"/>
    <w:qFormat/>
    <w:uiPriority w:val="0"/>
    <w:rPr>
      <w:szCs w:val="20"/>
    </w:rPr>
  </w:style>
  <w:style w:type="character" w:customStyle="1" w:styleId="89">
    <w:name w:val="HTML 预设格式 字符"/>
    <w:basedOn w:val="30"/>
    <w:link w:val="24"/>
    <w:semiHidden/>
    <w:qFormat/>
    <w:uiPriority w:val="99"/>
    <w:rPr>
      <w:rFonts w:ascii="宋体" w:hAnsi="宋体" w:cs="宋体"/>
      <w:sz w:val="24"/>
      <w:szCs w:val="24"/>
    </w:rPr>
  </w:style>
  <w:style w:type="paragraph" w:customStyle="1" w:styleId="90">
    <w:name w:val="正文缩进1"/>
    <w:basedOn w:val="1"/>
    <w:qFormat/>
    <w:uiPriority w:val="0"/>
    <w:pPr>
      <w:ind w:firstLine="420"/>
    </w:pPr>
    <w:rPr>
      <w:rFonts w:asciiTheme="minorHAnsi" w:hAnsiTheme="minorHAnsi" w:cstheme="minorBidi"/>
    </w:rPr>
  </w:style>
  <w:style w:type="character" w:customStyle="1" w:styleId="91">
    <w:name w:val="样式2 Char"/>
    <w:qFormat/>
    <w:locked/>
    <w:uiPriority w:val="0"/>
    <w:rPr>
      <w:rFonts w:ascii="Batang" w:hAnsi="Batang" w:eastAsia="Batang"/>
      <w:sz w:val="26"/>
    </w:rPr>
  </w:style>
  <w:style w:type="character" w:customStyle="1" w:styleId="92">
    <w:name w:val="me Char"/>
    <w:link w:val="93"/>
    <w:qFormat/>
    <w:locked/>
    <w:uiPriority w:val="0"/>
    <w:rPr>
      <w:rFonts w:ascii="宋体" w:hAnsi="宋体" w:cs="Courier New"/>
      <w:color w:val="000000"/>
      <w:sz w:val="21"/>
      <w:szCs w:val="21"/>
      <w:lang w:val="zh-TW"/>
    </w:rPr>
  </w:style>
  <w:style w:type="paragraph" w:customStyle="1" w:styleId="93">
    <w:name w:val="me"/>
    <w:basedOn w:val="1"/>
    <w:link w:val="92"/>
    <w:qFormat/>
    <w:uiPriority w:val="0"/>
    <w:pPr>
      <w:spacing w:line="360" w:lineRule="auto"/>
      <w:ind w:firstLine="420"/>
      <w:jc w:val="left"/>
    </w:pPr>
    <w:rPr>
      <w:rFonts w:ascii="宋体" w:hAnsi="宋体" w:cs="Courier New"/>
      <w:color w:val="000000"/>
      <w:kern w:val="0"/>
      <w:szCs w:val="21"/>
      <w:lang w:val="zh-TW"/>
    </w:rPr>
  </w:style>
  <w:style w:type="character" w:customStyle="1" w:styleId="94">
    <w:name w:val="表头/图例 Char"/>
    <w:link w:val="95"/>
    <w:qFormat/>
    <w:locked/>
    <w:uiPriority w:val="0"/>
    <w:rPr>
      <w:b/>
    </w:rPr>
  </w:style>
  <w:style w:type="paragraph" w:customStyle="1" w:styleId="95">
    <w:name w:val="表头/图例"/>
    <w:basedOn w:val="1"/>
    <w:link w:val="94"/>
    <w:qFormat/>
    <w:uiPriority w:val="0"/>
    <w:pPr>
      <w:spacing w:before="120" w:after="120" w:line="360" w:lineRule="auto"/>
      <w:jc w:val="center"/>
    </w:pPr>
    <w:rPr>
      <w:b/>
      <w:kern w:val="0"/>
      <w:sz w:val="20"/>
      <w:szCs w:val="20"/>
    </w:rPr>
  </w:style>
  <w:style w:type="character" w:customStyle="1" w:styleId="96">
    <w:name w:val="表中文字 Char"/>
    <w:basedOn w:val="30"/>
    <w:link w:val="97"/>
    <w:qFormat/>
    <w:locked/>
    <w:uiPriority w:val="0"/>
  </w:style>
  <w:style w:type="paragraph" w:customStyle="1" w:styleId="97">
    <w:name w:val="表中文字"/>
    <w:basedOn w:val="1"/>
    <w:link w:val="96"/>
    <w:qFormat/>
    <w:uiPriority w:val="0"/>
    <w:pPr>
      <w:spacing w:before="120" w:after="120"/>
      <w:jc w:val="center"/>
    </w:pPr>
    <w:rPr>
      <w:kern w:val="0"/>
      <w:sz w:val="20"/>
      <w:szCs w:val="20"/>
    </w:rPr>
  </w:style>
  <w:style w:type="paragraph" w:customStyle="1" w:styleId="98">
    <w:name w:val="样式 小四 行距: 1.5 倍行距1"/>
    <w:basedOn w:val="1"/>
    <w:qFormat/>
    <w:uiPriority w:val="0"/>
    <w:pPr>
      <w:adjustRightInd w:val="0"/>
      <w:spacing w:line="360" w:lineRule="auto"/>
      <w:ind w:firstLine="480" w:firstLineChars="200"/>
    </w:pPr>
    <w:rPr>
      <w:rFonts w:ascii="宋体" w:hAnsi="宋体" w:cs="宋体"/>
      <w:sz w:val="24"/>
      <w:szCs w:val="20"/>
    </w:rPr>
  </w:style>
  <w:style w:type="paragraph" w:customStyle="1" w:styleId="99">
    <w:name w:val="Table Paragraph"/>
    <w:basedOn w:val="1"/>
    <w:unhideWhenUsed/>
    <w:qFormat/>
    <w:uiPriority w:val="1"/>
    <w:rPr>
      <w:sz w:val="24"/>
    </w:rPr>
  </w:style>
  <w:style w:type="paragraph" w:customStyle="1" w:styleId="100">
    <w:name w:val="表内字"/>
    <w:basedOn w:val="20"/>
    <w:qFormat/>
    <w:uiPriority w:val="0"/>
    <w:pPr>
      <w:spacing w:line="240" w:lineRule="auto"/>
      <w:ind w:left="0" w:firstLine="0" w:firstLineChars="0"/>
      <w:jc w:val="center"/>
    </w:pPr>
    <w:rPr>
      <w:snapToGrid w:val="0"/>
      <w:sz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4.png"/><Relationship Id="rId7" Type="http://schemas.openxmlformats.org/officeDocument/2006/relationships/image" Target="media/image3.emf"/><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5545D8-A6BE-4CFF-AC8E-268606327CE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84</Pages>
  <Words>48096</Words>
  <Characters>53946</Characters>
  <Lines>611</Lines>
  <Paragraphs>172</Paragraphs>
  <TotalTime>25</TotalTime>
  <ScaleCrop>false</ScaleCrop>
  <LinksUpToDate>false</LinksUpToDate>
  <CharactersWithSpaces>54288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2022-12-19T11:43:00Z</dcterms:created>
  <dc:creator>lhj</dc:creator>
  <cp:lastModifiedBy>小丑</cp:lastModifiedBy>
  <cp:lastPrinted>2023-11-06T09:41:00Z</cp:lastPrinted>
  <dcterms:modified xsi:type="dcterms:W3CDTF">2023-11-24T07:25:08Z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1DEF09D870B5475AAC3BED61080FD277_13</vt:lpwstr>
  </property>
</Properties>
</file>