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rPr>
          <w:color w:val="auto"/>
          <w:highlight w:val="none"/>
        </w:rPr>
      </w:pPr>
    </w:p>
    <w:p>
      <w:pPr>
        <w:rPr>
          <w:rFonts w:asciiTheme="minorHAnsi" w:hAnsiTheme="minorHAnsi" w:eastAsiaTheme="minorEastAsia"/>
          <w:color w:val="auto"/>
          <w:sz w:val="21"/>
          <w:highlight w:val="none"/>
        </w:rPr>
      </w:pPr>
    </w:p>
    <w:p>
      <w:pPr>
        <w:ind w:firstLine="880"/>
        <w:rPr>
          <w:rFonts w:ascii="方正小标宋_GBK" w:hAnsi="方正小标宋_GBK" w:eastAsia="方正小标宋_GBK" w:cs="方正小标宋_GBK"/>
          <w:color w:val="auto"/>
          <w:sz w:val="44"/>
          <w:szCs w:val="4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方正小标宋_GBK" w:hAnsi="方正小标宋_GBK" w:eastAsia="方正小标宋_GBK" w:cs="方正小标宋_GBK"/>
          <w:color w:val="auto"/>
          <w:sz w:val="36"/>
          <w:szCs w:val="36"/>
          <w:highlight w:val="none"/>
        </w:rPr>
      </w:pPr>
      <w:r>
        <w:rPr>
          <w:rFonts w:hint="eastAsia" w:ascii="方正小标宋_GBK" w:hAnsi="方正小标宋_GBK" w:eastAsia="方正小标宋_GBK" w:cs="方正小标宋_GBK"/>
          <w:color w:val="auto"/>
          <w:sz w:val="36"/>
          <w:szCs w:val="36"/>
          <w:highlight w:val="none"/>
        </w:rPr>
        <w:t>巴岳山—西温泉风景名胜区总体规划修编（2011-2030）</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方正小标宋_GBK" w:hAnsi="方正小标宋_GBK" w:eastAsia="方正小标宋_GBK" w:cs="方正小标宋_GBK"/>
          <w:color w:val="auto"/>
          <w:sz w:val="44"/>
          <w:szCs w:val="44"/>
          <w:highlight w:val="none"/>
        </w:rPr>
      </w:pPr>
      <w:r>
        <w:rPr>
          <w:rFonts w:hint="eastAsia" w:ascii="方正小标宋_GBK" w:hAnsi="方正小标宋_GBK" w:eastAsia="方正小标宋_GBK" w:cs="方正小标宋_GBK"/>
          <w:color w:val="auto"/>
          <w:sz w:val="44"/>
          <w:szCs w:val="44"/>
          <w:highlight w:val="none"/>
        </w:rPr>
        <w:t>2024年修正</w:t>
      </w:r>
    </w:p>
    <w:p>
      <w:pPr>
        <w:pStyle w:val="5"/>
        <w:spacing w:line="600" w:lineRule="exact"/>
        <w:ind w:left="-10" w:leftChars="-47" w:hanging="140" w:hangingChars="44"/>
        <w:rPr>
          <w:rFonts w:ascii="方正仿宋_GBK"/>
          <w:color w:val="auto"/>
          <w:sz w:val="32"/>
          <w:szCs w:val="32"/>
          <w:highlight w:val="none"/>
        </w:rPr>
      </w:pPr>
    </w:p>
    <w:p>
      <w:pPr>
        <w:ind w:firstLine="640"/>
        <w:rPr>
          <w:rFonts w:ascii="方正仿宋_GBK" w:cs="Times New Roman"/>
          <w:color w:val="auto"/>
          <w:szCs w:val="32"/>
          <w:highlight w:val="none"/>
        </w:rPr>
      </w:pPr>
      <w:r>
        <w:rPr>
          <w:rFonts w:hint="eastAsia" w:ascii="方正仿宋_GBK" w:cs="Times New Roman"/>
          <w:color w:val="auto"/>
          <w:szCs w:val="32"/>
          <w:highlight w:val="none"/>
        </w:rPr>
        <w:br w:type="page"/>
      </w:r>
    </w:p>
    <w:p>
      <w:pPr>
        <w:pStyle w:val="5"/>
        <w:spacing w:line="600" w:lineRule="exact"/>
        <w:ind w:left="-10" w:leftChars="-47" w:hanging="140" w:hangingChars="44"/>
        <w:rPr>
          <w:rFonts w:ascii="方正仿宋_GBK"/>
          <w:color w:val="auto"/>
          <w:sz w:val="32"/>
          <w:szCs w:val="32"/>
          <w:highlight w:val="none"/>
        </w:rPr>
        <w:sectPr>
          <w:pgSz w:w="11906" w:h="16838"/>
          <w:pgMar w:top="1440" w:right="1066" w:bottom="1440" w:left="1800" w:header="851" w:footer="992" w:gutter="0"/>
          <w:pgNumType w:fmt="upperRoman"/>
          <w:cols w:space="425" w:num="1"/>
          <w:docGrid w:type="lines" w:linePitch="312" w:charSpace="0"/>
        </w:sectPr>
      </w:pPr>
    </w:p>
    <w:p>
      <w:pPr>
        <w:pStyle w:val="8"/>
        <w:spacing w:line="600" w:lineRule="exact"/>
        <w:ind w:firstLine="0" w:firstLineChars="0"/>
        <w:jc w:val="center"/>
        <w:rPr>
          <w:caps w:val="0"/>
          <w:color w:val="auto"/>
          <w:sz w:val="96"/>
          <w:szCs w:val="96"/>
          <w:highlight w:val="none"/>
        </w:rPr>
      </w:pPr>
    </w:p>
    <w:p>
      <w:pPr>
        <w:pStyle w:val="8"/>
        <w:spacing w:line="600" w:lineRule="exact"/>
        <w:ind w:firstLine="0" w:firstLineChars="0"/>
        <w:jc w:val="center"/>
        <w:rPr>
          <w:caps w:val="0"/>
          <w:color w:val="auto"/>
          <w:sz w:val="96"/>
          <w:szCs w:val="96"/>
          <w:highlight w:val="none"/>
        </w:rPr>
      </w:pPr>
    </w:p>
    <w:p>
      <w:pPr>
        <w:pStyle w:val="8"/>
        <w:spacing w:line="600" w:lineRule="exact"/>
        <w:ind w:firstLine="0" w:firstLineChars="0"/>
        <w:jc w:val="center"/>
        <w:rPr>
          <w:caps w:val="0"/>
          <w:color w:val="auto"/>
          <w:sz w:val="96"/>
          <w:szCs w:val="96"/>
          <w:highlight w:val="none"/>
        </w:rPr>
      </w:pPr>
    </w:p>
    <w:p>
      <w:pPr>
        <w:pStyle w:val="8"/>
        <w:spacing w:line="600" w:lineRule="exact"/>
        <w:ind w:firstLine="0" w:firstLineChars="0"/>
        <w:jc w:val="center"/>
        <w:rPr>
          <w:caps w:val="0"/>
          <w:color w:val="auto"/>
          <w:sz w:val="96"/>
          <w:szCs w:val="96"/>
          <w:highlight w:val="none"/>
        </w:rPr>
      </w:pPr>
    </w:p>
    <w:p>
      <w:pPr>
        <w:pStyle w:val="8"/>
        <w:spacing w:line="240" w:lineRule="auto"/>
        <w:ind w:firstLine="0" w:firstLineChars="0"/>
        <w:jc w:val="center"/>
        <w:rPr>
          <w:caps w:val="0"/>
          <w:color w:val="auto"/>
          <w:sz w:val="96"/>
          <w:szCs w:val="96"/>
          <w:highlight w:val="none"/>
        </w:rPr>
        <w:sectPr>
          <w:pgSz w:w="11906" w:h="16838"/>
          <w:pgMar w:top="1440" w:right="1066" w:bottom="1440" w:left="1800" w:header="851" w:footer="992" w:gutter="0"/>
          <w:pgNumType w:fmt="upperRoman"/>
          <w:cols w:space="425" w:num="1"/>
          <w:docGrid w:type="lines" w:linePitch="312" w:charSpace="0"/>
        </w:sectPr>
      </w:pPr>
      <w:r>
        <w:rPr>
          <w:rFonts w:hint="eastAsia"/>
          <w:caps w:val="0"/>
          <w:color w:val="auto"/>
          <w:sz w:val="96"/>
          <w:szCs w:val="96"/>
          <w:highlight w:val="none"/>
        </w:rPr>
        <w:t>文本</w:t>
      </w:r>
    </w:p>
    <w:p>
      <w:pPr>
        <w:pStyle w:val="2"/>
        <w:spacing w:line="600" w:lineRule="exact"/>
        <w:ind w:left="0" w:leftChars="0" w:firstLine="0" w:firstLineChars="0"/>
        <w:jc w:val="center"/>
        <w:rPr>
          <w:color w:val="auto"/>
          <w:highlight w:val="none"/>
        </w:rPr>
      </w:pPr>
      <w:r>
        <w:rPr>
          <w:rFonts w:hint="eastAsia"/>
          <w:color w:val="auto"/>
          <w:highlight w:val="none"/>
        </w:rPr>
        <w:t>修正说明</w:t>
      </w:r>
    </w:p>
    <w:p>
      <w:pPr>
        <w:ind w:firstLine="640"/>
        <w:rPr>
          <w:color w:val="auto"/>
          <w:highlight w:val="none"/>
        </w:rPr>
      </w:pPr>
    </w:p>
    <w:p>
      <w:pPr>
        <w:ind w:firstLine="640"/>
        <w:rPr>
          <w:rFonts w:hint="eastAsia"/>
          <w:color w:val="auto"/>
          <w:highlight w:val="none"/>
        </w:rPr>
      </w:pPr>
      <w:r>
        <w:rPr>
          <w:rFonts w:hint="eastAsia"/>
          <w:color w:val="auto"/>
          <w:highlight w:val="none"/>
        </w:rPr>
        <w:t>巴岳山—西温泉风景名胜区于1999年经重庆市政府批准为市级风景名胜区。主要由“重庆小十景”之一的巴岳山和重庆“五方十泉”的重要“一方”西温泉组成。为保障巴岳山—西温泉风景名胜区保护与发展有机协调，于2012年批复并实施了《巴岳山—西温泉风景名胜区总体规划修编（2011—2030）》（以下简称《总规》）。《总规》有效指导了十余年来巴岳山—西温泉风景名胜区（以下简称“风景区”）的发展建设与资源保护。</w:t>
      </w:r>
    </w:p>
    <w:p>
      <w:pPr>
        <w:ind w:firstLine="640"/>
        <w:rPr>
          <w:color w:val="auto"/>
          <w:highlight w:val="none"/>
        </w:rPr>
      </w:pPr>
      <w:r>
        <w:rPr>
          <w:rFonts w:hint="eastAsia"/>
          <w:color w:val="auto"/>
          <w:highlight w:val="none"/>
        </w:rPr>
        <w:t>由于《总规》编制时技术手段和现在相比有一定差距，特别是图纸绘制存在底图不够精确、比例尺寸不够精准等问题，在后期实施过程中发现规划文本与图纸在用地布局规模上存在较大的差异。同时，《总规》用地布局与当时现状差异较大，部分建设用地与林地图斑重叠较多，造成在后期实施时难度大，对风景区区域生态环境影响也较大。风景区范围内保护分区、各类建设用地等未形成统一矢量化数据库，造成管理难度大等问题。为更好地指导风景区发展建设，优化《总规》用地布局，协调风景区的保护与利用，</w:t>
      </w:r>
      <w:r>
        <w:rPr>
          <w:rFonts w:hint="eastAsia" w:cs="Times New Roman"/>
          <w:color w:val="auto"/>
          <w:szCs w:val="20"/>
          <w:highlight w:val="none"/>
        </w:rPr>
        <w:t>需对《巴岳山—西温泉风景名胜区总体规划修编（2011-2030）》</w:t>
      </w:r>
      <w:r>
        <w:rPr>
          <w:rFonts w:hint="eastAsia"/>
          <w:color w:val="auto"/>
          <w:highlight w:val="none"/>
        </w:rPr>
        <w:t>规划文本与图纸有差异的规划</w:t>
      </w:r>
      <w:r>
        <w:rPr>
          <w:rFonts w:hint="eastAsia"/>
          <w:color w:val="auto"/>
          <w:highlight w:val="none"/>
          <w:lang w:val="en-US" w:eastAsia="zh-CN"/>
        </w:rPr>
        <w:t>旅游服务设施</w:t>
      </w:r>
      <w:r>
        <w:rPr>
          <w:rFonts w:hint="eastAsia"/>
          <w:color w:val="auto"/>
          <w:highlight w:val="none"/>
        </w:rPr>
        <w:t>用地</w:t>
      </w:r>
      <w:r>
        <w:rPr>
          <w:rFonts w:hint="eastAsia"/>
          <w:color w:val="auto"/>
          <w:highlight w:val="none"/>
          <w:lang w:val="en-US" w:eastAsia="zh-CN"/>
        </w:rPr>
        <w:t>规模及相关内容</w:t>
      </w:r>
      <w:r>
        <w:rPr>
          <w:rFonts w:hint="eastAsia"/>
          <w:color w:val="auto"/>
          <w:highlight w:val="none"/>
        </w:rPr>
        <w:t>进行修正。</w:t>
      </w:r>
    </w:p>
    <w:p>
      <w:pPr>
        <w:ind w:firstLine="640"/>
        <w:rPr>
          <w:color w:val="auto"/>
          <w:highlight w:val="none"/>
        </w:rPr>
      </w:pPr>
      <w:r>
        <w:rPr>
          <w:rFonts w:hint="eastAsia"/>
          <w:color w:val="auto"/>
          <w:highlight w:val="none"/>
        </w:rPr>
        <w:br w:type="page"/>
      </w:r>
    </w:p>
    <w:p>
      <w:pPr>
        <w:ind w:firstLine="640"/>
        <w:rPr>
          <w:color w:val="auto"/>
          <w:highlight w:val="none"/>
        </w:rPr>
        <w:sectPr>
          <w:footerReference r:id="rId5" w:type="default"/>
          <w:pgSz w:w="11906" w:h="16838"/>
          <w:pgMar w:top="1440" w:right="1066" w:bottom="1440" w:left="1800" w:header="851" w:footer="992" w:gutter="0"/>
          <w:pgNumType w:fmt="upperRoman" w:start="1"/>
          <w:cols w:space="425" w:num="1"/>
          <w:docGrid w:type="lines" w:linePitch="312" w:charSpace="0"/>
        </w:sectPr>
      </w:pPr>
    </w:p>
    <w:p>
      <w:pPr>
        <w:pStyle w:val="2"/>
        <w:tabs>
          <w:tab w:val="center" w:pos="4742"/>
        </w:tabs>
        <w:spacing w:line="600" w:lineRule="exact"/>
        <w:ind w:firstLine="0" w:firstLineChars="0"/>
        <w:jc w:val="left"/>
        <w:rPr>
          <w:rFonts w:hint="eastAsia" w:eastAsia="方正小标宋_GBK"/>
          <w:b w:val="0"/>
          <w:kern w:val="44"/>
          <w:sz w:val="36"/>
        </w:rPr>
      </w:pPr>
      <w:r>
        <w:rPr>
          <w:rFonts w:hint="eastAsia" w:eastAsia="方正小标宋_GBK"/>
          <w:b w:val="0"/>
          <w:kern w:val="44"/>
          <w:sz w:val="36"/>
        </w:rPr>
        <w:t>一、</w:t>
      </w:r>
      <w:r>
        <w:rPr>
          <w:rFonts w:hint="eastAsia" w:eastAsia="方正小标宋_GBK"/>
          <w:b w:val="0"/>
          <w:kern w:val="44"/>
          <w:sz w:val="36"/>
          <w:lang w:val="en-US" w:eastAsia="zh-CN"/>
        </w:rPr>
        <w:t>修正</w:t>
      </w:r>
      <w:r>
        <w:rPr>
          <w:rFonts w:hint="eastAsia" w:eastAsia="方正小标宋_GBK"/>
          <w:b w:val="0"/>
          <w:kern w:val="44"/>
          <w:sz w:val="36"/>
        </w:rPr>
        <w:t>依据</w:t>
      </w:r>
    </w:p>
    <w:p>
      <w:pPr>
        <w:bidi w:val="0"/>
        <w:rPr>
          <w:color w:val="auto"/>
          <w:highlight w:val="none"/>
        </w:rPr>
      </w:pPr>
      <w:bookmarkStart w:id="0" w:name="_Toc194205336"/>
      <w:bookmarkStart w:id="1" w:name="_Toc194221896"/>
      <w:bookmarkStart w:id="2" w:name="_Toc194222020"/>
      <w:bookmarkStart w:id="3" w:name="_Toc194205311"/>
      <w:bookmarkStart w:id="4" w:name="_Toc194205335"/>
      <w:bookmarkStart w:id="5" w:name="_Toc194222019"/>
      <w:bookmarkStart w:id="6" w:name="_Toc194221895"/>
      <w:bookmarkStart w:id="7" w:name="_Toc194205310"/>
      <w:r>
        <w:rPr>
          <w:rFonts w:hint="eastAsia"/>
          <w:color w:val="auto"/>
          <w:highlight w:val="none"/>
        </w:rPr>
        <w:t>（1）《风景名胜区条例》（2016年修订）；</w:t>
      </w:r>
    </w:p>
    <w:p>
      <w:pPr>
        <w:bidi w:val="0"/>
        <w:rPr>
          <w:color w:val="auto"/>
          <w:highlight w:val="none"/>
        </w:rPr>
      </w:pPr>
      <w:r>
        <w:rPr>
          <w:rFonts w:hint="eastAsia"/>
          <w:color w:val="auto"/>
          <w:highlight w:val="none"/>
        </w:rPr>
        <w:t>（2）《重庆市风景名胜区条例》（2022年修正）；</w:t>
      </w:r>
    </w:p>
    <w:p>
      <w:pPr>
        <w:bidi w:val="0"/>
        <w:rPr>
          <w:color w:val="auto"/>
          <w:highlight w:val="none"/>
        </w:rPr>
      </w:pPr>
      <w:r>
        <w:rPr>
          <w:rFonts w:hint="eastAsia"/>
          <w:color w:val="auto"/>
          <w:highlight w:val="none"/>
        </w:rPr>
        <w:t>（3）《风景名胜区总体规划标准》（GB/T50298-2018）；</w:t>
      </w:r>
    </w:p>
    <w:p>
      <w:pPr>
        <w:bidi w:val="0"/>
        <w:rPr>
          <w:color w:val="auto"/>
          <w:highlight w:val="none"/>
        </w:rPr>
      </w:pPr>
      <w:r>
        <w:rPr>
          <w:rFonts w:hint="eastAsia"/>
          <w:color w:val="auto"/>
          <w:highlight w:val="none"/>
        </w:rPr>
        <w:t>（4）《风景名胜区分类标准》（CJJ/T121-2008）；</w:t>
      </w:r>
    </w:p>
    <w:p>
      <w:pPr>
        <w:bidi w:val="0"/>
        <w:rPr>
          <w:color w:val="auto"/>
          <w:highlight w:val="none"/>
        </w:rPr>
      </w:pPr>
      <w:r>
        <w:rPr>
          <w:rFonts w:hint="eastAsia"/>
          <w:color w:val="auto"/>
          <w:highlight w:val="none"/>
        </w:rPr>
        <w:t>（5）《重庆市</w:t>
      </w:r>
      <w:r>
        <w:rPr>
          <w:rFonts w:hint="eastAsia"/>
          <w:color w:val="auto"/>
          <w:highlight w:val="none"/>
          <w:lang w:val="en-US" w:eastAsia="zh-CN"/>
        </w:rPr>
        <w:t>铜梁</w:t>
      </w:r>
      <w:r>
        <w:rPr>
          <w:rFonts w:hint="eastAsia"/>
          <w:color w:val="auto"/>
          <w:highlight w:val="none"/>
        </w:rPr>
        <w:t>区第三次国土调查》（2021年）；</w:t>
      </w:r>
    </w:p>
    <w:p>
      <w:pPr>
        <w:bidi w:val="0"/>
        <w:rPr>
          <w:color w:val="auto"/>
          <w:highlight w:val="none"/>
        </w:rPr>
      </w:pPr>
      <w:r>
        <w:rPr>
          <w:rFonts w:hint="eastAsia"/>
          <w:color w:val="auto"/>
          <w:highlight w:val="none"/>
        </w:rPr>
        <w:t>（6）《重庆市</w:t>
      </w:r>
      <w:r>
        <w:rPr>
          <w:rFonts w:hint="eastAsia"/>
          <w:color w:val="auto"/>
          <w:highlight w:val="none"/>
          <w:lang w:val="en-US" w:eastAsia="zh-CN"/>
        </w:rPr>
        <w:t>铜梁</w:t>
      </w:r>
      <w:r>
        <w:rPr>
          <w:rFonts w:hint="eastAsia"/>
          <w:color w:val="auto"/>
          <w:highlight w:val="none"/>
        </w:rPr>
        <w:t>区“三区三线”划定成果》；</w:t>
      </w:r>
    </w:p>
    <w:p>
      <w:pPr>
        <w:bidi w:val="0"/>
        <w:rPr>
          <w:color w:val="auto"/>
          <w:highlight w:val="none"/>
        </w:rPr>
      </w:pPr>
      <w:r>
        <w:rPr>
          <w:rFonts w:hint="eastAsia"/>
          <w:color w:val="auto"/>
          <w:highlight w:val="none"/>
        </w:rPr>
        <w:t>（7）《重庆市风景名胜区和自然公园保护与利用工作导则（试行）》（2</w:t>
      </w:r>
      <w:r>
        <w:rPr>
          <w:color w:val="auto"/>
          <w:highlight w:val="none"/>
        </w:rPr>
        <w:t>021</w:t>
      </w:r>
      <w:r>
        <w:rPr>
          <w:rFonts w:hint="eastAsia"/>
          <w:color w:val="auto"/>
          <w:highlight w:val="none"/>
        </w:rPr>
        <w:t>年）；</w:t>
      </w:r>
    </w:p>
    <w:bookmarkEnd w:id="0"/>
    <w:bookmarkEnd w:id="1"/>
    <w:bookmarkEnd w:id="2"/>
    <w:bookmarkEnd w:id="3"/>
    <w:p>
      <w:pPr>
        <w:bidi w:val="0"/>
        <w:rPr>
          <w:color w:val="auto"/>
          <w:highlight w:val="none"/>
        </w:rPr>
      </w:pPr>
      <w:r>
        <w:rPr>
          <w:rFonts w:hint="eastAsia"/>
          <w:color w:val="auto"/>
          <w:highlight w:val="none"/>
        </w:rPr>
        <w:t>（8）《巴岳山—西温泉风景名胜区总体规划修编（2011-2030）》</w:t>
      </w:r>
      <w:bookmarkEnd w:id="4"/>
      <w:bookmarkEnd w:id="5"/>
      <w:bookmarkEnd w:id="6"/>
      <w:bookmarkEnd w:id="7"/>
      <w:r>
        <w:rPr>
          <w:rFonts w:hint="eastAsia"/>
          <w:color w:val="auto"/>
          <w:highlight w:val="none"/>
        </w:rPr>
        <w:t>。</w:t>
      </w:r>
    </w:p>
    <w:p>
      <w:pPr>
        <w:pStyle w:val="2"/>
        <w:tabs>
          <w:tab w:val="center" w:pos="4742"/>
        </w:tabs>
        <w:spacing w:line="600" w:lineRule="exact"/>
        <w:ind w:firstLine="0" w:firstLineChars="0"/>
        <w:jc w:val="left"/>
        <w:rPr>
          <w:rFonts w:hint="eastAsia" w:eastAsia="方正小标宋_GBK"/>
          <w:b w:val="0"/>
          <w:kern w:val="44"/>
          <w:sz w:val="36"/>
        </w:rPr>
      </w:pPr>
      <w:r>
        <w:rPr>
          <w:rFonts w:hint="eastAsia" w:eastAsia="方正小标宋_GBK"/>
          <w:b w:val="0"/>
          <w:kern w:val="44"/>
          <w:sz w:val="36"/>
        </w:rPr>
        <w:t>二、修正内容</w:t>
      </w:r>
    </w:p>
    <w:p>
      <w:pPr>
        <w:ind w:firstLine="640"/>
        <w:jc w:val="left"/>
        <w:rPr>
          <w:rFonts w:cs="Times New Roman"/>
          <w:color w:val="auto"/>
          <w:highlight w:val="none"/>
        </w:rPr>
      </w:pPr>
      <w:r>
        <w:rPr>
          <w:rFonts w:hint="eastAsia" w:cs="Times New Roman"/>
          <w:color w:val="auto"/>
          <w:highlight w:val="none"/>
        </w:rPr>
        <w:t>本次规划</w:t>
      </w:r>
      <w:r>
        <w:rPr>
          <w:rFonts w:hint="eastAsia" w:cs="Times New Roman"/>
          <w:color w:val="auto"/>
          <w:highlight w:val="none"/>
          <w:lang w:eastAsia="zh-CN"/>
        </w:rPr>
        <w:t>修正</w:t>
      </w:r>
      <w:r>
        <w:rPr>
          <w:rFonts w:hint="eastAsia" w:cs="Times New Roman"/>
          <w:color w:val="auto"/>
          <w:highlight w:val="none"/>
        </w:rPr>
        <w:t>主要对保护培育规定与措施</w:t>
      </w:r>
      <w:r>
        <w:rPr>
          <w:rFonts w:hint="eastAsia" w:cs="Times New Roman"/>
          <w:color w:val="auto"/>
          <w:highlight w:val="none"/>
          <w:lang w:val="en-US" w:eastAsia="zh-CN"/>
        </w:rPr>
        <w:t>、</w:t>
      </w:r>
      <w:r>
        <w:rPr>
          <w:rFonts w:hint="eastAsia"/>
          <w:color w:val="auto"/>
          <w:highlight w:val="none"/>
        </w:rPr>
        <w:t>土地利用布局</w:t>
      </w:r>
      <w:r>
        <w:rPr>
          <w:rFonts w:hint="eastAsia" w:cs="Times New Roman"/>
          <w:color w:val="auto"/>
          <w:highlight w:val="none"/>
          <w:lang w:val="en-US" w:eastAsia="zh-CN"/>
        </w:rPr>
        <w:t>、近期建设内容、床位等内容进行修正</w:t>
      </w:r>
      <w:r>
        <w:rPr>
          <w:rFonts w:hint="eastAsia" w:cs="Times New Roman"/>
          <w:color w:val="auto"/>
          <w:highlight w:val="none"/>
        </w:rPr>
        <w:t>。未</w:t>
      </w:r>
      <w:r>
        <w:rPr>
          <w:rFonts w:hint="eastAsia" w:cs="Times New Roman"/>
          <w:color w:val="auto"/>
          <w:highlight w:val="none"/>
          <w:lang w:val="en-US" w:eastAsia="zh-CN"/>
        </w:rPr>
        <w:t>修正</w:t>
      </w:r>
      <w:r>
        <w:rPr>
          <w:rFonts w:hint="eastAsia" w:cs="Times New Roman"/>
          <w:color w:val="auto"/>
          <w:highlight w:val="none"/>
        </w:rPr>
        <w:t>部分按原规划执行。</w:t>
      </w:r>
    </w:p>
    <w:p>
      <w:pPr>
        <w:pStyle w:val="3"/>
        <w:tabs>
          <w:tab w:val="center" w:pos="4742"/>
        </w:tabs>
        <w:adjustRightInd/>
        <w:snapToGrid/>
        <w:spacing w:beforeLines="0" w:beforeAutospacing="0" w:afterLines="0" w:afterAutospacing="0" w:line="360" w:lineRule="auto"/>
        <w:ind w:left="0" w:leftChars="0" w:firstLine="0" w:firstLineChars="0"/>
        <w:jc w:val="left"/>
        <w:rPr>
          <w:rFonts w:hint="eastAsia" w:ascii="Times New Roman" w:hAnsi="Times New Roman" w:eastAsia="方正黑体_GBK"/>
          <w:b w:val="0"/>
          <w:bCs w:val="0"/>
          <w:szCs w:val="20"/>
          <w:lang w:val="en-US" w:eastAsia="zh-CN"/>
        </w:rPr>
      </w:pPr>
      <w:r>
        <w:rPr>
          <w:rFonts w:hint="eastAsia" w:ascii="Times New Roman" w:hAnsi="Times New Roman" w:eastAsia="方正黑体_GBK"/>
          <w:b w:val="0"/>
          <w:bCs w:val="0"/>
          <w:szCs w:val="20"/>
          <w:lang w:val="en-US" w:eastAsia="zh-CN"/>
        </w:rPr>
        <w:t>（一）修正一 第十五条 保护培育规定与措施</w:t>
      </w:r>
    </w:p>
    <w:p>
      <w:pPr>
        <w:pStyle w:val="4"/>
        <w:tabs>
          <w:tab w:val="center" w:pos="4742"/>
        </w:tabs>
        <w:adjustRightInd/>
        <w:snapToGrid/>
        <w:spacing w:before="0" w:beforeLines="0" w:beforeAutospacing="0" w:after="0" w:afterLines="0" w:afterAutospacing="0" w:line="600" w:lineRule="exact"/>
        <w:ind w:firstLine="640"/>
        <w:rPr>
          <w:rFonts w:hint="eastAsia" w:eastAsia="方正楷体_GBK"/>
          <w:b w:val="0"/>
          <w:bCs w:val="0"/>
          <w:szCs w:val="20"/>
          <w:lang w:eastAsia="zh-CN"/>
        </w:rPr>
      </w:pPr>
      <w:r>
        <w:rPr>
          <w:rFonts w:hint="eastAsia" w:eastAsia="方正楷体_GBK"/>
          <w:b w:val="0"/>
          <w:bCs w:val="0"/>
          <w:szCs w:val="20"/>
        </w:rPr>
        <w:t>■</w:t>
      </w:r>
      <w:r>
        <w:rPr>
          <w:rFonts w:hint="eastAsia" w:eastAsia="方正楷体_GBK"/>
          <w:b w:val="0"/>
          <w:bCs w:val="0"/>
          <w:szCs w:val="20"/>
          <w:lang w:val="en-US" w:eastAsia="zh-CN"/>
        </w:rPr>
        <w:t>修正内容</w:t>
      </w:r>
    </w:p>
    <w:p>
      <w:pPr>
        <w:ind w:firstLine="640"/>
        <w:rPr>
          <w:rFonts w:hint="eastAsia"/>
          <w:color w:val="auto"/>
          <w:highlight w:val="none"/>
        </w:rPr>
      </w:pPr>
      <w:r>
        <w:rPr>
          <w:rFonts w:hint="eastAsia"/>
          <w:color w:val="auto"/>
          <w:highlight w:val="none"/>
          <w:lang w:val="en-US" w:eastAsia="zh-CN"/>
        </w:rPr>
        <w:t>本次主要修正了风景游览区、发展控制区的规模。修正前，风景游览区</w:t>
      </w:r>
      <w:r>
        <w:rPr>
          <w:rFonts w:hint="eastAsia"/>
          <w:color w:val="auto"/>
          <w:highlight w:val="none"/>
        </w:rPr>
        <w:t>总面积27.66km</w:t>
      </w:r>
      <w:r>
        <w:rPr>
          <w:rFonts w:hint="eastAsia"/>
          <w:color w:val="auto"/>
          <w:highlight w:val="none"/>
          <w:vertAlign w:val="superscript"/>
        </w:rPr>
        <w:t>2</w:t>
      </w:r>
      <w:r>
        <w:rPr>
          <w:rFonts w:hint="eastAsia"/>
          <w:color w:val="auto"/>
          <w:highlight w:val="none"/>
        </w:rPr>
        <w:t>，其中巴岳山片区18.2km</w:t>
      </w:r>
      <w:r>
        <w:rPr>
          <w:rFonts w:hint="eastAsia"/>
          <w:color w:val="auto"/>
          <w:highlight w:val="none"/>
          <w:vertAlign w:val="superscript"/>
        </w:rPr>
        <w:t>2</w:t>
      </w:r>
      <w:r>
        <w:rPr>
          <w:rFonts w:hint="eastAsia"/>
          <w:color w:val="auto"/>
          <w:highlight w:val="none"/>
        </w:rPr>
        <w:t>，西温泉片区9.46km</w:t>
      </w:r>
      <w:r>
        <w:rPr>
          <w:rFonts w:hint="eastAsia"/>
          <w:color w:val="auto"/>
          <w:highlight w:val="none"/>
          <w:vertAlign w:val="superscript"/>
        </w:rPr>
        <w:t>2</w:t>
      </w:r>
      <w:r>
        <w:rPr>
          <w:rFonts w:hint="eastAsia"/>
          <w:color w:val="auto"/>
          <w:highlight w:val="none"/>
        </w:rPr>
        <w:t>。发展控制区总面积2.35km</w:t>
      </w:r>
      <w:r>
        <w:rPr>
          <w:rFonts w:hint="eastAsia"/>
          <w:color w:val="auto"/>
          <w:highlight w:val="none"/>
          <w:vertAlign w:val="superscript"/>
        </w:rPr>
        <w:t>2</w:t>
      </w:r>
      <w:r>
        <w:rPr>
          <w:rFonts w:hint="eastAsia"/>
          <w:color w:val="auto"/>
          <w:highlight w:val="none"/>
        </w:rPr>
        <w:t>。其中巴岳山片区面积1.19km</w:t>
      </w:r>
      <w:r>
        <w:rPr>
          <w:rFonts w:hint="eastAsia"/>
          <w:color w:val="auto"/>
          <w:highlight w:val="none"/>
          <w:vertAlign w:val="superscript"/>
        </w:rPr>
        <w:t>2</w:t>
      </w:r>
      <w:r>
        <w:rPr>
          <w:rFonts w:hint="eastAsia"/>
          <w:color w:val="auto"/>
          <w:highlight w:val="none"/>
        </w:rPr>
        <w:t>，西温泉片区面积1.16km</w:t>
      </w:r>
      <w:r>
        <w:rPr>
          <w:rFonts w:hint="eastAsia"/>
          <w:color w:val="auto"/>
          <w:highlight w:val="none"/>
          <w:vertAlign w:val="superscript"/>
        </w:rPr>
        <w:t>2</w:t>
      </w:r>
      <w:r>
        <w:rPr>
          <w:rFonts w:hint="eastAsia"/>
          <w:color w:val="auto"/>
          <w:highlight w:val="none"/>
        </w:rPr>
        <w:t>。</w:t>
      </w:r>
    </w:p>
    <w:p>
      <w:pPr>
        <w:ind w:firstLine="640"/>
        <w:rPr>
          <w:rFonts w:hint="eastAsia" w:eastAsia="方正仿宋_GBK"/>
          <w:color w:val="auto"/>
          <w:highlight w:val="none"/>
          <w:lang w:val="en-US" w:eastAsia="zh-CN"/>
        </w:rPr>
      </w:pPr>
      <w:r>
        <w:rPr>
          <w:rFonts w:hint="eastAsia"/>
          <w:color w:val="auto"/>
          <w:highlight w:val="none"/>
          <w:lang w:val="en-US" w:eastAsia="zh-CN"/>
        </w:rPr>
        <w:t>修正后，风景游览区</w:t>
      </w:r>
      <w:r>
        <w:rPr>
          <w:rFonts w:hint="eastAsia"/>
          <w:color w:val="auto"/>
          <w:highlight w:val="none"/>
        </w:rPr>
        <w:t>总面积</w:t>
      </w:r>
      <w:r>
        <w:rPr>
          <w:rFonts w:hint="eastAsia"/>
          <w:color w:val="auto"/>
          <w:highlight w:val="none"/>
          <w:lang w:val="en-US" w:eastAsia="zh-CN"/>
        </w:rPr>
        <w:t>27.84</w:t>
      </w:r>
      <w:r>
        <w:rPr>
          <w:rFonts w:hint="eastAsia"/>
          <w:color w:val="auto"/>
          <w:highlight w:val="none"/>
        </w:rPr>
        <w:t>km</w:t>
      </w:r>
      <w:r>
        <w:rPr>
          <w:rFonts w:hint="eastAsia"/>
          <w:color w:val="auto"/>
          <w:highlight w:val="none"/>
          <w:vertAlign w:val="superscript"/>
        </w:rPr>
        <w:t>2</w:t>
      </w:r>
      <w:r>
        <w:rPr>
          <w:rFonts w:hint="eastAsia"/>
          <w:color w:val="auto"/>
          <w:highlight w:val="none"/>
        </w:rPr>
        <w:t>，</w:t>
      </w:r>
      <w:r>
        <w:rPr>
          <w:rFonts w:hint="eastAsia"/>
          <w:color w:val="auto"/>
          <w:highlight w:val="none"/>
          <w:lang w:val="en-US" w:eastAsia="zh-CN"/>
        </w:rPr>
        <w:t>较修正前增加0.18</w:t>
      </w:r>
      <w:r>
        <w:rPr>
          <w:rFonts w:hint="eastAsia"/>
          <w:color w:val="auto"/>
          <w:highlight w:val="none"/>
        </w:rPr>
        <w:t>km</w:t>
      </w:r>
      <w:r>
        <w:rPr>
          <w:rFonts w:hint="eastAsia"/>
          <w:color w:val="auto"/>
          <w:highlight w:val="none"/>
          <w:vertAlign w:val="superscript"/>
        </w:rPr>
        <w:t>2</w:t>
      </w:r>
      <w:r>
        <w:rPr>
          <w:rFonts w:hint="eastAsia"/>
          <w:color w:val="auto"/>
          <w:highlight w:val="none"/>
        </w:rPr>
        <w:t>，其中巴岳山片区</w:t>
      </w:r>
      <w:r>
        <w:rPr>
          <w:rFonts w:hint="eastAsia"/>
          <w:color w:val="auto"/>
          <w:highlight w:val="none"/>
          <w:lang w:val="en-US" w:eastAsia="zh-CN"/>
        </w:rPr>
        <w:t>18.34</w:t>
      </w:r>
      <w:r>
        <w:rPr>
          <w:rFonts w:hint="eastAsia"/>
          <w:color w:val="auto"/>
          <w:highlight w:val="none"/>
        </w:rPr>
        <w:t>km</w:t>
      </w:r>
      <w:r>
        <w:rPr>
          <w:rFonts w:hint="eastAsia"/>
          <w:color w:val="auto"/>
          <w:highlight w:val="none"/>
          <w:vertAlign w:val="superscript"/>
        </w:rPr>
        <w:t>2</w:t>
      </w:r>
      <w:r>
        <w:rPr>
          <w:rFonts w:hint="eastAsia"/>
          <w:color w:val="auto"/>
          <w:highlight w:val="none"/>
          <w:lang w:val="en-US" w:eastAsia="zh-CN"/>
        </w:rPr>
        <w:t>，</w:t>
      </w:r>
      <w:r>
        <w:rPr>
          <w:rFonts w:hint="eastAsia"/>
          <w:color w:val="auto"/>
          <w:highlight w:val="none"/>
        </w:rPr>
        <w:t>西温泉片区</w:t>
      </w:r>
      <w:r>
        <w:rPr>
          <w:rFonts w:hint="eastAsia"/>
          <w:color w:val="auto"/>
          <w:highlight w:val="none"/>
          <w:lang w:val="en-US" w:eastAsia="zh-CN"/>
        </w:rPr>
        <w:t>9.5</w:t>
      </w:r>
      <w:r>
        <w:rPr>
          <w:rFonts w:hint="eastAsia"/>
          <w:color w:val="auto"/>
          <w:highlight w:val="none"/>
        </w:rPr>
        <w:t>km</w:t>
      </w:r>
      <w:r>
        <w:rPr>
          <w:rFonts w:hint="eastAsia"/>
          <w:color w:val="auto"/>
          <w:highlight w:val="none"/>
          <w:vertAlign w:val="superscript"/>
        </w:rPr>
        <w:t>2</w:t>
      </w:r>
      <w:r>
        <w:rPr>
          <w:rFonts w:hint="eastAsia"/>
          <w:color w:val="auto"/>
          <w:highlight w:val="none"/>
        </w:rPr>
        <w:t>。发展控制区总面积2.</w:t>
      </w:r>
      <w:r>
        <w:rPr>
          <w:rFonts w:hint="eastAsia"/>
          <w:color w:val="auto"/>
          <w:highlight w:val="none"/>
          <w:lang w:val="en-US" w:eastAsia="zh-CN"/>
        </w:rPr>
        <w:t>17</w:t>
      </w:r>
      <w:r>
        <w:rPr>
          <w:rFonts w:hint="eastAsia"/>
          <w:color w:val="auto"/>
          <w:highlight w:val="none"/>
        </w:rPr>
        <w:t>km</w:t>
      </w:r>
      <w:r>
        <w:rPr>
          <w:rFonts w:hint="eastAsia"/>
          <w:color w:val="auto"/>
          <w:highlight w:val="none"/>
          <w:vertAlign w:val="superscript"/>
        </w:rPr>
        <w:t>2</w:t>
      </w:r>
      <w:r>
        <w:rPr>
          <w:rFonts w:hint="eastAsia"/>
          <w:color w:val="auto"/>
          <w:highlight w:val="none"/>
          <w:lang w:eastAsia="zh-CN"/>
        </w:rPr>
        <w:t>，</w:t>
      </w:r>
      <w:r>
        <w:rPr>
          <w:rFonts w:hint="eastAsia"/>
          <w:color w:val="auto"/>
          <w:highlight w:val="none"/>
          <w:lang w:val="en-US" w:eastAsia="zh-CN"/>
        </w:rPr>
        <w:t>较修正前减少0.18</w:t>
      </w:r>
      <w:r>
        <w:rPr>
          <w:rFonts w:hint="eastAsia"/>
          <w:color w:val="auto"/>
          <w:highlight w:val="none"/>
        </w:rPr>
        <w:t>km</w:t>
      </w:r>
      <w:r>
        <w:rPr>
          <w:rFonts w:hint="eastAsia"/>
          <w:color w:val="auto"/>
          <w:highlight w:val="none"/>
          <w:vertAlign w:val="superscript"/>
        </w:rPr>
        <w:t>2</w:t>
      </w:r>
      <w:r>
        <w:rPr>
          <w:rFonts w:hint="eastAsia"/>
          <w:color w:val="auto"/>
          <w:highlight w:val="none"/>
        </w:rPr>
        <w:t>，其中巴岳山片区面积</w:t>
      </w:r>
      <w:r>
        <w:rPr>
          <w:rFonts w:hint="eastAsia"/>
          <w:color w:val="auto"/>
          <w:highlight w:val="none"/>
          <w:lang w:val="en-US" w:eastAsia="zh-CN"/>
        </w:rPr>
        <w:t>1.05</w:t>
      </w:r>
      <w:r>
        <w:rPr>
          <w:rFonts w:hint="eastAsia"/>
          <w:color w:val="auto"/>
          <w:highlight w:val="none"/>
        </w:rPr>
        <w:t>km</w:t>
      </w:r>
      <w:r>
        <w:rPr>
          <w:rFonts w:hint="eastAsia"/>
          <w:color w:val="auto"/>
          <w:highlight w:val="none"/>
          <w:vertAlign w:val="superscript"/>
        </w:rPr>
        <w:t>2</w:t>
      </w:r>
      <w:r>
        <w:rPr>
          <w:rFonts w:hint="eastAsia"/>
          <w:color w:val="auto"/>
          <w:highlight w:val="none"/>
        </w:rPr>
        <w:t>，西温泉片区面积</w:t>
      </w:r>
      <w:r>
        <w:rPr>
          <w:rFonts w:hint="eastAsia"/>
          <w:color w:val="auto"/>
          <w:highlight w:val="none"/>
          <w:lang w:val="en-US" w:eastAsia="zh-CN"/>
        </w:rPr>
        <w:t>1.12</w:t>
      </w:r>
      <w:r>
        <w:rPr>
          <w:rFonts w:hint="eastAsia"/>
          <w:color w:val="auto"/>
          <w:highlight w:val="none"/>
        </w:rPr>
        <w:t>km</w:t>
      </w:r>
      <w:r>
        <w:rPr>
          <w:rFonts w:hint="eastAsia"/>
          <w:color w:val="auto"/>
          <w:highlight w:val="none"/>
          <w:vertAlign w:val="superscript"/>
        </w:rPr>
        <w:t>2</w:t>
      </w:r>
      <w:r>
        <w:rPr>
          <w:rFonts w:hint="eastAsia"/>
          <w:color w:val="auto"/>
          <w:highlight w:val="none"/>
        </w:rPr>
        <w:t>。</w:t>
      </w:r>
    </w:p>
    <w:p>
      <w:pPr>
        <w:pStyle w:val="4"/>
        <w:tabs>
          <w:tab w:val="center" w:pos="4742"/>
        </w:tabs>
        <w:adjustRightInd/>
        <w:snapToGrid/>
        <w:spacing w:before="0" w:beforeLines="0" w:beforeAutospacing="0" w:after="0" w:afterLines="0" w:afterAutospacing="0" w:line="600" w:lineRule="exact"/>
        <w:ind w:firstLine="640"/>
        <w:rPr>
          <w:rFonts w:hint="eastAsia" w:eastAsia="方正楷体_GBK"/>
          <w:b w:val="0"/>
          <w:bCs w:val="0"/>
          <w:szCs w:val="20"/>
          <w:lang w:val="en-US" w:eastAsia="zh-CN"/>
        </w:rPr>
      </w:pPr>
      <w:r>
        <w:rPr>
          <w:rFonts w:hint="eastAsia" w:eastAsia="方正楷体_GBK"/>
          <w:b w:val="0"/>
          <w:bCs w:val="0"/>
          <w:szCs w:val="20"/>
          <w:lang w:val="en-US" w:eastAsia="zh-CN"/>
        </w:rPr>
        <w:t>■修正后第十五条保护培育规定与措施</w:t>
      </w:r>
    </w:p>
    <w:p>
      <w:pPr>
        <w:ind w:firstLine="640"/>
        <w:rPr>
          <w:color w:val="auto"/>
          <w:highlight w:val="none"/>
        </w:rPr>
      </w:pPr>
      <w:r>
        <w:rPr>
          <w:rFonts w:hint="eastAsia"/>
          <w:color w:val="auto"/>
          <w:highlight w:val="none"/>
        </w:rPr>
        <w:t>（二）风景游览区</w:t>
      </w:r>
    </w:p>
    <w:p>
      <w:pPr>
        <w:ind w:firstLine="640"/>
        <w:rPr>
          <w:color w:val="auto"/>
          <w:highlight w:val="none"/>
        </w:rPr>
      </w:pPr>
      <w:r>
        <w:rPr>
          <w:rFonts w:hint="eastAsia"/>
          <w:color w:val="auto"/>
          <w:highlight w:val="none"/>
        </w:rPr>
        <w:t>1位置、面积</w:t>
      </w:r>
    </w:p>
    <w:p>
      <w:pPr>
        <w:ind w:firstLine="640"/>
        <w:rPr>
          <w:color w:val="auto"/>
          <w:highlight w:val="none"/>
        </w:rPr>
      </w:pPr>
      <w:r>
        <w:rPr>
          <w:rFonts w:hint="eastAsia"/>
          <w:color w:val="auto"/>
          <w:highlight w:val="none"/>
        </w:rPr>
        <w:t>包括巴岳山片区中的天灯石景区、三岔沟景区、老鹰岩景区；西温泉片区中的北山景区、西温泉景区、南山景区内游人可游览景观地带及周围相关环境空间作为风景游览区。该区总面积27.</w:t>
      </w:r>
      <w:r>
        <w:rPr>
          <w:rFonts w:hint="eastAsia"/>
          <w:color w:val="auto"/>
          <w:highlight w:val="none"/>
          <w:lang w:val="en-US" w:eastAsia="zh-CN"/>
        </w:rPr>
        <w:t>84</w:t>
      </w:r>
      <w:r>
        <w:rPr>
          <w:rFonts w:hint="eastAsia"/>
          <w:color w:val="auto"/>
          <w:highlight w:val="none"/>
        </w:rPr>
        <w:t>km</w:t>
      </w:r>
      <w:r>
        <w:rPr>
          <w:rFonts w:hint="eastAsia"/>
          <w:color w:val="auto"/>
          <w:highlight w:val="none"/>
          <w:vertAlign w:val="superscript"/>
        </w:rPr>
        <w:t>2</w:t>
      </w:r>
      <w:r>
        <w:rPr>
          <w:rFonts w:hint="eastAsia"/>
          <w:color w:val="auto"/>
          <w:highlight w:val="none"/>
        </w:rPr>
        <w:t>，其中巴岳山片区</w:t>
      </w:r>
      <w:r>
        <w:rPr>
          <w:rFonts w:hint="eastAsia"/>
          <w:color w:val="auto"/>
          <w:highlight w:val="none"/>
          <w:lang w:val="en-US" w:eastAsia="zh-CN"/>
        </w:rPr>
        <w:t>18.34</w:t>
      </w:r>
      <w:r>
        <w:rPr>
          <w:rFonts w:hint="eastAsia"/>
          <w:color w:val="auto"/>
          <w:highlight w:val="none"/>
        </w:rPr>
        <w:t>km</w:t>
      </w:r>
      <w:r>
        <w:rPr>
          <w:rFonts w:hint="eastAsia"/>
          <w:color w:val="auto"/>
          <w:highlight w:val="none"/>
          <w:vertAlign w:val="superscript"/>
        </w:rPr>
        <w:t>2</w:t>
      </w:r>
      <w:r>
        <w:rPr>
          <w:rFonts w:hint="eastAsia"/>
          <w:color w:val="auto"/>
          <w:highlight w:val="none"/>
        </w:rPr>
        <w:t>，西温泉片区9.</w:t>
      </w:r>
      <w:r>
        <w:rPr>
          <w:rFonts w:hint="eastAsia"/>
          <w:color w:val="auto"/>
          <w:highlight w:val="none"/>
          <w:lang w:val="en-US" w:eastAsia="zh-CN"/>
        </w:rPr>
        <w:t>5</w:t>
      </w:r>
      <w:r>
        <w:rPr>
          <w:rFonts w:hint="eastAsia"/>
          <w:color w:val="auto"/>
          <w:highlight w:val="none"/>
        </w:rPr>
        <w:t>km</w:t>
      </w:r>
      <w:r>
        <w:rPr>
          <w:rFonts w:hint="eastAsia"/>
          <w:color w:val="auto"/>
          <w:highlight w:val="none"/>
          <w:vertAlign w:val="superscript"/>
        </w:rPr>
        <w:t>2</w:t>
      </w:r>
      <w:r>
        <w:rPr>
          <w:rFonts w:hint="eastAsia"/>
          <w:color w:val="auto"/>
          <w:highlight w:val="none"/>
        </w:rPr>
        <w:t>。</w:t>
      </w:r>
    </w:p>
    <w:p>
      <w:pPr>
        <w:ind w:firstLine="640"/>
        <w:rPr>
          <w:color w:val="auto"/>
          <w:highlight w:val="none"/>
        </w:rPr>
      </w:pPr>
      <w:r>
        <w:rPr>
          <w:rFonts w:hint="eastAsia"/>
          <w:color w:val="auto"/>
          <w:highlight w:val="none"/>
        </w:rPr>
        <w:t>2保护措施</w:t>
      </w:r>
    </w:p>
    <w:p>
      <w:pPr>
        <w:ind w:firstLine="640"/>
        <w:rPr>
          <w:color w:val="auto"/>
          <w:highlight w:val="none"/>
        </w:rPr>
      </w:pPr>
      <w:r>
        <w:rPr>
          <w:rFonts w:hint="eastAsia"/>
          <w:color w:val="auto"/>
          <w:highlight w:val="none"/>
        </w:rPr>
        <w:t>（1）按规划划定游人游览空间和区域，在区内可以进行适度的资源开发利用，适宜安排各种游览项目，可安排部分旅宿设施；除在旅宿设施周围以人工配置方式绿化外，应尊重原有植被，在此基础上依据景观需要进行林相改造，提高风景林质量；控制机动交通车辆进入及旅游设施数量。</w:t>
      </w:r>
    </w:p>
    <w:p>
      <w:pPr>
        <w:ind w:firstLine="640"/>
        <w:rPr>
          <w:rFonts w:hint="eastAsia" w:eastAsia="方正仿宋_GBK"/>
          <w:color w:val="auto"/>
          <w:highlight w:val="none"/>
          <w:lang w:eastAsia="zh-CN"/>
        </w:rPr>
      </w:pPr>
      <w:r>
        <w:rPr>
          <w:rFonts w:hint="eastAsia"/>
          <w:color w:val="auto"/>
          <w:highlight w:val="none"/>
        </w:rPr>
        <w:t>（2）严禁砍伐森林、开山采石、地下采矿、破坏水源与污染环境的行为；关闭该区内现有各类破坏环境的企业。</w:t>
      </w:r>
    </w:p>
    <w:p>
      <w:pPr>
        <w:ind w:firstLine="640"/>
        <w:rPr>
          <w:color w:val="auto"/>
          <w:highlight w:val="none"/>
        </w:rPr>
      </w:pPr>
      <w:r>
        <w:rPr>
          <w:rFonts w:hint="eastAsia"/>
          <w:color w:val="auto"/>
          <w:highlight w:val="none"/>
        </w:rPr>
        <w:t>（四）发展控制区</w:t>
      </w:r>
    </w:p>
    <w:p>
      <w:pPr>
        <w:ind w:firstLine="640"/>
        <w:rPr>
          <w:color w:val="auto"/>
          <w:highlight w:val="none"/>
        </w:rPr>
      </w:pPr>
      <w:r>
        <w:rPr>
          <w:rFonts w:hint="eastAsia"/>
          <w:color w:val="auto"/>
          <w:highlight w:val="none"/>
        </w:rPr>
        <w:t>1位置、面积</w:t>
      </w:r>
    </w:p>
    <w:p>
      <w:pPr>
        <w:ind w:firstLine="640"/>
        <w:rPr>
          <w:color w:val="auto"/>
          <w:highlight w:val="none"/>
        </w:rPr>
      </w:pPr>
      <w:r>
        <w:rPr>
          <w:rFonts w:hint="eastAsia"/>
          <w:color w:val="auto"/>
          <w:highlight w:val="none"/>
        </w:rPr>
        <w:t>主要分布于巴岳山片区和西温泉片区中的村落居民集中地和风景区周边的耕地以及规划的旅游设施用地，该区总面积2.</w:t>
      </w:r>
      <w:r>
        <w:rPr>
          <w:rFonts w:hint="eastAsia"/>
          <w:color w:val="auto"/>
          <w:highlight w:val="none"/>
          <w:lang w:val="en-US" w:eastAsia="zh-CN"/>
        </w:rPr>
        <w:t>17</w:t>
      </w:r>
      <w:r>
        <w:rPr>
          <w:rFonts w:hint="eastAsia"/>
          <w:color w:val="auto"/>
          <w:highlight w:val="none"/>
        </w:rPr>
        <w:t>km</w:t>
      </w:r>
      <w:r>
        <w:rPr>
          <w:rFonts w:hint="eastAsia"/>
          <w:color w:val="auto"/>
          <w:highlight w:val="none"/>
          <w:vertAlign w:val="superscript"/>
        </w:rPr>
        <w:t>2</w:t>
      </w:r>
      <w:r>
        <w:rPr>
          <w:rFonts w:hint="eastAsia"/>
          <w:color w:val="auto"/>
          <w:highlight w:val="none"/>
        </w:rPr>
        <w:t>。其中巴岳山片区面积1.</w:t>
      </w:r>
      <w:r>
        <w:rPr>
          <w:rFonts w:hint="eastAsia"/>
          <w:color w:val="auto"/>
          <w:highlight w:val="none"/>
          <w:lang w:val="en-US" w:eastAsia="zh-CN"/>
        </w:rPr>
        <w:t>05</w:t>
      </w:r>
      <w:r>
        <w:rPr>
          <w:rFonts w:hint="eastAsia"/>
          <w:color w:val="auto"/>
          <w:highlight w:val="none"/>
        </w:rPr>
        <w:t>km</w:t>
      </w:r>
      <w:r>
        <w:rPr>
          <w:rFonts w:hint="eastAsia"/>
          <w:color w:val="auto"/>
          <w:highlight w:val="none"/>
          <w:vertAlign w:val="superscript"/>
        </w:rPr>
        <w:t>2</w:t>
      </w:r>
      <w:r>
        <w:rPr>
          <w:rFonts w:hint="eastAsia"/>
          <w:color w:val="auto"/>
          <w:highlight w:val="none"/>
        </w:rPr>
        <w:t>，西温泉片区面积1.1</w:t>
      </w:r>
      <w:r>
        <w:rPr>
          <w:rFonts w:hint="eastAsia"/>
          <w:color w:val="auto"/>
          <w:highlight w:val="none"/>
          <w:lang w:val="en-US" w:eastAsia="zh-CN"/>
        </w:rPr>
        <w:t>2</w:t>
      </w:r>
      <w:r>
        <w:rPr>
          <w:rFonts w:hint="eastAsia"/>
          <w:color w:val="auto"/>
          <w:highlight w:val="none"/>
        </w:rPr>
        <w:t>km</w:t>
      </w:r>
      <w:r>
        <w:rPr>
          <w:rFonts w:hint="eastAsia"/>
          <w:color w:val="auto"/>
          <w:highlight w:val="none"/>
          <w:vertAlign w:val="superscript"/>
        </w:rPr>
        <w:t>2</w:t>
      </w:r>
      <w:r>
        <w:rPr>
          <w:rFonts w:hint="eastAsia"/>
          <w:color w:val="auto"/>
          <w:highlight w:val="none"/>
        </w:rPr>
        <w:t>。</w:t>
      </w:r>
    </w:p>
    <w:p>
      <w:pPr>
        <w:ind w:firstLine="640"/>
        <w:rPr>
          <w:color w:val="auto"/>
          <w:highlight w:val="none"/>
        </w:rPr>
      </w:pPr>
      <w:r>
        <w:rPr>
          <w:rFonts w:hint="eastAsia"/>
          <w:color w:val="auto"/>
          <w:highlight w:val="none"/>
        </w:rPr>
        <w:t>2保护措施</w:t>
      </w:r>
    </w:p>
    <w:p>
      <w:pPr>
        <w:ind w:firstLine="640"/>
        <w:rPr>
          <w:rFonts w:hint="eastAsia" w:eastAsia="方正仿宋_GBK"/>
          <w:color w:val="auto"/>
          <w:highlight w:val="none"/>
          <w:lang w:eastAsia="zh-CN"/>
        </w:rPr>
      </w:pPr>
      <w:r>
        <w:rPr>
          <w:rFonts w:hint="eastAsia"/>
          <w:color w:val="auto"/>
          <w:highlight w:val="none"/>
        </w:rPr>
        <w:t>（1）可维持现有土地利用方式与形态，组织安排有序的生产、经营与管理等活动；</w:t>
      </w:r>
    </w:p>
    <w:p>
      <w:pPr>
        <w:ind w:firstLine="640"/>
        <w:rPr>
          <w:rFonts w:hint="eastAsia" w:eastAsia="方正仿宋_GBK"/>
          <w:color w:val="auto"/>
          <w:highlight w:val="none"/>
          <w:lang w:eastAsia="zh-CN"/>
        </w:rPr>
      </w:pPr>
      <w:r>
        <w:rPr>
          <w:rFonts w:hint="eastAsia"/>
          <w:color w:val="auto"/>
          <w:highlight w:val="none"/>
        </w:rPr>
        <w:t>（2）可适当安排同风景区性质与规模相一致的旅游设施及配套生产基地；</w:t>
      </w:r>
    </w:p>
    <w:p>
      <w:pPr>
        <w:ind w:firstLine="640"/>
        <w:rPr>
          <w:color w:val="auto"/>
          <w:highlight w:val="none"/>
        </w:rPr>
      </w:pPr>
      <w:r>
        <w:rPr>
          <w:rFonts w:hint="eastAsia"/>
          <w:color w:val="auto"/>
          <w:highlight w:val="none"/>
        </w:rPr>
        <w:t>（3）严格执行规划确定的人口控制规模与人口转移方向；</w:t>
      </w:r>
    </w:p>
    <w:p>
      <w:pPr>
        <w:ind w:firstLine="640"/>
        <w:rPr>
          <w:color w:val="auto"/>
          <w:highlight w:val="none"/>
        </w:rPr>
      </w:pPr>
      <w:r>
        <w:rPr>
          <w:rFonts w:hint="eastAsia"/>
          <w:color w:val="auto"/>
          <w:highlight w:val="none"/>
        </w:rPr>
        <w:t>（4）积极加快经济产业结构调整，大力发展生态高效农业，营造生态农业景观，建设特色农副产品生产基地。</w:t>
      </w:r>
    </w:p>
    <w:p>
      <w:pPr>
        <w:pStyle w:val="3"/>
        <w:tabs>
          <w:tab w:val="center" w:pos="4742"/>
        </w:tabs>
        <w:adjustRightInd/>
        <w:snapToGrid/>
        <w:spacing w:beforeLines="0" w:beforeAutospacing="0" w:afterLines="0" w:afterAutospacing="0" w:line="360" w:lineRule="auto"/>
        <w:ind w:left="0" w:leftChars="0" w:firstLine="0" w:firstLineChars="0"/>
        <w:jc w:val="left"/>
        <w:rPr>
          <w:rFonts w:hint="eastAsia" w:ascii="Times New Roman" w:hAnsi="Times New Roman" w:eastAsia="方正黑体_GBK"/>
          <w:b w:val="0"/>
          <w:bCs w:val="0"/>
          <w:szCs w:val="20"/>
          <w:lang w:val="en-US" w:eastAsia="zh-CN"/>
        </w:rPr>
      </w:pPr>
      <w:r>
        <w:rPr>
          <w:rFonts w:hint="eastAsia" w:ascii="Times New Roman" w:hAnsi="Times New Roman" w:eastAsia="方正黑体_GBK"/>
          <w:b w:val="0"/>
          <w:bCs w:val="0"/>
          <w:szCs w:val="20"/>
          <w:lang w:val="en-US" w:eastAsia="zh-CN"/>
        </w:rPr>
        <w:t>（二）修正二 第五十五条 土地利用布局</w:t>
      </w:r>
    </w:p>
    <w:p>
      <w:pPr>
        <w:pStyle w:val="4"/>
        <w:tabs>
          <w:tab w:val="center" w:pos="4742"/>
        </w:tabs>
        <w:adjustRightInd/>
        <w:snapToGrid/>
        <w:spacing w:before="0" w:beforeLines="0" w:beforeAutospacing="0" w:after="0" w:afterLines="0" w:afterAutospacing="0" w:line="600" w:lineRule="exact"/>
        <w:ind w:firstLine="640"/>
        <w:rPr>
          <w:rFonts w:hint="default" w:eastAsia="方正楷体_GBK"/>
          <w:b w:val="0"/>
          <w:bCs w:val="0"/>
          <w:szCs w:val="20"/>
          <w:lang w:val="en-US" w:eastAsia="zh-CN"/>
        </w:rPr>
      </w:pPr>
      <w:r>
        <w:rPr>
          <w:rFonts w:hint="eastAsia" w:eastAsia="方正楷体_GBK"/>
          <w:b w:val="0"/>
          <w:bCs w:val="0"/>
          <w:szCs w:val="20"/>
          <w:lang w:val="en-US" w:eastAsia="zh-CN"/>
        </w:rPr>
        <w:t>■修正内容</w:t>
      </w:r>
    </w:p>
    <w:p>
      <w:pPr>
        <w:ind w:firstLine="640"/>
        <w:rPr>
          <w:rFonts w:hint="eastAsia"/>
          <w:color w:val="auto"/>
          <w:highlight w:val="none"/>
          <w:lang w:val="en-US" w:eastAsia="zh-CN"/>
        </w:rPr>
      </w:pPr>
      <w:r>
        <w:rPr>
          <w:rFonts w:hint="eastAsia"/>
          <w:color w:val="auto"/>
          <w:highlight w:val="none"/>
          <w:lang w:val="en-US" w:eastAsia="zh-CN"/>
        </w:rPr>
        <w:t>本次根据《风景名胜区总体规划标准（GB/T 50298-2018）》，将《总规》中游览设施用地修正为旅游服务设施用地，并对其面积进行修正；同时修正了风景</w:t>
      </w:r>
      <w:r>
        <w:rPr>
          <w:rFonts w:hint="eastAsia"/>
          <w:color w:val="auto"/>
          <w:highlight w:val="none"/>
        </w:rPr>
        <w:t>游赏用地</w:t>
      </w:r>
      <w:r>
        <w:rPr>
          <w:rFonts w:hint="eastAsia"/>
          <w:color w:val="auto"/>
          <w:highlight w:val="none"/>
          <w:lang w:val="en-US" w:eastAsia="zh-CN"/>
        </w:rPr>
        <w:t>面积。</w:t>
      </w:r>
    </w:p>
    <w:p>
      <w:pPr>
        <w:ind w:firstLine="640"/>
        <w:rPr>
          <w:rFonts w:hint="eastAsia" w:eastAsia="方正仿宋_GBK"/>
          <w:color w:val="auto"/>
          <w:highlight w:val="none"/>
          <w:lang w:val="en-US" w:eastAsia="zh-CN"/>
        </w:rPr>
      </w:pPr>
      <w:r>
        <w:rPr>
          <w:rFonts w:hint="eastAsia"/>
          <w:color w:val="auto"/>
          <w:highlight w:val="none"/>
          <w:lang w:val="en-US" w:eastAsia="zh-CN"/>
        </w:rPr>
        <w:t>修正前，风景</w:t>
      </w:r>
      <w:r>
        <w:rPr>
          <w:rFonts w:hint="eastAsia"/>
          <w:color w:val="auto"/>
          <w:highlight w:val="none"/>
        </w:rPr>
        <w:t>游赏用地</w:t>
      </w:r>
      <w:r>
        <w:rPr>
          <w:rFonts w:hint="eastAsia"/>
          <w:color w:val="auto"/>
          <w:highlight w:val="none"/>
          <w:lang w:val="en-US" w:eastAsia="zh-CN"/>
        </w:rPr>
        <w:t>面积为</w:t>
      </w:r>
      <w:r>
        <w:rPr>
          <w:rFonts w:hint="eastAsia"/>
          <w:color w:val="auto"/>
          <w:highlight w:val="none"/>
        </w:rPr>
        <w:t>26.97km</w:t>
      </w:r>
      <w:r>
        <w:rPr>
          <w:rFonts w:hint="eastAsia"/>
          <w:color w:val="auto"/>
          <w:highlight w:val="none"/>
          <w:vertAlign w:val="superscript"/>
        </w:rPr>
        <w:t>2</w:t>
      </w:r>
      <w:r>
        <w:rPr>
          <w:rFonts w:hint="eastAsia"/>
          <w:color w:val="auto"/>
          <w:highlight w:val="none"/>
          <w:lang w:val="en-US" w:eastAsia="zh-CN"/>
        </w:rPr>
        <w:t>，游览设施用地面积为</w:t>
      </w:r>
      <w:r>
        <w:rPr>
          <w:rFonts w:hint="eastAsia"/>
          <w:color w:val="auto"/>
          <w:highlight w:val="none"/>
        </w:rPr>
        <w:t>0.66km</w:t>
      </w:r>
      <w:r>
        <w:rPr>
          <w:rFonts w:hint="eastAsia"/>
          <w:color w:val="auto"/>
          <w:highlight w:val="none"/>
          <w:vertAlign w:val="superscript"/>
        </w:rPr>
        <w:t>2</w:t>
      </w:r>
      <w:r>
        <w:rPr>
          <w:rFonts w:hint="eastAsia"/>
          <w:color w:val="auto"/>
          <w:highlight w:val="none"/>
          <w:lang w:val="en-US" w:eastAsia="zh-CN"/>
        </w:rPr>
        <w:t>；修正后，风景</w:t>
      </w:r>
      <w:r>
        <w:rPr>
          <w:rFonts w:hint="eastAsia"/>
          <w:color w:val="auto"/>
          <w:highlight w:val="none"/>
        </w:rPr>
        <w:t>游赏用地</w:t>
      </w:r>
      <w:r>
        <w:rPr>
          <w:rFonts w:hint="eastAsia"/>
          <w:color w:val="auto"/>
          <w:highlight w:val="none"/>
          <w:lang w:val="en-US" w:eastAsia="zh-CN"/>
        </w:rPr>
        <w:t>面积为27.15</w:t>
      </w:r>
      <w:r>
        <w:rPr>
          <w:rFonts w:hint="eastAsia"/>
          <w:color w:val="auto"/>
          <w:highlight w:val="none"/>
        </w:rPr>
        <w:t>km</w:t>
      </w:r>
      <w:r>
        <w:rPr>
          <w:rFonts w:hint="eastAsia"/>
          <w:color w:val="auto"/>
          <w:highlight w:val="none"/>
          <w:vertAlign w:val="superscript"/>
        </w:rPr>
        <w:t>2</w:t>
      </w:r>
      <w:r>
        <w:rPr>
          <w:rFonts w:hint="eastAsia"/>
          <w:color w:val="auto"/>
          <w:highlight w:val="none"/>
          <w:lang w:val="en-US" w:eastAsia="zh-CN"/>
        </w:rPr>
        <w:t>，旅游服务设施用地面积为0.48</w:t>
      </w:r>
      <w:r>
        <w:rPr>
          <w:rFonts w:hint="eastAsia"/>
          <w:color w:val="auto"/>
          <w:highlight w:val="none"/>
        </w:rPr>
        <w:t>km</w:t>
      </w:r>
      <w:r>
        <w:rPr>
          <w:rFonts w:hint="eastAsia"/>
          <w:color w:val="auto"/>
          <w:highlight w:val="none"/>
          <w:vertAlign w:val="superscript"/>
        </w:rPr>
        <w:t>2</w:t>
      </w:r>
      <w:r>
        <w:rPr>
          <w:rFonts w:hint="eastAsia"/>
          <w:color w:val="auto"/>
          <w:highlight w:val="none"/>
          <w:lang w:val="en-US" w:eastAsia="zh-CN"/>
        </w:rPr>
        <w:t>。</w:t>
      </w:r>
    </w:p>
    <w:p>
      <w:pPr>
        <w:pStyle w:val="4"/>
        <w:tabs>
          <w:tab w:val="center" w:pos="4742"/>
        </w:tabs>
        <w:adjustRightInd/>
        <w:snapToGrid/>
        <w:spacing w:before="0" w:beforeLines="0" w:beforeAutospacing="0" w:after="0" w:afterLines="0" w:afterAutospacing="0" w:line="600" w:lineRule="exact"/>
        <w:ind w:firstLine="640"/>
        <w:rPr>
          <w:rFonts w:hint="eastAsia" w:eastAsia="方正楷体_GBK"/>
          <w:b w:val="0"/>
          <w:bCs w:val="0"/>
          <w:szCs w:val="20"/>
          <w:lang w:val="en-US" w:eastAsia="zh-CN"/>
        </w:rPr>
      </w:pPr>
      <w:r>
        <w:rPr>
          <w:rFonts w:hint="eastAsia" w:eastAsia="方正楷体_GBK"/>
          <w:b w:val="0"/>
          <w:bCs w:val="0"/>
          <w:szCs w:val="20"/>
          <w:lang w:val="en-US" w:eastAsia="zh-CN"/>
        </w:rPr>
        <w:t>■修正后第五十五条土地利用布局</w:t>
      </w:r>
    </w:p>
    <w:p>
      <w:pPr>
        <w:ind w:firstLine="640"/>
        <w:rPr>
          <w:color w:val="auto"/>
          <w:highlight w:val="none"/>
        </w:rPr>
      </w:pPr>
      <w:r>
        <w:rPr>
          <w:rFonts w:hint="eastAsia"/>
          <w:color w:val="auto"/>
          <w:highlight w:val="none"/>
        </w:rPr>
        <w:t>（一）风景游赏用地</w:t>
      </w:r>
    </w:p>
    <w:p>
      <w:pPr>
        <w:ind w:firstLine="640"/>
        <w:rPr>
          <w:color w:val="auto"/>
          <w:highlight w:val="none"/>
        </w:rPr>
      </w:pPr>
      <w:r>
        <w:rPr>
          <w:rFonts w:hint="eastAsia"/>
          <w:color w:val="auto"/>
          <w:highlight w:val="none"/>
        </w:rPr>
        <w:t>包括风景点建设用地，及其风景保护用地与恢复用地，即景区规划中的6个景区的主要游赏区域，涵盖风景区内所有的风景资源，土地利用特点以风景游赏和风景林建设为主要利用性质。本类用地面积为27.15km</w:t>
      </w:r>
      <w:r>
        <w:rPr>
          <w:rFonts w:hint="eastAsia"/>
          <w:color w:val="auto"/>
          <w:highlight w:val="none"/>
          <w:vertAlign w:val="superscript"/>
        </w:rPr>
        <w:t>2</w:t>
      </w:r>
      <w:r>
        <w:rPr>
          <w:rFonts w:hint="eastAsia"/>
          <w:color w:val="auto"/>
          <w:highlight w:val="none"/>
        </w:rPr>
        <w:t>。</w:t>
      </w:r>
    </w:p>
    <w:p>
      <w:pPr>
        <w:ind w:firstLine="640"/>
        <w:rPr>
          <w:color w:val="auto"/>
          <w:highlight w:val="none"/>
        </w:rPr>
      </w:pPr>
      <w:r>
        <w:rPr>
          <w:rFonts w:hint="eastAsia"/>
          <w:color w:val="auto"/>
          <w:highlight w:val="none"/>
        </w:rPr>
        <w:t>（二）</w:t>
      </w:r>
      <w:r>
        <w:rPr>
          <w:rFonts w:hint="eastAsia"/>
          <w:color w:val="auto"/>
          <w:highlight w:val="none"/>
          <w:lang w:val="en-US" w:eastAsia="zh-CN"/>
        </w:rPr>
        <w:t>旅游服务设施用地</w:t>
      </w:r>
    </w:p>
    <w:p>
      <w:pPr>
        <w:ind w:firstLine="640"/>
        <w:rPr>
          <w:color w:val="auto"/>
          <w:highlight w:val="none"/>
        </w:rPr>
      </w:pPr>
      <w:r>
        <w:rPr>
          <w:rFonts w:hint="eastAsia"/>
          <w:color w:val="auto"/>
          <w:highlight w:val="none"/>
        </w:rPr>
        <w:t>主要为游客提供餐饮、住宿、导游等服务设施的用地，同时为主要景点提供相应的辅助设施，包括服务部、旅游点、旅游村等各级旅游基地和休闲疗养、购物等用地类型。本类用地面积为0.48km</w:t>
      </w:r>
      <w:r>
        <w:rPr>
          <w:rFonts w:hint="eastAsia"/>
          <w:color w:val="auto"/>
          <w:highlight w:val="none"/>
          <w:vertAlign w:val="superscript"/>
        </w:rPr>
        <w:t>2</w:t>
      </w:r>
      <w:r>
        <w:rPr>
          <w:rFonts w:hint="eastAsia"/>
          <w:color w:val="auto"/>
          <w:highlight w:val="none"/>
        </w:rPr>
        <w:t>。（</w:t>
      </w:r>
      <w:r>
        <w:rPr>
          <w:rFonts w:hint="eastAsia"/>
          <w:color w:val="auto"/>
          <w:highlight w:val="none"/>
          <w:lang w:val="en-US" w:eastAsia="zh-CN"/>
        </w:rPr>
        <w:t>旅游服务设施用地</w:t>
      </w:r>
      <w:r>
        <w:rPr>
          <w:rFonts w:hint="eastAsia"/>
          <w:color w:val="auto"/>
          <w:highlight w:val="none"/>
        </w:rPr>
        <w:t>包含了风景区床位用地规模和6处服务部用地规模）</w:t>
      </w:r>
    </w:p>
    <w:p>
      <w:pPr>
        <w:pStyle w:val="3"/>
        <w:tabs>
          <w:tab w:val="center" w:pos="4742"/>
        </w:tabs>
        <w:adjustRightInd/>
        <w:snapToGrid/>
        <w:spacing w:beforeLines="0" w:beforeAutospacing="0" w:afterLines="0" w:afterAutospacing="0" w:line="360" w:lineRule="auto"/>
        <w:ind w:left="0" w:leftChars="0" w:firstLine="0" w:firstLineChars="0"/>
        <w:jc w:val="left"/>
        <w:rPr>
          <w:rFonts w:hint="eastAsia" w:ascii="Times New Roman" w:hAnsi="Times New Roman" w:eastAsia="方正黑体_GBK"/>
          <w:b w:val="0"/>
          <w:bCs w:val="0"/>
          <w:szCs w:val="20"/>
          <w:lang w:val="en-US" w:eastAsia="zh-CN"/>
        </w:rPr>
      </w:pPr>
      <w:r>
        <w:rPr>
          <w:rFonts w:hint="eastAsia" w:ascii="Times New Roman" w:hAnsi="Times New Roman" w:eastAsia="方正黑体_GBK"/>
          <w:b w:val="0"/>
          <w:bCs w:val="0"/>
          <w:szCs w:val="20"/>
          <w:lang w:val="en-US" w:eastAsia="zh-CN"/>
        </w:rPr>
        <w:t>（三）修正三</w:t>
      </w:r>
      <w:r>
        <w:rPr>
          <w:rFonts w:hint="default" w:ascii="Times New Roman" w:hAnsi="Times New Roman" w:eastAsia="方正黑体_GBK"/>
          <w:b w:val="0"/>
          <w:bCs w:val="0"/>
          <w:szCs w:val="20"/>
          <w:lang w:eastAsia="zh-CN"/>
        </w:rPr>
        <w:t xml:space="preserve"> </w:t>
      </w:r>
      <w:r>
        <w:rPr>
          <w:rFonts w:hint="eastAsia" w:ascii="Times New Roman" w:hAnsi="Times New Roman" w:eastAsia="方正黑体_GBK"/>
          <w:b w:val="0"/>
          <w:bCs w:val="0"/>
          <w:szCs w:val="20"/>
          <w:lang w:val="en-US" w:eastAsia="zh-CN"/>
        </w:rPr>
        <w:t>第五十七条近期建设内容</w:t>
      </w:r>
    </w:p>
    <w:p>
      <w:pPr>
        <w:pStyle w:val="4"/>
        <w:tabs>
          <w:tab w:val="center" w:pos="4742"/>
        </w:tabs>
        <w:adjustRightInd/>
        <w:snapToGrid/>
        <w:spacing w:before="0" w:beforeLines="0" w:beforeAutospacing="0" w:after="0" w:afterLines="0" w:afterAutospacing="0" w:line="600" w:lineRule="exact"/>
        <w:ind w:firstLine="640"/>
        <w:rPr>
          <w:rFonts w:hint="eastAsia" w:eastAsia="方正楷体_GBK"/>
          <w:b w:val="0"/>
          <w:bCs w:val="0"/>
          <w:szCs w:val="20"/>
          <w:lang w:val="en-US" w:eastAsia="zh-CN"/>
        </w:rPr>
      </w:pPr>
      <w:r>
        <w:rPr>
          <w:rFonts w:hint="eastAsia" w:eastAsia="方正楷体_GBK"/>
          <w:b w:val="0"/>
          <w:bCs w:val="0"/>
          <w:szCs w:val="20"/>
          <w:lang w:val="en-US" w:eastAsia="zh-CN"/>
        </w:rPr>
        <w:t>■修正内容</w:t>
      </w:r>
    </w:p>
    <w:p>
      <w:pPr>
        <w:ind w:firstLine="640"/>
        <w:rPr>
          <w:rFonts w:hint="eastAsia"/>
          <w:color w:val="auto"/>
          <w:highlight w:val="none"/>
          <w:lang w:val="en-US" w:eastAsia="zh-CN"/>
        </w:rPr>
      </w:pPr>
      <w:r>
        <w:rPr>
          <w:rFonts w:hint="eastAsia"/>
          <w:color w:val="auto"/>
          <w:highlight w:val="none"/>
          <w:lang w:val="en-US" w:eastAsia="zh-CN"/>
        </w:rPr>
        <w:t>近期建设内容中，本次主要修正了接待床位数，修正前，近期接待床位为</w:t>
      </w:r>
      <w:r>
        <w:rPr>
          <w:rFonts w:hint="eastAsia"/>
          <w:color w:val="auto"/>
          <w:highlight w:val="none"/>
        </w:rPr>
        <w:t>2800</w:t>
      </w:r>
      <w:r>
        <w:rPr>
          <w:rFonts w:hint="eastAsia"/>
          <w:color w:val="auto"/>
          <w:highlight w:val="none"/>
          <w:lang w:val="en-US" w:eastAsia="zh-CN"/>
        </w:rPr>
        <w:t>床，其中，巴岳山1820床，西温泉片区980床。</w:t>
      </w:r>
    </w:p>
    <w:p>
      <w:pPr>
        <w:ind w:firstLine="640"/>
        <w:rPr>
          <w:rFonts w:hint="default" w:eastAsia="方正仿宋_GBK"/>
          <w:color w:val="auto"/>
          <w:highlight w:val="none"/>
          <w:lang w:val="en-US" w:eastAsia="zh-CN"/>
        </w:rPr>
      </w:pPr>
      <w:r>
        <w:rPr>
          <w:rFonts w:hint="eastAsia"/>
          <w:color w:val="auto"/>
          <w:highlight w:val="none"/>
          <w:lang w:val="en-US" w:eastAsia="zh-CN"/>
        </w:rPr>
        <w:t>修正后，近期接待床位为2167床，其中，巴岳山1363床，西温泉片区804床。</w:t>
      </w:r>
    </w:p>
    <w:p>
      <w:pPr>
        <w:pStyle w:val="4"/>
        <w:tabs>
          <w:tab w:val="center" w:pos="4742"/>
        </w:tabs>
        <w:adjustRightInd/>
        <w:snapToGrid/>
        <w:spacing w:before="0" w:beforeLines="0" w:beforeAutospacing="0" w:after="0" w:afterLines="0" w:afterAutospacing="0" w:line="600" w:lineRule="exact"/>
        <w:ind w:firstLine="640"/>
        <w:rPr>
          <w:rFonts w:hint="eastAsia" w:eastAsia="方正楷体_GBK"/>
          <w:b w:val="0"/>
          <w:bCs w:val="0"/>
          <w:szCs w:val="20"/>
          <w:lang w:val="en-US" w:eastAsia="zh-CN"/>
        </w:rPr>
      </w:pPr>
      <w:r>
        <w:rPr>
          <w:rFonts w:hint="eastAsia" w:eastAsia="方正楷体_GBK"/>
          <w:b w:val="0"/>
          <w:bCs w:val="0"/>
          <w:szCs w:val="20"/>
          <w:lang w:val="en-US" w:eastAsia="zh-CN"/>
        </w:rPr>
        <w:t>■修正后第五十七条近期建设内容</w:t>
      </w:r>
    </w:p>
    <w:p>
      <w:pPr>
        <w:ind w:firstLine="640"/>
        <w:rPr>
          <w:rFonts w:hint="eastAsia"/>
          <w:color w:val="auto"/>
          <w:highlight w:val="none"/>
        </w:rPr>
      </w:pPr>
      <w:r>
        <w:rPr>
          <w:rFonts w:hint="eastAsia"/>
          <w:color w:val="auto"/>
          <w:highlight w:val="none"/>
        </w:rPr>
        <w:t>（五）接待服务设施按近期规模设置</w:t>
      </w:r>
    </w:p>
    <w:p>
      <w:pPr>
        <w:ind w:firstLine="640"/>
        <w:rPr>
          <w:rFonts w:hint="eastAsia"/>
          <w:color w:val="auto"/>
          <w:highlight w:val="none"/>
        </w:rPr>
      </w:pPr>
      <w:r>
        <w:rPr>
          <w:rFonts w:hint="eastAsia"/>
          <w:color w:val="auto"/>
          <w:highlight w:val="none"/>
        </w:rPr>
        <w:t>1接待床位</w:t>
      </w:r>
      <w:r>
        <w:rPr>
          <w:rFonts w:hint="eastAsia"/>
          <w:color w:val="auto"/>
          <w:highlight w:val="none"/>
          <w:lang w:val="en-US" w:eastAsia="zh-CN"/>
        </w:rPr>
        <w:t>2167</w:t>
      </w:r>
      <w:r>
        <w:rPr>
          <w:rFonts w:hint="eastAsia"/>
          <w:color w:val="auto"/>
          <w:highlight w:val="none"/>
        </w:rPr>
        <w:t>床，按近期床位布局建设。</w:t>
      </w:r>
    </w:p>
    <w:p>
      <w:pPr>
        <w:ind w:firstLine="640"/>
        <w:rPr>
          <w:rFonts w:hint="eastAsia"/>
          <w:color w:val="auto"/>
          <w:highlight w:val="none"/>
        </w:rPr>
      </w:pPr>
      <w:r>
        <w:rPr>
          <w:rFonts w:hint="eastAsia"/>
          <w:color w:val="auto"/>
          <w:highlight w:val="none"/>
        </w:rPr>
        <w:t>巴岳山片区</w:t>
      </w:r>
      <w:r>
        <w:rPr>
          <w:rFonts w:hint="eastAsia"/>
          <w:color w:val="auto"/>
          <w:highlight w:val="none"/>
          <w:lang w:val="en-US" w:eastAsia="zh-CN"/>
        </w:rPr>
        <w:t>1363</w:t>
      </w:r>
      <w:r>
        <w:rPr>
          <w:rFonts w:hint="eastAsia"/>
          <w:color w:val="auto"/>
          <w:highlight w:val="none"/>
        </w:rPr>
        <w:t>床</w:t>
      </w:r>
    </w:p>
    <w:p>
      <w:pPr>
        <w:ind w:firstLine="640"/>
        <w:rPr>
          <w:rFonts w:hint="eastAsia"/>
          <w:color w:val="auto"/>
          <w:highlight w:val="none"/>
        </w:rPr>
      </w:pPr>
      <w:r>
        <w:rPr>
          <w:rFonts w:hint="eastAsia"/>
          <w:color w:val="auto"/>
          <w:highlight w:val="none"/>
        </w:rPr>
        <w:t>西温泉片区</w:t>
      </w:r>
      <w:r>
        <w:rPr>
          <w:rFonts w:hint="eastAsia"/>
          <w:color w:val="auto"/>
          <w:highlight w:val="none"/>
          <w:lang w:val="en-US" w:eastAsia="zh-CN"/>
        </w:rPr>
        <w:t>804</w:t>
      </w:r>
      <w:r>
        <w:rPr>
          <w:rFonts w:hint="eastAsia"/>
          <w:color w:val="auto"/>
          <w:highlight w:val="none"/>
        </w:rPr>
        <w:t>床</w:t>
      </w:r>
    </w:p>
    <w:p>
      <w:pPr>
        <w:ind w:firstLine="640"/>
        <w:rPr>
          <w:rFonts w:hint="eastAsia" w:eastAsia="方正仿宋_GBK"/>
          <w:color w:val="auto"/>
          <w:highlight w:val="none"/>
          <w:lang w:eastAsia="zh-CN"/>
        </w:rPr>
      </w:pPr>
      <w:r>
        <w:rPr>
          <w:rFonts w:hint="eastAsia"/>
          <w:color w:val="auto"/>
          <w:highlight w:val="none"/>
        </w:rPr>
        <w:t>2服务设施</w:t>
      </w:r>
    </w:p>
    <w:p>
      <w:pPr>
        <w:ind w:firstLine="640"/>
        <w:rPr>
          <w:color w:val="auto"/>
          <w:highlight w:val="none"/>
        </w:rPr>
      </w:pPr>
      <w:r>
        <w:rPr>
          <w:rFonts w:hint="eastAsia"/>
          <w:color w:val="auto"/>
          <w:highlight w:val="none"/>
        </w:rPr>
        <w:t>修建和完善西温泉旅游村（风情小镇）、玄天宫旅游村的建设，并配备齐全的餐饮、娱乐、商店、文化、卫生、金融等各类服务设施和市政公用设施。</w:t>
      </w:r>
    </w:p>
    <w:p>
      <w:pPr>
        <w:pStyle w:val="3"/>
        <w:tabs>
          <w:tab w:val="center" w:pos="4742"/>
        </w:tabs>
        <w:adjustRightInd/>
        <w:snapToGrid/>
        <w:spacing w:beforeLines="0" w:beforeAutospacing="0" w:afterLines="0" w:afterAutospacing="0" w:line="360" w:lineRule="auto"/>
        <w:ind w:left="0" w:leftChars="0" w:firstLine="0" w:firstLineChars="0"/>
        <w:jc w:val="left"/>
        <w:rPr>
          <w:rFonts w:hint="default" w:ascii="Times New Roman" w:hAnsi="Times New Roman" w:eastAsia="方正黑体_GBK"/>
          <w:b w:val="0"/>
          <w:bCs w:val="0"/>
          <w:szCs w:val="20"/>
          <w:lang w:val="en-US" w:eastAsia="zh-CN"/>
        </w:rPr>
      </w:pPr>
      <w:r>
        <w:rPr>
          <w:rFonts w:hint="eastAsia" w:ascii="Times New Roman" w:hAnsi="Times New Roman" w:eastAsia="方正黑体_GBK"/>
          <w:b w:val="0"/>
          <w:bCs w:val="0"/>
          <w:szCs w:val="20"/>
          <w:lang w:val="en-US" w:eastAsia="zh-CN"/>
        </w:rPr>
        <w:t>（四）修正四 附表5片区床位分配</w:t>
      </w:r>
    </w:p>
    <w:p>
      <w:pPr>
        <w:pStyle w:val="4"/>
        <w:tabs>
          <w:tab w:val="center" w:pos="4742"/>
        </w:tabs>
        <w:adjustRightInd/>
        <w:snapToGrid/>
        <w:spacing w:before="0" w:beforeLines="0" w:beforeAutospacing="0" w:after="0" w:afterLines="0" w:afterAutospacing="0" w:line="600" w:lineRule="exact"/>
        <w:ind w:firstLine="640"/>
        <w:rPr>
          <w:rFonts w:hint="eastAsia" w:eastAsia="方正楷体_GBK"/>
          <w:b w:val="0"/>
          <w:bCs w:val="0"/>
          <w:szCs w:val="20"/>
          <w:lang w:val="en-US" w:eastAsia="zh-CN"/>
        </w:rPr>
      </w:pPr>
      <w:r>
        <w:rPr>
          <w:rFonts w:hint="eastAsia" w:eastAsia="方正楷体_GBK"/>
          <w:b w:val="0"/>
          <w:bCs w:val="0"/>
          <w:szCs w:val="20"/>
          <w:lang w:val="en-US" w:eastAsia="zh-CN"/>
        </w:rPr>
        <w:t>■修正内容</w:t>
      </w:r>
    </w:p>
    <w:p>
      <w:pPr>
        <w:rPr>
          <w:rFonts w:hint="eastAsia"/>
          <w:lang w:val="en-US" w:eastAsia="zh-CN"/>
        </w:rPr>
      </w:pPr>
      <w:r>
        <w:rPr>
          <w:rFonts w:hint="eastAsia"/>
          <w:lang w:val="en-US" w:eastAsia="zh-CN"/>
        </w:rPr>
        <w:t>本次对附表5中片区床位数进行了修正，修正前，近期总床位数为2800床，其中西温泉片区980床，巴岳山片区</w:t>
      </w:r>
      <w:r>
        <w:rPr>
          <w:rFonts w:hint="eastAsia" w:ascii="Times New Roman" w:hAnsi="Times New Roman" w:eastAsia="方正仿宋_GB2312" w:cs="Times New Roman"/>
          <w:color w:val="auto"/>
          <w:sz w:val="30"/>
          <w:szCs w:val="30"/>
          <w:highlight w:val="none"/>
        </w:rPr>
        <w:t>1820</w:t>
      </w:r>
      <w:r>
        <w:rPr>
          <w:rFonts w:hint="eastAsia"/>
          <w:lang w:val="en-US" w:eastAsia="zh-CN"/>
        </w:rPr>
        <w:t>床；远期总床位数为3925床，其中西温泉片区1375床，巴岳山片区2550床。</w:t>
      </w:r>
    </w:p>
    <w:p>
      <w:pPr>
        <w:rPr>
          <w:rFonts w:hint="default"/>
          <w:lang w:val="en-US" w:eastAsia="zh-CN"/>
        </w:rPr>
      </w:pPr>
      <w:r>
        <w:rPr>
          <w:rFonts w:hint="eastAsia"/>
          <w:lang w:val="en-US" w:eastAsia="zh-CN"/>
        </w:rPr>
        <w:t>修正后，近期总床位数为2167床，其中西温泉片区804床，巴岳山片区1363床；远期总床位数为2977床，其中西温泉片区1145床，巴岳山片区1832床。</w:t>
      </w:r>
    </w:p>
    <w:p>
      <w:pPr>
        <w:pStyle w:val="4"/>
        <w:tabs>
          <w:tab w:val="center" w:pos="4742"/>
        </w:tabs>
        <w:adjustRightInd/>
        <w:snapToGrid/>
        <w:spacing w:before="0" w:beforeLines="0" w:beforeAutospacing="0" w:after="0" w:afterLines="0" w:afterAutospacing="0" w:line="600" w:lineRule="exact"/>
        <w:ind w:firstLine="640"/>
        <w:rPr>
          <w:rFonts w:hint="eastAsia" w:eastAsia="方正楷体_GBK"/>
          <w:b w:val="0"/>
          <w:bCs w:val="0"/>
          <w:szCs w:val="20"/>
          <w:lang w:val="en-US" w:eastAsia="zh-CN"/>
        </w:rPr>
      </w:pPr>
      <w:r>
        <w:rPr>
          <w:rFonts w:hint="eastAsia" w:eastAsia="方正楷体_GBK"/>
          <w:b w:val="0"/>
          <w:bCs w:val="0"/>
          <w:szCs w:val="20"/>
          <w:lang w:val="en-US" w:eastAsia="zh-CN"/>
        </w:rPr>
        <w:t>■修正后附表5片区床位分配</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9"/>
        <w:gridCol w:w="1987"/>
        <w:gridCol w:w="2355"/>
        <w:gridCol w:w="2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36" w:type="pct"/>
            <w:noWrap w:val="0"/>
            <w:vAlign w:val="center"/>
          </w:tcPr>
          <w:p>
            <w:pPr>
              <w:snapToGrid w:val="0"/>
              <w:spacing w:before="100" w:beforeAutospacing="1" w:after="100" w:afterAutospacing="1" w:line="400" w:lineRule="exact"/>
              <w:ind w:firstLine="0" w:firstLineChars="0"/>
              <w:jc w:val="center"/>
              <w:rPr>
                <w:rFonts w:hint="eastAsia" w:ascii="Times New Roman" w:hAnsi="Times New Roman" w:eastAsia="方正仿宋_GB2312" w:cs="Times New Roman"/>
                <w:color w:val="auto"/>
                <w:sz w:val="30"/>
                <w:szCs w:val="30"/>
                <w:highlight w:val="none"/>
              </w:rPr>
            </w:pPr>
            <w:r>
              <w:rPr>
                <w:rFonts w:hint="eastAsia" w:ascii="Times New Roman" w:hAnsi="Times New Roman" w:eastAsia="方正仿宋_GB2312" w:cs="Times New Roman"/>
                <w:color w:val="auto"/>
                <w:sz w:val="30"/>
                <w:szCs w:val="30"/>
                <w:highlight w:val="none"/>
              </w:rPr>
              <w:t>规划期限</w:t>
            </w:r>
          </w:p>
        </w:tc>
        <w:tc>
          <w:tcPr>
            <w:tcW w:w="1073" w:type="pct"/>
            <w:noWrap w:val="0"/>
            <w:vAlign w:val="center"/>
          </w:tcPr>
          <w:p>
            <w:pPr>
              <w:snapToGrid w:val="0"/>
              <w:spacing w:before="100" w:beforeAutospacing="1" w:after="100" w:afterAutospacing="1" w:line="400" w:lineRule="exact"/>
              <w:ind w:firstLine="0" w:firstLineChars="0"/>
              <w:jc w:val="center"/>
              <w:rPr>
                <w:rFonts w:hint="eastAsia" w:ascii="Times New Roman" w:hAnsi="Times New Roman" w:eastAsia="方正仿宋_GB2312" w:cs="Times New Roman"/>
                <w:color w:val="auto"/>
                <w:sz w:val="30"/>
                <w:szCs w:val="30"/>
                <w:highlight w:val="none"/>
              </w:rPr>
            </w:pPr>
            <w:r>
              <w:rPr>
                <w:rFonts w:hint="eastAsia" w:ascii="Times New Roman" w:hAnsi="Times New Roman" w:eastAsia="方正仿宋_GB2312" w:cs="Times New Roman"/>
                <w:color w:val="auto"/>
                <w:sz w:val="30"/>
                <w:szCs w:val="30"/>
                <w:highlight w:val="none"/>
              </w:rPr>
              <w:t>巴岳山片区</w:t>
            </w:r>
          </w:p>
        </w:tc>
        <w:tc>
          <w:tcPr>
            <w:tcW w:w="1272" w:type="pct"/>
            <w:noWrap w:val="0"/>
            <w:vAlign w:val="center"/>
          </w:tcPr>
          <w:p>
            <w:pPr>
              <w:snapToGrid w:val="0"/>
              <w:spacing w:before="100" w:beforeAutospacing="1" w:after="100" w:afterAutospacing="1" w:line="400" w:lineRule="exact"/>
              <w:ind w:firstLine="0" w:firstLineChars="0"/>
              <w:jc w:val="center"/>
              <w:rPr>
                <w:rFonts w:hint="eastAsia" w:ascii="Times New Roman" w:hAnsi="Times New Roman" w:eastAsia="方正仿宋_GB2312" w:cs="Times New Roman"/>
                <w:color w:val="auto"/>
                <w:sz w:val="30"/>
                <w:szCs w:val="30"/>
                <w:highlight w:val="none"/>
              </w:rPr>
            </w:pPr>
            <w:r>
              <w:rPr>
                <w:rFonts w:hint="eastAsia" w:ascii="Times New Roman" w:hAnsi="Times New Roman" w:eastAsia="方正仿宋_GB2312" w:cs="Times New Roman"/>
                <w:color w:val="auto"/>
                <w:sz w:val="30"/>
                <w:szCs w:val="30"/>
                <w:highlight w:val="none"/>
              </w:rPr>
              <w:t>西温泉片区</w:t>
            </w:r>
          </w:p>
        </w:tc>
        <w:tc>
          <w:tcPr>
            <w:tcW w:w="1218" w:type="pct"/>
            <w:noWrap w:val="0"/>
            <w:vAlign w:val="center"/>
          </w:tcPr>
          <w:p>
            <w:pPr>
              <w:snapToGrid w:val="0"/>
              <w:spacing w:before="100" w:beforeAutospacing="1" w:after="100" w:afterAutospacing="1" w:line="400" w:lineRule="exact"/>
              <w:ind w:firstLine="0" w:firstLineChars="0"/>
              <w:jc w:val="center"/>
              <w:rPr>
                <w:rFonts w:hint="eastAsia" w:ascii="Times New Roman" w:hAnsi="Times New Roman" w:eastAsia="方正仿宋_GB2312" w:cs="Times New Roman"/>
                <w:color w:val="auto"/>
                <w:sz w:val="30"/>
                <w:szCs w:val="30"/>
                <w:highlight w:val="none"/>
              </w:rPr>
            </w:pPr>
            <w:r>
              <w:rPr>
                <w:rFonts w:hint="eastAsia" w:ascii="Times New Roman" w:hAnsi="Times New Roman" w:eastAsia="方正仿宋_GB2312" w:cs="Times New Roman"/>
                <w:color w:val="auto"/>
                <w:sz w:val="30"/>
                <w:szCs w:val="30"/>
                <w:highlight w:val="none"/>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36" w:type="pct"/>
            <w:noWrap w:val="0"/>
            <w:vAlign w:val="center"/>
          </w:tcPr>
          <w:p>
            <w:pPr>
              <w:snapToGrid w:val="0"/>
              <w:spacing w:before="100" w:beforeAutospacing="1" w:after="100" w:afterAutospacing="1" w:line="400" w:lineRule="exact"/>
              <w:ind w:firstLine="0" w:firstLineChars="0"/>
              <w:jc w:val="center"/>
              <w:rPr>
                <w:rFonts w:hint="eastAsia" w:ascii="Times New Roman" w:hAnsi="Times New Roman" w:eastAsia="方正仿宋_GB2312" w:cs="Times New Roman"/>
                <w:color w:val="auto"/>
                <w:sz w:val="30"/>
                <w:szCs w:val="30"/>
                <w:highlight w:val="none"/>
              </w:rPr>
            </w:pPr>
            <w:r>
              <w:rPr>
                <w:rFonts w:hint="eastAsia" w:ascii="Times New Roman" w:hAnsi="Times New Roman" w:eastAsia="方正仿宋_GB2312" w:cs="Times New Roman"/>
                <w:color w:val="auto"/>
                <w:sz w:val="30"/>
                <w:szCs w:val="30"/>
                <w:highlight w:val="none"/>
              </w:rPr>
              <w:t>近期（2020年）床位</w:t>
            </w:r>
          </w:p>
        </w:tc>
        <w:tc>
          <w:tcPr>
            <w:tcW w:w="1073" w:type="pct"/>
            <w:noWrap w:val="0"/>
            <w:vAlign w:val="center"/>
          </w:tcPr>
          <w:p>
            <w:pPr>
              <w:snapToGrid w:val="0"/>
              <w:spacing w:before="100" w:beforeAutospacing="1" w:after="100" w:afterAutospacing="1" w:line="400" w:lineRule="exact"/>
              <w:ind w:firstLine="0" w:firstLineChars="0"/>
              <w:jc w:val="center"/>
              <w:rPr>
                <w:rFonts w:hint="default" w:ascii="Times New Roman" w:hAnsi="Times New Roman" w:eastAsia="方正仿宋_GB2312" w:cs="Times New Roman"/>
                <w:color w:val="auto"/>
                <w:sz w:val="30"/>
                <w:szCs w:val="30"/>
                <w:highlight w:val="none"/>
                <w:lang w:val="en-US" w:eastAsia="zh-CN"/>
              </w:rPr>
            </w:pPr>
            <w:r>
              <w:rPr>
                <w:rFonts w:hint="eastAsia" w:ascii="Times New Roman" w:hAnsi="Times New Roman" w:eastAsia="方正仿宋_GB2312" w:cs="Times New Roman"/>
                <w:color w:val="auto"/>
                <w:sz w:val="30"/>
                <w:szCs w:val="30"/>
                <w:highlight w:val="none"/>
              </w:rPr>
              <w:t>1</w:t>
            </w:r>
            <w:r>
              <w:rPr>
                <w:rFonts w:hint="eastAsia" w:eastAsia="方正仿宋_GB2312" w:cs="Times New Roman"/>
                <w:color w:val="auto"/>
                <w:sz w:val="30"/>
                <w:szCs w:val="30"/>
                <w:highlight w:val="none"/>
                <w:lang w:val="en-US" w:eastAsia="zh-CN"/>
              </w:rPr>
              <w:t>363</w:t>
            </w:r>
          </w:p>
        </w:tc>
        <w:tc>
          <w:tcPr>
            <w:tcW w:w="1272" w:type="pct"/>
            <w:noWrap w:val="0"/>
            <w:vAlign w:val="center"/>
          </w:tcPr>
          <w:p>
            <w:pPr>
              <w:snapToGrid w:val="0"/>
              <w:spacing w:before="100" w:beforeAutospacing="1" w:after="100" w:afterAutospacing="1" w:line="400" w:lineRule="exact"/>
              <w:ind w:firstLine="0" w:firstLineChars="0"/>
              <w:jc w:val="center"/>
              <w:rPr>
                <w:rFonts w:hint="default" w:ascii="Times New Roman" w:hAnsi="Times New Roman" w:eastAsia="方正仿宋_GB2312" w:cs="Times New Roman"/>
                <w:color w:val="auto"/>
                <w:sz w:val="30"/>
                <w:szCs w:val="30"/>
                <w:highlight w:val="none"/>
                <w:lang w:val="en-US" w:eastAsia="zh-CN"/>
              </w:rPr>
            </w:pPr>
            <w:r>
              <w:rPr>
                <w:rFonts w:hint="eastAsia" w:eastAsia="方正仿宋_GB2312" w:cs="Times New Roman"/>
                <w:color w:val="auto"/>
                <w:sz w:val="30"/>
                <w:szCs w:val="30"/>
                <w:highlight w:val="none"/>
                <w:lang w:val="en-US" w:eastAsia="zh-CN"/>
              </w:rPr>
              <w:t>804</w:t>
            </w:r>
          </w:p>
        </w:tc>
        <w:tc>
          <w:tcPr>
            <w:tcW w:w="1218" w:type="pct"/>
            <w:noWrap w:val="0"/>
            <w:vAlign w:val="center"/>
          </w:tcPr>
          <w:p>
            <w:pPr>
              <w:snapToGrid w:val="0"/>
              <w:spacing w:before="100" w:beforeAutospacing="1" w:after="100" w:afterAutospacing="1" w:line="400" w:lineRule="exact"/>
              <w:ind w:firstLine="0" w:firstLineChars="0"/>
              <w:jc w:val="center"/>
              <w:rPr>
                <w:rFonts w:hint="default" w:ascii="Times New Roman" w:hAnsi="Times New Roman" w:eastAsia="方正仿宋_GB2312" w:cs="Times New Roman"/>
                <w:color w:val="auto"/>
                <w:sz w:val="30"/>
                <w:szCs w:val="30"/>
                <w:highlight w:val="none"/>
                <w:lang w:val="en-US" w:eastAsia="zh-CN"/>
              </w:rPr>
            </w:pPr>
            <w:r>
              <w:rPr>
                <w:rFonts w:hint="eastAsia" w:eastAsia="方正仿宋_GB2312" w:cs="Times New Roman"/>
                <w:color w:val="auto"/>
                <w:sz w:val="30"/>
                <w:szCs w:val="30"/>
                <w:highlight w:val="none"/>
                <w:lang w:val="en-US" w:eastAsia="zh-CN"/>
              </w:rPr>
              <w:t>2167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36" w:type="pct"/>
            <w:noWrap w:val="0"/>
            <w:vAlign w:val="center"/>
          </w:tcPr>
          <w:p>
            <w:pPr>
              <w:snapToGrid w:val="0"/>
              <w:spacing w:before="100" w:beforeAutospacing="1" w:after="100" w:afterAutospacing="1" w:line="400" w:lineRule="exact"/>
              <w:ind w:firstLine="0" w:firstLineChars="0"/>
              <w:jc w:val="center"/>
              <w:rPr>
                <w:rFonts w:hint="eastAsia" w:ascii="Times New Roman" w:hAnsi="Times New Roman" w:eastAsia="方正仿宋_GB2312" w:cs="Times New Roman"/>
                <w:color w:val="auto"/>
                <w:sz w:val="30"/>
                <w:szCs w:val="30"/>
                <w:highlight w:val="none"/>
              </w:rPr>
            </w:pPr>
            <w:r>
              <w:rPr>
                <w:rFonts w:hint="eastAsia" w:ascii="Times New Roman" w:hAnsi="Times New Roman" w:eastAsia="方正仿宋_GB2312" w:cs="Times New Roman"/>
                <w:color w:val="auto"/>
                <w:sz w:val="30"/>
                <w:szCs w:val="30"/>
                <w:highlight w:val="none"/>
              </w:rPr>
              <w:t>远期（2030年）床位</w:t>
            </w:r>
          </w:p>
        </w:tc>
        <w:tc>
          <w:tcPr>
            <w:tcW w:w="1073" w:type="pct"/>
            <w:noWrap w:val="0"/>
            <w:vAlign w:val="center"/>
          </w:tcPr>
          <w:p>
            <w:pPr>
              <w:snapToGrid w:val="0"/>
              <w:spacing w:before="100" w:beforeAutospacing="1" w:after="100" w:afterAutospacing="1" w:line="400" w:lineRule="exact"/>
              <w:ind w:firstLine="0" w:firstLineChars="0"/>
              <w:jc w:val="center"/>
              <w:rPr>
                <w:rFonts w:hint="default" w:ascii="Times New Roman" w:hAnsi="Times New Roman" w:eastAsia="方正仿宋_GB2312" w:cs="Times New Roman"/>
                <w:color w:val="auto"/>
                <w:sz w:val="30"/>
                <w:szCs w:val="30"/>
                <w:highlight w:val="none"/>
                <w:lang w:val="en-US" w:eastAsia="zh-CN"/>
              </w:rPr>
            </w:pPr>
            <w:r>
              <w:rPr>
                <w:rFonts w:hint="eastAsia" w:eastAsia="方正仿宋_GB2312" w:cs="Times New Roman"/>
                <w:color w:val="auto"/>
                <w:sz w:val="30"/>
                <w:szCs w:val="30"/>
                <w:highlight w:val="none"/>
                <w:lang w:val="en-US" w:eastAsia="zh-CN"/>
              </w:rPr>
              <w:t>1832</w:t>
            </w:r>
          </w:p>
        </w:tc>
        <w:tc>
          <w:tcPr>
            <w:tcW w:w="1272" w:type="pct"/>
            <w:noWrap w:val="0"/>
            <w:vAlign w:val="center"/>
          </w:tcPr>
          <w:p>
            <w:pPr>
              <w:snapToGrid w:val="0"/>
              <w:spacing w:before="100" w:beforeAutospacing="1" w:after="100" w:afterAutospacing="1" w:line="400" w:lineRule="exact"/>
              <w:ind w:firstLine="0" w:firstLineChars="0"/>
              <w:jc w:val="center"/>
              <w:rPr>
                <w:rFonts w:hint="default" w:ascii="Times New Roman" w:hAnsi="Times New Roman" w:eastAsia="方正仿宋_GB2312" w:cs="Times New Roman"/>
                <w:color w:val="auto"/>
                <w:sz w:val="30"/>
                <w:szCs w:val="30"/>
                <w:highlight w:val="none"/>
                <w:lang w:val="en-US" w:eastAsia="zh-CN"/>
              </w:rPr>
            </w:pPr>
            <w:r>
              <w:rPr>
                <w:rFonts w:hint="eastAsia" w:eastAsia="方正仿宋_GB2312" w:cs="Times New Roman"/>
                <w:color w:val="auto"/>
                <w:sz w:val="30"/>
                <w:szCs w:val="30"/>
                <w:highlight w:val="none"/>
                <w:lang w:val="en-US" w:eastAsia="zh-CN"/>
              </w:rPr>
              <w:t>1145</w:t>
            </w:r>
          </w:p>
        </w:tc>
        <w:tc>
          <w:tcPr>
            <w:tcW w:w="1218" w:type="pct"/>
            <w:noWrap w:val="0"/>
            <w:vAlign w:val="center"/>
          </w:tcPr>
          <w:p>
            <w:pPr>
              <w:snapToGrid w:val="0"/>
              <w:spacing w:before="100" w:beforeAutospacing="1" w:after="100" w:afterAutospacing="1" w:line="400" w:lineRule="exact"/>
              <w:ind w:firstLine="0" w:firstLineChars="0"/>
              <w:jc w:val="center"/>
              <w:rPr>
                <w:rFonts w:hint="default" w:ascii="Times New Roman" w:hAnsi="Times New Roman" w:eastAsia="方正仿宋_GB2312" w:cs="Times New Roman"/>
                <w:color w:val="auto"/>
                <w:sz w:val="30"/>
                <w:szCs w:val="30"/>
                <w:highlight w:val="none"/>
                <w:lang w:val="en-US" w:eastAsia="zh-CN"/>
              </w:rPr>
            </w:pPr>
            <w:r>
              <w:rPr>
                <w:rFonts w:hint="eastAsia" w:eastAsia="方正仿宋_GB2312" w:cs="Times New Roman"/>
                <w:color w:val="auto"/>
                <w:sz w:val="30"/>
                <w:szCs w:val="30"/>
                <w:highlight w:val="none"/>
                <w:lang w:val="en-US" w:eastAsia="zh-CN"/>
              </w:rPr>
              <w:t>2977</w:t>
            </w:r>
          </w:p>
        </w:tc>
      </w:tr>
    </w:tbl>
    <w:p>
      <w:pPr>
        <w:pStyle w:val="3"/>
        <w:tabs>
          <w:tab w:val="center" w:pos="4742"/>
        </w:tabs>
        <w:adjustRightInd/>
        <w:snapToGrid/>
        <w:spacing w:beforeLines="0" w:beforeAutospacing="0" w:afterLines="0" w:afterAutospacing="0" w:line="360" w:lineRule="auto"/>
        <w:ind w:left="0" w:leftChars="0" w:firstLine="0" w:firstLineChars="0"/>
        <w:jc w:val="left"/>
        <w:rPr>
          <w:rFonts w:hint="default" w:ascii="Times New Roman" w:hAnsi="Times New Roman" w:eastAsia="方正黑体_GBK"/>
          <w:b w:val="0"/>
          <w:bCs w:val="0"/>
          <w:szCs w:val="20"/>
          <w:lang w:val="en-US" w:eastAsia="zh-CN"/>
        </w:rPr>
      </w:pPr>
      <w:r>
        <w:rPr>
          <w:rFonts w:hint="eastAsia" w:ascii="Times New Roman" w:hAnsi="Times New Roman" w:eastAsia="方正黑体_GBK"/>
          <w:b w:val="0"/>
          <w:bCs w:val="0"/>
          <w:szCs w:val="20"/>
          <w:lang w:val="en-US" w:eastAsia="zh-CN"/>
        </w:rPr>
        <w:t>（五）修正五 附表7床位分布</w:t>
      </w:r>
    </w:p>
    <w:p>
      <w:pPr>
        <w:pStyle w:val="4"/>
        <w:tabs>
          <w:tab w:val="center" w:pos="4742"/>
        </w:tabs>
        <w:adjustRightInd/>
        <w:snapToGrid/>
        <w:spacing w:before="0" w:beforeLines="0" w:beforeAutospacing="0" w:after="0" w:afterLines="0" w:afterAutospacing="0" w:line="600" w:lineRule="exact"/>
        <w:ind w:firstLine="640"/>
        <w:rPr>
          <w:rFonts w:hint="eastAsia" w:eastAsia="方正楷体_GBK"/>
          <w:b w:val="0"/>
          <w:bCs w:val="0"/>
          <w:szCs w:val="20"/>
          <w:lang w:val="en-US" w:eastAsia="zh-CN"/>
        </w:rPr>
      </w:pPr>
      <w:r>
        <w:rPr>
          <w:rFonts w:hint="eastAsia" w:eastAsia="方正楷体_GBK"/>
          <w:b w:val="0"/>
          <w:bCs w:val="0"/>
          <w:szCs w:val="20"/>
          <w:lang w:val="en-US" w:eastAsia="zh-CN"/>
        </w:rPr>
        <w:t>■修正内容</w:t>
      </w:r>
    </w:p>
    <w:p>
      <w:pPr>
        <w:ind w:firstLine="640"/>
        <w:rPr>
          <w:rFonts w:hint="eastAsia"/>
          <w:lang w:val="en-US" w:eastAsia="zh-CN"/>
        </w:rPr>
      </w:pPr>
      <w:r>
        <w:rPr>
          <w:rFonts w:hint="eastAsia"/>
          <w:lang w:val="en-US" w:eastAsia="zh-CN"/>
        </w:rPr>
        <w:t>本次对附表7内容进行修正，修正前近期总床位数2800床，用地规模为41.3公顷；其中，近期高档床位840床，用地规模16.8公顷，中档床位980床，用地规模14.7公顷，低档980床，用地规模为9.8公顷。远期总床位数3925床，用地规模66.73公顷；其中，高档床位1963床，用地规模39.26公顷，中档床位1570床，用地规模23.55公顷，低档392床，用地规模为3.92公顷。</w:t>
      </w:r>
    </w:p>
    <w:p>
      <w:pPr>
        <w:ind w:firstLine="640"/>
        <w:rPr>
          <w:rFonts w:hint="eastAsia"/>
          <w:lang w:val="en-US" w:eastAsia="zh-CN"/>
        </w:rPr>
      </w:pPr>
    </w:p>
    <w:p>
      <w:pPr>
        <w:ind w:firstLine="640"/>
        <w:rPr>
          <w:rFonts w:hint="eastAsia"/>
          <w:lang w:val="en-US" w:eastAsia="zh-CN"/>
        </w:rPr>
      </w:pPr>
      <w:r>
        <w:rPr>
          <w:rFonts w:hint="eastAsia"/>
          <w:lang w:val="en-US" w:eastAsia="zh-CN"/>
        </w:rPr>
        <w:t>修正后近期总床位数2167床，用地规模为30.45公顷；其中，近期高档床位400床，用地规模8公顷，中档床位955床，用地规模14.33公顷，低档812床，用地规模为8.12公顷。远期总床位数2977床，用地规模47.55公顷；其中，高档床位970床，用地规模19.4公顷，中档床位1615床，用地规模24.23公顷，低档392床，用地规模为3.92公顷。</w:t>
      </w:r>
    </w:p>
    <w:p>
      <w:pPr>
        <w:pStyle w:val="4"/>
        <w:tabs>
          <w:tab w:val="center" w:pos="4742"/>
        </w:tabs>
        <w:adjustRightInd/>
        <w:snapToGrid/>
        <w:spacing w:before="0" w:beforeLines="0" w:beforeAutospacing="0" w:after="0" w:afterLines="0" w:afterAutospacing="0" w:line="600" w:lineRule="exact"/>
        <w:ind w:firstLine="640"/>
        <w:rPr>
          <w:rFonts w:hint="eastAsia" w:eastAsia="方正楷体_GBK"/>
          <w:b w:val="0"/>
          <w:bCs w:val="0"/>
          <w:szCs w:val="20"/>
          <w:lang w:val="en-US" w:eastAsia="zh-CN"/>
        </w:rPr>
      </w:pPr>
      <w:r>
        <w:rPr>
          <w:rFonts w:hint="eastAsia" w:eastAsia="方正楷体_GBK"/>
          <w:b w:val="0"/>
          <w:bCs w:val="0"/>
          <w:szCs w:val="20"/>
          <w:lang w:val="en-US" w:eastAsia="zh-CN"/>
        </w:rPr>
        <w:t>■修正后附表7床位分布</w:t>
      </w:r>
    </w:p>
    <w:tbl>
      <w:tblPr>
        <w:tblStyle w:val="9"/>
        <w:tblpPr w:leftFromText="180" w:rightFromText="180" w:vertAnchor="text" w:horzAnchor="margin" w:tblpY="2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6"/>
        <w:gridCol w:w="1740"/>
        <w:gridCol w:w="1740"/>
        <w:gridCol w:w="1740"/>
        <w:gridCol w:w="1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278" w:type="pct"/>
            <w:vAlign w:val="center"/>
          </w:tcPr>
          <w:p>
            <w:pPr>
              <w:snapToGrid w:val="0"/>
              <w:spacing w:before="100" w:beforeAutospacing="1" w:after="100" w:afterAutospacing="1" w:line="400" w:lineRule="exact"/>
              <w:ind w:firstLine="0" w:firstLineChars="0"/>
              <w:jc w:val="center"/>
              <w:rPr>
                <w:rFonts w:hint="default" w:ascii="Times New Roman" w:hAnsi="Times New Roman" w:eastAsia="方正仿宋_GB2312" w:cs="Times New Roman"/>
                <w:color w:val="auto"/>
                <w:sz w:val="30"/>
                <w:szCs w:val="30"/>
                <w:highlight w:val="none"/>
              </w:rPr>
            </w:pPr>
            <w:r>
              <w:rPr>
                <w:rFonts w:hint="default" w:ascii="Times New Roman" w:hAnsi="Times New Roman" w:eastAsia="方正仿宋_GB2312" w:cs="Times New Roman"/>
                <w:color w:val="auto"/>
                <w:sz w:val="30"/>
                <w:szCs w:val="30"/>
                <w:highlight w:val="none"/>
              </w:rPr>
              <w:t>规划期限</w:t>
            </w:r>
          </w:p>
        </w:tc>
        <w:tc>
          <w:tcPr>
            <w:tcW w:w="940" w:type="pct"/>
            <w:vAlign w:val="center"/>
          </w:tcPr>
          <w:p>
            <w:pPr>
              <w:snapToGrid w:val="0"/>
              <w:spacing w:before="100" w:beforeAutospacing="1" w:after="100" w:afterAutospacing="1" w:line="400" w:lineRule="exact"/>
              <w:ind w:firstLine="0" w:firstLineChars="0"/>
              <w:jc w:val="center"/>
              <w:rPr>
                <w:rFonts w:hint="default" w:ascii="Times New Roman" w:hAnsi="Times New Roman" w:eastAsia="方正仿宋_GB2312" w:cs="Times New Roman"/>
                <w:color w:val="auto"/>
                <w:sz w:val="30"/>
                <w:szCs w:val="30"/>
                <w:highlight w:val="none"/>
              </w:rPr>
            </w:pPr>
            <w:r>
              <w:rPr>
                <w:rFonts w:hint="default" w:ascii="Times New Roman" w:hAnsi="Times New Roman" w:eastAsia="方正仿宋_GB2312" w:cs="Times New Roman"/>
                <w:color w:val="auto"/>
                <w:sz w:val="30"/>
                <w:szCs w:val="30"/>
                <w:highlight w:val="none"/>
              </w:rPr>
              <w:t>高档</w:t>
            </w:r>
          </w:p>
        </w:tc>
        <w:tc>
          <w:tcPr>
            <w:tcW w:w="940" w:type="pct"/>
            <w:vAlign w:val="center"/>
          </w:tcPr>
          <w:p>
            <w:pPr>
              <w:snapToGrid w:val="0"/>
              <w:spacing w:before="100" w:beforeAutospacing="1" w:after="100" w:afterAutospacing="1" w:line="400" w:lineRule="exact"/>
              <w:ind w:firstLine="0" w:firstLineChars="0"/>
              <w:jc w:val="center"/>
              <w:rPr>
                <w:rFonts w:hint="default" w:ascii="Times New Roman" w:hAnsi="Times New Roman" w:eastAsia="方正仿宋_GB2312" w:cs="Times New Roman"/>
                <w:color w:val="auto"/>
                <w:sz w:val="30"/>
                <w:szCs w:val="30"/>
                <w:highlight w:val="none"/>
              </w:rPr>
            </w:pPr>
            <w:r>
              <w:rPr>
                <w:rFonts w:hint="default" w:ascii="Times New Roman" w:hAnsi="Times New Roman" w:eastAsia="方正仿宋_GB2312" w:cs="Times New Roman"/>
                <w:color w:val="auto"/>
                <w:sz w:val="30"/>
                <w:szCs w:val="30"/>
                <w:highlight w:val="none"/>
              </w:rPr>
              <w:t>中档</w:t>
            </w:r>
          </w:p>
        </w:tc>
        <w:tc>
          <w:tcPr>
            <w:tcW w:w="940" w:type="pct"/>
            <w:vAlign w:val="center"/>
          </w:tcPr>
          <w:p>
            <w:pPr>
              <w:snapToGrid w:val="0"/>
              <w:spacing w:before="100" w:beforeAutospacing="1" w:after="100" w:afterAutospacing="1" w:line="400" w:lineRule="exact"/>
              <w:ind w:firstLine="0" w:firstLineChars="0"/>
              <w:jc w:val="center"/>
              <w:rPr>
                <w:rFonts w:hint="default" w:ascii="Times New Roman" w:hAnsi="Times New Roman" w:eastAsia="方正仿宋_GB2312" w:cs="Times New Roman"/>
                <w:color w:val="auto"/>
                <w:sz w:val="30"/>
                <w:szCs w:val="30"/>
                <w:highlight w:val="none"/>
              </w:rPr>
            </w:pPr>
            <w:r>
              <w:rPr>
                <w:rFonts w:hint="eastAsia" w:eastAsia="方正仿宋_GB2312" w:cs="Times New Roman"/>
                <w:color w:val="auto"/>
                <w:sz w:val="30"/>
                <w:szCs w:val="30"/>
                <w:highlight w:val="none"/>
                <w:lang w:val="en-US" w:eastAsia="zh-CN"/>
              </w:rPr>
              <w:t>低</w:t>
            </w:r>
            <w:r>
              <w:rPr>
                <w:rFonts w:hint="default" w:ascii="Times New Roman" w:hAnsi="Times New Roman" w:eastAsia="方正仿宋_GB2312" w:cs="Times New Roman"/>
                <w:color w:val="auto"/>
                <w:sz w:val="30"/>
                <w:szCs w:val="30"/>
                <w:highlight w:val="none"/>
              </w:rPr>
              <w:t>档</w:t>
            </w:r>
          </w:p>
        </w:tc>
        <w:tc>
          <w:tcPr>
            <w:tcW w:w="902" w:type="pct"/>
            <w:vAlign w:val="center"/>
          </w:tcPr>
          <w:p>
            <w:pPr>
              <w:snapToGrid w:val="0"/>
              <w:spacing w:before="100" w:beforeAutospacing="1" w:after="100" w:afterAutospacing="1" w:line="400" w:lineRule="exact"/>
              <w:ind w:firstLine="0" w:firstLineChars="0"/>
              <w:jc w:val="center"/>
              <w:rPr>
                <w:rFonts w:hint="default" w:ascii="Times New Roman" w:hAnsi="Times New Roman" w:eastAsia="方正仿宋_GB2312" w:cs="Times New Roman"/>
                <w:color w:val="auto"/>
                <w:sz w:val="30"/>
                <w:szCs w:val="30"/>
                <w:highlight w:val="none"/>
              </w:rPr>
            </w:pPr>
            <w:r>
              <w:rPr>
                <w:rFonts w:hint="default" w:ascii="Times New Roman" w:hAnsi="Times New Roman" w:eastAsia="方正仿宋_GB2312" w:cs="Times New Roman"/>
                <w:color w:val="auto"/>
                <w:sz w:val="30"/>
                <w:szCs w:val="30"/>
                <w:highlight w:val="none"/>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78" w:type="pct"/>
            <w:vAlign w:val="center"/>
          </w:tcPr>
          <w:p>
            <w:pPr>
              <w:snapToGrid w:val="0"/>
              <w:spacing w:before="100" w:beforeAutospacing="1" w:after="100" w:afterAutospacing="1" w:line="400" w:lineRule="exact"/>
              <w:ind w:firstLine="0" w:firstLineChars="0"/>
              <w:jc w:val="center"/>
              <w:rPr>
                <w:rFonts w:hint="default" w:ascii="Times New Roman" w:hAnsi="Times New Roman" w:eastAsia="方正仿宋_GB2312" w:cs="Times New Roman"/>
                <w:color w:val="auto"/>
                <w:sz w:val="30"/>
                <w:szCs w:val="30"/>
                <w:highlight w:val="none"/>
              </w:rPr>
            </w:pPr>
            <w:r>
              <w:rPr>
                <w:rFonts w:hint="default" w:ascii="Times New Roman" w:hAnsi="Times New Roman" w:eastAsia="方正仿宋_GB2312" w:cs="Times New Roman"/>
                <w:color w:val="auto"/>
                <w:sz w:val="30"/>
                <w:szCs w:val="30"/>
                <w:highlight w:val="none"/>
              </w:rPr>
              <w:t>近期（2020年）床位</w:t>
            </w:r>
          </w:p>
        </w:tc>
        <w:tc>
          <w:tcPr>
            <w:tcW w:w="174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2312" w:cs="Times New Roman"/>
                <w:color w:val="auto"/>
                <w:sz w:val="30"/>
                <w:szCs w:val="30"/>
                <w:highlight w:val="none"/>
              </w:rPr>
            </w:pPr>
            <w:r>
              <w:rPr>
                <w:rFonts w:hint="default" w:ascii="Times New Roman" w:hAnsi="Times New Roman" w:eastAsia="方正仿宋_GB2312" w:cs="Times New Roman"/>
                <w:i w:val="0"/>
                <w:iCs w:val="0"/>
                <w:color w:val="auto"/>
                <w:kern w:val="0"/>
                <w:sz w:val="30"/>
                <w:szCs w:val="30"/>
                <w:highlight w:val="none"/>
                <w:u w:val="none"/>
                <w:lang w:val="en-US" w:eastAsia="zh-CN" w:bidi="ar"/>
              </w:rPr>
              <w:t>400</w:t>
            </w:r>
          </w:p>
        </w:tc>
        <w:tc>
          <w:tcPr>
            <w:tcW w:w="174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2312" w:cs="Times New Roman"/>
                <w:color w:val="auto"/>
                <w:sz w:val="30"/>
                <w:szCs w:val="30"/>
                <w:highlight w:val="none"/>
              </w:rPr>
            </w:pPr>
            <w:r>
              <w:rPr>
                <w:rFonts w:hint="default" w:ascii="Times New Roman" w:hAnsi="Times New Roman" w:eastAsia="方正仿宋_GB2312" w:cs="Times New Roman"/>
                <w:i w:val="0"/>
                <w:iCs w:val="0"/>
                <w:color w:val="auto"/>
                <w:kern w:val="0"/>
                <w:sz w:val="30"/>
                <w:szCs w:val="30"/>
                <w:highlight w:val="none"/>
                <w:u w:val="none"/>
                <w:lang w:val="en-US" w:eastAsia="zh-CN" w:bidi="ar"/>
              </w:rPr>
              <w:t>955</w:t>
            </w:r>
          </w:p>
        </w:tc>
        <w:tc>
          <w:tcPr>
            <w:tcW w:w="174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2312" w:cs="Times New Roman"/>
                <w:color w:val="auto"/>
                <w:sz w:val="30"/>
                <w:szCs w:val="30"/>
                <w:highlight w:val="none"/>
              </w:rPr>
            </w:pPr>
            <w:r>
              <w:rPr>
                <w:rFonts w:hint="default" w:ascii="Times New Roman" w:hAnsi="Times New Roman" w:eastAsia="方正仿宋_GB2312" w:cs="Times New Roman"/>
                <w:i w:val="0"/>
                <w:iCs w:val="0"/>
                <w:color w:val="auto"/>
                <w:kern w:val="0"/>
                <w:sz w:val="30"/>
                <w:szCs w:val="30"/>
                <w:highlight w:val="none"/>
                <w:u w:val="none"/>
                <w:lang w:val="en-US" w:eastAsia="zh-CN" w:bidi="ar"/>
              </w:rPr>
              <w:t>812</w:t>
            </w:r>
          </w:p>
        </w:tc>
        <w:tc>
          <w:tcPr>
            <w:tcW w:w="167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2312" w:cs="Times New Roman"/>
                <w:color w:val="auto"/>
                <w:sz w:val="30"/>
                <w:szCs w:val="30"/>
                <w:highlight w:val="none"/>
              </w:rPr>
            </w:pPr>
            <w:r>
              <w:rPr>
                <w:rFonts w:hint="default" w:ascii="Times New Roman" w:hAnsi="Times New Roman" w:eastAsia="方正仿宋_GB2312" w:cs="Times New Roman"/>
                <w:i w:val="0"/>
                <w:iCs w:val="0"/>
                <w:color w:val="auto"/>
                <w:kern w:val="0"/>
                <w:sz w:val="30"/>
                <w:szCs w:val="30"/>
                <w:highlight w:val="none"/>
                <w:u w:val="none"/>
                <w:lang w:val="en-US" w:eastAsia="zh-CN" w:bidi="ar"/>
              </w:rPr>
              <w:t>2167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78" w:type="pct"/>
            <w:vAlign w:val="center"/>
          </w:tcPr>
          <w:p>
            <w:pPr>
              <w:snapToGrid w:val="0"/>
              <w:spacing w:before="100" w:beforeAutospacing="1" w:after="100" w:afterAutospacing="1" w:line="400" w:lineRule="exact"/>
              <w:ind w:firstLine="0" w:firstLineChars="0"/>
              <w:jc w:val="center"/>
              <w:rPr>
                <w:rFonts w:hint="default" w:ascii="Times New Roman" w:hAnsi="Times New Roman" w:eastAsia="方正仿宋_GB2312" w:cs="Times New Roman"/>
                <w:color w:val="auto"/>
                <w:sz w:val="30"/>
                <w:szCs w:val="30"/>
                <w:highlight w:val="none"/>
              </w:rPr>
            </w:pPr>
            <w:r>
              <w:rPr>
                <w:rFonts w:hint="default" w:ascii="Times New Roman" w:hAnsi="Times New Roman" w:eastAsia="方正仿宋_GB2312" w:cs="Times New Roman"/>
                <w:color w:val="auto"/>
                <w:sz w:val="30"/>
                <w:szCs w:val="30"/>
                <w:highlight w:val="none"/>
              </w:rPr>
              <w:t>用地规模（hm</w:t>
            </w:r>
            <w:r>
              <w:rPr>
                <w:rFonts w:hint="default" w:ascii="Times New Roman" w:hAnsi="Times New Roman" w:eastAsia="方正仿宋_GB2312" w:cs="Times New Roman"/>
                <w:color w:val="auto"/>
                <w:sz w:val="30"/>
                <w:szCs w:val="30"/>
                <w:highlight w:val="none"/>
                <w:vertAlign w:val="superscript"/>
              </w:rPr>
              <w:t>2</w:t>
            </w:r>
            <w:r>
              <w:rPr>
                <w:rFonts w:hint="default" w:ascii="Times New Roman" w:hAnsi="Times New Roman" w:eastAsia="方正仿宋_GB2312" w:cs="Times New Roman"/>
                <w:color w:val="auto"/>
                <w:sz w:val="30"/>
                <w:szCs w:val="30"/>
                <w:highlight w:val="none"/>
              </w:rPr>
              <w:t>）</w:t>
            </w:r>
          </w:p>
        </w:tc>
        <w:tc>
          <w:tcPr>
            <w:tcW w:w="174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2312" w:cs="Times New Roman"/>
                <w:color w:val="auto"/>
                <w:sz w:val="30"/>
                <w:szCs w:val="30"/>
                <w:highlight w:val="none"/>
              </w:rPr>
            </w:pPr>
            <w:r>
              <w:rPr>
                <w:rFonts w:hint="default" w:ascii="Times New Roman" w:hAnsi="Times New Roman" w:eastAsia="方正仿宋_GB2312" w:cs="Times New Roman"/>
                <w:i w:val="0"/>
                <w:iCs w:val="0"/>
                <w:color w:val="auto"/>
                <w:kern w:val="0"/>
                <w:sz w:val="30"/>
                <w:szCs w:val="30"/>
                <w:highlight w:val="none"/>
                <w:u w:val="none"/>
                <w:lang w:val="en-US" w:eastAsia="zh-CN" w:bidi="ar"/>
              </w:rPr>
              <w:t>8</w:t>
            </w:r>
          </w:p>
        </w:tc>
        <w:tc>
          <w:tcPr>
            <w:tcW w:w="174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2312" w:cs="Times New Roman"/>
                <w:color w:val="auto"/>
                <w:sz w:val="30"/>
                <w:szCs w:val="30"/>
                <w:highlight w:val="none"/>
              </w:rPr>
            </w:pPr>
            <w:r>
              <w:rPr>
                <w:rFonts w:hint="default" w:ascii="Times New Roman" w:hAnsi="Times New Roman" w:eastAsia="方正仿宋_GB2312" w:cs="Times New Roman"/>
                <w:i w:val="0"/>
                <w:iCs w:val="0"/>
                <w:color w:val="auto"/>
                <w:kern w:val="0"/>
                <w:sz w:val="30"/>
                <w:szCs w:val="30"/>
                <w:highlight w:val="none"/>
                <w:u w:val="none"/>
                <w:lang w:val="en-US" w:eastAsia="zh-CN" w:bidi="ar"/>
              </w:rPr>
              <w:t>14.33</w:t>
            </w:r>
          </w:p>
        </w:tc>
        <w:tc>
          <w:tcPr>
            <w:tcW w:w="174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2312" w:cs="Times New Roman"/>
                <w:color w:val="auto"/>
                <w:sz w:val="30"/>
                <w:szCs w:val="30"/>
                <w:highlight w:val="none"/>
              </w:rPr>
            </w:pPr>
            <w:r>
              <w:rPr>
                <w:rFonts w:hint="default" w:ascii="Times New Roman" w:hAnsi="Times New Roman" w:eastAsia="方正仿宋_GB2312" w:cs="Times New Roman"/>
                <w:i w:val="0"/>
                <w:iCs w:val="0"/>
                <w:color w:val="auto"/>
                <w:kern w:val="0"/>
                <w:sz w:val="30"/>
                <w:szCs w:val="30"/>
                <w:highlight w:val="none"/>
                <w:u w:val="none"/>
                <w:lang w:val="en-US" w:eastAsia="zh-CN" w:bidi="ar"/>
              </w:rPr>
              <w:t>8.12</w:t>
            </w:r>
          </w:p>
        </w:tc>
        <w:tc>
          <w:tcPr>
            <w:tcW w:w="167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2312" w:cs="Times New Roman"/>
                <w:color w:val="auto"/>
                <w:sz w:val="30"/>
                <w:szCs w:val="30"/>
                <w:highlight w:val="none"/>
              </w:rPr>
            </w:pPr>
            <w:r>
              <w:rPr>
                <w:rFonts w:hint="default" w:ascii="Times New Roman" w:hAnsi="Times New Roman" w:eastAsia="方正仿宋_GB2312" w:cs="Times New Roman"/>
                <w:i w:val="0"/>
                <w:iCs w:val="0"/>
                <w:color w:val="auto"/>
                <w:kern w:val="0"/>
                <w:sz w:val="30"/>
                <w:szCs w:val="30"/>
                <w:highlight w:val="none"/>
                <w:u w:val="none"/>
                <w:lang w:val="en-US" w:eastAsia="zh-CN" w:bidi="ar"/>
              </w:rPr>
              <w:t>30.45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78" w:type="pct"/>
            <w:vAlign w:val="center"/>
          </w:tcPr>
          <w:p>
            <w:pPr>
              <w:snapToGrid w:val="0"/>
              <w:spacing w:before="100" w:beforeAutospacing="1" w:after="100" w:afterAutospacing="1" w:line="400" w:lineRule="exact"/>
              <w:ind w:firstLine="0" w:firstLineChars="0"/>
              <w:jc w:val="center"/>
              <w:rPr>
                <w:rFonts w:hint="default" w:ascii="Times New Roman" w:hAnsi="Times New Roman" w:eastAsia="方正仿宋_GB2312" w:cs="Times New Roman"/>
                <w:color w:val="auto"/>
                <w:sz w:val="30"/>
                <w:szCs w:val="30"/>
                <w:highlight w:val="none"/>
              </w:rPr>
            </w:pPr>
            <w:r>
              <w:rPr>
                <w:rFonts w:hint="default" w:ascii="Times New Roman" w:hAnsi="Times New Roman" w:eastAsia="方正仿宋_GB2312" w:cs="Times New Roman"/>
                <w:color w:val="auto"/>
                <w:sz w:val="30"/>
                <w:szCs w:val="30"/>
                <w:highlight w:val="none"/>
              </w:rPr>
              <w:t>远期（2030年）床位</w:t>
            </w:r>
          </w:p>
        </w:tc>
        <w:tc>
          <w:tcPr>
            <w:tcW w:w="174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2312" w:cs="Times New Roman"/>
                <w:color w:val="auto"/>
                <w:sz w:val="30"/>
                <w:szCs w:val="30"/>
                <w:highlight w:val="none"/>
              </w:rPr>
            </w:pPr>
            <w:r>
              <w:rPr>
                <w:rFonts w:hint="default" w:ascii="Times New Roman" w:hAnsi="Times New Roman" w:eastAsia="方正仿宋_GB2312" w:cs="Times New Roman"/>
                <w:i w:val="0"/>
                <w:iCs w:val="0"/>
                <w:color w:val="auto"/>
                <w:kern w:val="0"/>
                <w:sz w:val="30"/>
                <w:szCs w:val="30"/>
                <w:highlight w:val="none"/>
                <w:u w:val="none"/>
                <w:lang w:val="en-US" w:eastAsia="zh-CN" w:bidi="ar"/>
              </w:rPr>
              <w:t>970</w:t>
            </w:r>
          </w:p>
        </w:tc>
        <w:tc>
          <w:tcPr>
            <w:tcW w:w="174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2312" w:cs="Times New Roman"/>
                <w:color w:val="auto"/>
                <w:sz w:val="30"/>
                <w:szCs w:val="30"/>
                <w:highlight w:val="none"/>
              </w:rPr>
            </w:pPr>
            <w:r>
              <w:rPr>
                <w:rFonts w:hint="default" w:ascii="Times New Roman" w:hAnsi="Times New Roman" w:eastAsia="方正仿宋_GB2312" w:cs="Times New Roman"/>
                <w:i w:val="0"/>
                <w:iCs w:val="0"/>
                <w:color w:val="auto"/>
                <w:kern w:val="0"/>
                <w:sz w:val="30"/>
                <w:szCs w:val="30"/>
                <w:highlight w:val="none"/>
                <w:u w:val="none"/>
                <w:lang w:val="en-US" w:eastAsia="zh-CN" w:bidi="ar"/>
              </w:rPr>
              <w:t>1615</w:t>
            </w:r>
          </w:p>
        </w:tc>
        <w:tc>
          <w:tcPr>
            <w:tcW w:w="174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2312" w:cs="Times New Roman"/>
                <w:color w:val="auto"/>
                <w:sz w:val="30"/>
                <w:szCs w:val="30"/>
                <w:highlight w:val="none"/>
              </w:rPr>
            </w:pPr>
            <w:r>
              <w:rPr>
                <w:rFonts w:hint="default" w:ascii="Times New Roman" w:hAnsi="Times New Roman" w:eastAsia="方正仿宋_GB2312" w:cs="Times New Roman"/>
                <w:i w:val="0"/>
                <w:iCs w:val="0"/>
                <w:color w:val="auto"/>
                <w:kern w:val="0"/>
                <w:sz w:val="30"/>
                <w:szCs w:val="30"/>
                <w:highlight w:val="none"/>
                <w:u w:val="none"/>
                <w:lang w:val="en-US" w:eastAsia="zh-CN" w:bidi="ar"/>
              </w:rPr>
              <w:t>392</w:t>
            </w:r>
          </w:p>
        </w:tc>
        <w:tc>
          <w:tcPr>
            <w:tcW w:w="167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2312" w:cs="Times New Roman"/>
                <w:color w:val="auto"/>
                <w:sz w:val="30"/>
                <w:szCs w:val="30"/>
                <w:highlight w:val="none"/>
              </w:rPr>
            </w:pPr>
            <w:r>
              <w:rPr>
                <w:rFonts w:hint="default" w:ascii="Times New Roman" w:hAnsi="Times New Roman" w:eastAsia="方正仿宋_GB2312" w:cs="Times New Roman"/>
                <w:i w:val="0"/>
                <w:iCs w:val="0"/>
                <w:color w:val="auto"/>
                <w:kern w:val="0"/>
                <w:sz w:val="30"/>
                <w:szCs w:val="30"/>
                <w:highlight w:val="none"/>
                <w:u w:val="none"/>
                <w:lang w:val="en-US" w:eastAsia="zh-CN" w:bidi="ar"/>
              </w:rPr>
              <w:t>2977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78" w:type="pct"/>
            <w:vAlign w:val="center"/>
          </w:tcPr>
          <w:p>
            <w:pPr>
              <w:snapToGrid w:val="0"/>
              <w:spacing w:before="100" w:beforeAutospacing="1" w:after="100" w:afterAutospacing="1" w:line="400" w:lineRule="exact"/>
              <w:ind w:firstLine="0" w:firstLineChars="0"/>
              <w:jc w:val="center"/>
              <w:rPr>
                <w:rFonts w:hint="default" w:ascii="Times New Roman" w:hAnsi="Times New Roman" w:eastAsia="方正仿宋_GB2312" w:cs="Times New Roman"/>
                <w:color w:val="auto"/>
                <w:sz w:val="30"/>
                <w:szCs w:val="30"/>
                <w:highlight w:val="none"/>
              </w:rPr>
            </w:pPr>
            <w:r>
              <w:rPr>
                <w:rFonts w:hint="default" w:ascii="Times New Roman" w:hAnsi="Times New Roman" w:eastAsia="方正仿宋_GB2312" w:cs="Times New Roman"/>
                <w:color w:val="auto"/>
                <w:sz w:val="30"/>
                <w:szCs w:val="30"/>
                <w:highlight w:val="none"/>
              </w:rPr>
              <w:t>用地规模（hm</w:t>
            </w:r>
            <w:r>
              <w:rPr>
                <w:rFonts w:hint="default" w:ascii="Times New Roman" w:hAnsi="Times New Roman" w:eastAsia="方正仿宋_GB2312" w:cs="Times New Roman"/>
                <w:color w:val="auto"/>
                <w:sz w:val="30"/>
                <w:szCs w:val="30"/>
                <w:highlight w:val="none"/>
                <w:vertAlign w:val="superscript"/>
              </w:rPr>
              <w:t>2</w:t>
            </w:r>
            <w:r>
              <w:rPr>
                <w:rFonts w:hint="default" w:ascii="Times New Roman" w:hAnsi="Times New Roman" w:eastAsia="方正仿宋_GB2312" w:cs="Times New Roman"/>
                <w:color w:val="auto"/>
                <w:sz w:val="30"/>
                <w:szCs w:val="30"/>
                <w:highlight w:val="none"/>
              </w:rPr>
              <w:t>）</w:t>
            </w:r>
          </w:p>
        </w:tc>
        <w:tc>
          <w:tcPr>
            <w:tcW w:w="174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2312" w:cs="Times New Roman"/>
                <w:color w:val="auto"/>
                <w:sz w:val="30"/>
                <w:szCs w:val="30"/>
                <w:highlight w:val="none"/>
              </w:rPr>
            </w:pPr>
            <w:r>
              <w:rPr>
                <w:rFonts w:hint="default" w:ascii="Times New Roman" w:hAnsi="Times New Roman" w:eastAsia="方正仿宋_GB2312" w:cs="Times New Roman"/>
                <w:i w:val="0"/>
                <w:iCs w:val="0"/>
                <w:color w:val="auto"/>
                <w:kern w:val="0"/>
                <w:sz w:val="30"/>
                <w:szCs w:val="30"/>
                <w:highlight w:val="none"/>
                <w:u w:val="none"/>
                <w:lang w:val="en-US" w:eastAsia="zh-CN" w:bidi="ar"/>
              </w:rPr>
              <w:t>19.4</w:t>
            </w:r>
          </w:p>
        </w:tc>
        <w:tc>
          <w:tcPr>
            <w:tcW w:w="174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2312" w:cs="Times New Roman"/>
                <w:color w:val="auto"/>
                <w:sz w:val="30"/>
                <w:szCs w:val="30"/>
                <w:highlight w:val="none"/>
              </w:rPr>
            </w:pPr>
            <w:r>
              <w:rPr>
                <w:rFonts w:hint="default" w:ascii="Times New Roman" w:hAnsi="Times New Roman" w:eastAsia="方正仿宋_GB2312" w:cs="Times New Roman"/>
                <w:i w:val="0"/>
                <w:iCs w:val="0"/>
                <w:color w:val="auto"/>
                <w:kern w:val="0"/>
                <w:sz w:val="30"/>
                <w:szCs w:val="30"/>
                <w:highlight w:val="none"/>
                <w:u w:val="none"/>
                <w:lang w:val="en-US" w:eastAsia="zh-CN" w:bidi="ar"/>
              </w:rPr>
              <w:t>24.2</w:t>
            </w:r>
            <w:r>
              <w:rPr>
                <w:rFonts w:hint="eastAsia" w:eastAsia="方正仿宋_GB2312" w:cs="Times New Roman"/>
                <w:i w:val="0"/>
                <w:iCs w:val="0"/>
                <w:color w:val="auto"/>
                <w:kern w:val="0"/>
                <w:sz w:val="30"/>
                <w:szCs w:val="30"/>
                <w:highlight w:val="none"/>
                <w:u w:val="none"/>
                <w:lang w:val="en-US" w:eastAsia="zh-CN" w:bidi="ar"/>
              </w:rPr>
              <w:t>3</w:t>
            </w:r>
          </w:p>
        </w:tc>
        <w:tc>
          <w:tcPr>
            <w:tcW w:w="174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2312" w:cs="Times New Roman"/>
                <w:color w:val="auto"/>
                <w:sz w:val="30"/>
                <w:szCs w:val="30"/>
                <w:highlight w:val="none"/>
              </w:rPr>
            </w:pPr>
            <w:r>
              <w:rPr>
                <w:rFonts w:hint="default" w:ascii="Times New Roman" w:hAnsi="Times New Roman" w:eastAsia="方正仿宋_GB2312" w:cs="Times New Roman"/>
                <w:i w:val="0"/>
                <w:iCs w:val="0"/>
                <w:color w:val="auto"/>
                <w:kern w:val="0"/>
                <w:sz w:val="30"/>
                <w:szCs w:val="30"/>
                <w:highlight w:val="none"/>
                <w:u w:val="none"/>
                <w:lang w:val="en-US" w:eastAsia="zh-CN" w:bidi="ar"/>
              </w:rPr>
              <w:t>3.92</w:t>
            </w:r>
          </w:p>
        </w:tc>
        <w:tc>
          <w:tcPr>
            <w:tcW w:w="167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2312" w:cs="Times New Roman"/>
                <w:color w:val="auto"/>
                <w:sz w:val="30"/>
                <w:szCs w:val="30"/>
                <w:highlight w:val="none"/>
              </w:rPr>
            </w:pPr>
            <w:r>
              <w:rPr>
                <w:rFonts w:hint="default" w:ascii="Times New Roman" w:hAnsi="Times New Roman" w:eastAsia="方正仿宋_GB2312" w:cs="Times New Roman"/>
                <w:i w:val="0"/>
                <w:iCs w:val="0"/>
                <w:color w:val="auto"/>
                <w:kern w:val="0"/>
                <w:sz w:val="30"/>
                <w:szCs w:val="30"/>
                <w:highlight w:val="none"/>
                <w:u w:val="none"/>
                <w:lang w:val="en-US" w:eastAsia="zh-CN" w:bidi="ar"/>
              </w:rPr>
              <w:t>47.55</w:t>
            </w:r>
          </w:p>
        </w:tc>
      </w:tr>
    </w:tbl>
    <w:p>
      <w:pPr>
        <w:ind w:firstLine="640"/>
        <w:rPr>
          <w:color w:val="auto"/>
          <w:highlight w:val="none"/>
        </w:rPr>
      </w:pPr>
      <w:r>
        <w:rPr>
          <w:rFonts w:hint="eastAsia"/>
          <w:color w:val="auto"/>
          <w:highlight w:val="none"/>
        </w:rPr>
        <w:t>根据《风景名胜区规划规范》，取高档床位：200㎡/床，中档床位：150㎡/床，低档床位：100㎡/床。</w:t>
      </w:r>
    </w:p>
    <w:p>
      <w:pPr>
        <w:pStyle w:val="3"/>
        <w:tabs>
          <w:tab w:val="center" w:pos="4742"/>
        </w:tabs>
        <w:adjustRightInd/>
        <w:snapToGrid/>
        <w:spacing w:beforeLines="0" w:beforeAutospacing="0" w:afterLines="0" w:afterAutospacing="0" w:line="360" w:lineRule="auto"/>
        <w:ind w:left="0" w:leftChars="0" w:firstLine="0" w:firstLineChars="0"/>
        <w:jc w:val="left"/>
        <w:rPr>
          <w:rFonts w:hint="default" w:ascii="Times New Roman" w:hAnsi="Times New Roman" w:eastAsia="方正黑体_GBK"/>
          <w:b w:val="0"/>
          <w:bCs w:val="0"/>
          <w:i w:val="0"/>
          <w:szCs w:val="20"/>
          <w:lang w:val="en-US" w:eastAsia="zh-CN"/>
        </w:rPr>
      </w:pPr>
      <w:r>
        <w:rPr>
          <w:rFonts w:hint="eastAsia" w:ascii="Times New Roman" w:hAnsi="Times New Roman" w:eastAsia="方正黑体_GBK"/>
          <w:b w:val="0"/>
          <w:bCs w:val="0"/>
          <w:i w:val="0"/>
          <w:szCs w:val="20"/>
          <w:lang w:val="en-US" w:eastAsia="zh-CN"/>
        </w:rPr>
        <w:t>（六）修正六 附表8床位布局与用地规模</w:t>
      </w:r>
    </w:p>
    <w:p>
      <w:pPr>
        <w:pStyle w:val="4"/>
        <w:tabs>
          <w:tab w:val="center" w:pos="4742"/>
        </w:tabs>
        <w:adjustRightInd/>
        <w:snapToGrid/>
        <w:spacing w:before="0" w:beforeLines="0" w:beforeAutospacing="0" w:after="0" w:afterLines="0" w:afterAutospacing="0" w:line="600" w:lineRule="exact"/>
        <w:ind w:firstLine="640"/>
        <w:rPr>
          <w:rFonts w:hint="eastAsia" w:eastAsia="方正楷体_GBK"/>
          <w:b w:val="0"/>
          <w:bCs w:val="0"/>
          <w:szCs w:val="20"/>
          <w:lang w:val="en-US" w:eastAsia="zh-CN"/>
        </w:rPr>
      </w:pPr>
      <w:r>
        <w:rPr>
          <w:rFonts w:hint="eastAsia" w:eastAsia="方正楷体_GBK"/>
          <w:b w:val="0"/>
          <w:bCs w:val="0"/>
          <w:szCs w:val="20"/>
          <w:lang w:val="en-US" w:eastAsia="zh-CN"/>
        </w:rPr>
        <w:t>■修正内容</w:t>
      </w:r>
    </w:p>
    <w:p>
      <w:pPr>
        <w:ind w:firstLine="640"/>
        <w:rPr>
          <w:rFonts w:hint="default"/>
          <w:color w:val="auto"/>
          <w:highlight w:val="none"/>
          <w:lang w:val="en-US" w:eastAsia="zh-CN"/>
        </w:rPr>
      </w:pPr>
      <w:r>
        <w:rPr>
          <w:rFonts w:hint="eastAsia"/>
          <w:color w:val="auto"/>
          <w:highlight w:val="none"/>
          <w:lang w:val="en-US" w:eastAsia="zh-CN"/>
        </w:rPr>
        <w:t>本次对附表8中，玄天宫旅游村、西温泉旅游村相关数据进行了修正。</w:t>
      </w:r>
    </w:p>
    <w:p>
      <w:pPr>
        <w:pStyle w:val="4"/>
        <w:tabs>
          <w:tab w:val="center" w:pos="4742"/>
        </w:tabs>
        <w:adjustRightInd/>
        <w:snapToGrid/>
        <w:spacing w:before="0" w:beforeLines="0" w:beforeAutospacing="0" w:after="0" w:afterLines="0" w:afterAutospacing="0" w:line="600" w:lineRule="exact"/>
        <w:ind w:firstLine="640"/>
        <w:rPr>
          <w:rFonts w:hint="eastAsia" w:eastAsia="方正楷体_GBK"/>
          <w:b w:val="0"/>
          <w:bCs w:val="0"/>
          <w:szCs w:val="20"/>
          <w:lang w:val="en-US" w:eastAsia="zh-CN"/>
        </w:rPr>
      </w:pPr>
      <w:r>
        <w:rPr>
          <w:rFonts w:hint="eastAsia" w:eastAsia="方正楷体_GBK"/>
          <w:b w:val="0"/>
          <w:bCs w:val="0"/>
          <w:szCs w:val="20"/>
          <w:lang w:val="en-US" w:eastAsia="zh-CN"/>
        </w:rPr>
        <w:t>■修正后附表8床位布局与用地规模</w:t>
      </w:r>
    </w:p>
    <w:tbl>
      <w:tblPr>
        <w:tblStyle w:val="9"/>
        <w:tblW w:w="95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221"/>
        <w:gridCol w:w="825"/>
        <w:gridCol w:w="582"/>
        <w:gridCol w:w="638"/>
        <w:gridCol w:w="750"/>
        <w:gridCol w:w="994"/>
        <w:gridCol w:w="656"/>
        <w:gridCol w:w="844"/>
        <w:gridCol w:w="685"/>
        <w:gridCol w:w="707"/>
        <w:gridCol w:w="1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1647" w:type="dxa"/>
            <w:gridSpan w:val="2"/>
            <w:vMerge w:val="restart"/>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名称</w:t>
            </w:r>
          </w:p>
        </w:tc>
        <w:tc>
          <w:tcPr>
            <w:tcW w:w="2795" w:type="dxa"/>
            <w:gridSpan w:val="4"/>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rPr>
              <w:t>近期（2020年）床位</w:t>
            </w:r>
          </w:p>
        </w:tc>
        <w:tc>
          <w:tcPr>
            <w:tcW w:w="994" w:type="dxa"/>
            <w:vMerge w:val="restart"/>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用地</w:t>
            </w:r>
          </w:p>
          <w:p>
            <w:pPr>
              <w:spacing w:line="360" w:lineRule="exact"/>
              <w:ind w:firstLine="0" w:firstLineChars="0"/>
              <w:jc w:val="center"/>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rPr>
              <w:t>规模（</w:t>
            </w:r>
            <w:r>
              <w:rPr>
                <w:rFonts w:hint="eastAsia" w:ascii="方正仿宋_GB2312" w:hAnsi="方正仿宋_GB2312" w:eastAsia="方正仿宋_GB2312" w:cs="方正仿宋_GB2312"/>
                <w:color w:val="auto"/>
                <w:sz w:val="24"/>
                <w:szCs w:val="24"/>
                <w:highlight w:val="none"/>
              </w:rPr>
              <w:t>hm</w:t>
            </w:r>
            <w:r>
              <w:rPr>
                <w:rFonts w:hint="eastAsia" w:ascii="方正仿宋_GB2312" w:hAnsi="方正仿宋_GB2312" w:eastAsia="方正仿宋_GB2312" w:cs="方正仿宋_GB2312"/>
                <w:color w:val="auto"/>
                <w:sz w:val="24"/>
                <w:szCs w:val="24"/>
                <w:highlight w:val="none"/>
                <w:vertAlign w:val="superscript"/>
              </w:rPr>
              <w:t>2</w:t>
            </w:r>
            <w:r>
              <w:rPr>
                <w:rFonts w:hint="eastAsia" w:ascii="方正仿宋_GB2312" w:hAnsi="方正仿宋_GB2312" w:eastAsia="方正仿宋_GB2312" w:cs="方正仿宋_GB2312"/>
                <w:color w:val="auto"/>
                <w:kern w:val="0"/>
                <w:sz w:val="24"/>
                <w:szCs w:val="24"/>
                <w:highlight w:val="none"/>
              </w:rPr>
              <w:t>）</w:t>
            </w:r>
          </w:p>
        </w:tc>
        <w:tc>
          <w:tcPr>
            <w:tcW w:w="2892" w:type="dxa"/>
            <w:gridSpan w:val="4"/>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rPr>
              <w:t>远期（2030年）床位</w:t>
            </w:r>
          </w:p>
        </w:tc>
        <w:tc>
          <w:tcPr>
            <w:tcW w:w="1248" w:type="dxa"/>
            <w:vMerge w:val="restart"/>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用地</w:t>
            </w:r>
          </w:p>
          <w:p>
            <w:pPr>
              <w:spacing w:line="360" w:lineRule="exact"/>
              <w:ind w:firstLine="0" w:firstLineChars="0"/>
              <w:jc w:val="center"/>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rPr>
              <w:t>规模（</w:t>
            </w:r>
            <w:r>
              <w:rPr>
                <w:rFonts w:hint="eastAsia" w:ascii="方正仿宋_GB2312" w:hAnsi="方正仿宋_GB2312" w:eastAsia="方正仿宋_GB2312" w:cs="方正仿宋_GB2312"/>
                <w:color w:val="auto"/>
                <w:sz w:val="24"/>
                <w:szCs w:val="24"/>
                <w:highlight w:val="none"/>
              </w:rPr>
              <w:t>hm</w:t>
            </w:r>
            <w:r>
              <w:rPr>
                <w:rFonts w:hint="eastAsia" w:ascii="方正仿宋_GB2312" w:hAnsi="方正仿宋_GB2312" w:eastAsia="方正仿宋_GB2312" w:cs="方正仿宋_GB2312"/>
                <w:color w:val="auto"/>
                <w:sz w:val="24"/>
                <w:szCs w:val="24"/>
                <w:highlight w:val="none"/>
                <w:vertAlign w:val="superscript"/>
              </w:rPr>
              <w:t>2</w:t>
            </w:r>
            <w:r>
              <w:rPr>
                <w:rFonts w:hint="eastAsia" w:ascii="方正仿宋_GB2312" w:hAnsi="方正仿宋_GB2312" w:eastAsia="方正仿宋_GB2312" w:cs="方正仿宋_GB2312"/>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64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ind w:firstLine="0" w:firstLineChars="0"/>
              <w:jc w:val="center"/>
              <w:rPr>
                <w:rFonts w:hint="eastAsia" w:ascii="方正仿宋_GB2312" w:hAnsi="方正仿宋_GB2312" w:eastAsia="方正仿宋_GB2312" w:cs="方正仿宋_GB2312"/>
                <w:color w:val="auto"/>
                <w:sz w:val="24"/>
                <w:szCs w:val="24"/>
                <w:highlight w:val="none"/>
              </w:rPr>
            </w:pPr>
          </w:p>
        </w:tc>
        <w:tc>
          <w:tcPr>
            <w:tcW w:w="825"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60" w:lineRule="exact"/>
              <w:ind w:firstLine="0" w:firstLineChars="0"/>
              <w:jc w:val="center"/>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高档</w:t>
            </w:r>
          </w:p>
        </w:tc>
        <w:tc>
          <w:tcPr>
            <w:tcW w:w="582"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60" w:lineRule="exact"/>
              <w:ind w:firstLine="0" w:firstLineChars="0"/>
              <w:jc w:val="center"/>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中档</w:t>
            </w:r>
          </w:p>
        </w:tc>
        <w:tc>
          <w:tcPr>
            <w:tcW w:w="638"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60" w:lineRule="exact"/>
              <w:ind w:firstLine="0" w:firstLineChars="0"/>
              <w:jc w:val="center"/>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低档</w:t>
            </w:r>
          </w:p>
        </w:tc>
        <w:tc>
          <w:tcPr>
            <w:tcW w:w="750"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60" w:lineRule="exact"/>
              <w:ind w:firstLine="0" w:firstLineChars="0"/>
              <w:jc w:val="center"/>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合计</w:t>
            </w:r>
          </w:p>
        </w:tc>
        <w:tc>
          <w:tcPr>
            <w:tcW w:w="99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ind w:firstLine="0" w:firstLineChars="0"/>
              <w:jc w:val="center"/>
              <w:rPr>
                <w:rFonts w:hint="eastAsia" w:ascii="方正仿宋_GB2312" w:hAnsi="方正仿宋_GB2312" w:eastAsia="方正仿宋_GB2312" w:cs="方正仿宋_GB2312"/>
                <w:color w:val="auto"/>
                <w:sz w:val="24"/>
                <w:szCs w:val="24"/>
                <w:highlight w:val="none"/>
              </w:rPr>
            </w:pPr>
          </w:p>
        </w:tc>
        <w:tc>
          <w:tcPr>
            <w:tcW w:w="65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60" w:lineRule="exact"/>
              <w:ind w:firstLine="0" w:firstLineChars="0"/>
              <w:jc w:val="center"/>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高档</w:t>
            </w:r>
          </w:p>
        </w:tc>
        <w:tc>
          <w:tcPr>
            <w:tcW w:w="844"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60" w:lineRule="exact"/>
              <w:ind w:firstLine="0" w:firstLineChars="0"/>
              <w:jc w:val="center"/>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中档</w:t>
            </w:r>
          </w:p>
        </w:tc>
        <w:tc>
          <w:tcPr>
            <w:tcW w:w="685"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60" w:lineRule="exact"/>
              <w:ind w:firstLine="0" w:firstLineChars="0"/>
              <w:jc w:val="center"/>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低档</w:t>
            </w:r>
          </w:p>
        </w:tc>
        <w:tc>
          <w:tcPr>
            <w:tcW w:w="707"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60" w:lineRule="exact"/>
              <w:ind w:firstLine="0" w:firstLineChars="0"/>
              <w:jc w:val="center"/>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合计</w:t>
            </w:r>
          </w:p>
        </w:tc>
        <w:tc>
          <w:tcPr>
            <w:tcW w:w="124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ind w:firstLine="0" w:firstLineChars="0"/>
              <w:jc w:val="center"/>
              <w:rPr>
                <w:rFonts w:hint="eastAsia" w:ascii="方正仿宋_GB2312" w:hAnsi="方正仿宋_GB2312" w:eastAsia="方正仿宋_GB2312" w:cs="方正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Merge w:val="restart"/>
            <w:tcBorders>
              <w:top w:val="single" w:color="auto" w:sz="4" w:space="0"/>
              <w:left w:val="single" w:color="auto" w:sz="4" w:space="0"/>
              <w:right w:val="single" w:color="auto" w:sz="4" w:space="0"/>
            </w:tcBorders>
            <w:vAlign w:val="center"/>
          </w:tcPr>
          <w:p>
            <w:pPr>
              <w:spacing w:line="360" w:lineRule="exact"/>
              <w:ind w:firstLine="0" w:firstLineChars="0"/>
              <w:jc w:val="center"/>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巴岳山片区</w:t>
            </w:r>
          </w:p>
        </w:tc>
        <w:tc>
          <w:tcPr>
            <w:tcW w:w="122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玄天宫旅游村</w:t>
            </w:r>
          </w:p>
        </w:tc>
        <w:tc>
          <w:tcPr>
            <w:tcW w:w="825"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200</w:t>
            </w:r>
          </w:p>
        </w:tc>
        <w:tc>
          <w:tcPr>
            <w:tcW w:w="58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300</w:t>
            </w:r>
          </w:p>
        </w:tc>
        <w:tc>
          <w:tcPr>
            <w:tcW w:w="638"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93</w:t>
            </w:r>
          </w:p>
        </w:tc>
        <w:tc>
          <w:tcPr>
            <w:tcW w:w="750"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593</w:t>
            </w:r>
          </w:p>
        </w:tc>
        <w:tc>
          <w:tcPr>
            <w:tcW w:w="99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9.44</w:t>
            </w:r>
          </w:p>
        </w:tc>
        <w:tc>
          <w:tcPr>
            <w:tcW w:w="656"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500</w:t>
            </w:r>
          </w:p>
        </w:tc>
        <w:tc>
          <w:tcPr>
            <w:tcW w:w="84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462</w:t>
            </w:r>
          </w:p>
        </w:tc>
        <w:tc>
          <w:tcPr>
            <w:tcW w:w="685"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p>
        </w:tc>
        <w:tc>
          <w:tcPr>
            <w:tcW w:w="707"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962</w:t>
            </w:r>
          </w:p>
        </w:tc>
        <w:tc>
          <w:tcPr>
            <w:tcW w:w="1248"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16.93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Merge w:val="continue"/>
            <w:tcBorders>
              <w:left w:val="single" w:color="auto" w:sz="4" w:space="0"/>
              <w:right w:val="single" w:color="auto" w:sz="4" w:space="0"/>
            </w:tcBorders>
            <w:vAlign w:val="center"/>
          </w:tcPr>
          <w:p>
            <w:pPr>
              <w:widowControl/>
              <w:spacing w:line="360" w:lineRule="exact"/>
              <w:ind w:firstLine="0" w:firstLineChars="0"/>
              <w:jc w:val="center"/>
              <w:rPr>
                <w:rFonts w:hint="eastAsia" w:ascii="方正仿宋_GB2312" w:hAnsi="方正仿宋_GB2312" w:eastAsia="方正仿宋_GB2312" w:cs="方正仿宋_GB2312"/>
                <w:color w:val="auto"/>
                <w:sz w:val="24"/>
                <w:szCs w:val="24"/>
                <w:highlight w:val="none"/>
              </w:rPr>
            </w:pPr>
          </w:p>
        </w:tc>
        <w:tc>
          <w:tcPr>
            <w:tcW w:w="122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柿子林旅游点</w:t>
            </w:r>
          </w:p>
        </w:tc>
        <w:tc>
          <w:tcPr>
            <w:tcW w:w="825"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p>
        </w:tc>
        <w:tc>
          <w:tcPr>
            <w:tcW w:w="58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85</w:t>
            </w:r>
          </w:p>
        </w:tc>
        <w:tc>
          <w:tcPr>
            <w:tcW w:w="638"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150</w:t>
            </w:r>
          </w:p>
        </w:tc>
        <w:tc>
          <w:tcPr>
            <w:tcW w:w="750"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235</w:t>
            </w:r>
          </w:p>
        </w:tc>
        <w:tc>
          <w:tcPr>
            <w:tcW w:w="99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2.775</w:t>
            </w:r>
          </w:p>
        </w:tc>
        <w:tc>
          <w:tcPr>
            <w:tcW w:w="656"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25</w:t>
            </w:r>
          </w:p>
        </w:tc>
        <w:tc>
          <w:tcPr>
            <w:tcW w:w="84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160</w:t>
            </w:r>
          </w:p>
        </w:tc>
        <w:tc>
          <w:tcPr>
            <w:tcW w:w="685"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60</w:t>
            </w:r>
          </w:p>
        </w:tc>
        <w:tc>
          <w:tcPr>
            <w:tcW w:w="707"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245</w:t>
            </w:r>
          </w:p>
        </w:tc>
        <w:tc>
          <w:tcPr>
            <w:tcW w:w="1248"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Merge w:val="continue"/>
            <w:tcBorders>
              <w:left w:val="single" w:color="auto" w:sz="4" w:space="0"/>
              <w:right w:val="single" w:color="auto" w:sz="4" w:space="0"/>
            </w:tcBorders>
            <w:vAlign w:val="center"/>
          </w:tcPr>
          <w:p>
            <w:pPr>
              <w:widowControl/>
              <w:spacing w:line="360" w:lineRule="exact"/>
              <w:ind w:firstLine="0" w:firstLineChars="0"/>
              <w:jc w:val="center"/>
              <w:rPr>
                <w:rFonts w:hint="eastAsia" w:ascii="方正仿宋_GB2312" w:hAnsi="方正仿宋_GB2312" w:eastAsia="方正仿宋_GB2312" w:cs="方正仿宋_GB2312"/>
                <w:color w:val="auto"/>
                <w:sz w:val="24"/>
                <w:szCs w:val="24"/>
                <w:highlight w:val="none"/>
              </w:rPr>
            </w:pPr>
          </w:p>
        </w:tc>
        <w:tc>
          <w:tcPr>
            <w:tcW w:w="122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张家大院旅游点</w:t>
            </w:r>
          </w:p>
        </w:tc>
        <w:tc>
          <w:tcPr>
            <w:tcW w:w="825"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p>
        </w:tc>
        <w:tc>
          <w:tcPr>
            <w:tcW w:w="58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85</w:t>
            </w:r>
          </w:p>
        </w:tc>
        <w:tc>
          <w:tcPr>
            <w:tcW w:w="638"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100</w:t>
            </w:r>
          </w:p>
        </w:tc>
        <w:tc>
          <w:tcPr>
            <w:tcW w:w="750"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185</w:t>
            </w:r>
          </w:p>
        </w:tc>
        <w:tc>
          <w:tcPr>
            <w:tcW w:w="99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2.275</w:t>
            </w:r>
          </w:p>
        </w:tc>
        <w:tc>
          <w:tcPr>
            <w:tcW w:w="656"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25</w:t>
            </w:r>
          </w:p>
        </w:tc>
        <w:tc>
          <w:tcPr>
            <w:tcW w:w="84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150</w:t>
            </w:r>
          </w:p>
        </w:tc>
        <w:tc>
          <w:tcPr>
            <w:tcW w:w="685"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60</w:t>
            </w:r>
          </w:p>
        </w:tc>
        <w:tc>
          <w:tcPr>
            <w:tcW w:w="707"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235</w:t>
            </w:r>
          </w:p>
        </w:tc>
        <w:tc>
          <w:tcPr>
            <w:tcW w:w="1248"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Merge w:val="continue"/>
            <w:tcBorders>
              <w:left w:val="single" w:color="auto" w:sz="4" w:space="0"/>
              <w:right w:val="single" w:color="auto" w:sz="4" w:space="0"/>
            </w:tcBorders>
            <w:vAlign w:val="center"/>
          </w:tcPr>
          <w:p>
            <w:pPr>
              <w:widowControl/>
              <w:spacing w:line="360" w:lineRule="exact"/>
              <w:ind w:firstLine="0" w:firstLineChars="0"/>
              <w:jc w:val="center"/>
              <w:rPr>
                <w:rFonts w:hint="eastAsia" w:ascii="方正仿宋_GB2312" w:hAnsi="方正仿宋_GB2312" w:eastAsia="方正仿宋_GB2312" w:cs="方正仿宋_GB2312"/>
                <w:color w:val="auto"/>
                <w:sz w:val="24"/>
                <w:szCs w:val="24"/>
                <w:highlight w:val="none"/>
              </w:rPr>
            </w:pPr>
          </w:p>
        </w:tc>
        <w:tc>
          <w:tcPr>
            <w:tcW w:w="122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吴家院子旅游点</w:t>
            </w:r>
          </w:p>
        </w:tc>
        <w:tc>
          <w:tcPr>
            <w:tcW w:w="825"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p>
        </w:tc>
        <w:tc>
          <w:tcPr>
            <w:tcW w:w="58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80</w:t>
            </w:r>
          </w:p>
        </w:tc>
        <w:tc>
          <w:tcPr>
            <w:tcW w:w="638"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100</w:t>
            </w:r>
          </w:p>
        </w:tc>
        <w:tc>
          <w:tcPr>
            <w:tcW w:w="750"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180</w:t>
            </w:r>
          </w:p>
        </w:tc>
        <w:tc>
          <w:tcPr>
            <w:tcW w:w="99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2.2</w:t>
            </w:r>
          </w:p>
        </w:tc>
        <w:tc>
          <w:tcPr>
            <w:tcW w:w="656"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20</w:t>
            </w:r>
          </w:p>
        </w:tc>
        <w:tc>
          <w:tcPr>
            <w:tcW w:w="84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130</w:t>
            </w:r>
          </w:p>
        </w:tc>
        <w:tc>
          <w:tcPr>
            <w:tcW w:w="685"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60</w:t>
            </w:r>
          </w:p>
        </w:tc>
        <w:tc>
          <w:tcPr>
            <w:tcW w:w="707"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210</w:t>
            </w:r>
          </w:p>
        </w:tc>
        <w:tc>
          <w:tcPr>
            <w:tcW w:w="1248"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Merge w:val="continue"/>
            <w:tcBorders>
              <w:left w:val="single" w:color="auto" w:sz="4" w:space="0"/>
              <w:right w:val="single" w:color="auto" w:sz="4" w:space="0"/>
            </w:tcBorders>
            <w:vAlign w:val="center"/>
          </w:tcPr>
          <w:p>
            <w:pPr>
              <w:widowControl/>
              <w:spacing w:line="360" w:lineRule="exact"/>
              <w:ind w:firstLine="0" w:firstLineChars="0"/>
              <w:jc w:val="center"/>
              <w:rPr>
                <w:rFonts w:hint="eastAsia" w:ascii="方正仿宋_GB2312" w:hAnsi="方正仿宋_GB2312" w:eastAsia="方正仿宋_GB2312" w:cs="方正仿宋_GB2312"/>
                <w:color w:val="auto"/>
                <w:sz w:val="24"/>
                <w:szCs w:val="24"/>
                <w:highlight w:val="none"/>
              </w:rPr>
            </w:pPr>
          </w:p>
        </w:tc>
        <w:tc>
          <w:tcPr>
            <w:tcW w:w="122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慧光寺旅游点</w:t>
            </w:r>
          </w:p>
        </w:tc>
        <w:tc>
          <w:tcPr>
            <w:tcW w:w="825"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p>
        </w:tc>
        <w:tc>
          <w:tcPr>
            <w:tcW w:w="58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70</w:t>
            </w:r>
          </w:p>
        </w:tc>
        <w:tc>
          <w:tcPr>
            <w:tcW w:w="638"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100</w:t>
            </w:r>
          </w:p>
        </w:tc>
        <w:tc>
          <w:tcPr>
            <w:tcW w:w="750"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170</w:t>
            </w:r>
          </w:p>
        </w:tc>
        <w:tc>
          <w:tcPr>
            <w:tcW w:w="99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2.05</w:t>
            </w:r>
          </w:p>
        </w:tc>
        <w:tc>
          <w:tcPr>
            <w:tcW w:w="656"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p>
        </w:tc>
        <w:tc>
          <w:tcPr>
            <w:tcW w:w="84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120</w:t>
            </w:r>
          </w:p>
        </w:tc>
        <w:tc>
          <w:tcPr>
            <w:tcW w:w="685"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60</w:t>
            </w:r>
          </w:p>
        </w:tc>
        <w:tc>
          <w:tcPr>
            <w:tcW w:w="707"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180</w:t>
            </w:r>
          </w:p>
        </w:tc>
        <w:tc>
          <w:tcPr>
            <w:tcW w:w="1248"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Merge w:val="continue"/>
            <w:tcBorders>
              <w:left w:val="single" w:color="auto" w:sz="4" w:space="0"/>
              <w:bottom w:val="single" w:color="auto" w:sz="4" w:space="0"/>
              <w:right w:val="single" w:color="auto" w:sz="4" w:space="0"/>
            </w:tcBorders>
            <w:vAlign w:val="center"/>
          </w:tcPr>
          <w:p>
            <w:pPr>
              <w:widowControl/>
              <w:spacing w:line="360" w:lineRule="exact"/>
              <w:ind w:firstLine="0" w:firstLineChars="0"/>
              <w:jc w:val="center"/>
              <w:rPr>
                <w:rFonts w:hint="eastAsia" w:ascii="方正仿宋_GB2312" w:hAnsi="方正仿宋_GB2312" w:eastAsia="方正仿宋_GB2312" w:cs="方正仿宋_GB2312"/>
                <w:color w:val="auto"/>
                <w:sz w:val="24"/>
                <w:szCs w:val="24"/>
                <w:highlight w:val="none"/>
              </w:rPr>
            </w:pPr>
          </w:p>
        </w:tc>
        <w:tc>
          <w:tcPr>
            <w:tcW w:w="122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小计</w:t>
            </w:r>
          </w:p>
        </w:tc>
        <w:tc>
          <w:tcPr>
            <w:tcW w:w="825"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200</w:t>
            </w:r>
          </w:p>
        </w:tc>
        <w:tc>
          <w:tcPr>
            <w:tcW w:w="58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620</w:t>
            </w:r>
          </w:p>
        </w:tc>
        <w:tc>
          <w:tcPr>
            <w:tcW w:w="638"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543</w:t>
            </w:r>
          </w:p>
        </w:tc>
        <w:tc>
          <w:tcPr>
            <w:tcW w:w="750"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1363</w:t>
            </w:r>
          </w:p>
        </w:tc>
        <w:tc>
          <w:tcPr>
            <w:tcW w:w="99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18.74</w:t>
            </w:r>
          </w:p>
        </w:tc>
        <w:tc>
          <w:tcPr>
            <w:tcW w:w="656"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570</w:t>
            </w:r>
          </w:p>
        </w:tc>
        <w:tc>
          <w:tcPr>
            <w:tcW w:w="84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1022</w:t>
            </w:r>
          </w:p>
        </w:tc>
        <w:tc>
          <w:tcPr>
            <w:tcW w:w="685"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240</w:t>
            </w:r>
          </w:p>
        </w:tc>
        <w:tc>
          <w:tcPr>
            <w:tcW w:w="707"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1832</w:t>
            </w:r>
          </w:p>
        </w:tc>
        <w:tc>
          <w:tcPr>
            <w:tcW w:w="1248"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rPr>
            </w:pPr>
            <w:r>
              <w:rPr>
                <w:rFonts w:hint="eastAsia" w:ascii="Times New Roman" w:hAnsi="Times New Roman" w:eastAsia="方正仿宋_GB2312" w:cs="Times New Roman"/>
                <w:color w:val="auto"/>
                <w:sz w:val="24"/>
                <w:szCs w:val="24"/>
                <w:highlight w:val="none"/>
                <w:lang w:val="en-US" w:eastAsia="zh-CN"/>
              </w:rPr>
              <w:t>29.13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Merge w:val="restart"/>
            <w:tcBorders>
              <w:top w:val="single" w:color="auto" w:sz="4" w:space="0"/>
              <w:left w:val="single" w:color="auto" w:sz="4" w:space="0"/>
              <w:right w:val="single" w:color="auto" w:sz="4" w:space="0"/>
            </w:tcBorders>
            <w:vAlign w:val="center"/>
          </w:tcPr>
          <w:p>
            <w:pPr>
              <w:spacing w:line="360" w:lineRule="exact"/>
              <w:ind w:firstLine="0" w:firstLineChars="0"/>
              <w:jc w:val="center"/>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西温泉片区</w:t>
            </w:r>
          </w:p>
        </w:tc>
        <w:tc>
          <w:tcPr>
            <w:tcW w:w="122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西温泉旅游村</w:t>
            </w:r>
          </w:p>
        </w:tc>
        <w:tc>
          <w:tcPr>
            <w:tcW w:w="825"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200</w:t>
            </w:r>
          </w:p>
        </w:tc>
        <w:tc>
          <w:tcPr>
            <w:tcW w:w="58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155</w:t>
            </w:r>
          </w:p>
        </w:tc>
        <w:tc>
          <w:tcPr>
            <w:tcW w:w="638"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89</w:t>
            </w:r>
          </w:p>
        </w:tc>
        <w:tc>
          <w:tcPr>
            <w:tcW w:w="750"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444</w:t>
            </w:r>
          </w:p>
        </w:tc>
        <w:tc>
          <w:tcPr>
            <w:tcW w:w="99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7.21</w:t>
            </w:r>
          </w:p>
        </w:tc>
        <w:tc>
          <w:tcPr>
            <w:tcW w:w="656"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400</w:t>
            </w:r>
          </w:p>
        </w:tc>
        <w:tc>
          <w:tcPr>
            <w:tcW w:w="84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283</w:t>
            </w:r>
          </w:p>
        </w:tc>
        <w:tc>
          <w:tcPr>
            <w:tcW w:w="685"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p>
        </w:tc>
        <w:tc>
          <w:tcPr>
            <w:tcW w:w="707"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683</w:t>
            </w:r>
          </w:p>
        </w:tc>
        <w:tc>
          <w:tcPr>
            <w:tcW w:w="1248"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12.25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Merge w:val="continue"/>
            <w:tcBorders>
              <w:left w:val="single" w:color="auto" w:sz="4" w:space="0"/>
              <w:right w:val="single" w:color="auto" w:sz="4" w:space="0"/>
            </w:tcBorders>
            <w:vAlign w:val="center"/>
          </w:tcPr>
          <w:p>
            <w:pPr>
              <w:widowControl/>
              <w:spacing w:line="360" w:lineRule="exact"/>
              <w:ind w:firstLine="0" w:firstLineChars="0"/>
              <w:jc w:val="center"/>
              <w:rPr>
                <w:rFonts w:hint="eastAsia" w:ascii="方正仿宋_GB2312" w:hAnsi="方正仿宋_GB2312" w:eastAsia="方正仿宋_GB2312" w:cs="方正仿宋_GB2312"/>
                <w:color w:val="auto"/>
                <w:sz w:val="24"/>
                <w:szCs w:val="24"/>
                <w:highlight w:val="none"/>
              </w:rPr>
            </w:pPr>
          </w:p>
        </w:tc>
        <w:tc>
          <w:tcPr>
            <w:tcW w:w="122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雷家院子旅游点</w:t>
            </w:r>
          </w:p>
        </w:tc>
        <w:tc>
          <w:tcPr>
            <w:tcW w:w="825"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p>
        </w:tc>
        <w:tc>
          <w:tcPr>
            <w:tcW w:w="58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50</w:t>
            </w:r>
          </w:p>
        </w:tc>
        <w:tc>
          <w:tcPr>
            <w:tcW w:w="638"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60</w:t>
            </w:r>
          </w:p>
        </w:tc>
        <w:tc>
          <w:tcPr>
            <w:tcW w:w="750"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110</w:t>
            </w:r>
          </w:p>
        </w:tc>
        <w:tc>
          <w:tcPr>
            <w:tcW w:w="99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1.35</w:t>
            </w:r>
          </w:p>
        </w:tc>
        <w:tc>
          <w:tcPr>
            <w:tcW w:w="656"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p>
        </w:tc>
        <w:tc>
          <w:tcPr>
            <w:tcW w:w="84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100</w:t>
            </w:r>
          </w:p>
        </w:tc>
        <w:tc>
          <w:tcPr>
            <w:tcW w:w="685"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55</w:t>
            </w:r>
          </w:p>
        </w:tc>
        <w:tc>
          <w:tcPr>
            <w:tcW w:w="707"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155</w:t>
            </w:r>
          </w:p>
        </w:tc>
        <w:tc>
          <w:tcPr>
            <w:tcW w:w="1248"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Merge w:val="continue"/>
            <w:tcBorders>
              <w:left w:val="single" w:color="auto" w:sz="4" w:space="0"/>
              <w:right w:val="single" w:color="auto" w:sz="4" w:space="0"/>
            </w:tcBorders>
            <w:vAlign w:val="center"/>
          </w:tcPr>
          <w:p>
            <w:pPr>
              <w:widowControl/>
              <w:spacing w:line="360" w:lineRule="exact"/>
              <w:ind w:firstLine="0" w:firstLineChars="0"/>
              <w:jc w:val="center"/>
              <w:rPr>
                <w:rFonts w:hint="eastAsia" w:ascii="方正仿宋_GB2312" w:hAnsi="方正仿宋_GB2312" w:eastAsia="方正仿宋_GB2312" w:cs="方正仿宋_GB2312"/>
                <w:color w:val="auto"/>
                <w:sz w:val="24"/>
                <w:szCs w:val="24"/>
                <w:highlight w:val="none"/>
              </w:rPr>
            </w:pPr>
          </w:p>
        </w:tc>
        <w:tc>
          <w:tcPr>
            <w:tcW w:w="122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石板冲旅游点</w:t>
            </w:r>
          </w:p>
        </w:tc>
        <w:tc>
          <w:tcPr>
            <w:tcW w:w="825"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p>
        </w:tc>
        <w:tc>
          <w:tcPr>
            <w:tcW w:w="58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50</w:t>
            </w:r>
          </w:p>
        </w:tc>
        <w:tc>
          <w:tcPr>
            <w:tcW w:w="638"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60</w:t>
            </w:r>
          </w:p>
        </w:tc>
        <w:tc>
          <w:tcPr>
            <w:tcW w:w="750"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110</w:t>
            </w:r>
          </w:p>
        </w:tc>
        <w:tc>
          <w:tcPr>
            <w:tcW w:w="99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1.35</w:t>
            </w:r>
          </w:p>
        </w:tc>
        <w:tc>
          <w:tcPr>
            <w:tcW w:w="656"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p>
        </w:tc>
        <w:tc>
          <w:tcPr>
            <w:tcW w:w="84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90</w:t>
            </w:r>
          </w:p>
        </w:tc>
        <w:tc>
          <w:tcPr>
            <w:tcW w:w="685"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42</w:t>
            </w:r>
          </w:p>
        </w:tc>
        <w:tc>
          <w:tcPr>
            <w:tcW w:w="707"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132</w:t>
            </w:r>
          </w:p>
        </w:tc>
        <w:tc>
          <w:tcPr>
            <w:tcW w:w="1248"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Merge w:val="continue"/>
            <w:tcBorders>
              <w:left w:val="single" w:color="auto" w:sz="4" w:space="0"/>
              <w:right w:val="single" w:color="auto" w:sz="4" w:space="0"/>
            </w:tcBorders>
            <w:vAlign w:val="center"/>
          </w:tcPr>
          <w:p>
            <w:pPr>
              <w:widowControl/>
              <w:spacing w:line="360" w:lineRule="exact"/>
              <w:ind w:firstLine="0" w:firstLineChars="0"/>
              <w:jc w:val="center"/>
              <w:rPr>
                <w:rFonts w:hint="eastAsia" w:ascii="方正仿宋_GB2312" w:hAnsi="方正仿宋_GB2312" w:eastAsia="方正仿宋_GB2312" w:cs="方正仿宋_GB2312"/>
                <w:color w:val="auto"/>
                <w:sz w:val="24"/>
                <w:szCs w:val="24"/>
                <w:highlight w:val="none"/>
              </w:rPr>
            </w:pPr>
          </w:p>
        </w:tc>
        <w:tc>
          <w:tcPr>
            <w:tcW w:w="122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凉风垭旅游点</w:t>
            </w:r>
          </w:p>
        </w:tc>
        <w:tc>
          <w:tcPr>
            <w:tcW w:w="825"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p>
        </w:tc>
        <w:tc>
          <w:tcPr>
            <w:tcW w:w="58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80</w:t>
            </w:r>
          </w:p>
        </w:tc>
        <w:tc>
          <w:tcPr>
            <w:tcW w:w="638"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60</w:t>
            </w:r>
          </w:p>
        </w:tc>
        <w:tc>
          <w:tcPr>
            <w:tcW w:w="750"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140</w:t>
            </w:r>
          </w:p>
        </w:tc>
        <w:tc>
          <w:tcPr>
            <w:tcW w:w="99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1.8</w:t>
            </w:r>
          </w:p>
        </w:tc>
        <w:tc>
          <w:tcPr>
            <w:tcW w:w="656"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p>
        </w:tc>
        <w:tc>
          <w:tcPr>
            <w:tcW w:w="84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120</w:t>
            </w:r>
          </w:p>
        </w:tc>
        <w:tc>
          <w:tcPr>
            <w:tcW w:w="685"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55</w:t>
            </w:r>
          </w:p>
        </w:tc>
        <w:tc>
          <w:tcPr>
            <w:tcW w:w="707"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175</w:t>
            </w:r>
          </w:p>
        </w:tc>
        <w:tc>
          <w:tcPr>
            <w:tcW w:w="1248"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Merge w:val="continue"/>
            <w:tcBorders>
              <w:left w:val="single" w:color="auto" w:sz="4" w:space="0"/>
              <w:bottom w:val="single" w:color="auto" w:sz="4" w:space="0"/>
              <w:right w:val="single" w:color="auto" w:sz="4" w:space="0"/>
            </w:tcBorders>
            <w:vAlign w:val="center"/>
          </w:tcPr>
          <w:p>
            <w:pPr>
              <w:widowControl/>
              <w:spacing w:line="360" w:lineRule="exact"/>
              <w:ind w:firstLine="0" w:firstLineChars="0"/>
              <w:jc w:val="center"/>
              <w:rPr>
                <w:rFonts w:hint="eastAsia" w:ascii="方正仿宋_GB2312" w:hAnsi="方正仿宋_GB2312" w:eastAsia="方正仿宋_GB2312" w:cs="方正仿宋_GB2312"/>
                <w:color w:val="auto"/>
                <w:sz w:val="24"/>
                <w:szCs w:val="24"/>
                <w:highlight w:val="none"/>
              </w:rPr>
            </w:pPr>
          </w:p>
        </w:tc>
        <w:tc>
          <w:tcPr>
            <w:tcW w:w="122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小计</w:t>
            </w:r>
          </w:p>
        </w:tc>
        <w:tc>
          <w:tcPr>
            <w:tcW w:w="825"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200</w:t>
            </w:r>
          </w:p>
        </w:tc>
        <w:tc>
          <w:tcPr>
            <w:tcW w:w="58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335</w:t>
            </w:r>
          </w:p>
        </w:tc>
        <w:tc>
          <w:tcPr>
            <w:tcW w:w="638"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269</w:t>
            </w:r>
          </w:p>
        </w:tc>
        <w:tc>
          <w:tcPr>
            <w:tcW w:w="750"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804</w:t>
            </w:r>
          </w:p>
        </w:tc>
        <w:tc>
          <w:tcPr>
            <w:tcW w:w="99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11.71</w:t>
            </w:r>
          </w:p>
        </w:tc>
        <w:tc>
          <w:tcPr>
            <w:tcW w:w="656"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400</w:t>
            </w:r>
          </w:p>
        </w:tc>
        <w:tc>
          <w:tcPr>
            <w:tcW w:w="84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593</w:t>
            </w:r>
          </w:p>
        </w:tc>
        <w:tc>
          <w:tcPr>
            <w:tcW w:w="685"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152</w:t>
            </w:r>
          </w:p>
        </w:tc>
        <w:tc>
          <w:tcPr>
            <w:tcW w:w="707"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1145</w:t>
            </w:r>
          </w:p>
        </w:tc>
        <w:tc>
          <w:tcPr>
            <w:tcW w:w="1248"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18.42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47"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ind w:firstLine="240" w:firstLineChars="100"/>
              <w:jc w:val="center"/>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rPr>
              <w:t>合计</w:t>
            </w:r>
          </w:p>
        </w:tc>
        <w:tc>
          <w:tcPr>
            <w:tcW w:w="825"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400</w:t>
            </w:r>
          </w:p>
        </w:tc>
        <w:tc>
          <w:tcPr>
            <w:tcW w:w="58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955</w:t>
            </w:r>
          </w:p>
        </w:tc>
        <w:tc>
          <w:tcPr>
            <w:tcW w:w="638"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812</w:t>
            </w:r>
          </w:p>
        </w:tc>
        <w:tc>
          <w:tcPr>
            <w:tcW w:w="750"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2167</w:t>
            </w:r>
          </w:p>
        </w:tc>
        <w:tc>
          <w:tcPr>
            <w:tcW w:w="99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30.45</w:t>
            </w:r>
          </w:p>
        </w:tc>
        <w:tc>
          <w:tcPr>
            <w:tcW w:w="656"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970</w:t>
            </w:r>
          </w:p>
        </w:tc>
        <w:tc>
          <w:tcPr>
            <w:tcW w:w="84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1615</w:t>
            </w:r>
          </w:p>
        </w:tc>
        <w:tc>
          <w:tcPr>
            <w:tcW w:w="685"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392</w:t>
            </w:r>
          </w:p>
        </w:tc>
        <w:tc>
          <w:tcPr>
            <w:tcW w:w="707"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2977</w:t>
            </w:r>
          </w:p>
        </w:tc>
        <w:tc>
          <w:tcPr>
            <w:tcW w:w="1248"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hint="eastAsia" w:ascii="Times New Roman" w:hAnsi="Times New Roman" w:eastAsia="方正仿宋_GB2312" w:cs="Times New Roman"/>
                <w:color w:val="auto"/>
                <w:sz w:val="24"/>
                <w:szCs w:val="24"/>
                <w:highlight w:val="none"/>
                <w:lang w:val="en-US" w:eastAsia="zh-CN"/>
              </w:rPr>
            </w:pPr>
            <w:r>
              <w:rPr>
                <w:rFonts w:hint="eastAsia" w:ascii="Times New Roman" w:hAnsi="Times New Roman" w:eastAsia="方正仿宋_GB2312" w:cs="Times New Roman"/>
                <w:color w:val="auto"/>
                <w:sz w:val="24"/>
                <w:szCs w:val="24"/>
                <w:highlight w:val="none"/>
                <w:lang w:val="en-US" w:eastAsia="zh-CN"/>
              </w:rPr>
              <w:t>47.55</w:t>
            </w:r>
          </w:p>
        </w:tc>
      </w:tr>
    </w:tbl>
    <w:p>
      <w:pPr>
        <w:pStyle w:val="3"/>
        <w:tabs>
          <w:tab w:val="center" w:pos="4742"/>
        </w:tabs>
        <w:adjustRightInd/>
        <w:snapToGrid/>
        <w:spacing w:beforeLines="0" w:beforeAutospacing="0" w:afterLines="0" w:afterAutospacing="0" w:line="360" w:lineRule="auto"/>
        <w:ind w:left="0" w:leftChars="0" w:firstLine="0" w:firstLineChars="0"/>
        <w:jc w:val="left"/>
        <w:rPr>
          <w:rFonts w:hint="default" w:ascii="Times New Roman" w:hAnsi="Times New Roman" w:eastAsia="方正黑体_GBK"/>
          <w:b w:val="0"/>
          <w:bCs w:val="0"/>
          <w:i w:val="0"/>
          <w:szCs w:val="20"/>
          <w:lang w:val="en-US" w:eastAsia="zh-CN"/>
        </w:rPr>
      </w:pPr>
      <w:r>
        <w:rPr>
          <w:rFonts w:hint="eastAsia" w:ascii="Times New Roman" w:hAnsi="Times New Roman" w:eastAsia="方正黑体_GBK"/>
          <w:b w:val="0"/>
          <w:bCs w:val="0"/>
          <w:i w:val="0"/>
          <w:szCs w:val="20"/>
          <w:lang w:val="en-US" w:eastAsia="zh-CN"/>
        </w:rPr>
        <w:t>（七）修正七附表9巴岳山片区土地利用规划平衡表</w:t>
      </w:r>
    </w:p>
    <w:p>
      <w:pPr>
        <w:pStyle w:val="4"/>
        <w:tabs>
          <w:tab w:val="center" w:pos="4742"/>
        </w:tabs>
        <w:adjustRightInd/>
        <w:snapToGrid/>
        <w:spacing w:before="0" w:beforeLines="0" w:beforeAutospacing="0" w:after="0" w:afterLines="0" w:afterAutospacing="0" w:line="600" w:lineRule="exact"/>
        <w:ind w:firstLine="640"/>
        <w:rPr>
          <w:rFonts w:hint="eastAsia" w:eastAsia="方正楷体_GBK"/>
          <w:b w:val="0"/>
          <w:bCs w:val="0"/>
          <w:szCs w:val="20"/>
          <w:lang w:val="en-US" w:eastAsia="zh-CN"/>
        </w:rPr>
      </w:pPr>
      <w:r>
        <w:rPr>
          <w:rFonts w:hint="eastAsia" w:eastAsia="方正楷体_GBK"/>
          <w:b w:val="0"/>
          <w:bCs w:val="0"/>
          <w:szCs w:val="20"/>
          <w:lang w:val="en-US" w:eastAsia="zh-CN"/>
        </w:rPr>
        <w:t>■修正内容</w:t>
      </w:r>
    </w:p>
    <w:p>
      <w:pPr>
        <w:rPr>
          <w:rFonts w:hint="default"/>
          <w:lang w:val="en-US" w:eastAsia="zh-CN"/>
        </w:rPr>
      </w:pPr>
      <w:r>
        <w:rPr>
          <w:rFonts w:hint="eastAsia"/>
          <w:lang w:val="en-US" w:eastAsia="zh-CN"/>
        </w:rPr>
        <w:t>本次主要对附表9中，风景游赏用地、游览设施用地规模进行了修正；同时对游览设施用地名称进行了修正，修正后用地名称为旅游服务设施用地。</w:t>
      </w:r>
    </w:p>
    <w:p>
      <w:pPr>
        <w:pStyle w:val="4"/>
        <w:tabs>
          <w:tab w:val="center" w:pos="4742"/>
        </w:tabs>
        <w:adjustRightInd/>
        <w:snapToGrid/>
        <w:spacing w:before="0" w:beforeLines="0" w:beforeAutospacing="0" w:after="0" w:afterLines="0" w:afterAutospacing="0" w:line="600" w:lineRule="exact"/>
        <w:ind w:firstLine="640"/>
        <w:rPr>
          <w:rFonts w:hint="eastAsia" w:eastAsia="方正楷体_GBK"/>
          <w:b w:val="0"/>
          <w:bCs w:val="0"/>
          <w:szCs w:val="20"/>
          <w:lang w:val="en-US" w:eastAsia="zh-CN"/>
        </w:rPr>
      </w:pPr>
      <w:r>
        <w:rPr>
          <w:rFonts w:hint="eastAsia" w:eastAsia="方正楷体_GBK"/>
          <w:b w:val="0"/>
          <w:bCs w:val="0"/>
          <w:szCs w:val="20"/>
          <w:lang w:val="en-US" w:eastAsia="zh-CN"/>
        </w:rPr>
        <w:t>■修正后附表9巴岳山片区土地利用规划平衡表</w:t>
      </w:r>
    </w:p>
    <w:tbl>
      <w:tblPr>
        <w:tblStyle w:val="9"/>
        <w:tblW w:w="5016" w:type="pct"/>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769"/>
        <w:gridCol w:w="1512"/>
        <w:gridCol w:w="2545"/>
        <w:gridCol w:w="1952"/>
        <w:gridCol w:w="2307"/>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39" w:hRule="atLeast"/>
          <w:tblHeader/>
          <w:jc w:val="center"/>
        </w:trPr>
        <w:tc>
          <w:tcPr>
            <w:tcW w:w="423"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color w:val="auto"/>
                <w:kern w:val="0"/>
                <w:sz w:val="30"/>
                <w:szCs w:val="30"/>
                <w:highlight w:val="none"/>
              </w:rPr>
              <w:t>序号</w:t>
            </w:r>
          </w:p>
        </w:tc>
        <w:tc>
          <w:tcPr>
            <w:tcW w:w="832"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color w:val="auto"/>
                <w:kern w:val="0"/>
                <w:sz w:val="30"/>
                <w:szCs w:val="30"/>
                <w:highlight w:val="none"/>
              </w:rPr>
              <w:t>用地代号</w:t>
            </w:r>
          </w:p>
        </w:tc>
        <w:tc>
          <w:tcPr>
            <w:tcW w:w="1399"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color w:val="auto"/>
                <w:kern w:val="0"/>
                <w:sz w:val="30"/>
                <w:szCs w:val="30"/>
                <w:highlight w:val="none"/>
              </w:rPr>
              <w:t>用地名称</w:t>
            </w:r>
          </w:p>
        </w:tc>
        <w:tc>
          <w:tcPr>
            <w:tcW w:w="1074"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color w:val="auto"/>
                <w:kern w:val="0"/>
                <w:sz w:val="30"/>
                <w:szCs w:val="30"/>
                <w:highlight w:val="none"/>
              </w:rPr>
              <w:t>面积</w:t>
            </w:r>
            <w:r>
              <w:rPr>
                <w:rFonts w:hint="eastAsia" w:ascii="方正仿宋_GB2312" w:hAnsi="方正仿宋_GB2312" w:eastAsia="方正仿宋_GB2312" w:cs="方正仿宋_GB2312"/>
                <w:color w:val="auto"/>
                <w:kern w:val="0"/>
                <w:sz w:val="30"/>
                <w:szCs w:val="30"/>
                <w:highlight w:val="none"/>
                <w:lang w:eastAsia="zh-CN"/>
              </w:rPr>
              <w:t>（</w:t>
            </w:r>
            <w:r>
              <w:rPr>
                <w:rFonts w:hint="eastAsia" w:ascii="方正仿宋_GB2312" w:hAnsi="方正仿宋_GB2312" w:eastAsia="方正仿宋_GB2312" w:cs="方正仿宋_GB2312"/>
                <w:color w:val="auto"/>
                <w:sz w:val="30"/>
                <w:szCs w:val="30"/>
                <w:highlight w:val="none"/>
              </w:rPr>
              <w:t>km</w:t>
            </w:r>
            <w:r>
              <w:rPr>
                <w:rFonts w:hint="eastAsia" w:ascii="方正仿宋_GB2312" w:hAnsi="方正仿宋_GB2312" w:eastAsia="方正仿宋_GB2312" w:cs="方正仿宋_GB2312"/>
                <w:color w:val="auto"/>
                <w:sz w:val="30"/>
                <w:szCs w:val="30"/>
                <w:highlight w:val="none"/>
                <w:vertAlign w:val="superscript"/>
              </w:rPr>
              <w:t>2</w:t>
            </w:r>
            <w:r>
              <w:rPr>
                <w:rFonts w:hint="eastAsia" w:ascii="方正仿宋_GB2312" w:hAnsi="方正仿宋_GB2312" w:eastAsia="方正仿宋_GB2312" w:cs="方正仿宋_GB2312"/>
                <w:color w:val="auto"/>
                <w:kern w:val="0"/>
                <w:sz w:val="30"/>
                <w:szCs w:val="30"/>
                <w:highlight w:val="none"/>
              </w:rPr>
              <w:t>)</w:t>
            </w:r>
          </w:p>
        </w:tc>
        <w:tc>
          <w:tcPr>
            <w:tcW w:w="1269"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color w:val="auto"/>
                <w:kern w:val="0"/>
                <w:sz w:val="30"/>
                <w:szCs w:val="30"/>
                <w:highlight w:val="none"/>
              </w:rPr>
              <w:t>占总用地</w:t>
            </w:r>
            <w:r>
              <w:rPr>
                <w:rFonts w:hint="eastAsia" w:ascii="方正仿宋_GB2312" w:hAnsi="方正仿宋_GB2312" w:eastAsia="方正仿宋_GB2312" w:cs="方正仿宋_GB2312"/>
                <w:color w:val="auto"/>
                <w:kern w:val="0"/>
                <w:sz w:val="30"/>
                <w:szCs w:val="30"/>
                <w:highlight w:val="none"/>
                <w:lang w:val="en-US" w:eastAsia="zh-CN"/>
              </w:rPr>
              <w:t>比例</w:t>
            </w:r>
            <w:r>
              <w:rPr>
                <w:rFonts w:hint="eastAsia" w:ascii="方正仿宋_GB2312" w:hAnsi="方正仿宋_GB2312" w:eastAsia="方正仿宋_GB2312" w:cs="方正仿宋_GB2312"/>
                <w:color w:val="auto"/>
                <w:kern w:val="0"/>
                <w:sz w:val="30"/>
                <w:szCs w:val="30"/>
                <w:highlight w:val="none"/>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39" w:hRule="atLeast"/>
          <w:jc w:val="center"/>
        </w:trPr>
        <w:tc>
          <w:tcPr>
            <w:tcW w:w="423"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color w:val="auto"/>
                <w:kern w:val="0"/>
                <w:sz w:val="30"/>
                <w:szCs w:val="30"/>
                <w:highlight w:val="none"/>
              </w:rPr>
              <w:t>1</w:t>
            </w:r>
          </w:p>
        </w:tc>
        <w:tc>
          <w:tcPr>
            <w:tcW w:w="832"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color w:val="auto"/>
                <w:kern w:val="0"/>
                <w:sz w:val="30"/>
                <w:szCs w:val="30"/>
                <w:highlight w:val="none"/>
              </w:rPr>
              <w:t>甲</w:t>
            </w:r>
          </w:p>
        </w:tc>
        <w:tc>
          <w:tcPr>
            <w:tcW w:w="1399"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color w:val="auto"/>
                <w:kern w:val="0"/>
                <w:sz w:val="30"/>
                <w:szCs w:val="30"/>
                <w:highlight w:val="none"/>
              </w:rPr>
              <w:t>风景游赏用地</w:t>
            </w:r>
          </w:p>
        </w:tc>
        <w:tc>
          <w:tcPr>
            <w:tcW w:w="1074"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i w:val="0"/>
                <w:iCs w:val="0"/>
                <w:color w:val="auto"/>
                <w:kern w:val="0"/>
                <w:sz w:val="30"/>
                <w:szCs w:val="30"/>
                <w:highlight w:val="none"/>
                <w:u w:val="none"/>
                <w:lang w:val="en-US" w:eastAsia="zh-CN" w:bidi="ar"/>
              </w:rPr>
              <w:t>19.33</w:t>
            </w:r>
          </w:p>
        </w:tc>
        <w:tc>
          <w:tcPr>
            <w:tcW w:w="1269"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i w:val="0"/>
                <w:iCs w:val="0"/>
                <w:color w:val="auto"/>
                <w:kern w:val="0"/>
                <w:sz w:val="30"/>
                <w:szCs w:val="30"/>
                <w:highlight w:val="none"/>
                <w:u w:val="none"/>
                <w:lang w:val="en-US" w:eastAsia="zh-CN" w:bidi="ar"/>
              </w:rPr>
              <w:t>77.63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39" w:hRule="atLeast"/>
          <w:jc w:val="center"/>
        </w:trPr>
        <w:tc>
          <w:tcPr>
            <w:tcW w:w="423"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color w:val="auto"/>
                <w:kern w:val="0"/>
                <w:sz w:val="30"/>
                <w:szCs w:val="30"/>
                <w:highlight w:val="none"/>
              </w:rPr>
              <w:t>2</w:t>
            </w:r>
          </w:p>
        </w:tc>
        <w:tc>
          <w:tcPr>
            <w:tcW w:w="832"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color w:val="auto"/>
                <w:kern w:val="0"/>
                <w:sz w:val="30"/>
                <w:szCs w:val="30"/>
                <w:highlight w:val="none"/>
              </w:rPr>
              <w:t>乙</w:t>
            </w:r>
          </w:p>
        </w:tc>
        <w:tc>
          <w:tcPr>
            <w:tcW w:w="1399"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color w:val="auto"/>
                <w:kern w:val="0"/>
                <w:sz w:val="30"/>
                <w:szCs w:val="30"/>
                <w:highlight w:val="none"/>
              </w:rPr>
              <w:t>旅游服务设施用地</w:t>
            </w:r>
          </w:p>
        </w:tc>
        <w:tc>
          <w:tcPr>
            <w:tcW w:w="1074"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i w:val="0"/>
                <w:iCs w:val="0"/>
                <w:color w:val="auto"/>
                <w:kern w:val="0"/>
                <w:sz w:val="30"/>
                <w:szCs w:val="30"/>
                <w:highlight w:val="none"/>
                <w:u w:val="none"/>
                <w:lang w:val="en-US" w:eastAsia="zh-CN" w:bidi="ar"/>
              </w:rPr>
              <w:t>0.29</w:t>
            </w:r>
          </w:p>
        </w:tc>
        <w:tc>
          <w:tcPr>
            <w:tcW w:w="1269"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i w:val="0"/>
                <w:iCs w:val="0"/>
                <w:color w:val="auto"/>
                <w:kern w:val="0"/>
                <w:sz w:val="30"/>
                <w:szCs w:val="30"/>
                <w:highlight w:val="none"/>
                <w:u w:val="none"/>
                <w:lang w:val="en-US" w:eastAsia="zh-CN" w:bidi="ar"/>
              </w:rPr>
              <w:t>1.17</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39" w:hRule="atLeast"/>
          <w:jc w:val="center"/>
        </w:trPr>
        <w:tc>
          <w:tcPr>
            <w:tcW w:w="423"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color w:val="auto"/>
                <w:kern w:val="0"/>
                <w:sz w:val="30"/>
                <w:szCs w:val="30"/>
                <w:highlight w:val="none"/>
              </w:rPr>
              <w:t>3</w:t>
            </w:r>
          </w:p>
        </w:tc>
        <w:tc>
          <w:tcPr>
            <w:tcW w:w="832"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color w:val="auto"/>
                <w:kern w:val="0"/>
                <w:sz w:val="30"/>
                <w:szCs w:val="30"/>
                <w:highlight w:val="none"/>
              </w:rPr>
              <w:t>丙</w:t>
            </w:r>
          </w:p>
        </w:tc>
        <w:tc>
          <w:tcPr>
            <w:tcW w:w="1399"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color w:val="auto"/>
                <w:kern w:val="0"/>
                <w:sz w:val="30"/>
                <w:szCs w:val="30"/>
                <w:highlight w:val="none"/>
              </w:rPr>
              <w:t>居民社会用地</w:t>
            </w:r>
          </w:p>
        </w:tc>
        <w:tc>
          <w:tcPr>
            <w:tcW w:w="1074"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i w:val="0"/>
                <w:iCs w:val="0"/>
                <w:color w:val="auto"/>
                <w:kern w:val="0"/>
                <w:sz w:val="30"/>
                <w:szCs w:val="30"/>
                <w:highlight w:val="none"/>
                <w:u w:val="none"/>
                <w:lang w:val="en-US" w:eastAsia="zh-CN" w:bidi="ar"/>
              </w:rPr>
              <w:t>0.76</w:t>
            </w:r>
          </w:p>
        </w:tc>
        <w:tc>
          <w:tcPr>
            <w:tcW w:w="1269"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i w:val="0"/>
                <w:iCs w:val="0"/>
                <w:color w:val="auto"/>
                <w:kern w:val="0"/>
                <w:sz w:val="30"/>
                <w:szCs w:val="30"/>
                <w:highlight w:val="none"/>
                <w:u w:val="none"/>
                <w:lang w:val="en-US" w:eastAsia="zh-CN" w:bidi="ar"/>
              </w:rPr>
              <w:t>3.05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39" w:hRule="atLeast"/>
          <w:jc w:val="center"/>
        </w:trPr>
        <w:tc>
          <w:tcPr>
            <w:tcW w:w="423"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color w:val="auto"/>
                <w:kern w:val="0"/>
                <w:sz w:val="30"/>
                <w:szCs w:val="30"/>
                <w:highlight w:val="none"/>
              </w:rPr>
              <w:t>4</w:t>
            </w:r>
          </w:p>
        </w:tc>
        <w:tc>
          <w:tcPr>
            <w:tcW w:w="832"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color w:val="auto"/>
                <w:kern w:val="0"/>
                <w:sz w:val="30"/>
                <w:szCs w:val="30"/>
                <w:highlight w:val="none"/>
              </w:rPr>
              <w:t>丁</w:t>
            </w:r>
          </w:p>
        </w:tc>
        <w:tc>
          <w:tcPr>
            <w:tcW w:w="1399"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color w:val="auto"/>
                <w:kern w:val="0"/>
                <w:sz w:val="30"/>
                <w:szCs w:val="30"/>
                <w:highlight w:val="none"/>
              </w:rPr>
              <w:t>交通与工程用地</w:t>
            </w:r>
          </w:p>
        </w:tc>
        <w:tc>
          <w:tcPr>
            <w:tcW w:w="1074"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i w:val="0"/>
                <w:iCs w:val="0"/>
                <w:color w:val="auto"/>
                <w:kern w:val="0"/>
                <w:sz w:val="30"/>
                <w:szCs w:val="30"/>
                <w:highlight w:val="none"/>
                <w:u w:val="none"/>
                <w:lang w:val="en-US" w:eastAsia="zh-CN" w:bidi="ar"/>
              </w:rPr>
              <w:t>0.19</w:t>
            </w:r>
          </w:p>
        </w:tc>
        <w:tc>
          <w:tcPr>
            <w:tcW w:w="1269"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i w:val="0"/>
                <w:iCs w:val="0"/>
                <w:color w:val="auto"/>
                <w:kern w:val="0"/>
                <w:sz w:val="30"/>
                <w:szCs w:val="30"/>
                <w:highlight w:val="none"/>
                <w:u w:val="none"/>
                <w:lang w:val="en-US" w:eastAsia="zh-CN" w:bidi="ar"/>
              </w:rPr>
              <w:t>0.76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39" w:hRule="atLeast"/>
          <w:jc w:val="center"/>
        </w:trPr>
        <w:tc>
          <w:tcPr>
            <w:tcW w:w="423"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color w:val="auto"/>
                <w:kern w:val="0"/>
                <w:sz w:val="30"/>
                <w:szCs w:val="30"/>
                <w:highlight w:val="none"/>
              </w:rPr>
              <w:t>5</w:t>
            </w:r>
          </w:p>
        </w:tc>
        <w:tc>
          <w:tcPr>
            <w:tcW w:w="832"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color w:val="auto"/>
                <w:kern w:val="0"/>
                <w:sz w:val="30"/>
                <w:szCs w:val="30"/>
                <w:highlight w:val="none"/>
              </w:rPr>
              <w:t>戊</w:t>
            </w:r>
          </w:p>
        </w:tc>
        <w:tc>
          <w:tcPr>
            <w:tcW w:w="1399"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color w:val="auto"/>
                <w:kern w:val="0"/>
                <w:sz w:val="30"/>
                <w:szCs w:val="30"/>
                <w:highlight w:val="none"/>
              </w:rPr>
              <w:t>林地</w:t>
            </w:r>
          </w:p>
        </w:tc>
        <w:tc>
          <w:tcPr>
            <w:tcW w:w="1074"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i w:val="0"/>
                <w:iCs w:val="0"/>
                <w:color w:val="auto"/>
                <w:kern w:val="0"/>
                <w:sz w:val="30"/>
                <w:szCs w:val="30"/>
                <w:highlight w:val="none"/>
                <w:u w:val="none"/>
                <w:lang w:val="en-US" w:eastAsia="zh-CN" w:bidi="ar"/>
              </w:rPr>
              <w:t>1.06</w:t>
            </w:r>
          </w:p>
        </w:tc>
        <w:tc>
          <w:tcPr>
            <w:tcW w:w="1269"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i w:val="0"/>
                <w:iCs w:val="0"/>
                <w:color w:val="auto"/>
                <w:kern w:val="0"/>
                <w:sz w:val="30"/>
                <w:szCs w:val="30"/>
                <w:highlight w:val="none"/>
                <w:u w:val="none"/>
                <w:lang w:val="en-US" w:eastAsia="zh-CN" w:bidi="ar"/>
              </w:rPr>
              <w:t>4.26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39" w:hRule="atLeast"/>
          <w:jc w:val="center"/>
        </w:trPr>
        <w:tc>
          <w:tcPr>
            <w:tcW w:w="423"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color w:val="auto"/>
                <w:kern w:val="0"/>
                <w:sz w:val="30"/>
                <w:szCs w:val="30"/>
                <w:highlight w:val="none"/>
              </w:rPr>
              <w:t>6</w:t>
            </w:r>
          </w:p>
        </w:tc>
        <w:tc>
          <w:tcPr>
            <w:tcW w:w="832"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color w:val="auto"/>
                <w:kern w:val="0"/>
                <w:sz w:val="30"/>
                <w:szCs w:val="30"/>
                <w:highlight w:val="none"/>
              </w:rPr>
              <w:t>已</w:t>
            </w:r>
          </w:p>
        </w:tc>
        <w:tc>
          <w:tcPr>
            <w:tcW w:w="1399"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color w:val="auto"/>
                <w:kern w:val="0"/>
                <w:sz w:val="30"/>
                <w:szCs w:val="30"/>
                <w:highlight w:val="none"/>
              </w:rPr>
              <w:t>园地</w:t>
            </w:r>
          </w:p>
        </w:tc>
        <w:tc>
          <w:tcPr>
            <w:tcW w:w="1074"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i w:val="0"/>
                <w:iCs w:val="0"/>
                <w:color w:val="auto"/>
                <w:kern w:val="0"/>
                <w:sz w:val="30"/>
                <w:szCs w:val="30"/>
                <w:highlight w:val="none"/>
                <w:u w:val="none"/>
                <w:lang w:val="en-US" w:eastAsia="zh-CN" w:bidi="ar"/>
              </w:rPr>
              <w:t>1.96</w:t>
            </w:r>
          </w:p>
        </w:tc>
        <w:tc>
          <w:tcPr>
            <w:tcW w:w="1269"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i w:val="0"/>
                <w:iCs w:val="0"/>
                <w:color w:val="auto"/>
                <w:kern w:val="0"/>
                <w:sz w:val="30"/>
                <w:szCs w:val="30"/>
                <w:highlight w:val="none"/>
                <w:u w:val="none"/>
                <w:lang w:val="en-US" w:eastAsia="zh-CN" w:bidi="ar"/>
              </w:rPr>
              <w:t>7.87</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39" w:hRule="atLeast"/>
          <w:jc w:val="center"/>
        </w:trPr>
        <w:tc>
          <w:tcPr>
            <w:tcW w:w="423"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color w:val="auto"/>
                <w:kern w:val="0"/>
                <w:sz w:val="30"/>
                <w:szCs w:val="30"/>
                <w:highlight w:val="none"/>
              </w:rPr>
              <w:t>7</w:t>
            </w:r>
          </w:p>
        </w:tc>
        <w:tc>
          <w:tcPr>
            <w:tcW w:w="832"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color w:val="auto"/>
                <w:kern w:val="0"/>
                <w:sz w:val="30"/>
                <w:szCs w:val="30"/>
                <w:highlight w:val="none"/>
              </w:rPr>
              <w:t>庚</w:t>
            </w:r>
          </w:p>
        </w:tc>
        <w:tc>
          <w:tcPr>
            <w:tcW w:w="1399"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color w:val="auto"/>
                <w:kern w:val="0"/>
                <w:sz w:val="30"/>
                <w:szCs w:val="30"/>
                <w:highlight w:val="none"/>
              </w:rPr>
              <w:t>耕地</w:t>
            </w:r>
          </w:p>
        </w:tc>
        <w:tc>
          <w:tcPr>
            <w:tcW w:w="1074"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i w:val="0"/>
                <w:iCs w:val="0"/>
                <w:color w:val="auto"/>
                <w:kern w:val="0"/>
                <w:sz w:val="30"/>
                <w:szCs w:val="30"/>
                <w:highlight w:val="none"/>
                <w:u w:val="none"/>
                <w:lang w:val="en-US" w:eastAsia="zh-CN" w:bidi="ar"/>
              </w:rPr>
              <w:t>1.22</w:t>
            </w:r>
          </w:p>
        </w:tc>
        <w:tc>
          <w:tcPr>
            <w:tcW w:w="1269"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i w:val="0"/>
                <w:iCs w:val="0"/>
                <w:color w:val="auto"/>
                <w:kern w:val="0"/>
                <w:sz w:val="30"/>
                <w:szCs w:val="30"/>
                <w:highlight w:val="none"/>
                <w:u w:val="none"/>
                <w:lang w:val="en-US" w:eastAsia="zh-CN" w:bidi="ar"/>
              </w:rPr>
              <w:t>4.90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39" w:hRule="atLeast"/>
          <w:jc w:val="center"/>
        </w:trPr>
        <w:tc>
          <w:tcPr>
            <w:tcW w:w="423"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color w:val="auto"/>
                <w:kern w:val="0"/>
                <w:sz w:val="30"/>
                <w:szCs w:val="30"/>
                <w:highlight w:val="none"/>
              </w:rPr>
              <w:t>8</w:t>
            </w:r>
          </w:p>
        </w:tc>
        <w:tc>
          <w:tcPr>
            <w:tcW w:w="832"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color w:val="auto"/>
                <w:kern w:val="0"/>
                <w:sz w:val="30"/>
                <w:szCs w:val="30"/>
                <w:highlight w:val="none"/>
              </w:rPr>
              <w:t>壬</w:t>
            </w:r>
          </w:p>
        </w:tc>
        <w:tc>
          <w:tcPr>
            <w:tcW w:w="1399"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color w:val="auto"/>
                <w:kern w:val="0"/>
                <w:sz w:val="30"/>
                <w:szCs w:val="30"/>
                <w:highlight w:val="none"/>
              </w:rPr>
              <w:t>水域</w:t>
            </w:r>
          </w:p>
        </w:tc>
        <w:tc>
          <w:tcPr>
            <w:tcW w:w="1074"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i w:val="0"/>
                <w:iCs w:val="0"/>
                <w:color w:val="auto"/>
                <w:kern w:val="0"/>
                <w:sz w:val="30"/>
                <w:szCs w:val="30"/>
                <w:highlight w:val="none"/>
                <w:u w:val="none"/>
                <w:lang w:val="en-US" w:eastAsia="zh-CN" w:bidi="ar"/>
              </w:rPr>
              <w:t>0.09</w:t>
            </w:r>
          </w:p>
        </w:tc>
        <w:tc>
          <w:tcPr>
            <w:tcW w:w="1269"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i w:val="0"/>
                <w:iCs w:val="0"/>
                <w:color w:val="auto"/>
                <w:kern w:val="0"/>
                <w:sz w:val="30"/>
                <w:szCs w:val="30"/>
                <w:highlight w:val="none"/>
                <w:u w:val="none"/>
                <w:lang w:val="en-US" w:eastAsia="zh-CN" w:bidi="ar"/>
              </w:rPr>
              <w:t>0.36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39" w:hRule="atLeast"/>
          <w:jc w:val="center"/>
        </w:trPr>
        <w:tc>
          <w:tcPr>
            <w:tcW w:w="423"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color w:val="auto"/>
                <w:kern w:val="0"/>
                <w:sz w:val="30"/>
                <w:szCs w:val="30"/>
                <w:highlight w:val="none"/>
              </w:rPr>
              <w:t>9</w:t>
            </w:r>
          </w:p>
        </w:tc>
        <w:tc>
          <w:tcPr>
            <w:tcW w:w="2232" w:type="pct"/>
            <w:gridSpan w:val="2"/>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color w:val="auto"/>
                <w:kern w:val="0"/>
                <w:sz w:val="30"/>
                <w:szCs w:val="30"/>
                <w:highlight w:val="none"/>
              </w:rPr>
              <w:t>合计</w:t>
            </w:r>
          </w:p>
        </w:tc>
        <w:tc>
          <w:tcPr>
            <w:tcW w:w="1074"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i w:val="0"/>
                <w:iCs w:val="0"/>
                <w:color w:val="auto"/>
                <w:kern w:val="0"/>
                <w:sz w:val="30"/>
                <w:szCs w:val="30"/>
                <w:highlight w:val="none"/>
                <w:u w:val="none"/>
                <w:lang w:val="en-US" w:eastAsia="zh-CN" w:bidi="ar"/>
              </w:rPr>
              <w:t>24.90</w:t>
            </w:r>
          </w:p>
        </w:tc>
        <w:tc>
          <w:tcPr>
            <w:tcW w:w="1269" w:type="pc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方正仿宋_GB2312" w:hAnsi="方正仿宋_GB2312" w:eastAsia="方正仿宋_GB2312" w:cs="方正仿宋_GB2312"/>
                <w:color w:val="auto"/>
                <w:kern w:val="0"/>
                <w:sz w:val="30"/>
                <w:szCs w:val="30"/>
                <w:highlight w:val="none"/>
              </w:rPr>
            </w:pPr>
            <w:r>
              <w:rPr>
                <w:rFonts w:hint="eastAsia" w:ascii="方正仿宋_GB2312" w:hAnsi="方正仿宋_GB2312" w:eastAsia="方正仿宋_GB2312" w:cs="方正仿宋_GB2312"/>
                <w:i w:val="0"/>
                <w:iCs w:val="0"/>
                <w:color w:val="auto"/>
                <w:kern w:val="0"/>
                <w:sz w:val="30"/>
                <w:szCs w:val="30"/>
                <w:highlight w:val="none"/>
                <w:u w:val="none"/>
                <w:lang w:val="en-US" w:eastAsia="zh-CN" w:bidi="ar"/>
              </w:rPr>
              <w:t>100.00</w:t>
            </w:r>
          </w:p>
        </w:tc>
      </w:tr>
    </w:tbl>
    <w:p>
      <w:pPr>
        <w:pStyle w:val="3"/>
        <w:tabs>
          <w:tab w:val="center" w:pos="4742"/>
        </w:tabs>
        <w:adjustRightInd/>
        <w:snapToGrid/>
        <w:spacing w:beforeLines="0" w:beforeAutospacing="0" w:afterLines="0" w:afterAutospacing="0" w:line="360" w:lineRule="auto"/>
        <w:ind w:left="0" w:leftChars="0" w:firstLine="0" w:firstLineChars="0"/>
        <w:jc w:val="left"/>
        <w:rPr>
          <w:rFonts w:hint="eastAsia" w:ascii="Times New Roman" w:hAnsi="Times New Roman" w:eastAsia="方正黑体_GBK"/>
          <w:b w:val="0"/>
          <w:bCs w:val="0"/>
          <w:i w:val="0"/>
          <w:szCs w:val="20"/>
          <w:lang w:val="en-US" w:eastAsia="zh-CN"/>
        </w:rPr>
      </w:pPr>
      <w:r>
        <w:rPr>
          <w:rFonts w:hint="eastAsia" w:ascii="Times New Roman" w:hAnsi="Times New Roman" w:eastAsia="方正黑体_GBK"/>
          <w:b w:val="0"/>
          <w:bCs w:val="0"/>
          <w:i w:val="0"/>
          <w:szCs w:val="20"/>
          <w:lang w:val="en-US" w:eastAsia="zh-CN"/>
        </w:rPr>
        <w:t>（八）修正八附表10西温泉片区土地利用规划平衡表</w:t>
      </w:r>
    </w:p>
    <w:p>
      <w:pPr>
        <w:pStyle w:val="4"/>
        <w:tabs>
          <w:tab w:val="center" w:pos="4742"/>
        </w:tabs>
        <w:adjustRightInd/>
        <w:snapToGrid/>
        <w:spacing w:before="0" w:beforeLines="0" w:beforeAutospacing="0" w:after="0" w:afterLines="0" w:afterAutospacing="0" w:line="600" w:lineRule="exact"/>
        <w:ind w:firstLine="640"/>
        <w:rPr>
          <w:rFonts w:hint="eastAsia" w:eastAsia="方正楷体_GBK"/>
          <w:b w:val="0"/>
          <w:bCs w:val="0"/>
          <w:szCs w:val="20"/>
          <w:lang w:val="en-US" w:eastAsia="zh-CN"/>
        </w:rPr>
      </w:pPr>
      <w:r>
        <w:rPr>
          <w:rFonts w:hint="eastAsia" w:eastAsia="方正楷体_GBK"/>
          <w:b w:val="0"/>
          <w:bCs w:val="0"/>
          <w:szCs w:val="20"/>
          <w:lang w:val="en-US" w:eastAsia="zh-CN"/>
        </w:rPr>
        <w:t>■修正内容</w:t>
      </w:r>
    </w:p>
    <w:p>
      <w:pPr>
        <w:rPr>
          <w:rFonts w:hint="eastAsia"/>
          <w:lang w:val="en-US" w:eastAsia="zh-CN"/>
        </w:rPr>
      </w:pPr>
      <w:r>
        <w:rPr>
          <w:rFonts w:hint="eastAsia"/>
          <w:lang w:val="en-US" w:eastAsia="zh-CN"/>
        </w:rPr>
        <w:t>本次主要对附表10中，风景游赏用地、游览设施用地规模进行了修正；同时对游览设施用地名称进行了修正，修正后用地名称为旅游服务设施用地。</w:t>
      </w:r>
    </w:p>
    <w:p>
      <w:pPr>
        <w:pStyle w:val="4"/>
        <w:tabs>
          <w:tab w:val="center" w:pos="4742"/>
        </w:tabs>
        <w:adjustRightInd/>
        <w:snapToGrid/>
        <w:spacing w:before="0" w:beforeLines="0" w:beforeAutospacing="0" w:after="0" w:afterLines="0" w:afterAutospacing="0" w:line="600" w:lineRule="exact"/>
        <w:ind w:firstLine="640"/>
        <w:rPr>
          <w:rFonts w:hint="eastAsia" w:eastAsia="方正楷体_GBK"/>
          <w:b w:val="0"/>
          <w:bCs w:val="0"/>
          <w:szCs w:val="20"/>
          <w:lang w:val="en-US" w:eastAsia="zh-CN"/>
        </w:rPr>
      </w:pPr>
      <w:r>
        <w:rPr>
          <w:rFonts w:hint="eastAsia" w:eastAsia="方正楷体_GBK"/>
          <w:b w:val="0"/>
          <w:bCs w:val="0"/>
          <w:szCs w:val="20"/>
          <w:lang w:val="en-US" w:eastAsia="zh-CN"/>
        </w:rPr>
        <w:t>■修正后附表10西温泉片区土地利用规划平衡表</w:t>
      </w:r>
    </w:p>
    <w:tbl>
      <w:tblPr>
        <w:tblStyle w:val="9"/>
        <w:tblW w:w="9376"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795"/>
        <w:gridCol w:w="1710"/>
        <w:gridCol w:w="2473"/>
        <w:gridCol w:w="2016"/>
        <w:gridCol w:w="2382"/>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83" w:hRule="atLeast"/>
          <w:tblHeader/>
          <w:jc w:val="center"/>
        </w:trPr>
        <w:tc>
          <w:tcPr>
            <w:tcW w:w="79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rPr>
              <w:t>序号</w:t>
            </w:r>
          </w:p>
        </w:tc>
        <w:tc>
          <w:tcPr>
            <w:tcW w:w="1710"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rPr>
              <w:t>用地代号</w:t>
            </w:r>
          </w:p>
        </w:tc>
        <w:tc>
          <w:tcPr>
            <w:tcW w:w="247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rPr>
              <w:t>用地名称</w:t>
            </w:r>
          </w:p>
        </w:tc>
        <w:tc>
          <w:tcPr>
            <w:tcW w:w="2016"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lang w:eastAsia="zh-CN"/>
              </w:rPr>
            </w:pPr>
            <w:r>
              <w:rPr>
                <w:rFonts w:hint="default" w:ascii="Times New Roman" w:hAnsi="Times New Roman" w:eastAsia="方正仿宋_GB2312" w:cs="Times New Roman"/>
                <w:color w:val="auto"/>
                <w:kern w:val="0"/>
                <w:sz w:val="30"/>
                <w:szCs w:val="30"/>
                <w:highlight w:val="none"/>
              </w:rPr>
              <w:t>面积</w:t>
            </w:r>
            <w:r>
              <w:rPr>
                <w:rFonts w:hint="eastAsia" w:eastAsia="方正仿宋_GB2312" w:cs="Times New Roman"/>
                <w:color w:val="auto"/>
                <w:kern w:val="0"/>
                <w:sz w:val="30"/>
                <w:szCs w:val="30"/>
                <w:highlight w:val="none"/>
                <w:lang w:eastAsia="zh-CN"/>
              </w:rPr>
              <w:t>（</w:t>
            </w:r>
            <w:r>
              <w:rPr>
                <w:rFonts w:hint="default" w:ascii="Times New Roman" w:hAnsi="Times New Roman" w:eastAsia="方正仿宋_GB2312" w:cs="Times New Roman"/>
                <w:color w:val="auto"/>
                <w:kern w:val="0"/>
                <w:sz w:val="30"/>
                <w:szCs w:val="30"/>
                <w:highlight w:val="none"/>
              </w:rPr>
              <w:t>km</w:t>
            </w:r>
            <w:r>
              <w:rPr>
                <w:rFonts w:hint="default" w:ascii="Times New Roman" w:hAnsi="Times New Roman" w:eastAsia="方正仿宋_GB2312" w:cs="Times New Roman"/>
                <w:color w:val="auto"/>
                <w:kern w:val="0"/>
                <w:sz w:val="30"/>
                <w:szCs w:val="30"/>
                <w:highlight w:val="none"/>
                <w:vertAlign w:val="superscript"/>
              </w:rPr>
              <w:t>2</w:t>
            </w:r>
            <w:r>
              <w:rPr>
                <w:rFonts w:hint="eastAsia" w:eastAsia="方正仿宋_GB2312" w:cs="Times New Roman"/>
                <w:color w:val="auto"/>
                <w:kern w:val="0"/>
                <w:sz w:val="30"/>
                <w:szCs w:val="30"/>
                <w:highlight w:val="none"/>
                <w:lang w:eastAsia="zh-CN"/>
              </w:rPr>
              <w:t>）</w:t>
            </w:r>
          </w:p>
        </w:tc>
        <w:tc>
          <w:tcPr>
            <w:tcW w:w="238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rPr>
              <w:t>占总用地</w:t>
            </w:r>
            <w:r>
              <w:rPr>
                <w:rFonts w:hint="eastAsia" w:eastAsia="方正仿宋_GB2312" w:cs="Times New Roman"/>
                <w:color w:val="auto"/>
                <w:kern w:val="0"/>
                <w:sz w:val="30"/>
                <w:szCs w:val="30"/>
                <w:highlight w:val="none"/>
                <w:lang w:val="en-US" w:eastAsia="zh-CN"/>
              </w:rPr>
              <w:t>比例</w:t>
            </w:r>
            <w:r>
              <w:rPr>
                <w:rFonts w:hint="default" w:ascii="Times New Roman" w:hAnsi="Times New Roman" w:eastAsia="方正仿宋_GB2312" w:cs="Times New Roman"/>
                <w:color w:val="auto"/>
                <w:kern w:val="0"/>
                <w:sz w:val="30"/>
                <w:szCs w:val="30"/>
                <w:highlight w:val="none"/>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79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rPr>
              <w:t>1</w:t>
            </w:r>
          </w:p>
        </w:tc>
        <w:tc>
          <w:tcPr>
            <w:tcW w:w="1710"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rPr>
              <w:t>甲</w:t>
            </w:r>
          </w:p>
        </w:tc>
        <w:tc>
          <w:tcPr>
            <w:tcW w:w="247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rPr>
              <w:t>风景游赏用地</w:t>
            </w:r>
          </w:p>
        </w:tc>
        <w:tc>
          <w:tcPr>
            <w:tcW w:w="2016"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lang w:val="en-US" w:eastAsia="zh-CN"/>
              </w:rPr>
              <w:t>7.83</w:t>
            </w:r>
          </w:p>
        </w:tc>
        <w:tc>
          <w:tcPr>
            <w:tcW w:w="238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lang w:val="en-US" w:eastAsia="zh-CN"/>
              </w:rPr>
              <w:t>53.09</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79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rPr>
              <w:t>2</w:t>
            </w:r>
          </w:p>
        </w:tc>
        <w:tc>
          <w:tcPr>
            <w:tcW w:w="1710"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rPr>
              <w:t>乙</w:t>
            </w:r>
          </w:p>
        </w:tc>
        <w:tc>
          <w:tcPr>
            <w:tcW w:w="247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rPr>
              <w:t>旅游服务设施用地</w:t>
            </w:r>
          </w:p>
        </w:tc>
        <w:tc>
          <w:tcPr>
            <w:tcW w:w="2016"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lang w:val="en-US" w:eastAsia="zh-CN"/>
              </w:rPr>
              <w:t>0.18</w:t>
            </w:r>
          </w:p>
        </w:tc>
        <w:tc>
          <w:tcPr>
            <w:tcW w:w="238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lang w:val="en-US" w:eastAsia="zh-CN"/>
              </w:rPr>
              <w:t>1.25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79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rPr>
              <w:t>3</w:t>
            </w:r>
          </w:p>
        </w:tc>
        <w:tc>
          <w:tcPr>
            <w:tcW w:w="1710"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rPr>
              <w:t>丙</w:t>
            </w:r>
          </w:p>
        </w:tc>
        <w:tc>
          <w:tcPr>
            <w:tcW w:w="247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rPr>
              <w:t>居民社会用地</w:t>
            </w:r>
          </w:p>
        </w:tc>
        <w:tc>
          <w:tcPr>
            <w:tcW w:w="2016"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lang w:val="en-US" w:eastAsia="zh-CN"/>
              </w:rPr>
              <w:t>0.93</w:t>
            </w:r>
          </w:p>
        </w:tc>
        <w:tc>
          <w:tcPr>
            <w:tcW w:w="238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lang w:val="en-US" w:eastAsia="zh-CN"/>
              </w:rPr>
              <w:t>6.31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79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rPr>
              <w:t>4</w:t>
            </w:r>
          </w:p>
        </w:tc>
        <w:tc>
          <w:tcPr>
            <w:tcW w:w="1710"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rPr>
              <w:t>丁</w:t>
            </w:r>
          </w:p>
        </w:tc>
        <w:tc>
          <w:tcPr>
            <w:tcW w:w="247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rPr>
              <w:t>交通与工程用地</w:t>
            </w:r>
          </w:p>
        </w:tc>
        <w:tc>
          <w:tcPr>
            <w:tcW w:w="2016"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lang w:val="en-US" w:eastAsia="zh-CN"/>
              </w:rPr>
              <w:t>0.15</w:t>
            </w:r>
          </w:p>
        </w:tc>
        <w:tc>
          <w:tcPr>
            <w:tcW w:w="238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lang w:val="en-US" w:eastAsia="zh-CN"/>
              </w:rPr>
              <w:t>1.02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79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rPr>
              <w:t>5</w:t>
            </w:r>
          </w:p>
        </w:tc>
        <w:tc>
          <w:tcPr>
            <w:tcW w:w="1710"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rPr>
              <w:t>戊</w:t>
            </w:r>
          </w:p>
        </w:tc>
        <w:tc>
          <w:tcPr>
            <w:tcW w:w="247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rPr>
              <w:t>林地</w:t>
            </w:r>
          </w:p>
        </w:tc>
        <w:tc>
          <w:tcPr>
            <w:tcW w:w="2016"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lang w:val="en-US" w:eastAsia="zh-CN"/>
              </w:rPr>
              <w:t>4.09</w:t>
            </w:r>
          </w:p>
        </w:tc>
        <w:tc>
          <w:tcPr>
            <w:tcW w:w="238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lang w:val="en-US" w:eastAsia="zh-CN"/>
              </w:rPr>
              <w:t>27.75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79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rPr>
              <w:t>6</w:t>
            </w:r>
          </w:p>
        </w:tc>
        <w:tc>
          <w:tcPr>
            <w:tcW w:w="1710"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rPr>
              <w:t>已</w:t>
            </w:r>
          </w:p>
        </w:tc>
        <w:tc>
          <w:tcPr>
            <w:tcW w:w="247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rPr>
              <w:t>园地</w:t>
            </w:r>
          </w:p>
        </w:tc>
        <w:tc>
          <w:tcPr>
            <w:tcW w:w="2016"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lang w:val="en-US" w:eastAsia="zh-CN"/>
              </w:rPr>
              <w:t>0.28</w:t>
            </w:r>
          </w:p>
        </w:tc>
        <w:tc>
          <w:tcPr>
            <w:tcW w:w="238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lang w:val="en-US" w:eastAsia="zh-CN"/>
              </w:rPr>
              <w:t>1.90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79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rPr>
              <w:t>7</w:t>
            </w:r>
          </w:p>
        </w:tc>
        <w:tc>
          <w:tcPr>
            <w:tcW w:w="1710"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rPr>
              <w:t>庚</w:t>
            </w:r>
          </w:p>
        </w:tc>
        <w:tc>
          <w:tcPr>
            <w:tcW w:w="247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rPr>
              <w:t>耕地</w:t>
            </w:r>
          </w:p>
        </w:tc>
        <w:tc>
          <w:tcPr>
            <w:tcW w:w="2016"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lang w:val="en-US" w:eastAsia="zh-CN"/>
              </w:rPr>
              <w:t>1.23</w:t>
            </w:r>
          </w:p>
        </w:tc>
        <w:tc>
          <w:tcPr>
            <w:tcW w:w="238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lang w:val="en-US" w:eastAsia="zh-CN"/>
              </w:rPr>
              <w:t>8.34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79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rPr>
              <w:t>8</w:t>
            </w:r>
          </w:p>
        </w:tc>
        <w:tc>
          <w:tcPr>
            <w:tcW w:w="1710"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rPr>
              <w:t>壬</w:t>
            </w:r>
          </w:p>
        </w:tc>
        <w:tc>
          <w:tcPr>
            <w:tcW w:w="247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rPr>
              <w:t>水域</w:t>
            </w:r>
          </w:p>
        </w:tc>
        <w:tc>
          <w:tcPr>
            <w:tcW w:w="2016"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lang w:val="en-US" w:eastAsia="zh-CN"/>
              </w:rPr>
              <w:t>0.05</w:t>
            </w:r>
          </w:p>
        </w:tc>
        <w:tc>
          <w:tcPr>
            <w:tcW w:w="238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lang w:val="en-US" w:eastAsia="zh-CN"/>
              </w:rPr>
              <w:t>0.34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83" w:hRule="atLeast"/>
          <w:jc w:val="center"/>
        </w:trPr>
        <w:tc>
          <w:tcPr>
            <w:tcW w:w="79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rPr>
              <w:t>9</w:t>
            </w:r>
          </w:p>
        </w:tc>
        <w:tc>
          <w:tcPr>
            <w:tcW w:w="1710"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rPr>
              <w:t>合计</w:t>
            </w:r>
          </w:p>
        </w:tc>
        <w:tc>
          <w:tcPr>
            <w:tcW w:w="247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lang w:eastAsia="zh-CN"/>
              </w:rPr>
            </w:pPr>
            <w:r>
              <w:rPr>
                <w:rFonts w:hint="default" w:ascii="Times New Roman" w:hAnsi="Times New Roman" w:eastAsia="方正仿宋_GB2312" w:cs="Times New Roman"/>
                <w:color w:val="auto"/>
                <w:kern w:val="0"/>
                <w:sz w:val="30"/>
                <w:szCs w:val="30"/>
                <w:highlight w:val="none"/>
              </w:rPr>
              <w:t>　</w:t>
            </w:r>
          </w:p>
        </w:tc>
        <w:tc>
          <w:tcPr>
            <w:tcW w:w="2016"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lang w:val="en-US" w:eastAsia="zh-CN"/>
              </w:rPr>
              <w:t>14.74</w:t>
            </w:r>
          </w:p>
        </w:tc>
        <w:tc>
          <w:tcPr>
            <w:tcW w:w="238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方正仿宋_GB2312" w:cs="Times New Roman"/>
                <w:color w:val="auto"/>
                <w:kern w:val="0"/>
                <w:sz w:val="30"/>
                <w:szCs w:val="30"/>
                <w:highlight w:val="none"/>
              </w:rPr>
            </w:pPr>
            <w:r>
              <w:rPr>
                <w:rFonts w:hint="default" w:ascii="Times New Roman" w:hAnsi="Times New Roman" w:eastAsia="方正仿宋_GB2312" w:cs="Times New Roman"/>
                <w:color w:val="auto"/>
                <w:kern w:val="0"/>
                <w:sz w:val="30"/>
                <w:szCs w:val="30"/>
                <w:highlight w:val="none"/>
                <w:lang w:val="en-US" w:eastAsia="zh-CN"/>
              </w:rPr>
              <w:t>100.00</w:t>
            </w:r>
          </w:p>
        </w:tc>
      </w:tr>
    </w:tbl>
    <w:p>
      <w:pPr>
        <w:pStyle w:val="3"/>
        <w:tabs>
          <w:tab w:val="center" w:pos="4742"/>
        </w:tabs>
        <w:adjustRightInd/>
        <w:snapToGrid/>
        <w:spacing w:beforeLines="0" w:beforeAutospacing="0" w:afterLines="0" w:afterAutospacing="0" w:line="360" w:lineRule="auto"/>
        <w:ind w:left="0" w:leftChars="0" w:firstLine="0" w:firstLineChars="0"/>
        <w:jc w:val="left"/>
        <w:rPr>
          <w:rFonts w:hint="eastAsia" w:ascii="Times New Roman" w:hAnsi="Times New Roman" w:eastAsia="方正黑体_GBK"/>
          <w:b w:val="0"/>
          <w:bCs w:val="0"/>
          <w:i w:val="0"/>
          <w:szCs w:val="20"/>
          <w:lang w:val="en-US" w:eastAsia="zh-CN"/>
        </w:rPr>
      </w:pPr>
      <w:r>
        <w:rPr>
          <w:rFonts w:hint="eastAsia" w:ascii="Times New Roman" w:hAnsi="Times New Roman" w:eastAsia="方正黑体_GBK"/>
          <w:b w:val="0"/>
          <w:bCs w:val="0"/>
          <w:i w:val="0"/>
          <w:szCs w:val="20"/>
          <w:lang w:val="en-US" w:eastAsia="zh-CN"/>
        </w:rPr>
        <w:t>（九）修正九附表11近期建设一览表</w:t>
      </w:r>
    </w:p>
    <w:p>
      <w:pPr>
        <w:pStyle w:val="4"/>
        <w:tabs>
          <w:tab w:val="center" w:pos="4742"/>
        </w:tabs>
        <w:adjustRightInd/>
        <w:snapToGrid/>
        <w:spacing w:before="0" w:beforeLines="0" w:beforeAutospacing="0" w:after="0" w:afterLines="0" w:afterAutospacing="0" w:line="600" w:lineRule="exact"/>
        <w:ind w:firstLine="640"/>
        <w:rPr>
          <w:rFonts w:hint="eastAsia" w:eastAsia="方正楷体_GBK"/>
          <w:b w:val="0"/>
          <w:bCs w:val="0"/>
          <w:szCs w:val="20"/>
          <w:lang w:val="en-US" w:eastAsia="zh-CN"/>
        </w:rPr>
      </w:pPr>
      <w:r>
        <w:rPr>
          <w:rFonts w:hint="eastAsia" w:eastAsia="方正楷体_GBK"/>
          <w:b w:val="0"/>
          <w:bCs w:val="0"/>
          <w:szCs w:val="20"/>
          <w:lang w:val="en-US" w:eastAsia="zh-CN"/>
        </w:rPr>
        <w:t>■修正内容</w:t>
      </w:r>
    </w:p>
    <w:p>
      <w:pPr>
        <w:rPr>
          <w:rFonts w:hint="default"/>
          <w:lang w:val="en-US" w:eastAsia="zh-CN"/>
        </w:rPr>
      </w:pPr>
      <w:r>
        <w:rPr>
          <w:rFonts w:hint="eastAsia"/>
          <w:lang w:val="en-US" w:eastAsia="zh-CN"/>
        </w:rPr>
        <w:t>本次对近期接待床位数进行了修正，修正后内容为2167床。</w:t>
      </w:r>
    </w:p>
    <w:p>
      <w:pPr>
        <w:pStyle w:val="4"/>
        <w:tabs>
          <w:tab w:val="center" w:pos="4742"/>
        </w:tabs>
        <w:adjustRightInd/>
        <w:snapToGrid/>
        <w:spacing w:before="0" w:beforeLines="0" w:beforeAutospacing="0" w:after="0" w:afterLines="0" w:afterAutospacing="0" w:line="600" w:lineRule="exact"/>
        <w:ind w:firstLine="640"/>
        <w:rPr>
          <w:rFonts w:hint="eastAsia" w:eastAsia="方正楷体_GBK"/>
          <w:b w:val="0"/>
          <w:bCs w:val="0"/>
          <w:szCs w:val="20"/>
          <w:lang w:val="en-US" w:eastAsia="zh-CN"/>
        </w:rPr>
      </w:pPr>
      <w:r>
        <w:rPr>
          <w:rFonts w:hint="eastAsia" w:eastAsia="方正楷体_GBK"/>
          <w:b w:val="0"/>
          <w:bCs w:val="0"/>
          <w:szCs w:val="20"/>
          <w:lang w:val="en-US" w:eastAsia="zh-CN"/>
        </w:rPr>
        <w:t>■修正后附表11近期建设一览表</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19"/>
        <w:gridCol w:w="3638"/>
        <w:gridCol w:w="1645"/>
        <w:gridCol w:w="2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blHeader/>
        </w:trPr>
        <w:tc>
          <w:tcPr>
            <w:tcW w:w="56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p>
        </w:tc>
        <w:tc>
          <w:tcPr>
            <w:tcW w:w="200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项目</w:t>
            </w:r>
          </w:p>
        </w:tc>
        <w:tc>
          <w:tcPr>
            <w:tcW w:w="90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规模（处）</w:t>
            </w:r>
          </w:p>
        </w:tc>
        <w:tc>
          <w:tcPr>
            <w:tcW w:w="153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60"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景</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区</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建</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设</w:t>
            </w:r>
          </w:p>
        </w:tc>
        <w:tc>
          <w:tcPr>
            <w:tcW w:w="200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市级风景区标志及主入口</w:t>
            </w:r>
          </w:p>
        </w:tc>
        <w:tc>
          <w:tcPr>
            <w:tcW w:w="90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1</w:t>
            </w:r>
          </w:p>
        </w:tc>
        <w:tc>
          <w:tcPr>
            <w:tcW w:w="153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6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p>
        </w:tc>
        <w:tc>
          <w:tcPr>
            <w:tcW w:w="200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景区入口</w:t>
            </w:r>
          </w:p>
        </w:tc>
        <w:tc>
          <w:tcPr>
            <w:tcW w:w="90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5</w:t>
            </w:r>
          </w:p>
        </w:tc>
        <w:tc>
          <w:tcPr>
            <w:tcW w:w="153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6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p>
        </w:tc>
        <w:tc>
          <w:tcPr>
            <w:tcW w:w="200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景点建设与保护</w:t>
            </w:r>
          </w:p>
        </w:tc>
        <w:tc>
          <w:tcPr>
            <w:tcW w:w="90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15</w:t>
            </w:r>
          </w:p>
        </w:tc>
        <w:tc>
          <w:tcPr>
            <w:tcW w:w="153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6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p>
        </w:tc>
        <w:tc>
          <w:tcPr>
            <w:tcW w:w="200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景点标志</w:t>
            </w:r>
          </w:p>
        </w:tc>
        <w:tc>
          <w:tcPr>
            <w:tcW w:w="90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20</w:t>
            </w:r>
          </w:p>
        </w:tc>
        <w:tc>
          <w:tcPr>
            <w:tcW w:w="153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6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p>
        </w:tc>
        <w:tc>
          <w:tcPr>
            <w:tcW w:w="200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观景点</w:t>
            </w:r>
          </w:p>
        </w:tc>
        <w:tc>
          <w:tcPr>
            <w:tcW w:w="90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4</w:t>
            </w:r>
          </w:p>
        </w:tc>
        <w:tc>
          <w:tcPr>
            <w:tcW w:w="153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60"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接待服务设施</w:t>
            </w:r>
          </w:p>
        </w:tc>
        <w:tc>
          <w:tcPr>
            <w:tcW w:w="200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接待床位</w:t>
            </w:r>
          </w:p>
        </w:tc>
        <w:tc>
          <w:tcPr>
            <w:tcW w:w="90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eastAsia="方正仿宋_GB2312" w:cs="Times New Roman"/>
                <w:color w:val="auto"/>
                <w:kern w:val="0"/>
                <w:sz w:val="30"/>
                <w:szCs w:val="30"/>
                <w:highlight w:val="none"/>
                <w:lang w:val="en-US" w:eastAsia="zh-CN"/>
              </w:rPr>
              <w:t>2167</w:t>
            </w:r>
            <w:r>
              <w:rPr>
                <w:rFonts w:hint="eastAsia" w:ascii="Times New Roman" w:hAnsi="Times New Roman" w:eastAsia="方正仿宋_GB2312" w:cs="Times New Roman"/>
                <w:color w:val="auto"/>
                <w:kern w:val="0"/>
                <w:sz w:val="30"/>
                <w:szCs w:val="30"/>
                <w:highlight w:val="none"/>
              </w:rPr>
              <w:t>床</w:t>
            </w:r>
          </w:p>
        </w:tc>
        <w:tc>
          <w:tcPr>
            <w:tcW w:w="153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6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p>
        </w:tc>
        <w:tc>
          <w:tcPr>
            <w:tcW w:w="200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综合餐饮服务</w:t>
            </w:r>
          </w:p>
        </w:tc>
        <w:tc>
          <w:tcPr>
            <w:tcW w:w="90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p>
        </w:tc>
        <w:tc>
          <w:tcPr>
            <w:tcW w:w="153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西温泉旅游村、玄天宫旅游村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6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p>
        </w:tc>
        <w:tc>
          <w:tcPr>
            <w:tcW w:w="200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游客服务中心</w:t>
            </w:r>
          </w:p>
        </w:tc>
        <w:tc>
          <w:tcPr>
            <w:tcW w:w="90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1</w:t>
            </w:r>
          </w:p>
        </w:tc>
        <w:tc>
          <w:tcPr>
            <w:tcW w:w="153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6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p>
        </w:tc>
        <w:tc>
          <w:tcPr>
            <w:tcW w:w="200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游客服务副中心</w:t>
            </w:r>
          </w:p>
        </w:tc>
        <w:tc>
          <w:tcPr>
            <w:tcW w:w="90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1</w:t>
            </w:r>
          </w:p>
        </w:tc>
        <w:tc>
          <w:tcPr>
            <w:tcW w:w="153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6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p>
        </w:tc>
        <w:tc>
          <w:tcPr>
            <w:tcW w:w="200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导游站</w:t>
            </w:r>
          </w:p>
        </w:tc>
        <w:tc>
          <w:tcPr>
            <w:tcW w:w="90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6</w:t>
            </w:r>
          </w:p>
        </w:tc>
        <w:tc>
          <w:tcPr>
            <w:tcW w:w="153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6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p>
        </w:tc>
        <w:tc>
          <w:tcPr>
            <w:tcW w:w="200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导游点</w:t>
            </w:r>
          </w:p>
        </w:tc>
        <w:tc>
          <w:tcPr>
            <w:tcW w:w="90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6</w:t>
            </w:r>
          </w:p>
        </w:tc>
        <w:tc>
          <w:tcPr>
            <w:tcW w:w="153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60"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交</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通</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工</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程</w:t>
            </w:r>
          </w:p>
        </w:tc>
        <w:tc>
          <w:tcPr>
            <w:tcW w:w="200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保护管理经费</w:t>
            </w:r>
          </w:p>
        </w:tc>
        <w:tc>
          <w:tcPr>
            <w:tcW w:w="90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10年</w:t>
            </w:r>
          </w:p>
        </w:tc>
        <w:tc>
          <w:tcPr>
            <w:tcW w:w="153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6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p>
        </w:tc>
        <w:tc>
          <w:tcPr>
            <w:tcW w:w="200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公路改造和维护</w:t>
            </w:r>
          </w:p>
        </w:tc>
        <w:tc>
          <w:tcPr>
            <w:tcW w:w="90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km</w:t>
            </w:r>
          </w:p>
        </w:tc>
        <w:tc>
          <w:tcPr>
            <w:tcW w:w="153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6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p>
        </w:tc>
        <w:tc>
          <w:tcPr>
            <w:tcW w:w="200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步游道（1.5m宽）</w:t>
            </w:r>
          </w:p>
        </w:tc>
        <w:tc>
          <w:tcPr>
            <w:tcW w:w="90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8km</w:t>
            </w:r>
          </w:p>
        </w:tc>
        <w:tc>
          <w:tcPr>
            <w:tcW w:w="153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6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p>
        </w:tc>
        <w:tc>
          <w:tcPr>
            <w:tcW w:w="200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停车场</w:t>
            </w:r>
          </w:p>
        </w:tc>
        <w:tc>
          <w:tcPr>
            <w:tcW w:w="90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3</w:t>
            </w:r>
          </w:p>
        </w:tc>
        <w:tc>
          <w:tcPr>
            <w:tcW w:w="153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60"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市</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政</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工</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程</w:t>
            </w:r>
          </w:p>
        </w:tc>
        <w:tc>
          <w:tcPr>
            <w:tcW w:w="200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供电工程</w:t>
            </w:r>
          </w:p>
        </w:tc>
        <w:tc>
          <w:tcPr>
            <w:tcW w:w="90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2991KVA</w:t>
            </w:r>
          </w:p>
        </w:tc>
        <w:tc>
          <w:tcPr>
            <w:tcW w:w="153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新、扩、改建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6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p>
        </w:tc>
        <w:tc>
          <w:tcPr>
            <w:tcW w:w="200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给水工程</w:t>
            </w:r>
          </w:p>
        </w:tc>
        <w:tc>
          <w:tcPr>
            <w:tcW w:w="90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2546t</w:t>
            </w:r>
          </w:p>
        </w:tc>
        <w:tc>
          <w:tcPr>
            <w:tcW w:w="153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新、改建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6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p>
        </w:tc>
        <w:tc>
          <w:tcPr>
            <w:tcW w:w="200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排水工程</w:t>
            </w:r>
          </w:p>
        </w:tc>
        <w:tc>
          <w:tcPr>
            <w:tcW w:w="90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3026t</w:t>
            </w:r>
          </w:p>
        </w:tc>
        <w:tc>
          <w:tcPr>
            <w:tcW w:w="153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6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p>
        </w:tc>
        <w:tc>
          <w:tcPr>
            <w:tcW w:w="200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热水工程</w:t>
            </w:r>
          </w:p>
        </w:tc>
        <w:tc>
          <w:tcPr>
            <w:tcW w:w="90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p>
        </w:tc>
        <w:tc>
          <w:tcPr>
            <w:tcW w:w="153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6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p>
        </w:tc>
        <w:tc>
          <w:tcPr>
            <w:tcW w:w="200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邮政电信</w:t>
            </w:r>
          </w:p>
        </w:tc>
        <w:tc>
          <w:tcPr>
            <w:tcW w:w="90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2481门</w:t>
            </w:r>
          </w:p>
        </w:tc>
        <w:tc>
          <w:tcPr>
            <w:tcW w:w="153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新、扩建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6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p>
        </w:tc>
        <w:tc>
          <w:tcPr>
            <w:tcW w:w="200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燃气工程</w:t>
            </w:r>
          </w:p>
        </w:tc>
        <w:tc>
          <w:tcPr>
            <w:tcW w:w="90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2供应站</w:t>
            </w:r>
          </w:p>
        </w:tc>
        <w:tc>
          <w:tcPr>
            <w:tcW w:w="153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新、扩建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6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p>
        </w:tc>
        <w:tc>
          <w:tcPr>
            <w:tcW w:w="200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污水处理站</w:t>
            </w:r>
          </w:p>
        </w:tc>
        <w:tc>
          <w:tcPr>
            <w:tcW w:w="90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5站</w:t>
            </w:r>
          </w:p>
        </w:tc>
        <w:tc>
          <w:tcPr>
            <w:tcW w:w="153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6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p>
        </w:tc>
        <w:tc>
          <w:tcPr>
            <w:tcW w:w="200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环卫设施</w:t>
            </w:r>
          </w:p>
        </w:tc>
        <w:tc>
          <w:tcPr>
            <w:tcW w:w="90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3</w:t>
            </w:r>
          </w:p>
        </w:tc>
        <w:tc>
          <w:tcPr>
            <w:tcW w:w="153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60"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消防设施</w:t>
            </w:r>
          </w:p>
        </w:tc>
        <w:tc>
          <w:tcPr>
            <w:tcW w:w="200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西温泉旅游村普通小型消防站</w:t>
            </w:r>
          </w:p>
        </w:tc>
        <w:tc>
          <w:tcPr>
            <w:tcW w:w="90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1</w:t>
            </w:r>
          </w:p>
        </w:tc>
        <w:tc>
          <w:tcPr>
            <w:tcW w:w="153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不含购置车辆等费用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6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p>
        </w:tc>
        <w:tc>
          <w:tcPr>
            <w:tcW w:w="200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玄天宫旅游村普通小型消防站</w:t>
            </w:r>
          </w:p>
        </w:tc>
        <w:tc>
          <w:tcPr>
            <w:tcW w:w="90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1</w:t>
            </w:r>
          </w:p>
        </w:tc>
        <w:tc>
          <w:tcPr>
            <w:tcW w:w="153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不含购置车辆等费用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60"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绿化工程</w:t>
            </w:r>
          </w:p>
        </w:tc>
        <w:tc>
          <w:tcPr>
            <w:tcW w:w="200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公路绿化</w:t>
            </w:r>
          </w:p>
        </w:tc>
        <w:tc>
          <w:tcPr>
            <w:tcW w:w="90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p>
        </w:tc>
        <w:tc>
          <w:tcPr>
            <w:tcW w:w="153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6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p>
        </w:tc>
        <w:tc>
          <w:tcPr>
            <w:tcW w:w="200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r>
              <w:rPr>
                <w:rFonts w:hint="eastAsia" w:ascii="Times New Roman" w:hAnsi="Times New Roman" w:eastAsia="方正仿宋_GB2312" w:cs="Times New Roman"/>
                <w:color w:val="auto"/>
                <w:kern w:val="0"/>
                <w:sz w:val="30"/>
                <w:szCs w:val="30"/>
                <w:highlight w:val="none"/>
              </w:rPr>
              <w:t>环境绿化</w:t>
            </w:r>
          </w:p>
        </w:tc>
        <w:tc>
          <w:tcPr>
            <w:tcW w:w="90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p>
        </w:tc>
        <w:tc>
          <w:tcPr>
            <w:tcW w:w="153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方正仿宋_GB2312" w:cs="Times New Roman"/>
                <w:color w:val="auto"/>
                <w:kern w:val="0"/>
                <w:sz w:val="30"/>
                <w:szCs w:val="30"/>
                <w:highlight w:val="none"/>
              </w:rPr>
            </w:pPr>
          </w:p>
        </w:tc>
      </w:tr>
    </w:tbl>
    <w:p>
      <w:pPr>
        <w:tabs>
          <w:tab w:val="left" w:pos="751"/>
        </w:tabs>
        <w:ind w:firstLine="640"/>
        <w:rPr>
          <w:rFonts w:hint="eastAsia" w:eastAsia="方正仿宋_GBK"/>
          <w:color w:val="auto"/>
          <w:highlight w:val="none"/>
          <w:lang w:eastAsia="zh-CN"/>
        </w:rPr>
        <w:sectPr>
          <w:footerReference r:id="rId6" w:type="default"/>
          <w:pgSz w:w="11906" w:h="16838"/>
          <w:pgMar w:top="1440" w:right="1066" w:bottom="1440" w:left="1800" w:header="851" w:footer="992" w:gutter="0"/>
          <w:pgNumType w:fmt="decimal" w:start="1"/>
          <w:cols w:space="425" w:num="1"/>
          <w:docGrid w:type="lines" w:linePitch="312" w:charSpace="0"/>
        </w:sectPr>
      </w:pPr>
    </w:p>
    <w:p>
      <w:pPr>
        <w:ind w:firstLine="640"/>
        <w:rPr>
          <w:color w:val="auto"/>
          <w:highlight w:val="none"/>
        </w:rPr>
      </w:pPr>
    </w:p>
    <w:p>
      <w:pPr>
        <w:spacing w:before="120" w:after="120"/>
        <w:ind w:firstLine="0" w:firstLineChars="0"/>
        <w:jc w:val="center"/>
        <w:rPr>
          <w:rFonts w:cs="Times New Roman"/>
          <w:b/>
          <w:bCs/>
          <w:color w:val="auto"/>
          <w:sz w:val="96"/>
          <w:szCs w:val="96"/>
          <w:highlight w:val="none"/>
        </w:rPr>
      </w:pPr>
    </w:p>
    <w:p>
      <w:pPr>
        <w:spacing w:before="120" w:after="120"/>
        <w:ind w:firstLine="0" w:firstLineChars="0"/>
        <w:jc w:val="center"/>
        <w:rPr>
          <w:rFonts w:cs="Times New Roman"/>
          <w:b/>
          <w:bCs/>
          <w:color w:val="auto"/>
          <w:sz w:val="96"/>
          <w:szCs w:val="96"/>
          <w:highlight w:val="none"/>
        </w:rPr>
      </w:pPr>
    </w:p>
    <w:p>
      <w:pPr>
        <w:spacing w:before="120" w:after="120"/>
        <w:ind w:firstLine="0" w:firstLineChars="0"/>
        <w:jc w:val="center"/>
        <w:rPr>
          <w:rFonts w:cs="Times New Roman"/>
          <w:b/>
          <w:bCs/>
          <w:color w:val="auto"/>
          <w:sz w:val="96"/>
          <w:szCs w:val="96"/>
          <w:highlight w:val="none"/>
        </w:rPr>
      </w:pPr>
    </w:p>
    <w:p>
      <w:pPr>
        <w:spacing w:before="120" w:after="120"/>
        <w:ind w:firstLine="0" w:firstLineChars="0"/>
        <w:jc w:val="center"/>
        <w:rPr>
          <w:rFonts w:cs="Times New Roman"/>
          <w:b/>
          <w:bCs/>
          <w:color w:val="auto"/>
          <w:sz w:val="96"/>
          <w:szCs w:val="96"/>
          <w:highlight w:val="none"/>
        </w:rPr>
      </w:pPr>
    </w:p>
    <w:p>
      <w:pPr>
        <w:spacing w:before="120" w:after="120" w:line="240" w:lineRule="auto"/>
        <w:ind w:firstLine="0" w:firstLineChars="0"/>
        <w:jc w:val="center"/>
        <w:rPr>
          <w:rFonts w:hint="eastAsia" w:cs="Times New Roman"/>
          <w:b/>
          <w:bCs/>
          <w:color w:val="auto"/>
          <w:sz w:val="96"/>
          <w:szCs w:val="96"/>
          <w:highlight w:val="none"/>
        </w:rPr>
      </w:pPr>
      <w:r>
        <w:rPr>
          <w:rFonts w:hint="eastAsia" w:cs="Times New Roman"/>
          <w:b/>
          <w:bCs/>
          <w:color w:val="auto"/>
          <w:sz w:val="96"/>
          <w:szCs w:val="96"/>
          <w:highlight w:val="none"/>
        </w:rPr>
        <w:t>图纸</w:t>
      </w:r>
    </w:p>
    <w:p>
      <w:pPr>
        <w:rPr>
          <w:rFonts w:hint="eastAsia" w:cs="Times New Roman"/>
          <w:b/>
          <w:bCs/>
          <w:color w:val="auto"/>
          <w:sz w:val="96"/>
          <w:szCs w:val="96"/>
          <w:highlight w:val="none"/>
        </w:rPr>
        <w:sectPr>
          <w:pgSz w:w="11906" w:h="16838"/>
          <w:pgMar w:top="1440" w:right="1066" w:bottom="1440" w:left="1800" w:header="851" w:footer="992" w:gutter="0"/>
          <w:pgNumType w:fmt="decimal"/>
          <w:cols w:space="425" w:num="1"/>
          <w:docGrid w:type="lines" w:linePitch="312" w:charSpace="0"/>
        </w:sectPr>
      </w:pPr>
      <w:r>
        <w:rPr>
          <w:rFonts w:hint="eastAsia" w:cs="Times New Roman"/>
          <w:b/>
          <w:bCs/>
          <w:color w:val="auto"/>
          <w:sz w:val="96"/>
          <w:szCs w:val="96"/>
          <w:highlight w:val="none"/>
        </w:rPr>
        <w:br w:type="page"/>
      </w:r>
    </w:p>
    <w:p>
      <w:pPr>
        <w:spacing w:before="120" w:after="120" w:line="240" w:lineRule="auto"/>
        <w:ind w:firstLine="0" w:firstLineChars="0"/>
        <w:jc w:val="center"/>
        <w:rPr>
          <w:rFonts w:hint="eastAsia" w:hAnsi="宋体" w:cs="宋体"/>
          <w:b/>
          <w:bCs/>
          <w:caps/>
          <w:color w:val="auto"/>
          <w:sz w:val="32"/>
          <w:szCs w:val="32"/>
          <w:highlight w:val="none"/>
          <w:lang w:val="en-US" w:eastAsia="zh-CN"/>
        </w:rPr>
      </w:pPr>
      <w:bookmarkStart w:id="8" w:name="_GoBack"/>
      <w:r>
        <w:rPr>
          <w:rFonts w:hint="eastAsia" w:hAnsi="宋体" w:cs="宋体"/>
          <w:b/>
          <w:bCs/>
          <w:caps/>
          <w:color w:val="auto"/>
          <w:sz w:val="32"/>
          <w:szCs w:val="32"/>
          <w:highlight w:val="none"/>
          <w:lang w:eastAsia="zh-CN"/>
        </w:rPr>
        <w:t>修正前</w:t>
      </w:r>
      <w:r>
        <w:rPr>
          <w:rFonts w:hint="eastAsia" w:hAnsi="宋体" w:cs="宋体"/>
          <w:b/>
          <w:bCs/>
          <w:caps/>
          <w:color w:val="auto"/>
          <w:sz w:val="32"/>
          <w:szCs w:val="32"/>
          <w:highlight w:val="none"/>
          <w:lang w:val="en-US" w:eastAsia="zh-CN"/>
        </w:rPr>
        <w:t xml:space="preserve">           修正后</w:t>
      </w:r>
    </w:p>
    <w:bookmarkEnd w:id="8"/>
    <w:p>
      <w:pPr>
        <w:spacing w:before="120" w:after="120" w:line="240" w:lineRule="auto"/>
        <w:ind w:firstLine="0" w:firstLineChars="0"/>
        <w:jc w:val="center"/>
        <w:rPr>
          <w:rFonts w:hint="eastAsia" w:hAnsi="宋体" w:cs="宋体"/>
          <w:b/>
          <w:bCs/>
          <w:caps/>
          <w:color w:val="auto"/>
          <w:sz w:val="24"/>
          <w:szCs w:val="20"/>
          <w:highlight w:val="none"/>
        </w:rPr>
      </w:pPr>
      <w:r>
        <w:rPr>
          <w:rFonts w:hint="eastAsia" w:hAnsi="宋体" w:cs="宋体"/>
          <w:b/>
          <w:bCs/>
          <w:caps/>
          <w:color w:val="auto"/>
          <w:sz w:val="24"/>
          <w:szCs w:val="20"/>
          <w:highlight w:val="none"/>
        </w:rPr>
        <w:drawing>
          <wp:inline distT="0" distB="0" distL="114300" distR="114300">
            <wp:extent cx="5855335" cy="7560310"/>
            <wp:effectExtent l="0" t="0" r="12065" b="2540"/>
            <wp:docPr id="1" name="图片 1" descr="01-修正前—巴岳山规划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1-修正前—巴岳山规划总图"/>
                    <pic:cNvPicPr>
                      <a:picLocks noChangeAspect="1"/>
                    </pic:cNvPicPr>
                  </pic:nvPicPr>
                  <pic:blipFill>
                    <a:blip r:embed="rId8"/>
                    <a:stretch>
                      <a:fillRect/>
                    </a:stretch>
                  </pic:blipFill>
                  <pic:spPr>
                    <a:xfrm>
                      <a:off x="0" y="0"/>
                      <a:ext cx="5855335" cy="7560310"/>
                    </a:xfrm>
                    <a:prstGeom prst="rect">
                      <a:avLst/>
                    </a:prstGeom>
                  </pic:spPr>
                </pic:pic>
              </a:graphicData>
            </a:graphic>
          </wp:inline>
        </w:drawing>
      </w:r>
      <w:r>
        <w:rPr>
          <w:rFonts w:hint="eastAsia" w:hAnsi="宋体" w:cs="宋体"/>
          <w:b/>
          <w:bCs/>
          <w:caps/>
          <w:color w:val="auto"/>
          <w:sz w:val="24"/>
          <w:szCs w:val="20"/>
          <w:highlight w:val="none"/>
        </w:rPr>
        <w:drawing>
          <wp:inline distT="0" distB="0" distL="114300" distR="114300">
            <wp:extent cx="5961380" cy="7560310"/>
            <wp:effectExtent l="0" t="0" r="1270" b="2540"/>
            <wp:docPr id="2" name="图片 2" descr="02-修正后—巴岳山规划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2-修正后—巴岳山规划总图"/>
                    <pic:cNvPicPr>
                      <a:picLocks noChangeAspect="1"/>
                    </pic:cNvPicPr>
                  </pic:nvPicPr>
                  <pic:blipFill>
                    <a:blip r:embed="rId9"/>
                    <a:stretch>
                      <a:fillRect/>
                    </a:stretch>
                  </pic:blipFill>
                  <pic:spPr>
                    <a:xfrm>
                      <a:off x="0" y="0"/>
                      <a:ext cx="5961380" cy="7560310"/>
                    </a:xfrm>
                    <a:prstGeom prst="rect">
                      <a:avLst/>
                    </a:prstGeom>
                  </pic:spPr>
                </pic:pic>
              </a:graphicData>
            </a:graphic>
          </wp:inline>
        </w:drawing>
      </w:r>
    </w:p>
    <w:p>
      <w:pPr>
        <w:spacing w:before="120" w:after="120" w:line="240" w:lineRule="auto"/>
        <w:ind w:firstLine="0" w:firstLineChars="0"/>
        <w:jc w:val="center"/>
        <w:rPr>
          <w:rFonts w:hint="eastAsia" w:hAnsi="宋体" w:cs="宋体"/>
          <w:b/>
          <w:bCs/>
          <w:caps/>
          <w:color w:val="auto"/>
          <w:sz w:val="24"/>
          <w:szCs w:val="20"/>
          <w:highlight w:val="none"/>
        </w:rPr>
      </w:pPr>
    </w:p>
    <w:p>
      <w:pPr>
        <w:spacing w:before="120" w:after="120" w:line="240" w:lineRule="auto"/>
        <w:ind w:firstLine="0" w:firstLineChars="0"/>
        <w:jc w:val="center"/>
        <w:rPr>
          <w:rFonts w:hint="eastAsia" w:hAnsi="宋体" w:cs="宋体"/>
          <w:b/>
          <w:bCs/>
          <w:caps/>
          <w:color w:val="auto"/>
          <w:sz w:val="32"/>
          <w:szCs w:val="32"/>
          <w:highlight w:val="none"/>
          <w:lang w:val="en-US" w:eastAsia="zh-CN"/>
        </w:rPr>
      </w:pPr>
      <w:r>
        <w:rPr>
          <w:rFonts w:hint="eastAsia" w:hAnsi="宋体" w:cs="宋体"/>
          <w:b/>
          <w:bCs/>
          <w:caps/>
          <w:color w:val="auto"/>
          <w:sz w:val="32"/>
          <w:szCs w:val="32"/>
          <w:highlight w:val="none"/>
          <w:lang w:eastAsia="zh-CN"/>
        </w:rPr>
        <w:t>修正前</w:t>
      </w:r>
      <w:r>
        <w:rPr>
          <w:rFonts w:hint="eastAsia" w:hAnsi="宋体" w:cs="宋体"/>
          <w:b/>
          <w:bCs/>
          <w:caps/>
          <w:color w:val="auto"/>
          <w:sz w:val="32"/>
          <w:szCs w:val="32"/>
          <w:highlight w:val="none"/>
          <w:lang w:val="en-US" w:eastAsia="zh-CN"/>
        </w:rPr>
        <w:t xml:space="preserve">           修正后</w:t>
      </w:r>
    </w:p>
    <w:p>
      <w:pPr>
        <w:spacing w:before="120" w:after="120" w:line="240" w:lineRule="auto"/>
        <w:ind w:firstLine="0" w:firstLineChars="0"/>
        <w:jc w:val="center"/>
        <w:rPr>
          <w:rFonts w:hint="eastAsia" w:hAnsi="宋体" w:eastAsia="方正仿宋_GBK" w:cs="宋体"/>
          <w:b/>
          <w:bCs/>
          <w:caps/>
          <w:color w:val="auto"/>
          <w:sz w:val="24"/>
          <w:szCs w:val="20"/>
          <w:highlight w:val="none"/>
          <w:lang w:eastAsia="zh-CN"/>
        </w:rPr>
      </w:pPr>
      <w:r>
        <w:rPr>
          <w:rFonts w:hint="eastAsia" w:hAnsi="宋体" w:eastAsia="方正仿宋_GBK" w:cs="宋体"/>
          <w:b/>
          <w:bCs/>
          <w:caps/>
          <w:color w:val="auto"/>
          <w:sz w:val="24"/>
          <w:szCs w:val="20"/>
          <w:highlight w:val="none"/>
          <w:lang w:eastAsia="zh-CN"/>
        </w:rPr>
        <w:drawing>
          <wp:inline distT="0" distB="0" distL="114300" distR="114300">
            <wp:extent cx="5092065" cy="7560310"/>
            <wp:effectExtent l="0" t="0" r="13335" b="2540"/>
            <wp:docPr id="4" name="图片 4" descr="03-修正前—巴岳山土地利用协调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3-修正前—巴岳山土地利用协调规划图"/>
                    <pic:cNvPicPr>
                      <a:picLocks noChangeAspect="1"/>
                    </pic:cNvPicPr>
                  </pic:nvPicPr>
                  <pic:blipFill>
                    <a:blip r:embed="rId10"/>
                    <a:stretch>
                      <a:fillRect/>
                    </a:stretch>
                  </pic:blipFill>
                  <pic:spPr>
                    <a:xfrm>
                      <a:off x="0" y="0"/>
                      <a:ext cx="5092065" cy="7560310"/>
                    </a:xfrm>
                    <a:prstGeom prst="rect">
                      <a:avLst/>
                    </a:prstGeom>
                  </pic:spPr>
                </pic:pic>
              </a:graphicData>
            </a:graphic>
          </wp:inline>
        </w:drawing>
      </w:r>
      <w:r>
        <w:rPr>
          <w:rFonts w:hint="eastAsia" w:hAnsi="宋体" w:eastAsia="方正仿宋_GBK" w:cs="宋体"/>
          <w:b/>
          <w:bCs/>
          <w:caps/>
          <w:color w:val="auto"/>
          <w:sz w:val="24"/>
          <w:szCs w:val="20"/>
          <w:highlight w:val="none"/>
          <w:lang w:eastAsia="zh-CN"/>
        </w:rPr>
        <w:drawing>
          <wp:inline distT="0" distB="0" distL="114300" distR="114300">
            <wp:extent cx="5092065" cy="7560310"/>
            <wp:effectExtent l="0" t="0" r="13335" b="2540"/>
            <wp:docPr id="7" name="图片 7" descr="04-修正后巴岳山土地利用协调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4-修正后巴岳山土地利用协调规划图"/>
                    <pic:cNvPicPr>
                      <a:picLocks noChangeAspect="1"/>
                    </pic:cNvPicPr>
                  </pic:nvPicPr>
                  <pic:blipFill>
                    <a:blip r:embed="rId11"/>
                    <a:stretch>
                      <a:fillRect/>
                    </a:stretch>
                  </pic:blipFill>
                  <pic:spPr>
                    <a:xfrm>
                      <a:off x="0" y="0"/>
                      <a:ext cx="5092065" cy="7560310"/>
                    </a:xfrm>
                    <a:prstGeom prst="rect">
                      <a:avLst/>
                    </a:prstGeom>
                  </pic:spPr>
                </pic:pic>
              </a:graphicData>
            </a:graphic>
          </wp:inline>
        </w:drawing>
      </w:r>
    </w:p>
    <w:p>
      <w:pPr>
        <w:spacing w:before="120" w:after="120" w:line="240" w:lineRule="auto"/>
        <w:ind w:firstLine="0" w:firstLineChars="0"/>
        <w:jc w:val="center"/>
        <w:rPr>
          <w:rFonts w:hint="eastAsia" w:hAnsi="宋体" w:cs="宋体"/>
          <w:b/>
          <w:bCs/>
          <w:caps/>
          <w:color w:val="auto"/>
          <w:sz w:val="32"/>
          <w:szCs w:val="32"/>
          <w:highlight w:val="none"/>
          <w:lang w:val="en-US" w:eastAsia="zh-CN"/>
        </w:rPr>
      </w:pPr>
      <w:r>
        <w:rPr>
          <w:rFonts w:hint="eastAsia" w:hAnsi="宋体" w:cs="宋体"/>
          <w:b/>
          <w:bCs/>
          <w:caps/>
          <w:color w:val="auto"/>
          <w:sz w:val="32"/>
          <w:szCs w:val="32"/>
          <w:highlight w:val="none"/>
          <w:lang w:eastAsia="zh-CN"/>
        </w:rPr>
        <w:t>修正前</w:t>
      </w:r>
      <w:r>
        <w:rPr>
          <w:rFonts w:hint="eastAsia" w:hAnsi="宋体" w:cs="宋体"/>
          <w:b/>
          <w:bCs/>
          <w:caps/>
          <w:color w:val="auto"/>
          <w:sz w:val="32"/>
          <w:szCs w:val="32"/>
          <w:highlight w:val="none"/>
          <w:lang w:val="en-US" w:eastAsia="zh-CN"/>
        </w:rPr>
        <w:t xml:space="preserve">           修正后</w:t>
      </w:r>
    </w:p>
    <w:p>
      <w:pPr>
        <w:spacing w:before="120" w:after="120" w:line="240" w:lineRule="auto"/>
        <w:ind w:firstLine="0" w:firstLineChars="0"/>
        <w:jc w:val="center"/>
        <w:rPr>
          <w:rFonts w:hint="eastAsia" w:hAnsi="宋体" w:eastAsia="方正仿宋_GBK" w:cs="宋体"/>
          <w:b/>
          <w:bCs/>
          <w:caps/>
          <w:color w:val="auto"/>
          <w:sz w:val="24"/>
          <w:szCs w:val="20"/>
          <w:highlight w:val="none"/>
          <w:lang w:eastAsia="zh-CN"/>
        </w:rPr>
      </w:pPr>
      <w:r>
        <w:rPr>
          <w:rFonts w:hint="eastAsia" w:hAnsi="宋体" w:eastAsia="方正仿宋_GBK" w:cs="宋体"/>
          <w:b/>
          <w:bCs/>
          <w:caps/>
          <w:color w:val="auto"/>
          <w:sz w:val="24"/>
          <w:szCs w:val="20"/>
          <w:highlight w:val="none"/>
          <w:lang w:eastAsia="zh-CN"/>
        </w:rPr>
        <w:drawing>
          <wp:inline distT="0" distB="0" distL="114300" distR="114300">
            <wp:extent cx="5092065" cy="7560310"/>
            <wp:effectExtent l="0" t="0" r="13335" b="2540"/>
            <wp:docPr id="8" name="图片 8" descr="05-修正前—西温泉规划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5-修正前—西温泉规划总图"/>
                    <pic:cNvPicPr>
                      <a:picLocks noChangeAspect="1"/>
                    </pic:cNvPicPr>
                  </pic:nvPicPr>
                  <pic:blipFill>
                    <a:blip r:embed="rId12"/>
                    <a:stretch>
                      <a:fillRect/>
                    </a:stretch>
                  </pic:blipFill>
                  <pic:spPr>
                    <a:xfrm>
                      <a:off x="0" y="0"/>
                      <a:ext cx="5092065" cy="7560310"/>
                    </a:xfrm>
                    <a:prstGeom prst="rect">
                      <a:avLst/>
                    </a:prstGeom>
                  </pic:spPr>
                </pic:pic>
              </a:graphicData>
            </a:graphic>
          </wp:inline>
        </w:drawing>
      </w:r>
      <w:r>
        <w:rPr>
          <w:rFonts w:hint="eastAsia" w:hAnsi="宋体" w:eastAsia="方正仿宋_GBK" w:cs="宋体"/>
          <w:b/>
          <w:bCs/>
          <w:caps/>
          <w:color w:val="auto"/>
          <w:sz w:val="24"/>
          <w:szCs w:val="20"/>
          <w:highlight w:val="none"/>
          <w:lang w:eastAsia="zh-CN"/>
        </w:rPr>
        <w:drawing>
          <wp:inline distT="0" distB="0" distL="114300" distR="114300">
            <wp:extent cx="5092065" cy="7560310"/>
            <wp:effectExtent l="0" t="0" r="13335" b="2540"/>
            <wp:docPr id="9" name="图片 9" descr="06-修正后-西温泉规划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6-修正后-西温泉规划总图"/>
                    <pic:cNvPicPr>
                      <a:picLocks noChangeAspect="1"/>
                    </pic:cNvPicPr>
                  </pic:nvPicPr>
                  <pic:blipFill>
                    <a:blip r:embed="rId13"/>
                    <a:stretch>
                      <a:fillRect/>
                    </a:stretch>
                  </pic:blipFill>
                  <pic:spPr>
                    <a:xfrm>
                      <a:off x="0" y="0"/>
                      <a:ext cx="5092065" cy="7560310"/>
                    </a:xfrm>
                    <a:prstGeom prst="rect">
                      <a:avLst/>
                    </a:prstGeom>
                  </pic:spPr>
                </pic:pic>
              </a:graphicData>
            </a:graphic>
          </wp:inline>
        </w:drawing>
      </w:r>
    </w:p>
    <w:p>
      <w:pPr>
        <w:spacing w:before="120" w:after="120" w:line="240" w:lineRule="auto"/>
        <w:ind w:firstLine="0" w:firstLineChars="0"/>
        <w:jc w:val="center"/>
        <w:rPr>
          <w:rFonts w:hint="eastAsia" w:hAnsi="宋体" w:cs="宋体"/>
          <w:b/>
          <w:bCs/>
          <w:caps/>
          <w:color w:val="auto"/>
          <w:sz w:val="32"/>
          <w:szCs w:val="32"/>
          <w:highlight w:val="none"/>
          <w:lang w:val="en-US" w:eastAsia="zh-CN"/>
        </w:rPr>
      </w:pPr>
      <w:r>
        <w:rPr>
          <w:rFonts w:hint="eastAsia" w:hAnsi="宋体" w:cs="宋体"/>
          <w:b/>
          <w:bCs/>
          <w:caps/>
          <w:color w:val="auto"/>
          <w:sz w:val="32"/>
          <w:szCs w:val="32"/>
          <w:highlight w:val="none"/>
          <w:lang w:eastAsia="zh-CN"/>
        </w:rPr>
        <w:t>修正前</w:t>
      </w:r>
      <w:r>
        <w:rPr>
          <w:rFonts w:hint="eastAsia" w:hAnsi="宋体" w:cs="宋体"/>
          <w:b/>
          <w:bCs/>
          <w:caps/>
          <w:color w:val="auto"/>
          <w:sz w:val="32"/>
          <w:szCs w:val="32"/>
          <w:highlight w:val="none"/>
          <w:lang w:val="en-US" w:eastAsia="zh-CN"/>
        </w:rPr>
        <w:t xml:space="preserve">           修正后</w:t>
      </w:r>
    </w:p>
    <w:p>
      <w:pPr>
        <w:spacing w:before="120" w:after="120" w:line="240" w:lineRule="auto"/>
        <w:ind w:firstLine="0" w:firstLineChars="0"/>
        <w:jc w:val="center"/>
        <w:rPr>
          <w:rFonts w:hint="eastAsia" w:hAnsi="宋体" w:eastAsia="方正仿宋_GBK" w:cs="宋体"/>
          <w:b/>
          <w:bCs/>
          <w:caps/>
          <w:color w:val="auto"/>
          <w:sz w:val="24"/>
          <w:szCs w:val="20"/>
          <w:highlight w:val="none"/>
          <w:lang w:eastAsia="zh-CN"/>
        </w:rPr>
      </w:pPr>
      <w:r>
        <w:rPr>
          <w:rFonts w:hint="eastAsia" w:hAnsi="宋体" w:eastAsia="方正仿宋_GBK" w:cs="宋体"/>
          <w:b/>
          <w:bCs/>
          <w:caps/>
          <w:color w:val="auto"/>
          <w:sz w:val="24"/>
          <w:szCs w:val="20"/>
          <w:highlight w:val="none"/>
          <w:lang w:eastAsia="zh-CN"/>
        </w:rPr>
        <w:drawing>
          <wp:inline distT="0" distB="0" distL="114300" distR="114300">
            <wp:extent cx="5092065" cy="7560310"/>
            <wp:effectExtent l="0" t="0" r="13335" b="2540"/>
            <wp:docPr id="10" name="图片 10" descr="07-修正前—西温泉土地利用协调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7-修正前—西温泉土地利用协调规划图"/>
                    <pic:cNvPicPr>
                      <a:picLocks noChangeAspect="1"/>
                    </pic:cNvPicPr>
                  </pic:nvPicPr>
                  <pic:blipFill>
                    <a:blip r:embed="rId14"/>
                    <a:stretch>
                      <a:fillRect/>
                    </a:stretch>
                  </pic:blipFill>
                  <pic:spPr>
                    <a:xfrm>
                      <a:off x="0" y="0"/>
                      <a:ext cx="5092065" cy="7560310"/>
                    </a:xfrm>
                    <a:prstGeom prst="rect">
                      <a:avLst/>
                    </a:prstGeom>
                  </pic:spPr>
                </pic:pic>
              </a:graphicData>
            </a:graphic>
          </wp:inline>
        </w:drawing>
      </w:r>
      <w:r>
        <w:rPr>
          <w:rFonts w:hint="eastAsia" w:hAnsi="宋体" w:eastAsia="方正仿宋_GBK" w:cs="宋体"/>
          <w:b/>
          <w:bCs/>
          <w:caps/>
          <w:color w:val="auto"/>
          <w:sz w:val="24"/>
          <w:szCs w:val="20"/>
          <w:highlight w:val="none"/>
          <w:lang w:eastAsia="zh-CN"/>
        </w:rPr>
        <w:drawing>
          <wp:inline distT="0" distB="0" distL="114300" distR="114300">
            <wp:extent cx="5092065" cy="7560310"/>
            <wp:effectExtent l="0" t="0" r="13335" b="2540"/>
            <wp:docPr id="11" name="图片 11" descr="08-修正后—西温泉土地利用协调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8-修正后—西温泉土地利用协调规划图"/>
                    <pic:cNvPicPr>
                      <a:picLocks noChangeAspect="1"/>
                    </pic:cNvPicPr>
                  </pic:nvPicPr>
                  <pic:blipFill>
                    <a:blip r:embed="rId15"/>
                    <a:stretch>
                      <a:fillRect/>
                    </a:stretch>
                  </pic:blipFill>
                  <pic:spPr>
                    <a:xfrm>
                      <a:off x="0" y="0"/>
                      <a:ext cx="5092065" cy="7560310"/>
                    </a:xfrm>
                    <a:prstGeom prst="rect">
                      <a:avLst/>
                    </a:prstGeom>
                  </pic:spPr>
                </pic:pic>
              </a:graphicData>
            </a:graphic>
          </wp:inline>
        </w:drawing>
      </w:r>
    </w:p>
    <w:sectPr>
      <w:pgSz w:w="23811" w:h="16838" w:orient="landscape"/>
      <w:pgMar w:top="1800" w:right="1440" w:bottom="638" w:left="144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1" w:fontKey="{5121EE95-5AC2-423A-B35B-B09215EEBD01}"/>
  </w:font>
  <w:font w:name="方正仿宋_GBK">
    <w:panose1 w:val="03000509000000000000"/>
    <w:charset w:val="86"/>
    <w:family w:val="auto"/>
    <w:pitch w:val="default"/>
    <w:sig w:usb0="00000001" w:usb1="080E0000" w:usb2="00000000" w:usb3="00000000" w:csb0="00040000" w:csb1="00000000"/>
    <w:embedRegular r:id="rId2" w:fontKey="{2988BA52-E842-43DD-BEC4-523FCA3F95E9}"/>
  </w:font>
  <w:font w:name="方正黑体_GBK">
    <w:panose1 w:val="03000509000000000000"/>
    <w:charset w:val="86"/>
    <w:family w:val="script"/>
    <w:pitch w:val="default"/>
    <w:sig w:usb0="00000001" w:usb1="080E0000" w:usb2="00000000" w:usb3="00000000" w:csb0="00040000" w:csb1="00000000"/>
    <w:embedRegular r:id="rId3" w:fontKey="{7CBD3625-9E7B-4E12-94AA-1DF96ACD88F0}"/>
  </w:font>
  <w:font w:name="方正楷体_GBK">
    <w:panose1 w:val="03000509000000000000"/>
    <w:charset w:val="86"/>
    <w:family w:val="auto"/>
    <w:pitch w:val="default"/>
    <w:sig w:usb0="00000001" w:usb1="080E0000" w:usb2="00000000" w:usb3="00000000" w:csb0="00040000" w:csb1="00000000"/>
    <w:embedRegular r:id="rId4" w:fontKey="{F548E20F-1EE4-4FEA-AADB-6435E606F43A}"/>
  </w:font>
  <w:font w:name="方正小标宋_GBK">
    <w:panose1 w:val="03000509000000000000"/>
    <w:charset w:val="86"/>
    <w:family w:val="auto"/>
    <w:pitch w:val="default"/>
    <w:sig w:usb0="00000001" w:usb1="080E0000" w:usb2="00000000" w:usb3="00000000" w:csb0="00040000" w:csb1="00000000"/>
    <w:embedRegular r:id="rId5" w:fontKey="{B3B50442-620D-41BD-8785-2D09D9C48F05}"/>
  </w:font>
  <w:font w:name="方正仿宋_GB2312">
    <w:panose1 w:val="02000000000000000000"/>
    <w:charset w:val="86"/>
    <w:family w:val="auto"/>
    <w:pitch w:val="default"/>
    <w:sig w:usb0="A00002BF" w:usb1="184F6CFA" w:usb2="00000012" w:usb3="00000000" w:csb0="00040001" w:csb1="00000000"/>
    <w:embedRegular r:id="rId6" w:fontKey="{09B60E84-C157-4BC7-AEFB-1C66D389E6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keepNext w:val="0"/>
                            <w:keepLines w:val="0"/>
                            <w:pageBreakBefore w:val="0"/>
                            <w:widowControl w:val="0"/>
                            <w:kinsoku/>
                            <w:wordWrap/>
                            <w:overflowPunct/>
                            <w:topLinePunct w:val="0"/>
                            <w:bidi w:val="0"/>
                            <w:adjustRightInd/>
                            <w:snapToGrid w:val="0"/>
                            <w:ind w:firstLine="0" w:firstLineChars="0"/>
                            <w:textAlignment w:val="auto"/>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6"/>
                      <w:keepNext w:val="0"/>
                      <w:keepLines w:val="0"/>
                      <w:pageBreakBefore w:val="0"/>
                      <w:widowControl w:val="0"/>
                      <w:kinsoku/>
                      <w:wordWrap/>
                      <w:overflowPunct/>
                      <w:topLinePunct w:val="0"/>
                      <w:bidi w:val="0"/>
                      <w:adjustRightInd/>
                      <w:snapToGrid w:val="0"/>
                      <w:ind w:firstLine="0" w:firstLineChars="0"/>
                      <w:textAlignment w:val="auto"/>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keepNext w:val="0"/>
                            <w:keepLines w:val="0"/>
                            <w:pageBreakBefore w:val="0"/>
                            <w:widowControl w:val="0"/>
                            <w:kinsoku/>
                            <w:wordWrap/>
                            <w:overflowPunct/>
                            <w:topLinePunct w:val="0"/>
                            <w:bidi w:val="0"/>
                            <w:adjustRightInd/>
                            <w:snapToGrid w:val="0"/>
                            <w:ind w:firstLine="0" w:firstLineChars="0"/>
                            <w:textAlignment w:val="auto"/>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6"/>
                      <w:keepNext w:val="0"/>
                      <w:keepLines w:val="0"/>
                      <w:pageBreakBefore w:val="0"/>
                      <w:widowControl w:val="0"/>
                      <w:kinsoku/>
                      <w:wordWrap/>
                      <w:overflowPunct/>
                      <w:topLinePunct w:val="0"/>
                      <w:bidi w:val="0"/>
                      <w:adjustRightInd/>
                      <w:snapToGrid w:val="0"/>
                      <w:ind w:firstLine="0" w:firstLineChars="0"/>
                      <w:textAlignment w:val="auto"/>
                    </w:pPr>
                    <w:r>
                      <w:fldChar w:fldCharType="begin"/>
                    </w:r>
                    <w:r>
                      <w:instrText xml:space="preserve"> PAGE  \* MERGEFORMAT </w:instrText>
                    </w:r>
                    <w:r>
                      <w:fldChar w:fldCharType="separate"/>
                    </w:r>
                    <w:r>
                      <w:t>II</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JmMDg5MjY5MTIwM2E3ZDk3YTg5NTNiNjkyZGFhYjkifQ=="/>
  </w:docVars>
  <w:rsids>
    <w:rsidRoot w:val="5A8B080C"/>
    <w:rsid w:val="00283098"/>
    <w:rsid w:val="00A5705D"/>
    <w:rsid w:val="00A82B97"/>
    <w:rsid w:val="0A014756"/>
    <w:rsid w:val="0BA7412C"/>
    <w:rsid w:val="0BD87C5D"/>
    <w:rsid w:val="0C663DB3"/>
    <w:rsid w:val="0EFA1F8A"/>
    <w:rsid w:val="0F1741FA"/>
    <w:rsid w:val="11AD3B34"/>
    <w:rsid w:val="15E553FB"/>
    <w:rsid w:val="1C48027E"/>
    <w:rsid w:val="20541126"/>
    <w:rsid w:val="2773300E"/>
    <w:rsid w:val="285C5621"/>
    <w:rsid w:val="2F520F27"/>
    <w:rsid w:val="31C722AD"/>
    <w:rsid w:val="370B7EDB"/>
    <w:rsid w:val="389B10C5"/>
    <w:rsid w:val="5563538C"/>
    <w:rsid w:val="55677B98"/>
    <w:rsid w:val="56F749B7"/>
    <w:rsid w:val="58FF79F5"/>
    <w:rsid w:val="5A8B080C"/>
    <w:rsid w:val="62927C5D"/>
    <w:rsid w:val="63CA644B"/>
    <w:rsid w:val="664E1D01"/>
    <w:rsid w:val="69B01D76"/>
    <w:rsid w:val="6A551C5C"/>
    <w:rsid w:val="7EDD71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600" w:lineRule="exact"/>
      <w:ind w:firstLine="420" w:firstLineChars="200"/>
      <w:jc w:val="both"/>
    </w:pPr>
    <w:rPr>
      <w:rFonts w:ascii="Times New Roman" w:hAnsi="Times New Roman" w:eastAsia="方正仿宋_GBK" w:cstheme="minorBidi"/>
      <w:kern w:val="2"/>
      <w:sz w:val="32"/>
      <w:szCs w:val="24"/>
      <w:lang w:val="en-US" w:eastAsia="zh-CN" w:bidi="ar-SA"/>
    </w:rPr>
  </w:style>
  <w:style w:type="paragraph" w:styleId="2">
    <w:name w:val="heading 1"/>
    <w:basedOn w:val="1"/>
    <w:next w:val="1"/>
    <w:autoRedefine/>
    <w:qFormat/>
    <w:uiPriority w:val="0"/>
    <w:pPr>
      <w:keepNext/>
      <w:keepLines/>
      <w:widowControl w:val="0"/>
      <w:spacing w:line="594" w:lineRule="exact"/>
      <w:outlineLvl w:val="0"/>
    </w:pPr>
    <w:rPr>
      <w:rFonts w:ascii="Times New Roman" w:hAnsi="Times New Roman" w:eastAsia="方正黑体_GBK" w:cs="Times New Roman"/>
      <w:b/>
      <w:bCs/>
      <w:color w:val="000000"/>
      <w:sz w:val="32"/>
      <w:szCs w:val="44"/>
      <w:lang w:val="en-US" w:eastAsia="zh-CN" w:bidi="ar-SA"/>
    </w:rPr>
  </w:style>
  <w:style w:type="paragraph" w:styleId="3">
    <w:name w:val="heading 2"/>
    <w:basedOn w:val="1"/>
    <w:next w:val="1"/>
    <w:autoRedefine/>
    <w:qFormat/>
    <w:uiPriority w:val="0"/>
    <w:pPr>
      <w:keepNext/>
      <w:keepLines/>
      <w:widowControl w:val="0"/>
      <w:adjustRightInd w:val="0"/>
      <w:snapToGrid w:val="0"/>
      <w:spacing w:line="600" w:lineRule="exact"/>
      <w:ind w:firstLine="0" w:firstLineChars="0"/>
      <w:outlineLvl w:val="1"/>
    </w:pPr>
    <w:rPr>
      <w:rFonts w:ascii="Arial" w:hAnsi="Arial" w:eastAsia="方正楷体_GBK" w:cs="Times New Roman"/>
      <w:bCs/>
      <w:szCs w:val="32"/>
    </w:rPr>
  </w:style>
  <w:style w:type="paragraph" w:styleId="4">
    <w:name w:val="heading 3"/>
    <w:basedOn w:val="1"/>
    <w:next w:val="1"/>
    <w:autoRedefine/>
    <w:qFormat/>
    <w:uiPriority w:val="0"/>
    <w:pPr>
      <w:keepNext/>
      <w:keepLines/>
      <w:widowControl w:val="0"/>
      <w:adjustRightInd w:val="0"/>
      <w:snapToGrid w:val="0"/>
      <w:spacing w:line="594" w:lineRule="exact"/>
      <w:ind w:firstLine="200" w:firstLineChars="200"/>
      <w:outlineLvl w:val="2"/>
    </w:pPr>
    <w:rPr>
      <w:rFonts w:ascii="Times New Roman" w:hAnsi="Times New Roman" w:eastAsia="方正仿宋_GBK" w:cs="Times New Roman"/>
      <w:b/>
      <w:bCs/>
      <w:kern w:val="2"/>
      <w:sz w:val="32"/>
      <w:szCs w:val="32"/>
      <w:lang w:val="en-US" w:eastAsia="zh-CN" w:bidi="ar-SA"/>
    </w:rPr>
  </w:style>
  <w:style w:type="character" w:default="1" w:styleId="10">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5">
    <w:name w:val="Normal Indent"/>
    <w:autoRedefine/>
    <w:qFormat/>
    <w:uiPriority w:val="0"/>
    <w:pPr>
      <w:widowControl w:val="0"/>
      <w:adjustRightInd w:val="0"/>
      <w:snapToGrid w:val="0"/>
      <w:spacing w:line="360" w:lineRule="auto"/>
      <w:ind w:firstLine="420" w:firstLineChars="200"/>
    </w:pPr>
    <w:rPr>
      <w:rFonts w:ascii="Times New Roman" w:hAnsi="Times New Roman" w:eastAsia="方正仿宋_GBK" w:cs="Times New Roman"/>
      <w:kern w:val="2"/>
      <w:sz w:val="30"/>
      <w:szCs w:val="24"/>
      <w:lang w:val="en-US" w:eastAsia="zh-CN" w:bidi="ar-SA"/>
    </w:r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8">
    <w:name w:val="toc 1"/>
    <w:next w:val="1"/>
    <w:autoRedefine/>
    <w:semiHidden/>
    <w:qFormat/>
    <w:uiPriority w:val="0"/>
    <w:pPr>
      <w:widowControl w:val="0"/>
      <w:tabs>
        <w:tab w:val="right" w:leader="dot" w:pos="8630"/>
      </w:tabs>
      <w:spacing w:before="120" w:after="120" w:line="594" w:lineRule="exact"/>
      <w:ind w:firstLine="200" w:firstLineChars="200"/>
    </w:pPr>
    <w:rPr>
      <w:rFonts w:ascii="Times New Roman" w:hAnsi="Times New Roman" w:eastAsia="方正仿宋_GBK" w:cs="Times New Roman"/>
      <w:b/>
      <w:bCs/>
      <w:caps/>
      <w:kern w:val="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4274</Words>
  <Characters>5079</Characters>
  <Lines>42</Lines>
  <Paragraphs>11</Paragraphs>
  <TotalTime>6</TotalTime>
  <ScaleCrop>false</ScaleCrop>
  <LinksUpToDate>false</LinksUpToDate>
  <CharactersWithSpaces>5421</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2024-04-01T05:02:00Z</dcterms:created>
  <dc:creator>往妹儿-</dc:creator>
  <cp:lastModifiedBy>Li</cp:lastModifiedBy>
  <dcterms:modified xsi:type="dcterms:W3CDTF">2024-04-23T06:11:32Z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B68DC8688CEA444D98073D73132547D4_13</vt:lpwstr>
  </property>
</Properties>
</file>