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C0D21">
      <w:pPr>
        <w:pStyle w:val="22"/>
        <w:numPr>
          <w:ilvl w:val="0"/>
          <w:numId w:val="1"/>
        </w:numPr>
        <w:jc w:val="center"/>
        <w:outlineLvl w:val="0"/>
        <w:rPr>
          <w:rFonts w:ascii="Times New Roman" w:hAnsi="Times New Roman" w:cs="Times New Roman"/>
          <w:b/>
          <w:snapToGrid w:val="0"/>
          <w:color w:val="000000" w:themeColor="text1"/>
          <w:sz w:val="32"/>
          <w:szCs w:val="32"/>
          <w14:textFill>
            <w14:solidFill>
              <w14:schemeClr w14:val="tx1"/>
            </w14:solidFill>
          </w14:textFill>
        </w:rPr>
      </w:pPr>
      <w:r>
        <w:rPr>
          <w:rFonts w:ascii="Times New Roman" w:hAnsi="Times New Roman" w:cs="Times New Roman"/>
          <w:b/>
          <w:snapToGrid w:val="0"/>
          <w:color w:val="000000" w:themeColor="text1"/>
          <w:sz w:val="32"/>
          <w:szCs w:val="32"/>
          <w14:textFill>
            <w14:solidFill>
              <w14:schemeClr w14:val="tx1"/>
            </w14:solidFill>
          </w14:textFill>
        </w:rPr>
        <w:t>建设项目基本情况</w:t>
      </w:r>
    </w:p>
    <w:tbl>
      <w:tblPr>
        <w:tblStyle w:val="25"/>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83"/>
        <w:gridCol w:w="1460"/>
        <w:gridCol w:w="2104"/>
        <w:gridCol w:w="1953"/>
        <w:gridCol w:w="3354"/>
      </w:tblGrid>
      <w:tr w14:paraId="29A13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7FC20DA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6991" w:type="dxa"/>
            <w:gridSpan w:val="3"/>
            <w:vAlign w:val="center"/>
          </w:tcPr>
          <w:p w14:paraId="0B4A28D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年产1万台智能流体控制产品项目</w:t>
            </w:r>
          </w:p>
        </w:tc>
      </w:tr>
      <w:tr w14:paraId="1FEC5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0FBD0C1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6991" w:type="dxa"/>
            <w:gridSpan w:val="3"/>
            <w:vAlign w:val="center"/>
          </w:tcPr>
          <w:p w14:paraId="06894051">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2407-500151-04-05-811266</w:t>
            </w:r>
          </w:p>
        </w:tc>
      </w:tr>
      <w:tr w14:paraId="037D3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2DE3BA3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985" w:type="dxa"/>
            <w:vAlign w:val="center"/>
          </w:tcPr>
          <w:p w14:paraId="39CCD22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郑军</w:t>
            </w:r>
          </w:p>
        </w:tc>
        <w:tc>
          <w:tcPr>
            <w:tcW w:w="1842" w:type="dxa"/>
            <w:vAlign w:val="center"/>
          </w:tcPr>
          <w:p w14:paraId="6E56F51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164" w:type="dxa"/>
            <w:vAlign w:val="center"/>
          </w:tcPr>
          <w:p w14:paraId="170F08C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157</w:t>
            </w:r>
            <w:r>
              <w:rPr>
                <w:rFonts w:hint="eastAsia"/>
                <w:color w:val="000000" w:themeColor="text1"/>
                <w:sz w:val="24"/>
                <w:lang w:val="en-US" w:eastAsia="zh-CN"/>
                <w14:textFill>
                  <w14:solidFill>
                    <w14:schemeClr w14:val="tx1"/>
                  </w14:solidFill>
                </w14:textFill>
              </w:rPr>
              <w:t>****</w:t>
            </w:r>
            <w:bookmarkStart w:id="5" w:name="_GoBack"/>
            <w:bookmarkEnd w:id="5"/>
            <w:r>
              <w:rPr>
                <w:color w:val="000000" w:themeColor="text1"/>
                <w:sz w:val="24"/>
                <w14:textFill>
                  <w14:solidFill>
                    <w14:schemeClr w14:val="tx1"/>
                  </w14:solidFill>
                </w14:textFill>
              </w:rPr>
              <w:t>9397</w:t>
            </w:r>
          </w:p>
        </w:tc>
      </w:tr>
      <w:tr w14:paraId="56E06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5B8164A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6991" w:type="dxa"/>
            <w:gridSpan w:val="3"/>
            <w:vAlign w:val="center"/>
          </w:tcPr>
          <w:p w14:paraId="6AF325B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重庆市铜梁区蒲吕街道产业大道38号1-1（小米智能制造产业园4A栋1楼）</w:t>
            </w:r>
          </w:p>
        </w:tc>
      </w:tr>
      <w:tr w14:paraId="08CDD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6515A62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6991" w:type="dxa"/>
            <w:gridSpan w:val="3"/>
            <w:vAlign w:val="center"/>
          </w:tcPr>
          <w:p w14:paraId="2812F774">
            <w:pPr>
              <w:jc w:val="center"/>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经度：106°8′12.495″纬度：29°49′44.962″</w:t>
            </w:r>
          </w:p>
        </w:tc>
      </w:tr>
      <w:tr w14:paraId="0FDD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0B5AEE8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0A54160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985" w:type="dxa"/>
            <w:vAlign w:val="center"/>
          </w:tcPr>
          <w:p w14:paraId="3ECDD55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C3443阀门和旋塞制造</w:t>
            </w:r>
          </w:p>
        </w:tc>
        <w:tc>
          <w:tcPr>
            <w:tcW w:w="1842" w:type="dxa"/>
            <w:vAlign w:val="center"/>
          </w:tcPr>
          <w:p w14:paraId="382B59FC">
            <w:pPr>
              <w:adjustRightInd w:val="0"/>
              <w:snapToGrid w:val="0"/>
              <w:jc w:val="center"/>
              <w:rPr>
                <w:color w:val="000000" w:themeColor="text1"/>
                <w:sz w:val="24"/>
                <w14:textFill>
                  <w14:solidFill>
                    <w14:schemeClr w14:val="tx1"/>
                  </w14:solidFill>
                </w14:textFill>
              </w:rPr>
            </w:pPr>
            <w:bookmarkStart w:id="0" w:name="_Hlk49843745"/>
            <w:r>
              <w:rPr>
                <w:color w:val="000000" w:themeColor="text1"/>
                <w:sz w:val="24"/>
                <w14:textFill>
                  <w14:solidFill>
                    <w14:schemeClr w14:val="tx1"/>
                  </w14:solidFill>
                </w14:textFill>
              </w:rPr>
              <w:t>建设项目</w:t>
            </w:r>
          </w:p>
          <w:p w14:paraId="3CAFCB9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0"/>
          </w:p>
        </w:tc>
        <w:tc>
          <w:tcPr>
            <w:tcW w:w="3164" w:type="dxa"/>
            <w:vAlign w:val="center"/>
          </w:tcPr>
          <w:p w14:paraId="4D2D98AB">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三十一、通用设备制造业34</w:t>
            </w:r>
          </w:p>
          <w:p w14:paraId="088623DB">
            <w:pPr>
              <w:adjustRightInd w:val="0"/>
              <w:snapToGrid w:val="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泵、阀门、压缩机及类似机械制造344</w:t>
            </w:r>
          </w:p>
        </w:tc>
      </w:tr>
      <w:tr w14:paraId="5BA1A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406A320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985" w:type="dxa"/>
            <w:vAlign w:val="center"/>
          </w:tcPr>
          <w:p w14:paraId="264142DE">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14:paraId="79CB8184">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□改建</w:t>
            </w:r>
          </w:p>
          <w:p w14:paraId="51C20649">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14:paraId="7BD73662">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1842" w:type="dxa"/>
            <w:vAlign w:val="center"/>
          </w:tcPr>
          <w:p w14:paraId="2AD9696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0355DED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164" w:type="dxa"/>
            <w:vAlign w:val="center"/>
          </w:tcPr>
          <w:p w14:paraId="16520005">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14:paraId="371B7BAB">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14:paraId="1B893EB3">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□超五年重新审核项目</w:t>
            </w:r>
          </w:p>
          <w:p w14:paraId="3EC71576">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14:paraId="7ABD4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6B80E51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101FF3D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w:t>
            </w:r>
          </w:p>
        </w:tc>
        <w:tc>
          <w:tcPr>
            <w:tcW w:w="1985" w:type="dxa"/>
            <w:vAlign w:val="center"/>
          </w:tcPr>
          <w:p w14:paraId="75C4709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重庆市铜梁区发展和改革委员会</w:t>
            </w:r>
          </w:p>
        </w:tc>
        <w:tc>
          <w:tcPr>
            <w:tcW w:w="1842" w:type="dxa"/>
            <w:vAlign w:val="center"/>
          </w:tcPr>
          <w:p w14:paraId="379952B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w:t>
            </w:r>
          </w:p>
        </w:tc>
        <w:tc>
          <w:tcPr>
            <w:tcW w:w="3164" w:type="dxa"/>
            <w:vAlign w:val="center"/>
          </w:tcPr>
          <w:p w14:paraId="18988A87">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2407-500151-04-05-811266</w:t>
            </w:r>
          </w:p>
        </w:tc>
      </w:tr>
      <w:tr w14:paraId="51DF8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308B35C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w:t>
            </w:r>
          </w:p>
          <w:p w14:paraId="7ED8DCC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c>
          <w:tcPr>
            <w:tcW w:w="1985" w:type="dxa"/>
            <w:vAlign w:val="center"/>
          </w:tcPr>
          <w:p w14:paraId="6E09FFF7">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2500</w:t>
            </w:r>
          </w:p>
        </w:tc>
        <w:tc>
          <w:tcPr>
            <w:tcW w:w="1842" w:type="dxa"/>
            <w:tcMar>
              <w:top w:w="16" w:type="dxa"/>
              <w:left w:w="16" w:type="dxa"/>
              <w:right w:w="16" w:type="dxa"/>
            </w:tcMar>
            <w:vAlign w:val="center"/>
          </w:tcPr>
          <w:p w14:paraId="4393E4C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w:t>
            </w:r>
          </w:p>
          <w:p w14:paraId="3CC1A2B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c>
          <w:tcPr>
            <w:tcW w:w="3164" w:type="dxa"/>
            <w:vAlign w:val="center"/>
          </w:tcPr>
          <w:p w14:paraId="2C529BD8">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25</w:t>
            </w:r>
          </w:p>
        </w:tc>
      </w:tr>
      <w:tr w14:paraId="740E8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45F86E6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985" w:type="dxa"/>
            <w:vAlign w:val="center"/>
          </w:tcPr>
          <w:p w14:paraId="6CBCF001">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w:t>
            </w:r>
          </w:p>
        </w:tc>
        <w:tc>
          <w:tcPr>
            <w:tcW w:w="1842" w:type="dxa"/>
            <w:tcMar>
              <w:top w:w="16" w:type="dxa"/>
              <w:left w:w="16" w:type="dxa"/>
              <w:right w:w="16" w:type="dxa"/>
            </w:tcMar>
            <w:vAlign w:val="center"/>
          </w:tcPr>
          <w:p w14:paraId="3F89127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164" w:type="dxa"/>
            <w:vAlign w:val="center"/>
          </w:tcPr>
          <w:p w14:paraId="217CB2E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2个月</w:t>
            </w:r>
          </w:p>
        </w:tc>
      </w:tr>
      <w:tr w14:paraId="630C3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3" w:type="dxa"/>
            <w:gridSpan w:val="2"/>
            <w:tcMar>
              <w:top w:w="16" w:type="dxa"/>
              <w:left w:w="16" w:type="dxa"/>
              <w:right w:w="16" w:type="dxa"/>
            </w:tcMar>
            <w:vAlign w:val="center"/>
          </w:tcPr>
          <w:p w14:paraId="0D8D8EF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985" w:type="dxa"/>
            <w:vAlign w:val="center"/>
          </w:tcPr>
          <w:p w14:paraId="726E3A82">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622F6BC4">
            <w:pPr>
              <w:adjustRightInd w:val="0"/>
              <w:snapToGrid w:val="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p>
        </w:tc>
        <w:tc>
          <w:tcPr>
            <w:tcW w:w="1842" w:type="dxa"/>
            <w:tcMar>
              <w:top w:w="16" w:type="dxa"/>
              <w:left w:w="16" w:type="dxa"/>
              <w:right w:w="16" w:type="dxa"/>
            </w:tcMar>
            <w:vAlign w:val="center"/>
          </w:tcPr>
          <w:p w14:paraId="50369AFC">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用地面积（m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164" w:type="dxa"/>
            <w:vAlign w:val="center"/>
          </w:tcPr>
          <w:p w14:paraId="6AA8699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租赁建筑面积3929.25</w:t>
            </w:r>
          </w:p>
        </w:tc>
      </w:tr>
      <w:tr w14:paraId="1545A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Align w:val="center"/>
          </w:tcPr>
          <w:p w14:paraId="3EB2F7C4">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8368" w:type="dxa"/>
            <w:gridSpan w:val="4"/>
            <w:vAlign w:val="center"/>
          </w:tcPr>
          <w:p w14:paraId="017CDAB9">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对照《建设项目环境影响报告表编制技术指南（污染影响类）（试行）》中“表1专项评价设置原则表”，项目专项评价设置情况见下表1-1：</w:t>
            </w:r>
          </w:p>
          <w:p w14:paraId="5649C005">
            <w:pPr>
              <w:autoSpaceDE w:val="0"/>
              <w:autoSpaceDN w:val="0"/>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表1-1专项评价设置原则对照表（截取项目相关）</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3668"/>
              <w:gridCol w:w="3835"/>
            </w:tblGrid>
            <w:tr w14:paraId="4285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14:paraId="6B3C6175">
                  <w:pPr>
                    <w:pStyle w:val="14"/>
                    <w:spacing w:line="240" w:lineRule="auto"/>
                    <w:ind w:firstLine="0" w:firstLineChars="0"/>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专项评价的类别</w:t>
                  </w:r>
                </w:p>
              </w:tc>
              <w:tc>
                <w:tcPr>
                  <w:tcW w:w="2122" w:type="pct"/>
                  <w:vAlign w:val="center"/>
                </w:tcPr>
                <w:p w14:paraId="75F36F80">
                  <w:pPr>
                    <w:pStyle w:val="14"/>
                    <w:spacing w:line="240" w:lineRule="auto"/>
                    <w:ind w:firstLine="0" w:firstLineChars="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设置原则</w:t>
                  </w:r>
                </w:p>
              </w:tc>
              <w:tc>
                <w:tcPr>
                  <w:tcW w:w="2218" w:type="pct"/>
                  <w:vAlign w:val="center"/>
                </w:tcPr>
                <w:p w14:paraId="75E71B5D">
                  <w:pPr>
                    <w:pStyle w:val="11"/>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项目专项评价设置情况</w:t>
                  </w:r>
                </w:p>
              </w:tc>
            </w:tr>
            <w:tr w14:paraId="7607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14:paraId="099287F9">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大气</w:t>
                  </w:r>
                </w:p>
              </w:tc>
              <w:tc>
                <w:tcPr>
                  <w:tcW w:w="2122" w:type="pct"/>
                  <w:vAlign w:val="center"/>
                </w:tcPr>
                <w:p w14:paraId="30EF8EA2">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排放废气含有毒有害污染物</w:t>
                  </w:r>
                  <w:r>
                    <w:rPr>
                      <w:rFonts w:ascii="Times New Roman" w:hAnsi="Times New Roman"/>
                      <w:color w:val="000000" w:themeColor="text1"/>
                      <w:sz w:val="21"/>
                      <w:szCs w:val="21"/>
                      <w:vertAlign w:val="superscript"/>
                      <w14:textFill>
                        <w14:solidFill>
                          <w14:schemeClr w14:val="tx1"/>
                        </w14:solidFill>
                      </w14:textFill>
                    </w:rPr>
                    <w:t>1</w:t>
                  </w:r>
                  <w:r>
                    <w:rPr>
                      <w:rFonts w:ascii="Times New Roman" w:hAnsi="Times New Roman"/>
                      <w:color w:val="000000" w:themeColor="text1"/>
                      <w:sz w:val="21"/>
                      <w:szCs w:val="21"/>
                      <w14:textFill>
                        <w14:solidFill>
                          <w14:schemeClr w14:val="tx1"/>
                        </w14:solidFill>
                      </w14:textFill>
                    </w:rPr>
                    <w:t>、二噁英、苯并[a]芘、氰化物、氯气且厂界外500米范围内有环境空气保护目标</w:t>
                  </w:r>
                  <w:r>
                    <w:rPr>
                      <w:rFonts w:ascii="Times New Roman" w:hAnsi="Times New Roman"/>
                      <w:color w:val="000000" w:themeColor="text1"/>
                      <w:sz w:val="21"/>
                      <w:szCs w:val="21"/>
                      <w:vertAlign w:val="superscript"/>
                      <w14:textFill>
                        <w14:solidFill>
                          <w14:schemeClr w14:val="tx1"/>
                        </w14:solidFill>
                      </w14:textFill>
                    </w:rPr>
                    <w:t>2</w:t>
                  </w:r>
                  <w:r>
                    <w:rPr>
                      <w:rFonts w:ascii="Times New Roman" w:hAnsi="Times New Roman"/>
                      <w:color w:val="000000" w:themeColor="text1"/>
                      <w:sz w:val="21"/>
                      <w:szCs w:val="21"/>
                      <w14:textFill>
                        <w14:solidFill>
                          <w14:schemeClr w14:val="tx1"/>
                        </w14:solidFill>
                      </w14:textFill>
                    </w:rPr>
                    <w:t>的建设项目</w:t>
                  </w:r>
                </w:p>
              </w:tc>
              <w:tc>
                <w:tcPr>
                  <w:tcW w:w="2218" w:type="pct"/>
                  <w:vAlign w:val="center"/>
                </w:tcPr>
                <w:p w14:paraId="56FC88F8">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21"/>
                      <w:sz w:val="21"/>
                      <w:szCs w:val="21"/>
                      <w14:textFill>
                        <w14:solidFill>
                          <w14:schemeClr w14:val="tx1"/>
                        </w14:solidFill>
                      </w14:textFill>
                    </w:rPr>
                    <w:t>项目运营期外排废气中污染因子不含前述污染物</w:t>
                  </w:r>
                  <w:r>
                    <w:rPr>
                      <w:rFonts w:ascii="Times New Roman" w:hAnsi="Times New Roman"/>
                      <w:color w:val="000000" w:themeColor="text1"/>
                      <w:sz w:val="21"/>
                      <w:szCs w:val="21"/>
                      <w14:textFill>
                        <w14:solidFill>
                          <w14:schemeClr w14:val="tx1"/>
                        </w14:solidFill>
                      </w14:textFill>
                    </w:rPr>
                    <w:t>，故项目无需开展大气专项评价</w:t>
                  </w:r>
                </w:p>
              </w:tc>
            </w:tr>
            <w:tr w14:paraId="619F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14:paraId="37669FA5">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地表水</w:t>
                  </w:r>
                </w:p>
              </w:tc>
              <w:tc>
                <w:tcPr>
                  <w:tcW w:w="2122" w:type="pct"/>
                  <w:vAlign w:val="center"/>
                </w:tcPr>
                <w:p w14:paraId="45D01A87">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新增工业废水直排建设项目（槽罐车外送污水处理厂的除外）；新增废水直排的污水集中处理厂</w:t>
                  </w:r>
                </w:p>
              </w:tc>
              <w:tc>
                <w:tcPr>
                  <w:tcW w:w="2218" w:type="pct"/>
                  <w:vAlign w:val="center"/>
                </w:tcPr>
                <w:p w14:paraId="23107A45">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项目运营期废水间接排放，无需开展地表水专项评价</w:t>
                  </w:r>
                </w:p>
              </w:tc>
            </w:tr>
            <w:tr w14:paraId="006C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14:paraId="5E92DCB5">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环境风险</w:t>
                  </w:r>
                </w:p>
              </w:tc>
              <w:tc>
                <w:tcPr>
                  <w:tcW w:w="2122" w:type="pct"/>
                  <w:vAlign w:val="center"/>
                </w:tcPr>
                <w:p w14:paraId="5A784EBA">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有毒有害和易燃易爆危险物质存储量超过临界量</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的建设项目</w:t>
                  </w:r>
                </w:p>
              </w:tc>
              <w:tc>
                <w:tcPr>
                  <w:tcW w:w="2218" w:type="pct"/>
                  <w:vAlign w:val="center"/>
                </w:tcPr>
                <w:p w14:paraId="0CC535EC">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项目有毒有害和易燃易爆危险物质存储量均未超过临界量，故项目无需开展环境风险专项评价</w:t>
                  </w:r>
                </w:p>
              </w:tc>
            </w:tr>
            <w:tr w14:paraId="48EB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14:paraId="4C3FDD94">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生态</w:t>
                  </w:r>
                </w:p>
              </w:tc>
              <w:tc>
                <w:tcPr>
                  <w:tcW w:w="2122" w:type="pct"/>
                  <w:vAlign w:val="center"/>
                </w:tcPr>
                <w:p w14:paraId="3AE92272">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2218" w:type="pct"/>
                  <w:vAlign w:val="center"/>
                </w:tcPr>
                <w:p w14:paraId="59A26440">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项目不涉及取水，故项目无需开展生态专项评价</w:t>
                  </w:r>
                </w:p>
              </w:tc>
            </w:tr>
            <w:tr w14:paraId="76CB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vAlign w:val="center"/>
                </w:tcPr>
                <w:p w14:paraId="087518C4">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海洋</w:t>
                  </w:r>
                </w:p>
              </w:tc>
              <w:tc>
                <w:tcPr>
                  <w:tcW w:w="2122" w:type="pct"/>
                  <w:vAlign w:val="center"/>
                </w:tcPr>
                <w:p w14:paraId="175D1804">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直接向海排放污染物的海洋工程建设项目</w:t>
                  </w:r>
                </w:p>
              </w:tc>
              <w:tc>
                <w:tcPr>
                  <w:tcW w:w="2218" w:type="pct"/>
                  <w:vAlign w:val="center"/>
                </w:tcPr>
                <w:p w14:paraId="0B979FA8">
                  <w:pPr>
                    <w:pStyle w:val="14"/>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项目不属于海洋工程建设项目，故项目无需开展海洋专项评价</w:t>
                  </w:r>
                </w:p>
              </w:tc>
            </w:tr>
            <w:tr w14:paraId="66CB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2C5DAC4">
                  <w:pPr>
                    <w:pStyle w:val="14"/>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注：1.废气中有毒有害污染物指纳入《有毒有害大气污染物名录》的污染物（不包括无排放标准的污染物）。</w:t>
                  </w:r>
                </w:p>
                <w:p w14:paraId="18B07B0A">
                  <w:pPr>
                    <w:pStyle w:val="14"/>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2.环境空气保护目标指自然保护区、风景名胜区、居住区、文化区和农村地区中人群较集中的区域。</w:t>
                  </w:r>
                </w:p>
                <w:p w14:paraId="67FFD0D5">
                  <w:pPr>
                    <w:pStyle w:val="14"/>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3.临界量及其计算方法可参考《建设项目环境风险评价技术导则》（HJ169）附录B、附录C。</w:t>
                  </w:r>
                </w:p>
              </w:tc>
            </w:tr>
          </w:tbl>
          <w:p w14:paraId="173CC0A8">
            <w:pPr>
              <w:autoSpaceDE w:val="0"/>
              <w:autoSpaceDN w:val="0"/>
              <w:adjustRightInd w:val="0"/>
              <w:snapToGrid w:val="0"/>
              <w:jc w:val="center"/>
              <w:rPr>
                <w:color w:val="000000" w:themeColor="text1"/>
                <w:kern w:val="0"/>
                <w:sz w:val="24"/>
                <w14:textFill>
                  <w14:solidFill>
                    <w14:schemeClr w14:val="tx1"/>
                  </w14:solidFill>
                </w14:textFill>
              </w:rPr>
            </w:pPr>
          </w:p>
        </w:tc>
      </w:tr>
      <w:tr w14:paraId="0076A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Align w:val="center"/>
          </w:tcPr>
          <w:p w14:paraId="153CB194">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8368" w:type="dxa"/>
            <w:gridSpan w:val="4"/>
            <w:vAlign w:val="center"/>
          </w:tcPr>
          <w:p w14:paraId="1B1E35C8">
            <w:pPr>
              <w:autoSpaceDE w:val="0"/>
              <w:autoSpaceDN w:val="0"/>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规划名称：《铜梁区工业发展规划》（2017</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2025年）、《重</w:t>
            </w:r>
            <w:r>
              <w:rPr>
                <w:color w:val="000000" w:themeColor="text1"/>
                <w:spacing w:val="-3"/>
                <w:sz w:val="24"/>
                <w14:textFill>
                  <w14:solidFill>
                    <w14:schemeClr w14:val="tx1"/>
                  </w14:solidFill>
                </w14:textFill>
              </w:rPr>
              <w:t>庆</w:t>
            </w:r>
            <w:r>
              <w:rPr>
                <w:color w:val="000000" w:themeColor="text1"/>
                <w:sz w:val="24"/>
                <w14:textFill>
                  <w14:solidFill>
                    <w14:schemeClr w14:val="tx1"/>
                  </w14:solidFill>
                </w14:textFill>
              </w:rPr>
              <w:t>市</w:t>
            </w:r>
            <w:r>
              <w:rPr>
                <w:color w:val="000000" w:themeColor="text1"/>
                <w:spacing w:val="-3"/>
                <w:sz w:val="24"/>
                <w14:textFill>
                  <w14:solidFill>
                    <w14:schemeClr w14:val="tx1"/>
                  </w14:solidFill>
                </w14:textFill>
              </w:rPr>
              <w:t>铜</w:t>
            </w:r>
            <w:r>
              <w:rPr>
                <w:color w:val="000000" w:themeColor="text1"/>
                <w:sz w:val="24"/>
                <w14:textFill>
                  <w14:solidFill>
                    <w14:schemeClr w14:val="tx1"/>
                  </w14:solidFill>
                </w14:textFill>
              </w:rPr>
              <w:t>梁</w:t>
            </w:r>
            <w:r>
              <w:rPr>
                <w:color w:val="000000" w:themeColor="text1"/>
                <w:spacing w:val="-3"/>
                <w:sz w:val="24"/>
                <w14:textFill>
                  <w14:solidFill>
                    <w14:schemeClr w14:val="tx1"/>
                  </w14:solidFill>
                </w14:textFill>
              </w:rPr>
              <w:t>区</w:t>
            </w:r>
            <w:r>
              <w:rPr>
                <w:color w:val="000000" w:themeColor="text1"/>
                <w:sz w:val="24"/>
                <w14:textFill>
                  <w14:solidFill>
                    <w14:schemeClr w14:val="tx1"/>
                  </w14:solidFill>
                </w14:textFill>
              </w:rPr>
              <w:t>工</w:t>
            </w:r>
            <w:r>
              <w:rPr>
                <w:color w:val="000000" w:themeColor="text1"/>
                <w:spacing w:val="-3"/>
                <w:sz w:val="24"/>
                <w14:textFill>
                  <w14:solidFill>
                    <w14:schemeClr w14:val="tx1"/>
                  </w14:solidFill>
                </w14:textFill>
              </w:rPr>
              <w:t>业</w:t>
            </w:r>
            <w:r>
              <w:rPr>
                <w:color w:val="000000" w:themeColor="text1"/>
                <w:sz w:val="24"/>
                <w14:textFill>
                  <w14:solidFill>
                    <w14:schemeClr w14:val="tx1"/>
                  </w14:solidFill>
                </w14:textFill>
              </w:rPr>
              <w:t>园</w:t>
            </w:r>
            <w:r>
              <w:rPr>
                <w:color w:val="000000" w:themeColor="text1"/>
                <w:spacing w:val="-3"/>
                <w:sz w:val="24"/>
                <w14:textFill>
                  <w14:solidFill>
                    <w14:schemeClr w14:val="tx1"/>
                  </w14:solidFill>
                </w14:textFill>
              </w:rPr>
              <w:t>区</w:t>
            </w:r>
            <w:r>
              <w:rPr>
                <w:color w:val="000000" w:themeColor="text1"/>
                <w:sz w:val="24"/>
                <w14:textFill>
                  <w14:solidFill>
                    <w14:schemeClr w14:val="tx1"/>
                  </w14:solidFill>
                </w14:textFill>
              </w:rPr>
              <w:t>全蒲</w:t>
            </w:r>
            <w:r>
              <w:rPr>
                <w:color w:val="000000" w:themeColor="text1"/>
                <w:spacing w:val="-3"/>
                <w:sz w:val="24"/>
                <w14:textFill>
                  <w14:solidFill>
                    <w14:schemeClr w14:val="tx1"/>
                  </w14:solidFill>
                </w14:textFill>
              </w:rPr>
              <w:t>片</w:t>
            </w:r>
            <w:r>
              <w:rPr>
                <w:color w:val="000000" w:themeColor="text1"/>
                <w:sz w:val="24"/>
                <w14:textFill>
                  <w14:solidFill>
                    <w14:schemeClr w14:val="tx1"/>
                  </w14:solidFill>
                </w14:textFill>
              </w:rPr>
              <w:t>区</w:t>
            </w:r>
            <w:r>
              <w:rPr>
                <w:color w:val="000000" w:themeColor="text1"/>
                <w:spacing w:val="-3"/>
                <w:sz w:val="24"/>
                <w14:textFill>
                  <w14:solidFill>
                    <w14:schemeClr w14:val="tx1"/>
                  </w14:solidFill>
                </w14:textFill>
              </w:rPr>
              <w:t>控</w:t>
            </w:r>
            <w:r>
              <w:rPr>
                <w:color w:val="000000" w:themeColor="text1"/>
                <w:sz w:val="24"/>
                <w14:textFill>
                  <w14:solidFill>
                    <w14:schemeClr w14:val="tx1"/>
                  </w14:solidFill>
                </w14:textFill>
              </w:rPr>
              <w:t>规</w:t>
            </w:r>
            <w:r>
              <w:rPr>
                <w:color w:val="000000" w:themeColor="text1"/>
                <w:spacing w:val="-3"/>
                <w:sz w:val="24"/>
                <w14:textFill>
                  <w14:solidFill>
                    <w14:schemeClr w14:val="tx1"/>
                  </w14:solidFill>
                </w14:textFill>
              </w:rPr>
              <w:t>修</w:t>
            </w:r>
            <w:r>
              <w:rPr>
                <w:color w:val="000000" w:themeColor="text1"/>
                <w:sz w:val="24"/>
                <w14:textFill>
                  <w14:solidFill>
                    <w14:schemeClr w14:val="tx1"/>
                  </w14:solidFill>
                </w14:textFill>
              </w:rPr>
              <w:t>改</w:t>
            </w:r>
            <w:r>
              <w:rPr>
                <w:color w:val="000000" w:themeColor="text1"/>
                <w:spacing w:val="-108"/>
                <w:sz w:val="24"/>
                <w14:textFill>
                  <w14:solidFill>
                    <w14:schemeClr w14:val="tx1"/>
                  </w14:solidFill>
                </w14:textFill>
              </w:rPr>
              <w:t>》</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（2017年修编）；</w:t>
            </w:r>
          </w:p>
          <w:p w14:paraId="53023EF7">
            <w:pPr>
              <w:autoSpaceDE w:val="0"/>
              <w:autoSpaceDN w:val="0"/>
              <w:adjustRightInd w:val="0"/>
              <w:snapToGrid w:val="0"/>
              <w:spacing w:line="360" w:lineRule="auto"/>
              <w:rPr>
                <w:color w:val="000000" w:themeColor="text1"/>
                <w:spacing w:val="-3"/>
                <w:sz w:val="24"/>
                <w14:textFill>
                  <w14:solidFill>
                    <w14:schemeClr w14:val="tx1"/>
                  </w14:solidFill>
                </w14:textFill>
              </w:rPr>
            </w:pPr>
            <w:r>
              <w:rPr>
                <w:color w:val="000000" w:themeColor="text1"/>
                <w:sz w:val="24"/>
                <w14:textFill>
                  <w14:solidFill>
                    <w14:schemeClr w14:val="tx1"/>
                  </w14:solidFill>
                </w14:textFill>
              </w:rPr>
              <w:t>规划实施单位：</w:t>
            </w:r>
            <w:r>
              <w:rPr>
                <w:color w:val="000000" w:themeColor="text1"/>
                <w:spacing w:val="-3"/>
                <w:sz w:val="24"/>
                <w14:textFill>
                  <w14:solidFill>
                    <w14:schemeClr w14:val="tx1"/>
                  </w14:solidFill>
                </w14:textFill>
              </w:rPr>
              <w:t>重庆</w:t>
            </w:r>
            <w:r>
              <w:rPr>
                <w:color w:val="000000" w:themeColor="text1"/>
                <w:sz w:val="24"/>
                <w14:textFill>
                  <w14:solidFill>
                    <w14:schemeClr w14:val="tx1"/>
                  </w14:solidFill>
                </w14:textFill>
              </w:rPr>
              <w:t>市铜</w:t>
            </w:r>
            <w:r>
              <w:rPr>
                <w:color w:val="000000" w:themeColor="text1"/>
                <w:spacing w:val="-3"/>
                <w:sz w:val="24"/>
                <w14:textFill>
                  <w14:solidFill>
                    <w14:schemeClr w14:val="tx1"/>
                  </w14:solidFill>
                </w14:textFill>
              </w:rPr>
              <w:t>梁</w:t>
            </w:r>
            <w:r>
              <w:rPr>
                <w:color w:val="000000" w:themeColor="text1"/>
                <w:sz w:val="24"/>
                <w14:textFill>
                  <w14:solidFill>
                    <w14:schemeClr w14:val="tx1"/>
                  </w14:solidFill>
                </w14:textFill>
              </w:rPr>
              <w:t>区</w:t>
            </w:r>
            <w:r>
              <w:rPr>
                <w:color w:val="000000" w:themeColor="text1"/>
                <w:spacing w:val="-3"/>
                <w:sz w:val="24"/>
                <w14:textFill>
                  <w14:solidFill>
                    <w14:schemeClr w14:val="tx1"/>
                  </w14:solidFill>
                </w14:textFill>
              </w:rPr>
              <w:t>规</w:t>
            </w:r>
            <w:r>
              <w:rPr>
                <w:color w:val="000000" w:themeColor="text1"/>
                <w:sz w:val="24"/>
                <w14:textFill>
                  <w14:solidFill>
                    <w14:schemeClr w14:val="tx1"/>
                  </w14:solidFill>
                </w14:textFill>
              </w:rPr>
              <w:t>划</w:t>
            </w:r>
            <w:r>
              <w:rPr>
                <w:color w:val="000000" w:themeColor="text1"/>
                <w:spacing w:val="-3"/>
                <w:sz w:val="24"/>
                <w14:textFill>
                  <w14:solidFill>
                    <w14:schemeClr w14:val="tx1"/>
                  </w14:solidFill>
                </w14:textFill>
              </w:rPr>
              <w:t>局；</w:t>
            </w:r>
          </w:p>
          <w:p w14:paraId="26CE9FD7">
            <w:pPr>
              <w:autoSpaceDE w:val="0"/>
              <w:autoSpaceDN w:val="0"/>
              <w:adjustRightInd w:val="0"/>
              <w:snapToGrid w:val="0"/>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审批文件名称及文号：铜府[2017]175号。</w:t>
            </w:r>
          </w:p>
        </w:tc>
      </w:tr>
      <w:tr w14:paraId="7151E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6" w:type="dxa"/>
            <w:vAlign w:val="center"/>
          </w:tcPr>
          <w:p w14:paraId="678EA33A">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8368" w:type="dxa"/>
            <w:gridSpan w:val="4"/>
            <w:vAlign w:val="center"/>
          </w:tcPr>
          <w:p w14:paraId="46F59BC4">
            <w:pPr>
              <w:autoSpaceDE w:val="0"/>
              <w:autoSpaceDN w:val="0"/>
              <w:adjustRightInd w:val="0"/>
              <w:snapToGrid w:val="0"/>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规划环评名称：《重庆市铜梁高新区铜梁片区及全蒲片区规划环境影响跟踪评价报告书》；</w:t>
            </w:r>
          </w:p>
          <w:p w14:paraId="5A69429A">
            <w:pPr>
              <w:autoSpaceDE w:val="0"/>
              <w:autoSpaceDN w:val="0"/>
              <w:adjustRightInd w:val="0"/>
              <w:snapToGrid w:val="0"/>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召集审查机关：重庆市生态环境局；</w:t>
            </w:r>
          </w:p>
          <w:p w14:paraId="40EF7CAA">
            <w:pPr>
              <w:autoSpaceDE w:val="0"/>
              <w:autoSpaceDN w:val="0"/>
              <w:adjustRightInd w:val="0"/>
              <w:snapToGrid w:val="0"/>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审查文件名称及文号：《重庆市生态环境局关于重庆市铜梁高新区铜梁片区及全蒲片区规划环境影响跟踪评价报告书审查意见的函》（渝环函</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2019</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94号）；</w:t>
            </w:r>
          </w:p>
          <w:p w14:paraId="58C5E1BB">
            <w:pPr>
              <w:autoSpaceDE w:val="0"/>
              <w:autoSpaceDN w:val="0"/>
              <w:adjustRightInd w:val="0"/>
              <w:snapToGrid w:val="0"/>
              <w:spacing w:line="360" w:lineRule="auto"/>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审批时间：2019年1月29日。</w:t>
            </w:r>
          </w:p>
        </w:tc>
      </w:tr>
      <w:tr w14:paraId="1AA47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F4D51C2">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368" w:type="dxa"/>
            <w:gridSpan w:val="4"/>
            <w:vAlign w:val="center"/>
          </w:tcPr>
          <w:p w14:paraId="47DA629D">
            <w:pPr>
              <w:autoSpaceDE w:val="0"/>
              <w:autoSpaceDN w:val="0"/>
              <w:adjustRightInd w:val="0"/>
              <w:snapToGrid w:val="0"/>
              <w:spacing w:line="360" w:lineRule="auto"/>
              <w:jc w:val="left"/>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1、与铜梁工业园区规划的符合性分析</w:t>
            </w:r>
          </w:p>
          <w:p w14:paraId="6A685FBB">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重庆铜梁工业园区于2002年成立，是重庆市人民政府《关于同意渝北区等16个区县（市）设立特色工业园区的批复》（渝府[2002]210号）批准设立的首批市级特色工业园区。</w:t>
            </w:r>
          </w:p>
          <w:p w14:paraId="316CCB4D">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根据《铜梁区工业发展规划》（2017-2025）及《重庆市铜梁区工业园区全蒲片区控规修改》（2017年修编）等各片区专项规划，铜梁工业园区最新规划概要如下：</w:t>
            </w:r>
          </w:p>
          <w:p w14:paraId="4FA9D543">
            <w:pPr>
              <w:pStyle w:val="137"/>
              <w:ind w:firstLine="480"/>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（1）园区规划面积及四至范围</w:t>
            </w:r>
          </w:p>
          <w:p w14:paraId="1EBD17EA">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以白土坝片区、姜家岩片区、蒲吕片区为核心，白土坝片区、姜家岩片区、蒲吕片区规划面积2233.48ha，远景规划面积50km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w:t>
            </w:r>
          </w:p>
          <w:p w14:paraId="638DE366">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白土坝区域四至范围为：东至岳阳路，南至龙腾大道，西至中南路，北至淮远河；姜家岩区域四至范围为：东至全兴社区，南至龙安路－龙腾大道，西至金川大道－金龙大道，北至铜梁北互通口；蒲吕区域四至范围：东至全蒲路，南至毓青山，西至渝遂高速，北至龙腾大道。</w:t>
            </w:r>
          </w:p>
          <w:p w14:paraId="4A1D69A0">
            <w:pPr>
              <w:pStyle w:val="137"/>
              <w:ind w:firstLine="480"/>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（2）功能定位和产业结构</w:t>
            </w:r>
          </w:p>
          <w:p w14:paraId="7FFC2407">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重庆市重要的先进制造业基地，具有国内竞争力的高新技术开发区，成渝大健康产业集聚区。</w:t>
            </w:r>
          </w:p>
          <w:p w14:paraId="0BD4111E">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主要定位为电子信息、装备制造、新材料、大健康等产业。</w:t>
            </w:r>
          </w:p>
          <w:p w14:paraId="0A913810">
            <w:pPr>
              <w:pStyle w:val="137"/>
              <w:ind w:firstLine="480"/>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（3）规划布局</w:t>
            </w:r>
          </w:p>
          <w:p w14:paraId="7C5030BA">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规划区布局为“一区四组团”为主、镇街特色工业为辅助的工业格局。</w:t>
            </w:r>
          </w:p>
          <w:p w14:paraId="698F81C0">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蒲吕片区：发展装备制造、电子信息、新材料、适当发展大健康产业，培育新型工业。电子信息主要依托蒲旧大道相对集中布局，约1700亩符合城市总规；装备制造主要沿渝遂高速、龙腾大道（东）延伸段进行连片布置，以形成相对连续的产业链，发挥集群效应，约2100亩符合城市总规，包含中车集团及拦河堰水库面积约600亩；新材料类企业用地主要规划于蒲旧大道与渝遂高速交汇处南侧及旧县场镇以西区域，约1700亩符合城市总规，剩余部分作为远景用地进行控制。</w:t>
            </w:r>
          </w:p>
          <w:p w14:paraId="22DFBF10">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白土坝片区：基本建成，采取“腾笼换鸟”的方式，发展以物流、生产资料交易为主的生产性服务业，推动传统产业提档升级，打造2.5代产业园。</w:t>
            </w:r>
          </w:p>
          <w:p w14:paraId="3BE7CD9A">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姜家岩片区：以改造提升现有产业为重点，对机械制造业、生物医药等企业进行改造升级，同时引进发展先进装备制造业，符合规划面积约0.8km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。其中大健康产业分两个区域分别规划布局于北环路周边及淮远河、小安溪交汇处。其中，依托</w:t>
            </w:r>
            <w:r>
              <w:rPr>
                <w:rFonts w:hint="eastAsia" w:eastAsia="宋体"/>
                <w:color w:val="000000" w:themeColor="text1"/>
                <w14:textFill>
                  <w14:solidFill>
                    <w14:schemeClr w14:val="tx1"/>
                  </w14:solidFill>
                </w14:textFill>
              </w:rPr>
              <w:t>蜡梅</w:t>
            </w:r>
            <w:r>
              <w:rPr>
                <w:rFonts w:eastAsia="宋体"/>
                <w:color w:val="000000" w:themeColor="text1"/>
                <w14:textFill>
                  <w14:solidFill>
                    <w14:schemeClr w14:val="tx1"/>
                  </w14:solidFill>
                </w14:textFill>
              </w:rPr>
              <w:t>园休闲农业及赛维药业等进行集中布局的北环路周边规划面积约1410亩，淮远河、小安溪交汇处区域规划面积约2060亩。其中约650亩符合城市总规，剩余部分作为远景用地进行控制。</w:t>
            </w:r>
          </w:p>
          <w:p w14:paraId="57241EC4">
            <w:pPr>
              <w:pStyle w:val="137"/>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拟建项目位于铜梁区蒲吕街道产业大道38号1-1（小米智能制造产业园4A栋1楼），属于铜梁高新区中蒲吕片区。所在地位于重庆铜梁高新区蒲吕片区内。拟建项目涉及的国民经济行业为C3443阀门和旋塞制造，</w:t>
            </w:r>
            <w:r>
              <w:rPr>
                <w:rFonts w:hint="eastAsia"/>
                <w:color w:val="000000" w:themeColor="text1"/>
                <w14:textFill>
                  <w14:solidFill>
                    <w14:schemeClr w14:val="tx1"/>
                  </w14:solidFill>
                </w14:textFill>
              </w:rPr>
              <w:t>属于装备制造业，符合园区产业定位</w:t>
            </w:r>
            <w:r>
              <w:rPr>
                <w:rFonts w:eastAsia="宋体"/>
                <w:color w:val="000000" w:themeColor="text1"/>
                <w14:textFill>
                  <w14:solidFill>
                    <w14:schemeClr w14:val="tx1"/>
                  </w14:solidFill>
                </w14:textFill>
              </w:rPr>
              <w:t>，且项目清洁生产水平满足国内清洁生产企业水平，不属于高能耗、高污染和高水耗企业，项目符合园区产业的发展定位。同时，拟建项目地块属于工业用地</w:t>
            </w:r>
            <w:r>
              <w:rPr>
                <w:rFonts w:hint="eastAsia" w:eastAsia="宋体"/>
                <w:color w:val="000000" w:themeColor="text1"/>
                <w14:textFill>
                  <w14:solidFill>
                    <w14:schemeClr w14:val="tx1"/>
                  </w14:solidFill>
                </w14:textFill>
              </w:rPr>
              <w:t>且</w:t>
            </w:r>
            <w:r>
              <w:rPr>
                <w:rFonts w:eastAsia="宋体"/>
                <w:color w:val="000000" w:themeColor="text1"/>
                <w14:textFill>
                  <w14:solidFill>
                    <w14:schemeClr w14:val="tx1"/>
                  </w14:solidFill>
                </w14:textFill>
              </w:rPr>
              <w:t>位于已建成的标准厂房内，周边交通方便，基础设施完善，便于企业日常运行，综上，项目符合用地及园区入园规划要求。</w:t>
            </w:r>
          </w:p>
          <w:p w14:paraId="59928C27">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2、与《重庆铜梁高新区铜梁片区及全蒲片区规划环境影响跟踪评价报告书》的符合性分析</w:t>
            </w:r>
          </w:p>
          <w:p w14:paraId="065D607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（1）与规划环评的符合性分析</w:t>
            </w:r>
          </w:p>
          <w:p w14:paraId="0C44B633">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拟建项目位于重庆铜梁高新技术产业开发区全蒲片区范围内，与《重庆铜梁高新区铜梁片区及全蒲片区规划环境影响跟踪评价报告书》相关内容对比分析如下：</w:t>
            </w:r>
          </w:p>
          <w:p w14:paraId="6F982F4F">
            <w:pPr>
              <w:autoSpaceDE w:val="0"/>
              <w:autoSpaceDN w:val="0"/>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表1-2拟建项目与园区规划环评符合性分析一览表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2"/>
              <w:gridCol w:w="967"/>
              <w:gridCol w:w="1053"/>
              <w:gridCol w:w="2699"/>
              <w:gridCol w:w="2623"/>
              <w:gridCol w:w="621"/>
            </w:tblGrid>
            <w:tr w14:paraId="1CB6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Align w:val="center"/>
                </w:tcPr>
                <w:p w14:paraId="70D5D1A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分项</w:t>
                  </w:r>
                </w:p>
              </w:tc>
              <w:tc>
                <w:tcPr>
                  <w:tcW w:w="2729" w:type="pct"/>
                  <w:gridSpan w:val="3"/>
                  <w:vAlign w:val="center"/>
                </w:tcPr>
                <w:p w14:paraId="3686FD3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规划环评相关内容</w:t>
                  </w:r>
                </w:p>
              </w:tc>
              <w:tc>
                <w:tcPr>
                  <w:tcW w:w="1517" w:type="pct"/>
                  <w:vAlign w:val="center"/>
                </w:tcPr>
                <w:p w14:paraId="0712FAB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拟建项目情况</w:t>
                  </w:r>
                </w:p>
              </w:tc>
              <w:tc>
                <w:tcPr>
                  <w:tcW w:w="359" w:type="pct"/>
                  <w:vAlign w:val="center"/>
                </w:tcPr>
                <w:p w14:paraId="5795BFA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符合性</w:t>
                  </w:r>
                </w:p>
              </w:tc>
            </w:tr>
            <w:tr w14:paraId="1D6C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Align w:val="center"/>
                </w:tcPr>
                <w:p w14:paraId="1A71358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生态保护红线</w:t>
                  </w:r>
                </w:p>
              </w:tc>
              <w:tc>
                <w:tcPr>
                  <w:tcW w:w="2729" w:type="pct"/>
                  <w:gridSpan w:val="3"/>
                  <w:vAlign w:val="center"/>
                </w:tcPr>
                <w:p w14:paraId="1AB5CA38">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止开发区：包括饮用水水源保护区、自然保护区、自然文化遗产地、湿地公园、森林公园、风景名胜区、地质公园。其中，饮用水水源保护区包括一级保护区和二级保护区；自然保护区包括县级及以上自然保护区的核心区、缓冲区、实验区；自然文化遗产地、湿地公园、森林公园、风景名胜区、地质公园包括规划范围以内全部区域。本次规划区域内不涉及生态保护红线划定范围。在园区开发建设过程中应加强生态保护，不得随意改变规划绿地用途</w:t>
                  </w:r>
                </w:p>
              </w:tc>
              <w:tc>
                <w:tcPr>
                  <w:tcW w:w="1517" w:type="pct"/>
                  <w:vAlign w:val="center"/>
                </w:tcPr>
                <w:p w14:paraId="4EE7ECB7">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项目位于重庆铜梁高新区蒲吕片区，不涉及生态保护红线。</w:t>
                  </w:r>
                </w:p>
              </w:tc>
              <w:tc>
                <w:tcPr>
                  <w:tcW w:w="359" w:type="pct"/>
                  <w:vAlign w:val="center"/>
                </w:tcPr>
                <w:p w14:paraId="05D0B06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68D3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Align w:val="center"/>
                </w:tcPr>
                <w:p w14:paraId="0F5F966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资源利用上线</w:t>
                  </w:r>
                </w:p>
              </w:tc>
              <w:tc>
                <w:tcPr>
                  <w:tcW w:w="2729" w:type="pct"/>
                  <w:gridSpan w:val="3"/>
                  <w:vAlign w:val="center"/>
                </w:tcPr>
                <w:p w14:paraId="35E70976">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（1）水资源利用上限：</w:t>
                  </w:r>
                </w:p>
                <w:p w14:paraId="3C35E38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园区水资源利用上限：用水总量上限973万m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/a；工业用水量上限360万m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p w14:paraId="0AE2C269">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（2）园区土地资源利用上限：</w:t>
                  </w:r>
                </w:p>
                <w:p w14:paraId="36C15C03">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土地资源总上限223348km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；建设用地总量上限21.3651km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；工业用地总量上限12.95546km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c>
                <w:tcPr>
                  <w:tcW w:w="1517" w:type="pct"/>
                  <w:vAlign w:val="center"/>
                </w:tcPr>
                <w:p w14:paraId="4C030E58">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项目运营期用水量较少</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仅为498m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/a</w:t>
                  </w:r>
                  <w:r>
                    <w:rPr>
                      <w:rFonts w:cs="Times New Roman"/>
                      <w:color w:val="000000" w:themeColor="text1"/>
                      <w14:textFill>
                        <w14:solidFill>
                          <w14:schemeClr w14:val="tx1"/>
                        </w14:solidFill>
                      </w14:textFill>
                    </w:rPr>
                    <w:t>，租赁已修建厂房进行建设，不新增用地，</w:t>
                  </w:r>
                  <w:r>
                    <w:rPr>
                      <w:rFonts w:hint="eastAsia" w:cs="Times New Roman"/>
                      <w:color w:val="000000" w:themeColor="text1"/>
                      <w:lang w:val="en-US" w:eastAsia="zh-CN"/>
                      <w14:textFill>
                        <w14:solidFill>
                          <w14:schemeClr w14:val="tx1"/>
                        </w14:solidFill>
                      </w14:textFill>
                    </w:rPr>
                    <w:t>不</w:t>
                  </w:r>
                  <w:r>
                    <w:rPr>
                      <w:rFonts w:cs="Times New Roman"/>
                      <w:color w:val="000000" w:themeColor="text1"/>
                      <w14:textFill>
                        <w14:solidFill>
                          <w14:schemeClr w14:val="tx1"/>
                        </w14:solidFill>
                      </w14:textFill>
                    </w:rPr>
                    <w:t>受园区水资源、土地资源利用上限的影响不大。</w:t>
                  </w:r>
                </w:p>
              </w:tc>
              <w:tc>
                <w:tcPr>
                  <w:tcW w:w="359" w:type="pct"/>
                  <w:vAlign w:val="center"/>
                </w:tcPr>
                <w:p w14:paraId="0D30722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E0B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Align w:val="center"/>
                </w:tcPr>
                <w:p w14:paraId="1320FB8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环境质量底线</w:t>
                  </w:r>
                </w:p>
              </w:tc>
              <w:tc>
                <w:tcPr>
                  <w:tcW w:w="2729" w:type="pct"/>
                  <w:gridSpan w:val="3"/>
                  <w:vAlign w:val="center"/>
                </w:tcPr>
                <w:p w14:paraId="4A7D9BCE">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（1）地表水</w:t>
                  </w:r>
                </w:p>
                <w:p w14:paraId="69C209E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环境质量底线规划区淮远河、小安溪河断面水环境质量不恶化，并持续改善。完成整治后，淮远河满足《地表水环境质量标准》（GB3838-2002）</w:t>
                  </w:r>
                  <w:r>
                    <w:rPr>
                      <w:rFonts w:hint="eastAsia" w:cs="Times New Roman"/>
                      <w:color w:val="000000" w:themeColor="text1"/>
                      <w14:textFill>
                        <w14:solidFill>
                          <w14:schemeClr w14:val="tx1"/>
                        </w14:solidFill>
                      </w14:textFill>
                    </w:rPr>
                    <w:t>Ⅳ类</w:t>
                  </w:r>
                  <w:r>
                    <w:rPr>
                      <w:rFonts w:cs="Times New Roman"/>
                      <w:color w:val="000000" w:themeColor="text1"/>
                      <w14:textFill>
                        <w14:solidFill>
                          <w14:schemeClr w14:val="tx1"/>
                        </w14:solidFill>
                      </w14:textFill>
                    </w:rPr>
                    <w:t>水质标准，小安溪河水质满足III类水质标准。</w:t>
                  </w:r>
                </w:p>
                <w:p w14:paraId="21006602">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（2）大气</w:t>
                  </w:r>
                </w:p>
                <w:p w14:paraId="3F9D154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质量底线区域大气环境质量满足《环境空气质量标准》（GB3095-2012）二级标准。HC1、硫酸雾、铬酸雾、苯、二甲苯限值均满足原《工业企业设计卫生标准》（TJ36-79）中居住区大气有害物质最高容许浓度；甲苯参照执行前苏联质量标准；非甲烷总烃参照执行河北省地方标准《环境空气质量非甲烷总烃限值》（DB13/1577-2012）中二级标准限值。</w:t>
                  </w:r>
                </w:p>
                <w:p w14:paraId="2C7F5099">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（3）土壤</w:t>
                  </w:r>
                </w:p>
                <w:p w14:paraId="309BEADB">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规划区土壤满足《土壤环境质量建设用地土壤污染风险管控标准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试行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》（GB36600-2018）、《土壤环境质量农用地土地污染风险管控标准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试行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》（GB15618-2018）标准，底泥满足《农用污泥中污染物控制标准》（GB4284-84）标准。</w:t>
                  </w:r>
                </w:p>
                <w:p w14:paraId="0A2EBE5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（4）地下水</w:t>
                  </w:r>
                </w:p>
                <w:p w14:paraId="077EFA02">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区域地下水质量满足《地下水质量标准》（GB/T14848-2017）中Ⅲ类标准。</w:t>
                  </w:r>
                </w:p>
                <w:p w14:paraId="3089F1C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（5）规划区内交通干线两侧满足《声环境质量标准》（GB3096-2008）4a类标准，工业区3类标准，居民区及居住、商业、工业混杂区2类标准。</w:t>
                  </w:r>
                </w:p>
              </w:tc>
              <w:tc>
                <w:tcPr>
                  <w:tcW w:w="1517" w:type="pct"/>
                  <w:vAlign w:val="center"/>
                </w:tcPr>
                <w:p w14:paraId="69B4C7AB">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（1）根据重庆市铜梁区人民政府网公示的“重庆市铜梁区地表水水质状况（2022年6月）”，小安溪双河口监测断面满足《地表水环境质量标准》（GB3838-2002）Ⅲ类水域标准要求，为水环境功能达标区。</w:t>
                  </w:r>
                </w:p>
                <w:p w14:paraId="76AC3CC8">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（2）根据《2023年重庆市生态环境状况公报》，2023年铜梁区PM</w:t>
                  </w:r>
                  <w:r>
                    <w:rPr>
                      <w:rFonts w:cs="Times New Roman"/>
                      <w:color w:val="000000" w:themeColor="text1"/>
                      <w:vertAlign w:val="subscript"/>
                      <w14:textFill>
                        <w14:solidFill>
                          <w14:schemeClr w14:val="tx1"/>
                        </w14:solidFill>
                      </w14:textFill>
                    </w:rPr>
                    <w:t>2.5</w:t>
                  </w:r>
                  <w:r>
                    <w:rPr>
                      <w:rFonts w:cs="Times New Roman"/>
                      <w:color w:val="000000" w:themeColor="text1"/>
                      <w14:textFill>
                        <w14:solidFill>
                          <w14:schemeClr w14:val="tx1"/>
                        </w14:solidFill>
                      </w14:textFill>
                    </w:rPr>
                    <w:t>因子不满足二级标准，项目所在区域为大气环境不达标区，根据《重庆市铜梁区人民政府办公室关于印发重庆市铜梁区环境空气质量限期达标规划（2017-2025年）的通知》（铜府办</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2019</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50号），在执行相应的治理措施后，可改善区域环境质量。根据引用的大气监测报告，项目所在地环境空气非甲烷总烃满足对应标准限值。</w:t>
                  </w:r>
                </w:p>
                <w:p w14:paraId="77B4F340">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（3）拟建项目不涉及重金属污染物排放。拟建项目在严格落实分区防渗要求条件下，项目不会对土壤和地下水造成污染。</w:t>
                  </w:r>
                </w:p>
                <w:p w14:paraId="17608B9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（4）拟建项目位于工业园区，为声环境3类功能区，执行《声环境质量标准》（GB3096-2008）3类标准，项目周边50m范围内无声环境保护目标。</w:t>
                  </w:r>
                </w:p>
              </w:tc>
              <w:tc>
                <w:tcPr>
                  <w:tcW w:w="359" w:type="pct"/>
                  <w:vAlign w:val="center"/>
                </w:tcPr>
                <w:p w14:paraId="517F5E1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4F2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restart"/>
                  <w:vAlign w:val="center"/>
                </w:tcPr>
                <w:p w14:paraId="10383BA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生态</w:t>
                  </w:r>
                </w:p>
                <w:p w14:paraId="75EB2B4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w:t>
                  </w:r>
                </w:p>
                <w:p w14:paraId="75AF724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准入</w:t>
                  </w:r>
                </w:p>
                <w:p w14:paraId="1BC1852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清单</w:t>
                  </w:r>
                </w:p>
              </w:tc>
              <w:tc>
                <w:tcPr>
                  <w:tcW w:w="2729" w:type="pct"/>
                  <w:gridSpan w:val="3"/>
                  <w:vAlign w:val="center"/>
                </w:tcPr>
                <w:p w14:paraId="6D0B7812">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环境准入原则和条件：</w:t>
                  </w:r>
                </w:p>
                <w:p w14:paraId="52EBCF60">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（1）准入原则</w:t>
                  </w:r>
                </w:p>
                <w:p w14:paraId="274CF8E5">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引进项目应符合国家产业政策和清洁生产要求、生产工艺和设备先进、自动化程度高、具有可靠先进的污染治理技术；②发展产业集群，提高产品的关联度，发展系列产品，力求发挥各项目间的最佳协同效应；③注意生产装置的规模效益</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鼓励在规划区内建设具有国际竞争力的、符合规模经济的生产装置；④根据资源环境承载力控制合理的发展规模，严格控制污染因子排放总量。</w:t>
                  </w:r>
                </w:p>
                <w:p w14:paraId="250435E4">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（2）准入条件</w:t>
                  </w:r>
                </w:p>
                <w:p w14:paraId="5F53C955">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严格执行国家和地方产业政策要求以及各行业准入要求，同时与规划区主导产业定位无明显冲突。对规划区环境准入条件提出“三类”控制。</w:t>
                  </w:r>
                </w:p>
                <w:p w14:paraId="3B60B45F">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禁止钢铁冶炼、重化工、造纸、印染等重污染行业入驻园区。禁止新建、扩建化学合成药类项目。工业园区禁止燃煤。电镀企业应进入表面处理园。</w:t>
                  </w:r>
                </w:p>
              </w:tc>
              <w:tc>
                <w:tcPr>
                  <w:tcW w:w="1517" w:type="pct"/>
                  <w:vAlign w:val="center"/>
                </w:tcPr>
                <w:p w14:paraId="4DD6D6B6">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项目属于</w:t>
                  </w:r>
                  <w:r>
                    <w:rPr>
                      <w:rFonts w:cs="Times New Roman"/>
                      <w:color w:val="000000" w:themeColor="text1"/>
                      <w14:textFill>
                        <w14:solidFill>
                          <w14:schemeClr w14:val="tx1"/>
                        </w14:solidFill>
                      </w14:textFill>
                    </w:rPr>
                    <w:t>C3443阀门和旋塞制造</w:t>
                  </w:r>
                  <w:r>
                    <w:rPr>
                      <w:rFonts w:cs="Times New Roman"/>
                      <w:color w:val="000000" w:themeColor="text1"/>
                      <w:szCs w:val="21"/>
                      <w14:textFill>
                        <w14:solidFill>
                          <w14:schemeClr w14:val="tx1"/>
                        </w14:solidFill>
                      </w14:textFill>
                    </w:rPr>
                    <w:t>，产品为阀门，不属于蒲吕片区不属于园区内限制、禁止行业。</w:t>
                  </w:r>
                </w:p>
              </w:tc>
              <w:tc>
                <w:tcPr>
                  <w:tcW w:w="359" w:type="pct"/>
                  <w:vAlign w:val="center"/>
                </w:tcPr>
                <w:p w14:paraId="368BEB3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D5A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54FD4FAF">
                  <w:pPr>
                    <w:pStyle w:val="85"/>
                    <w:rPr>
                      <w:rFonts w:cs="Times New Roman"/>
                      <w:color w:val="000000" w:themeColor="text1"/>
                      <w14:textFill>
                        <w14:solidFill>
                          <w14:schemeClr w14:val="tx1"/>
                        </w14:solidFill>
                      </w14:textFill>
                    </w:rPr>
                  </w:pPr>
                </w:p>
              </w:tc>
              <w:tc>
                <w:tcPr>
                  <w:tcW w:w="559" w:type="pct"/>
                  <w:vAlign w:val="center"/>
                </w:tcPr>
                <w:p w14:paraId="2B820EC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分类</w:t>
                  </w:r>
                </w:p>
              </w:tc>
              <w:tc>
                <w:tcPr>
                  <w:tcW w:w="609" w:type="pct"/>
                  <w:vAlign w:val="center"/>
                </w:tcPr>
                <w:p w14:paraId="0714DF5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限制类</w:t>
                  </w:r>
                </w:p>
              </w:tc>
              <w:tc>
                <w:tcPr>
                  <w:tcW w:w="1561" w:type="pct"/>
                  <w:vAlign w:val="center"/>
                </w:tcPr>
                <w:p w14:paraId="184C7AF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禁止类</w:t>
                  </w:r>
                </w:p>
              </w:tc>
              <w:tc>
                <w:tcPr>
                  <w:tcW w:w="1517" w:type="pct"/>
                  <w:vAlign w:val="center"/>
                </w:tcPr>
                <w:p w14:paraId="10AA203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拟建项目情况</w:t>
                  </w:r>
                </w:p>
              </w:tc>
              <w:tc>
                <w:tcPr>
                  <w:tcW w:w="359" w:type="pct"/>
                  <w:vAlign w:val="center"/>
                </w:tcPr>
                <w:p w14:paraId="7C3DDD3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符合性</w:t>
                  </w:r>
                </w:p>
              </w:tc>
            </w:tr>
            <w:tr w14:paraId="167F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6FEF53AF">
                  <w:pPr>
                    <w:pStyle w:val="85"/>
                    <w:rPr>
                      <w:rFonts w:cs="Times New Roman"/>
                      <w:color w:val="000000" w:themeColor="text1"/>
                      <w14:textFill>
                        <w14:solidFill>
                          <w14:schemeClr w14:val="tx1"/>
                        </w14:solidFill>
                      </w14:textFill>
                    </w:rPr>
                  </w:pPr>
                </w:p>
              </w:tc>
              <w:tc>
                <w:tcPr>
                  <w:tcW w:w="559" w:type="pct"/>
                  <w:vAlign w:val="center"/>
                </w:tcPr>
                <w:p w14:paraId="5850699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清洁生</w:t>
                  </w:r>
                </w:p>
                <w:p w14:paraId="0369DC3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产标准</w:t>
                  </w:r>
                </w:p>
              </w:tc>
              <w:tc>
                <w:tcPr>
                  <w:tcW w:w="609" w:type="pct"/>
                  <w:vAlign w:val="center"/>
                </w:tcPr>
                <w:p w14:paraId="3DB1331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低于清洁生产国内先进水平</w:t>
                  </w:r>
                </w:p>
              </w:tc>
              <w:tc>
                <w:tcPr>
                  <w:tcW w:w="1561" w:type="pct"/>
                  <w:vAlign w:val="center"/>
                </w:tcPr>
                <w:p w14:paraId="16714CD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17" w:type="pct"/>
                  <w:vAlign w:val="center"/>
                </w:tcPr>
                <w:p w14:paraId="5AC1FAE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项目清洁生产不低于国内同行业先进水平。</w:t>
                  </w:r>
                </w:p>
              </w:tc>
              <w:tc>
                <w:tcPr>
                  <w:tcW w:w="359" w:type="pct"/>
                  <w:vAlign w:val="center"/>
                </w:tcPr>
                <w:p w14:paraId="52CE596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89B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177F6D49">
                  <w:pPr>
                    <w:pStyle w:val="85"/>
                    <w:rPr>
                      <w:rFonts w:cs="Times New Roman"/>
                      <w:color w:val="000000" w:themeColor="text1"/>
                      <w14:textFill>
                        <w14:solidFill>
                          <w14:schemeClr w14:val="tx1"/>
                        </w14:solidFill>
                      </w14:textFill>
                    </w:rPr>
                  </w:pPr>
                </w:p>
              </w:tc>
              <w:tc>
                <w:tcPr>
                  <w:tcW w:w="559" w:type="pct"/>
                  <w:vMerge w:val="restart"/>
                  <w:vAlign w:val="center"/>
                </w:tcPr>
                <w:p w14:paraId="4F0B910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行业准</w:t>
                  </w:r>
                </w:p>
                <w:p w14:paraId="1CD2F58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入清单</w:t>
                  </w:r>
                </w:p>
              </w:tc>
              <w:tc>
                <w:tcPr>
                  <w:tcW w:w="609" w:type="pct"/>
                  <w:vAlign w:val="center"/>
                </w:tcPr>
                <w:p w14:paraId="33B997D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61" w:type="pct"/>
                  <w:vAlign w:val="center"/>
                </w:tcPr>
                <w:p w14:paraId="1BBA229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禁止钢铁冶炼、重化工、造纸、印染等重污染行业入驻园区。禁止新建、扩建化学合成药类项目</w:t>
                  </w:r>
                </w:p>
              </w:tc>
              <w:tc>
                <w:tcPr>
                  <w:tcW w:w="1517" w:type="pct"/>
                  <w:vAlign w:val="center"/>
                </w:tcPr>
                <w:p w14:paraId="742CCEB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项目不属于上述禁止类项目。</w:t>
                  </w:r>
                </w:p>
              </w:tc>
              <w:tc>
                <w:tcPr>
                  <w:tcW w:w="359" w:type="pct"/>
                  <w:vAlign w:val="center"/>
                </w:tcPr>
                <w:p w14:paraId="424D673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F8B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3A06815E">
                  <w:pPr>
                    <w:pStyle w:val="85"/>
                    <w:rPr>
                      <w:rFonts w:cs="Times New Roman"/>
                      <w:color w:val="000000" w:themeColor="text1"/>
                      <w14:textFill>
                        <w14:solidFill>
                          <w14:schemeClr w14:val="tx1"/>
                        </w14:solidFill>
                      </w14:textFill>
                    </w:rPr>
                  </w:pPr>
                </w:p>
              </w:tc>
              <w:tc>
                <w:tcPr>
                  <w:tcW w:w="559" w:type="pct"/>
                  <w:vMerge w:val="continue"/>
                  <w:vAlign w:val="center"/>
                </w:tcPr>
                <w:p w14:paraId="08B35A4D">
                  <w:pPr>
                    <w:pStyle w:val="85"/>
                    <w:rPr>
                      <w:rFonts w:cs="Times New Roman"/>
                      <w:color w:val="000000" w:themeColor="text1"/>
                      <w14:textFill>
                        <w14:solidFill>
                          <w14:schemeClr w14:val="tx1"/>
                        </w14:solidFill>
                      </w14:textFill>
                    </w:rPr>
                  </w:pPr>
                </w:p>
              </w:tc>
              <w:tc>
                <w:tcPr>
                  <w:tcW w:w="609" w:type="pct"/>
                  <w:vAlign w:val="center"/>
                </w:tcPr>
                <w:p w14:paraId="545325F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61" w:type="pct"/>
                  <w:vAlign w:val="center"/>
                </w:tcPr>
                <w:p w14:paraId="7DCC257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园区距离中心城区及其主导风向上风向20公里、其他方向5公里范围内和乡镇人民政府所在地及其周边3公里范围内，禁止新建燃煤电厂、水泥、钢铁冶炼等大气污染严重的项目。</w:t>
                  </w:r>
                </w:p>
              </w:tc>
              <w:tc>
                <w:tcPr>
                  <w:tcW w:w="1517" w:type="pct"/>
                  <w:vAlign w:val="center"/>
                </w:tcPr>
                <w:p w14:paraId="0A2B69F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项目不属于禁止的大气污染严重项目。</w:t>
                  </w:r>
                </w:p>
              </w:tc>
              <w:tc>
                <w:tcPr>
                  <w:tcW w:w="359" w:type="pct"/>
                  <w:vAlign w:val="center"/>
                </w:tcPr>
                <w:p w14:paraId="012C758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395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1D3E72F9">
                  <w:pPr>
                    <w:pStyle w:val="85"/>
                    <w:rPr>
                      <w:rFonts w:cs="Times New Roman"/>
                      <w:color w:val="000000" w:themeColor="text1"/>
                      <w14:textFill>
                        <w14:solidFill>
                          <w14:schemeClr w14:val="tx1"/>
                        </w14:solidFill>
                      </w14:textFill>
                    </w:rPr>
                  </w:pPr>
                </w:p>
              </w:tc>
              <w:tc>
                <w:tcPr>
                  <w:tcW w:w="559" w:type="pct"/>
                  <w:vMerge w:val="restart"/>
                  <w:vAlign w:val="center"/>
                </w:tcPr>
                <w:p w14:paraId="6351088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工艺、产品准入清单</w:t>
                  </w:r>
                </w:p>
              </w:tc>
              <w:tc>
                <w:tcPr>
                  <w:tcW w:w="609" w:type="pct"/>
                  <w:vAlign w:val="center"/>
                </w:tcPr>
                <w:p w14:paraId="1083546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高能耗、高耗水工艺</w:t>
                  </w:r>
                </w:p>
              </w:tc>
              <w:tc>
                <w:tcPr>
                  <w:tcW w:w="1561" w:type="pct"/>
                  <w:vAlign w:val="center"/>
                </w:tcPr>
                <w:p w14:paraId="576DEFC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《产业结构调整指导目录（2011年本）》（修订）、《部分工业行业淘汰落后生产工艺装备和产品指导目录（2010年本）》和《外商投资产业指导目录（2011年修订）》中所列淘汰类、禁止类项目。</w:t>
                  </w:r>
                </w:p>
              </w:tc>
              <w:tc>
                <w:tcPr>
                  <w:tcW w:w="1517" w:type="pct"/>
                  <w:vAlign w:val="center"/>
                </w:tcPr>
                <w:p w14:paraId="2F7427A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经对比《产业结构调整指导目录（2024年本）》，拟建项目不属于淘汰类、限制类。</w:t>
                  </w:r>
                </w:p>
              </w:tc>
              <w:tc>
                <w:tcPr>
                  <w:tcW w:w="359" w:type="pct"/>
                  <w:vAlign w:val="center"/>
                </w:tcPr>
                <w:p w14:paraId="0290094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0D4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701D9787">
                  <w:pPr>
                    <w:pStyle w:val="85"/>
                    <w:rPr>
                      <w:rFonts w:cs="Times New Roman"/>
                      <w:color w:val="000000" w:themeColor="text1"/>
                      <w14:textFill>
                        <w14:solidFill>
                          <w14:schemeClr w14:val="tx1"/>
                        </w14:solidFill>
                      </w14:textFill>
                    </w:rPr>
                  </w:pPr>
                </w:p>
              </w:tc>
              <w:tc>
                <w:tcPr>
                  <w:tcW w:w="559" w:type="pct"/>
                  <w:vMerge w:val="continue"/>
                  <w:vAlign w:val="center"/>
                </w:tcPr>
                <w:p w14:paraId="630AE369">
                  <w:pPr>
                    <w:pStyle w:val="85"/>
                    <w:rPr>
                      <w:rFonts w:cs="Times New Roman"/>
                      <w:color w:val="000000" w:themeColor="text1"/>
                      <w14:textFill>
                        <w14:solidFill>
                          <w14:schemeClr w14:val="tx1"/>
                        </w14:solidFill>
                      </w14:textFill>
                    </w:rPr>
                  </w:pPr>
                </w:p>
              </w:tc>
              <w:tc>
                <w:tcPr>
                  <w:tcW w:w="609" w:type="pct"/>
                  <w:vAlign w:val="center"/>
                </w:tcPr>
                <w:p w14:paraId="58B2089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除国防军工等特殊需要外，严格限制含铅电镀工艺</w:t>
                  </w:r>
                </w:p>
              </w:tc>
              <w:tc>
                <w:tcPr>
                  <w:tcW w:w="1561" w:type="pct"/>
                  <w:vAlign w:val="center"/>
                </w:tcPr>
                <w:p w14:paraId="35BB37C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严格执行国家含氰电镀工艺方面的产业政策规定，禁止含有毒有害氰化物电镀工艺（氰化金钾电镀金及氰化亚金钾镀金）。</w:t>
                  </w:r>
                </w:p>
              </w:tc>
              <w:tc>
                <w:tcPr>
                  <w:tcW w:w="1517" w:type="pct"/>
                  <w:vAlign w:val="center"/>
                </w:tcPr>
                <w:p w14:paraId="71F8D35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项目不涉及电镀工艺。</w:t>
                  </w:r>
                </w:p>
              </w:tc>
              <w:tc>
                <w:tcPr>
                  <w:tcW w:w="359" w:type="pct"/>
                  <w:vAlign w:val="center"/>
                </w:tcPr>
                <w:p w14:paraId="21EAF4D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F40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7FF3D6FC">
                  <w:pPr>
                    <w:pStyle w:val="85"/>
                    <w:rPr>
                      <w:rFonts w:cs="Times New Roman"/>
                      <w:color w:val="000000" w:themeColor="text1"/>
                      <w14:textFill>
                        <w14:solidFill>
                          <w14:schemeClr w14:val="tx1"/>
                        </w14:solidFill>
                      </w14:textFill>
                    </w:rPr>
                  </w:pPr>
                </w:p>
              </w:tc>
              <w:tc>
                <w:tcPr>
                  <w:tcW w:w="559" w:type="pct"/>
                  <w:vMerge w:val="continue"/>
                  <w:vAlign w:val="center"/>
                </w:tcPr>
                <w:p w14:paraId="61B13F34">
                  <w:pPr>
                    <w:pStyle w:val="85"/>
                    <w:rPr>
                      <w:rFonts w:cs="Times New Roman"/>
                      <w:color w:val="000000" w:themeColor="text1"/>
                      <w14:textFill>
                        <w14:solidFill>
                          <w14:schemeClr w14:val="tx1"/>
                        </w14:solidFill>
                      </w14:textFill>
                    </w:rPr>
                  </w:pPr>
                </w:p>
              </w:tc>
              <w:tc>
                <w:tcPr>
                  <w:tcW w:w="609" w:type="pct"/>
                  <w:vAlign w:val="center"/>
                </w:tcPr>
                <w:p w14:paraId="3EB772C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61" w:type="pct"/>
                  <w:vAlign w:val="center"/>
                </w:tcPr>
                <w:p w14:paraId="61312C7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旧县水厂取水口位于规划区小安溪下游约6.8km，小安溪河沿岸一公里范围禁止建设排放重金属（铬、镉、汞、砷、铅等五类重金属）、剧毒物质和持久性有机污染物工艺。</w:t>
                  </w:r>
                </w:p>
              </w:tc>
              <w:tc>
                <w:tcPr>
                  <w:tcW w:w="1517" w:type="pct"/>
                  <w:vAlign w:val="center"/>
                </w:tcPr>
                <w:p w14:paraId="2AFB55A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项目不涉及排放重金属、剧毒物质和持久性有机污染物工艺。</w:t>
                  </w:r>
                </w:p>
              </w:tc>
              <w:tc>
                <w:tcPr>
                  <w:tcW w:w="359" w:type="pct"/>
                  <w:vAlign w:val="center"/>
                </w:tcPr>
                <w:p w14:paraId="6E86D9B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477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33FD3108">
                  <w:pPr>
                    <w:pStyle w:val="85"/>
                    <w:rPr>
                      <w:rFonts w:cs="Times New Roman"/>
                      <w:color w:val="000000" w:themeColor="text1"/>
                      <w14:textFill>
                        <w14:solidFill>
                          <w14:schemeClr w14:val="tx1"/>
                        </w14:solidFill>
                      </w14:textFill>
                    </w:rPr>
                  </w:pPr>
                </w:p>
              </w:tc>
              <w:tc>
                <w:tcPr>
                  <w:tcW w:w="559" w:type="pct"/>
                  <w:vMerge w:val="restart"/>
                  <w:vAlign w:val="center"/>
                </w:tcPr>
                <w:p w14:paraId="7E36B74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tc>
              <w:tc>
                <w:tcPr>
                  <w:tcW w:w="609" w:type="pct"/>
                  <w:vAlign w:val="center"/>
                </w:tcPr>
                <w:p w14:paraId="6436742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61" w:type="pct"/>
                  <w:vAlign w:val="center"/>
                </w:tcPr>
                <w:p w14:paraId="4593C66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禁止引进使用煤为燃料的工业项目。</w:t>
                  </w:r>
                </w:p>
              </w:tc>
              <w:tc>
                <w:tcPr>
                  <w:tcW w:w="1517" w:type="pct"/>
                  <w:vAlign w:val="center"/>
                </w:tcPr>
                <w:p w14:paraId="3C45C02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项目主要能源为电能，不使用煤。</w:t>
                  </w:r>
                </w:p>
              </w:tc>
              <w:tc>
                <w:tcPr>
                  <w:tcW w:w="359" w:type="pct"/>
                  <w:vAlign w:val="center"/>
                </w:tcPr>
                <w:p w14:paraId="2B48CF7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C1B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5" w:type="pct"/>
                  <w:vMerge w:val="continue"/>
                  <w:vAlign w:val="center"/>
                </w:tcPr>
                <w:p w14:paraId="02AFC26E">
                  <w:pPr>
                    <w:pStyle w:val="85"/>
                    <w:rPr>
                      <w:rFonts w:cs="Times New Roman"/>
                      <w:color w:val="000000" w:themeColor="text1"/>
                      <w14:textFill>
                        <w14:solidFill>
                          <w14:schemeClr w14:val="tx1"/>
                        </w14:solidFill>
                      </w14:textFill>
                    </w:rPr>
                  </w:pPr>
                </w:p>
              </w:tc>
              <w:tc>
                <w:tcPr>
                  <w:tcW w:w="559" w:type="pct"/>
                  <w:vMerge w:val="continue"/>
                  <w:vAlign w:val="center"/>
                </w:tcPr>
                <w:p w14:paraId="045937E7">
                  <w:pPr>
                    <w:pStyle w:val="85"/>
                    <w:rPr>
                      <w:rFonts w:cs="Times New Roman"/>
                      <w:color w:val="000000" w:themeColor="text1"/>
                      <w14:textFill>
                        <w14:solidFill>
                          <w14:schemeClr w14:val="tx1"/>
                        </w14:solidFill>
                      </w14:textFill>
                    </w:rPr>
                  </w:pPr>
                </w:p>
              </w:tc>
              <w:tc>
                <w:tcPr>
                  <w:tcW w:w="609" w:type="pct"/>
                  <w:vAlign w:val="center"/>
                </w:tcPr>
                <w:p w14:paraId="453BF61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电镀企业应进入表面处理园</w:t>
                  </w:r>
                </w:p>
              </w:tc>
              <w:tc>
                <w:tcPr>
                  <w:tcW w:w="1561" w:type="pct"/>
                  <w:vAlign w:val="center"/>
                </w:tcPr>
                <w:p w14:paraId="0EFDFD6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17" w:type="pct"/>
                  <w:vAlign w:val="center"/>
                </w:tcPr>
                <w:p w14:paraId="4B6067A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项目不涉及电镀工艺。</w:t>
                  </w:r>
                </w:p>
              </w:tc>
              <w:tc>
                <w:tcPr>
                  <w:tcW w:w="359" w:type="pct"/>
                  <w:vAlign w:val="center"/>
                </w:tcPr>
                <w:p w14:paraId="732D9AC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bl>
          <w:p w14:paraId="6AD4FF92">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根据表1-1的对比分析可知，拟建项目属于C3443阀门和旋塞制造，不属于园区内限制、禁止行业，符合园区产业的发展定位，项目符合与园区规划环评的相关要求。</w:t>
            </w:r>
          </w:p>
          <w:p w14:paraId="0969F5A9">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（2）与规划环评审查意见的符合性分析</w:t>
            </w:r>
          </w:p>
          <w:p w14:paraId="031FBF1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拟建项目与《重庆市生态环境局关于重庆市铜梁高新区铜梁片区及全蒲片区规划环境影响跟踪评价报告书审查意见的函》（渝环函</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2019</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94号）符合性分析，详见表1-3所示。</w:t>
            </w:r>
          </w:p>
          <w:p w14:paraId="27BFF6D7">
            <w:pPr>
              <w:autoSpaceDE w:val="0"/>
              <w:autoSpaceDN w:val="0"/>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表1-3拟建项目与规划环评审查意见“函渝环函</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2019</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94号”的符合性分析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5"/>
              <w:gridCol w:w="4883"/>
              <w:gridCol w:w="2256"/>
              <w:gridCol w:w="681"/>
            </w:tblGrid>
            <w:tr w14:paraId="553F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753A5BF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2824" w:type="pct"/>
                  <w:vAlign w:val="center"/>
                </w:tcPr>
                <w:p w14:paraId="68B0596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审查意见</w:t>
                  </w:r>
                </w:p>
              </w:tc>
              <w:tc>
                <w:tcPr>
                  <w:tcW w:w="1305" w:type="pct"/>
                  <w:vAlign w:val="center"/>
                </w:tcPr>
                <w:p w14:paraId="432B9F6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拟建项目情况</w:t>
                  </w:r>
                </w:p>
              </w:tc>
              <w:tc>
                <w:tcPr>
                  <w:tcW w:w="394" w:type="pct"/>
                  <w:vAlign w:val="center"/>
                </w:tcPr>
                <w:p w14:paraId="74E13CE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符合性</w:t>
                  </w:r>
                </w:p>
              </w:tc>
            </w:tr>
            <w:tr w14:paraId="3C55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16D38F6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824" w:type="pct"/>
                  <w:vAlign w:val="center"/>
                </w:tcPr>
                <w:p w14:paraId="09557E73">
                  <w:pPr>
                    <w:autoSpaceDE w:val="0"/>
                    <w:autoSpaceDN w:val="0"/>
                    <w:adjustRightInd w:val="0"/>
                    <w:snapToGrid w:val="0"/>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规划区应不断优化产业发展方向，按照报告书提出的“三线一单”管理要求，以资源利用上线、环境质量底线为约束，严格建设项目环境准入，入驻工业企业应满足《重庆市工业项目环境准入规定</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修订</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》《报告书》确定的环境准入清单要求，禁止发展印染、化学合成药类等重污染企业，限制引进食品发酵业等耗水量大、水污染物排放强度高的项目。</w:t>
                  </w:r>
                </w:p>
              </w:tc>
              <w:tc>
                <w:tcPr>
                  <w:tcW w:w="1305" w:type="pct"/>
                  <w:vAlign w:val="center"/>
                </w:tcPr>
                <w:p w14:paraId="16AF3FF0">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满足规划环评报告书中三线一单要求，《重庆市工业项目环境准入规定（修订）》已废止，但项目符合园区环境准入清单要求，不属于印染、化学合成药类等重污染企业，不属于食品发酵业等耗水量大、水污染物排放强度高的项目。</w:t>
                  </w:r>
                </w:p>
              </w:tc>
              <w:tc>
                <w:tcPr>
                  <w:tcW w:w="394" w:type="pct"/>
                  <w:vAlign w:val="center"/>
                </w:tcPr>
                <w:p w14:paraId="1AD8F48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03DC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347CDA0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2824" w:type="pct"/>
                  <w:vAlign w:val="center"/>
                </w:tcPr>
                <w:p w14:paraId="61BF70B9">
                  <w:pPr>
                    <w:autoSpaceDE w:val="0"/>
                    <w:autoSpaceDN w:val="0"/>
                    <w:adjustRightInd w:val="0"/>
                    <w:snapToGrid w:val="0"/>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区内淮远河、小安溪等河流两岸以及拦河堰水库、生基嘴水库库岸应设置一定宽度的绿化缓冲带，绿化缓冲带要保持原有的状况和自然形态，原则上应为绿地，除护岸工程及必要的市政设施外，禁止修建任何建筑物和构筑物。规划区要优化区域内的工业景观设计和建设，调整不和谐的建筑因素，按国务院实现全域旅游景观的原则要求，逐步调整工业园区与城市的景观和谐、自然，达到园区工业景观的“产业美”目标。规划区后续涉及环境防护距离的工业企业或项目，应通过选址或调整布局严格控制环境防护距离。结合铜梁区工业发展规划，白土坝片区采取“腾笼换鸟”的方式，发展以物流、生产资料交易为主的生产性服务业，将片区内不符合产业规划、排污量</w:t>
                  </w:r>
                  <w:r>
                    <w:rPr>
                      <w:rFonts w:hint="eastAsia"/>
                      <w:color w:val="000000" w:themeColor="text1"/>
                      <w:kern w:val="0"/>
                      <w:szCs w:val="21"/>
                      <w14:textFill>
                        <w14:solidFill>
                          <w14:schemeClr w14:val="tx1"/>
                        </w14:solidFill>
                      </w14:textFill>
                    </w:rPr>
                    <w:t>大的</w:t>
                  </w:r>
                  <w:r>
                    <w:rPr>
                      <w:color w:val="000000" w:themeColor="text1"/>
                      <w:kern w:val="0"/>
                      <w:szCs w:val="21"/>
                      <w14:textFill>
                        <w14:solidFill>
                          <w14:schemeClr w14:val="tx1"/>
                        </w14:solidFill>
                      </w14:textFill>
                    </w:rPr>
                    <w:t>企业逐步迁出片区。</w:t>
                  </w:r>
                </w:p>
              </w:tc>
              <w:tc>
                <w:tcPr>
                  <w:tcW w:w="1305" w:type="pct"/>
                  <w:vAlign w:val="center"/>
                </w:tcPr>
                <w:p w14:paraId="17097490">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项目位于蒲吕片区，不属于白土坝片区。</w:t>
                  </w:r>
                </w:p>
              </w:tc>
              <w:tc>
                <w:tcPr>
                  <w:tcW w:w="394" w:type="pct"/>
                  <w:vAlign w:val="center"/>
                </w:tcPr>
                <w:p w14:paraId="0E40D34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3D28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6F0AF80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2824" w:type="pct"/>
                  <w:vAlign w:val="center"/>
                </w:tcPr>
                <w:p w14:paraId="00D22AF3">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严格环境准入。禁止燃煤，鼓励燃气锅炉采用低氮燃烧技术。加强现状企业大气污染治理和监管，各入驻企业采用清洁工艺，采取先进的污染防治措施，确保废气稳定达标排放。排放挥发性有机物的企业应符合《重庆市“十三五”挥发性有机物污染防治工作实施方案》等相关要求。合理布局，产生有毒有害气体、粉尘的项目尽量远离生活配套服务区等集中居住区，尽量降低企业达标扰民的影响。食品加工、生物医药等对环境要求较高企业布局应考虑周边企业污染排放，留足防护距离。</w:t>
                  </w:r>
                </w:p>
              </w:tc>
              <w:tc>
                <w:tcPr>
                  <w:tcW w:w="1305" w:type="pct"/>
                  <w:vAlign w:val="center"/>
                </w:tcPr>
                <w:p w14:paraId="68622EF5">
                  <w:pPr>
                    <w:autoSpaceDE w:val="0"/>
                    <w:autoSpaceDN w:val="0"/>
                    <w:adjustRightInd w:val="0"/>
                    <w:snapToGrid w:val="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项目位于铜梁高新区蒲吕片区，主要能耗为电能，不燃煤，不涉及锅炉。排放的有机污染物均经有效处理后达标排放，符合《重庆市“十三五”挥发性有机物污染防治工作实施方案》等相关要求。</w:t>
                  </w:r>
                </w:p>
              </w:tc>
              <w:tc>
                <w:tcPr>
                  <w:tcW w:w="394" w:type="pct"/>
                  <w:vAlign w:val="center"/>
                </w:tcPr>
                <w:p w14:paraId="45457B0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6D69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5C9B618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2824" w:type="pct"/>
                  <w:vAlign w:val="center"/>
                </w:tcPr>
                <w:p w14:paraId="45653EFF">
                  <w:pPr>
                    <w:autoSpaceDE w:val="0"/>
                    <w:autoSpaceDN w:val="0"/>
                    <w:adjustRightInd w:val="0"/>
                    <w:snapToGrid w:val="0"/>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合理布局企业噪声源，高噪声源企业选址和布局应满足相应的环境防护距离要求，尽量远离居住区</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选择低噪声设备</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采取消声、隔声、减震等措施，确保厂界噪声达标</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合理布局、科学设定建筑物与交通干线的防噪声距离，严格落实规划区内交通主干道两侧的防护绿化带要求。</w:t>
                  </w:r>
                </w:p>
              </w:tc>
              <w:tc>
                <w:tcPr>
                  <w:tcW w:w="1305" w:type="pct"/>
                  <w:vAlign w:val="center"/>
                </w:tcPr>
                <w:p w14:paraId="0DAB5239">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项目运营期生产设备均置于生产厂房内，通过采取合理布局、基础减振、厂房隔声等措施后，厂界噪声达标。项目周边50m范围内无声环境保护目标。</w:t>
                  </w:r>
                </w:p>
              </w:tc>
              <w:tc>
                <w:tcPr>
                  <w:tcW w:w="394" w:type="pct"/>
                  <w:vAlign w:val="center"/>
                </w:tcPr>
                <w:p w14:paraId="38C62E3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3892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6481F0E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2824" w:type="pct"/>
                  <w:vAlign w:val="center"/>
                </w:tcPr>
                <w:p w14:paraId="3245E9FA">
                  <w:pPr>
                    <w:autoSpaceDE w:val="0"/>
                    <w:autoSpaceDN w:val="0"/>
                    <w:adjustRightInd w:val="0"/>
                    <w:snapToGrid w:val="0"/>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固体废物应按相关要求进行妥善收集、处理。加强一般工业固体废物综合利用和处置</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危险废物交有相应危险废物处理资质的单位进行处置：生活垃圾经收集后由环卫部门</w:t>
                  </w:r>
                  <w:r>
                    <w:rPr>
                      <w:rFonts w:hint="eastAsia"/>
                      <w:color w:val="000000" w:themeColor="text1"/>
                      <w:kern w:val="0"/>
                      <w:szCs w:val="21"/>
                      <w14:textFill>
                        <w14:solidFill>
                          <w14:schemeClr w14:val="tx1"/>
                        </w14:solidFill>
                      </w14:textFill>
                    </w:rPr>
                    <w:t>统一</w:t>
                  </w:r>
                  <w:r>
                    <w:rPr>
                      <w:color w:val="000000" w:themeColor="text1"/>
                      <w:kern w:val="0"/>
                      <w:szCs w:val="21"/>
                      <w14:textFill>
                        <w14:solidFill>
                          <w14:schemeClr w14:val="tx1"/>
                        </w14:solidFill>
                      </w14:textFill>
                    </w:rPr>
                    <w:t>清运处置。严格执行土壤风险评估和污染土壤修复制度</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对疑似污染地块开展调查评估，建立污染地块名录及其开发利用负面清单，土地开发利用必须满足规划用地土壤环境质量要求。</w:t>
                  </w:r>
                </w:p>
              </w:tc>
              <w:tc>
                <w:tcPr>
                  <w:tcW w:w="1305" w:type="pct"/>
                  <w:vAlign w:val="center"/>
                </w:tcPr>
                <w:p w14:paraId="72050D59">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项目运营期按固废性质进行分类收集处置，并委托有危险废物处置资质的单位处置，不会对外环境造成二次污染；项目在现有厂房内建设生产，不涉及土壤修复。</w:t>
                  </w:r>
                </w:p>
              </w:tc>
              <w:tc>
                <w:tcPr>
                  <w:tcW w:w="394" w:type="pct"/>
                  <w:vAlign w:val="center"/>
                </w:tcPr>
                <w:p w14:paraId="0D497CF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075A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7" w:type="pct"/>
                  <w:vAlign w:val="center"/>
                </w:tcPr>
                <w:p w14:paraId="777A873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2824" w:type="pct"/>
                  <w:vAlign w:val="center"/>
                </w:tcPr>
                <w:p w14:paraId="313422AB">
                  <w:pPr>
                    <w:autoSpaceDE w:val="0"/>
                    <w:autoSpaceDN w:val="0"/>
                    <w:adjustRightInd w:val="0"/>
                    <w:snapToGrid w:val="0"/>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防范和应急处置是确保环境安全的重要工作内容，园区应在现有基础上完善环境风险防范体系建设，相关企业尤其是涉及危化品的企业应严格落实各项环境风险防范措施，防范突发性环境风险事故发生。完善环境污染事故应急预案，配备相应风险防范应急物资</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定期做好应急演练</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完善园区三级风险防范体系，保障环境安全。</w:t>
                  </w:r>
                </w:p>
              </w:tc>
              <w:tc>
                <w:tcPr>
                  <w:tcW w:w="1305" w:type="pct"/>
                  <w:vAlign w:val="center"/>
                </w:tcPr>
                <w:p w14:paraId="1EBE42E7">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项目无重大风险源，危废贮存点、</w:t>
                  </w:r>
                  <w:r>
                    <w:rPr>
                      <w:color w:val="000000" w:themeColor="text1"/>
                      <w:szCs w:val="21"/>
                      <w14:textFill>
                        <w14:solidFill>
                          <w14:schemeClr w14:val="tx1"/>
                        </w14:solidFill>
                      </w14:textFill>
                    </w:rPr>
                    <w:t>油料库房</w:t>
                  </w:r>
                  <w:r>
                    <w:rPr>
                      <w:color w:val="000000" w:themeColor="text1"/>
                      <w:kern w:val="0"/>
                      <w:szCs w:val="21"/>
                      <w14:textFill>
                        <w14:solidFill>
                          <w14:schemeClr w14:val="tx1"/>
                        </w14:solidFill>
                      </w14:textFill>
                    </w:rPr>
                    <w:t>地面按重点防渗区进行防渗处理，并按照相关要求设置托盘等应急设施。</w:t>
                  </w:r>
                </w:p>
              </w:tc>
              <w:tc>
                <w:tcPr>
                  <w:tcW w:w="394" w:type="pct"/>
                  <w:vAlign w:val="center"/>
                </w:tcPr>
                <w:p w14:paraId="3491406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14:paraId="54D45246">
            <w:pPr>
              <w:pStyle w:val="137"/>
              <w:rPr>
                <w:rFonts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根据表1-3的对比分析可知，项目与《重庆市生态环境局关于重庆市铜梁高新区铜梁片区及全蒲片区规划环境影响跟踪评价报告书审查意见的函》（渝环函</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2019</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94号）相关要求相符。</w:t>
            </w:r>
          </w:p>
        </w:tc>
      </w:tr>
      <w:tr w14:paraId="57F19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99" w:hRule="atLeast"/>
          <w:jc w:val="center"/>
        </w:trPr>
        <w:tc>
          <w:tcPr>
            <w:tcW w:w="456" w:type="dxa"/>
            <w:vAlign w:val="center"/>
          </w:tcPr>
          <w:p w14:paraId="116F5C7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8368" w:type="dxa"/>
            <w:gridSpan w:val="4"/>
            <w:vAlign w:val="center"/>
          </w:tcPr>
          <w:p w14:paraId="21504B14">
            <w:pPr>
              <w:pStyle w:val="137"/>
              <w:ind w:firstLineChars="200"/>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3、与《产业结构调整指导目录（2024年本）》符合性</w:t>
            </w:r>
          </w:p>
          <w:p w14:paraId="666426B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拟建项目属于C3443阀门和旋塞制造，对比《产业结构调整指导目录（2024年本）》，拟建项目生产工艺、设备、产品均不属于目录中的鼓励类、限制类和淘汰类</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为允许类</w:t>
            </w:r>
            <w:r>
              <w:rPr>
                <w:rFonts w:eastAsia="宋体"/>
                <w:color w:val="000000" w:themeColor="text1"/>
                <w14:textFill>
                  <w14:solidFill>
                    <w14:schemeClr w14:val="tx1"/>
                  </w14:solidFill>
                </w14:textFill>
              </w:rPr>
              <w:t>；项目所用的设备不属于《高耗能落后机电设备（产品）淘汰目录》（工节[2009]第67号）及《部分工业行业淘汰落后生产工艺装备和产品</w:t>
            </w:r>
            <w:r>
              <w:rPr>
                <w:rFonts w:hint="eastAsia" w:eastAsia="宋体"/>
                <w:color w:val="000000" w:themeColor="text1"/>
                <w14:textFill>
                  <w14:solidFill>
                    <w14:schemeClr w14:val="tx1"/>
                  </w14:solidFill>
                </w14:textFill>
              </w:rPr>
              <w:t>指导</w:t>
            </w:r>
            <w:r>
              <w:rPr>
                <w:rFonts w:eastAsia="宋体"/>
                <w:color w:val="000000" w:themeColor="text1"/>
                <w14:textFill>
                  <w14:solidFill>
                    <w14:schemeClr w14:val="tx1"/>
                  </w14:solidFill>
                </w14:textFill>
              </w:rPr>
              <w:t>目录》（工产业[2010]第122号）中的设备；同时，拟建项目已取得了重庆市铜梁区发展和改革委员会核发的《重庆市企业投资项目备案证》（项目代码：</w:t>
            </w:r>
            <w:r>
              <w:rPr>
                <w:rFonts w:hint="eastAsia" w:eastAsia="宋体" w:cs="Times New Roman"/>
                <w:color w:val="000000" w:themeColor="text1"/>
                <w:highlight w:val="none"/>
                <w:lang w:eastAsia="zh-CN"/>
                <w14:textFill>
                  <w14:solidFill>
                    <w14:schemeClr w14:val="tx1"/>
                  </w14:solidFill>
                </w14:textFill>
              </w:rPr>
              <w:t>2407-500151-04-05-811266</w:t>
            </w:r>
            <w:r>
              <w:rPr>
                <w:rFonts w:eastAsia="宋体"/>
                <w:color w:val="000000" w:themeColor="text1"/>
                <w14:textFill>
                  <w14:solidFill>
                    <w14:schemeClr w14:val="tx1"/>
                  </w14:solidFill>
                </w14:textFill>
              </w:rPr>
              <w:t>），同意项目备案。</w:t>
            </w:r>
          </w:p>
          <w:p w14:paraId="627F9CBD">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综上分析，拟建项目建设符合国家和重庆市现行产业政策要求。</w:t>
            </w:r>
          </w:p>
          <w:p w14:paraId="3F6F41F2">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4、与《重庆市产业投资准入工作手册》（渝发改投[2022]1436号）的符合性分析</w:t>
            </w:r>
          </w:p>
          <w:p w14:paraId="4011CA7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重庆市产业投资准入工作手册》（渝发改投[2022]1436号）对重庆市各区域不予准入和限制准入类产业进行了规定。拟建项目选址于工业园区，不在渝发改投[2022]1436号文规定的不予准入类和限制准入类产业范围内，项目的实施符合渝发改投[2022]1436号文的规定。</w:t>
            </w:r>
          </w:p>
          <w:p w14:paraId="124D137F">
            <w:pPr>
              <w:autoSpaceDE w:val="0"/>
              <w:autoSpaceDN w:val="0"/>
              <w:adjustRightInd w:val="0"/>
              <w:snapToGrid w:val="0"/>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表1-5与《重庆市产业投资准入工作手册》的符合性分析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1"/>
              <w:gridCol w:w="5265"/>
              <w:gridCol w:w="2118"/>
              <w:gridCol w:w="771"/>
            </w:tblGrid>
            <w:tr w14:paraId="49E5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0E3C53E">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序号</w:t>
                  </w:r>
                </w:p>
              </w:tc>
              <w:tc>
                <w:tcPr>
                  <w:tcW w:w="3045" w:type="pct"/>
                  <w:vAlign w:val="center"/>
                </w:tcPr>
                <w:p w14:paraId="5B637C8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不予准入项目</w:t>
                  </w:r>
                </w:p>
              </w:tc>
              <w:tc>
                <w:tcPr>
                  <w:tcW w:w="1225" w:type="pct"/>
                  <w:vAlign w:val="center"/>
                </w:tcPr>
                <w:p w14:paraId="58544A0D">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拟建项目条件符合性</w:t>
                  </w:r>
                </w:p>
              </w:tc>
              <w:tc>
                <w:tcPr>
                  <w:tcW w:w="445" w:type="pct"/>
                  <w:vAlign w:val="center"/>
                </w:tcPr>
                <w:p w14:paraId="25925E21">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符合性</w:t>
                  </w:r>
                </w:p>
              </w:tc>
            </w:tr>
            <w:tr w14:paraId="18B5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24FB82C">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一</w:t>
                  </w:r>
                </w:p>
              </w:tc>
              <w:tc>
                <w:tcPr>
                  <w:tcW w:w="4716" w:type="pct"/>
                  <w:gridSpan w:val="3"/>
                  <w:vAlign w:val="center"/>
                </w:tcPr>
                <w:p w14:paraId="1AC4BA96">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全市范围内不予准入的产业</w:t>
                  </w:r>
                </w:p>
              </w:tc>
            </w:tr>
            <w:tr w14:paraId="17C7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E9C13A4">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1</w:t>
                  </w:r>
                </w:p>
              </w:tc>
              <w:tc>
                <w:tcPr>
                  <w:tcW w:w="3045" w:type="pct"/>
                  <w:vAlign w:val="center"/>
                </w:tcPr>
                <w:p w14:paraId="13A55FB9">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国家产业结构调整指导目录中的淘汰类项目</w:t>
                  </w:r>
                </w:p>
              </w:tc>
              <w:tc>
                <w:tcPr>
                  <w:tcW w:w="1225" w:type="pct"/>
                  <w:vAlign w:val="center"/>
                </w:tcPr>
                <w:p w14:paraId="5F2CFABF">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项目属于允许类项目</w:t>
                  </w:r>
                </w:p>
              </w:tc>
              <w:tc>
                <w:tcPr>
                  <w:tcW w:w="445" w:type="pct"/>
                  <w:vAlign w:val="center"/>
                </w:tcPr>
                <w:p w14:paraId="2513301E">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符合</w:t>
                  </w:r>
                </w:p>
              </w:tc>
            </w:tr>
            <w:tr w14:paraId="54B6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A348AFE">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2</w:t>
                  </w:r>
                </w:p>
              </w:tc>
              <w:tc>
                <w:tcPr>
                  <w:tcW w:w="3045" w:type="pct"/>
                  <w:vAlign w:val="center"/>
                </w:tcPr>
                <w:p w14:paraId="417EDDB1">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烟花爆竹生产</w:t>
                  </w:r>
                </w:p>
              </w:tc>
              <w:tc>
                <w:tcPr>
                  <w:tcW w:w="1225" w:type="pct"/>
                  <w:vAlign w:val="center"/>
                </w:tcPr>
                <w:p w14:paraId="2F13CB98">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非烟花爆竹生产</w:t>
                  </w:r>
                </w:p>
              </w:tc>
              <w:tc>
                <w:tcPr>
                  <w:tcW w:w="445" w:type="pct"/>
                  <w:vAlign w:val="center"/>
                </w:tcPr>
                <w:p w14:paraId="505E3D3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A82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5F21426">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3</w:t>
                  </w:r>
                </w:p>
              </w:tc>
              <w:tc>
                <w:tcPr>
                  <w:tcW w:w="3045" w:type="pct"/>
                  <w:vAlign w:val="center"/>
                </w:tcPr>
                <w:p w14:paraId="29229407">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400KA以下电解铝生产线</w:t>
                  </w:r>
                </w:p>
              </w:tc>
              <w:tc>
                <w:tcPr>
                  <w:tcW w:w="1225" w:type="pct"/>
                  <w:vAlign w:val="center"/>
                </w:tcPr>
                <w:p w14:paraId="00C2489B">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非电解铝生产</w:t>
                  </w:r>
                </w:p>
              </w:tc>
              <w:tc>
                <w:tcPr>
                  <w:tcW w:w="445" w:type="pct"/>
                  <w:vAlign w:val="center"/>
                </w:tcPr>
                <w:p w14:paraId="53D7F15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58A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428688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4</w:t>
                  </w:r>
                </w:p>
              </w:tc>
              <w:tc>
                <w:tcPr>
                  <w:tcW w:w="3045" w:type="pct"/>
                  <w:vAlign w:val="center"/>
                </w:tcPr>
                <w:p w14:paraId="0671EFF5">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单机10万千瓦以下和设计寿命期满的单机20万千瓦以下常规燃煤火电机</w:t>
                  </w:r>
                </w:p>
              </w:tc>
              <w:tc>
                <w:tcPr>
                  <w:tcW w:w="1225" w:type="pct"/>
                  <w:vAlign w:val="center"/>
                </w:tcPr>
                <w:p w14:paraId="76146D2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无燃煤火电机</w:t>
                  </w:r>
                </w:p>
              </w:tc>
              <w:tc>
                <w:tcPr>
                  <w:tcW w:w="445" w:type="pct"/>
                  <w:vAlign w:val="center"/>
                </w:tcPr>
                <w:p w14:paraId="73BF4C8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F8D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0B2F6F4">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5</w:t>
                  </w:r>
                </w:p>
              </w:tc>
              <w:tc>
                <w:tcPr>
                  <w:tcW w:w="3045" w:type="pct"/>
                  <w:vAlign w:val="center"/>
                </w:tcPr>
                <w:p w14:paraId="6D86DA7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天然林商业性采伐</w:t>
                  </w:r>
                </w:p>
              </w:tc>
              <w:tc>
                <w:tcPr>
                  <w:tcW w:w="1225" w:type="pct"/>
                  <w:vAlign w:val="center"/>
                </w:tcPr>
                <w:p w14:paraId="38CD3E99">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不涉及采伐</w:t>
                  </w:r>
                </w:p>
              </w:tc>
              <w:tc>
                <w:tcPr>
                  <w:tcW w:w="445" w:type="pct"/>
                  <w:vAlign w:val="center"/>
                </w:tcPr>
                <w:p w14:paraId="10AEBCB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E50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F750CC1">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6</w:t>
                  </w:r>
                </w:p>
              </w:tc>
              <w:tc>
                <w:tcPr>
                  <w:tcW w:w="3045" w:type="pct"/>
                  <w:vAlign w:val="center"/>
                </w:tcPr>
                <w:p w14:paraId="28414079">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资源环境绩效水平超过《重庆市工业项目环境准入规定》（渝办发</w:t>
                  </w:r>
                  <w:r>
                    <w:rPr>
                      <w:rFonts w:hint="eastAsia" w:cs="Times New Roman"/>
                      <w:color w:val="000000" w:themeColor="text1"/>
                      <w:lang w:val="en-GB"/>
                      <w14:textFill>
                        <w14:solidFill>
                          <w14:schemeClr w14:val="tx1"/>
                        </w14:solidFill>
                      </w14:textFill>
                    </w:rPr>
                    <w:t>〔</w:t>
                  </w:r>
                  <w:r>
                    <w:rPr>
                      <w:rFonts w:cs="Times New Roman"/>
                      <w:color w:val="000000" w:themeColor="text1"/>
                      <w:lang w:val="en-GB"/>
                      <w14:textFill>
                        <w14:solidFill>
                          <w14:schemeClr w14:val="tx1"/>
                        </w14:solidFill>
                      </w14:textFill>
                    </w:rPr>
                    <w:t>2012</w:t>
                  </w:r>
                  <w:r>
                    <w:rPr>
                      <w:rFonts w:hint="eastAsia" w:cs="Times New Roman"/>
                      <w:color w:val="000000" w:themeColor="text1"/>
                      <w:lang w:val="en-GB"/>
                      <w14:textFill>
                        <w14:solidFill>
                          <w14:schemeClr w14:val="tx1"/>
                        </w14:solidFill>
                      </w14:textFill>
                    </w:rPr>
                    <w:t>〕</w:t>
                  </w:r>
                  <w:r>
                    <w:rPr>
                      <w:rFonts w:cs="Times New Roman"/>
                      <w:color w:val="000000" w:themeColor="text1"/>
                      <w:lang w:val="en-GB"/>
                      <w14:textFill>
                        <w14:solidFill>
                          <w14:schemeClr w14:val="tx1"/>
                        </w14:solidFill>
                      </w14:textFill>
                    </w:rPr>
                    <w:t>142号）限值以及不符合生态建设和环境保护规划区域布局规定的工业项目。在环境容量超载的区域（流域）增加污染物排放的项目。</w:t>
                  </w:r>
                </w:p>
              </w:tc>
              <w:tc>
                <w:tcPr>
                  <w:tcW w:w="1225" w:type="pct"/>
                  <w:vAlign w:val="center"/>
                </w:tcPr>
                <w:p w14:paraId="7E2D149D">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符合相关规定及规划</w:t>
                  </w:r>
                </w:p>
              </w:tc>
              <w:tc>
                <w:tcPr>
                  <w:tcW w:w="445" w:type="pct"/>
                  <w:vAlign w:val="center"/>
                </w:tcPr>
                <w:p w14:paraId="1D9B001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214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523018B5">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7</w:t>
                  </w:r>
                </w:p>
              </w:tc>
              <w:tc>
                <w:tcPr>
                  <w:tcW w:w="3045" w:type="pct"/>
                  <w:vAlign w:val="center"/>
                </w:tcPr>
                <w:p w14:paraId="149A7608">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不符合《重庆市人民政府办公厅关于印发重庆市供给侧结构性改革去产能专项方案的通知》（渝府办发</w:t>
                  </w:r>
                  <w:r>
                    <w:rPr>
                      <w:rFonts w:hint="eastAsia" w:cs="Times New Roman"/>
                      <w:color w:val="000000" w:themeColor="text1"/>
                      <w:lang w:val="en-GB"/>
                      <w14:textFill>
                        <w14:solidFill>
                          <w14:schemeClr w14:val="tx1"/>
                        </w14:solidFill>
                      </w14:textFill>
                    </w:rPr>
                    <w:t>〔</w:t>
                  </w:r>
                  <w:r>
                    <w:rPr>
                      <w:rFonts w:cs="Times New Roman"/>
                      <w:color w:val="000000" w:themeColor="text1"/>
                      <w:lang w:val="en-GB"/>
                      <w14:textFill>
                        <w14:solidFill>
                          <w14:schemeClr w14:val="tx1"/>
                        </w14:solidFill>
                      </w14:textFill>
                    </w:rPr>
                    <w:t>2016</w:t>
                  </w:r>
                  <w:r>
                    <w:rPr>
                      <w:rFonts w:hint="eastAsia" w:cs="Times New Roman"/>
                      <w:color w:val="000000" w:themeColor="text1"/>
                      <w:lang w:val="en-GB"/>
                      <w14:textFill>
                        <w14:solidFill>
                          <w14:schemeClr w14:val="tx1"/>
                        </w14:solidFill>
                      </w14:textFill>
                    </w:rPr>
                    <w:t>〕</w:t>
                  </w:r>
                  <w:r>
                    <w:rPr>
                      <w:rFonts w:cs="Times New Roman"/>
                      <w:color w:val="000000" w:themeColor="text1"/>
                      <w:lang w:val="en-GB"/>
                      <w14:textFill>
                        <w14:solidFill>
                          <w14:schemeClr w14:val="tx1"/>
                        </w14:solidFill>
                      </w14:textFill>
                    </w:rPr>
                    <w:t>128号）要求的环保、能耗、工艺与装备标准的煤炭、钢铁、水泥、电解铝、平板玻璃和船舶制造等项目</w:t>
                  </w:r>
                </w:p>
              </w:tc>
              <w:tc>
                <w:tcPr>
                  <w:tcW w:w="1225" w:type="pct"/>
                  <w:vAlign w:val="center"/>
                </w:tcPr>
                <w:p w14:paraId="348D60D5">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拟建项目不属于煤炭、钢铁、水泥、电解铝、平板玻璃和船舶制造等项目</w:t>
                  </w:r>
                </w:p>
              </w:tc>
              <w:tc>
                <w:tcPr>
                  <w:tcW w:w="445" w:type="pct"/>
                  <w:vAlign w:val="center"/>
                </w:tcPr>
                <w:p w14:paraId="574DC6B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3F8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FC2914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二</w:t>
                  </w:r>
                </w:p>
              </w:tc>
              <w:tc>
                <w:tcPr>
                  <w:tcW w:w="4716" w:type="pct"/>
                  <w:gridSpan w:val="3"/>
                  <w:vAlign w:val="center"/>
                </w:tcPr>
                <w:p w14:paraId="55F26C47">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重点区域范围内不予准入的产业</w:t>
                  </w:r>
                </w:p>
              </w:tc>
            </w:tr>
            <w:tr w14:paraId="6F7D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65293F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1</w:t>
                  </w:r>
                </w:p>
              </w:tc>
              <w:tc>
                <w:tcPr>
                  <w:tcW w:w="3045" w:type="pct"/>
                  <w:vAlign w:val="center"/>
                </w:tcPr>
                <w:p w14:paraId="71F94443">
                  <w:pPr>
                    <w:pStyle w:val="85"/>
                    <w:rPr>
                      <w:rFonts w:cs="Times New Roman"/>
                      <w:color w:val="000000" w:themeColor="text1"/>
                      <w:lang w:val="en-GB"/>
                      <w14:textFill>
                        <w14:solidFill>
                          <w14:schemeClr w14:val="tx1"/>
                        </w14:solidFill>
                      </w14:textFill>
                    </w:rPr>
                  </w:pPr>
                  <w:r>
                    <w:rPr>
                      <w:rFonts w:hint="eastAsia" w:cs="Times New Roman"/>
                      <w:color w:val="000000" w:themeColor="text1"/>
                      <w14:textFill>
                        <w14:solidFill>
                          <w14:schemeClr w14:val="tx1"/>
                        </w14:solidFill>
                      </w14:textFill>
                    </w:rPr>
                    <w:t>生态</w:t>
                  </w:r>
                  <w:r>
                    <w:rPr>
                      <w:rFonts w:cs="Times New Roman"/>
                      <w:color w:val="000000" w:themeColor="text1"/>
                      <w:lang w:val="en-GB"/>
                      <w14:textFill>
                        <w14:solidFill>
                          <w14:schemeClr w14:val="tx1"/>
                        </w14:solidFill>
                      </w14:textFill>
                    </w:rPr>
                    <w:t>保护区域的工业项目</w:t>
                  </w:r>
                </w:p>
              </w:tc>
              <w:tc>
                <w:tcPr>
                  <w:tcW w:w="1225" w:type="pct"/>
                  <w:vAlign w:val="center"/>
                </w:tcPr>
                <w:p w14:paraId="5F81CACD">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w:t>
                  </w:r>
                  <w:r>
                    <w:rPr>
                      <w:rFonts w:hint="eastAsia" w:cs="Times New Roman"/>
                      <w:color w:val="000000" w:themeColor="text1"/>
                      <w14:textFill>
                        <w14:solidFill>
                          <w14:schemeClr w14:val="tx1"/>
                        </w14:solidFill>
                      </w14:textFill>
                    </w:rPr>
                    <w:t>上述</w:t>
                  </w:r>
                  <w:r>
                    <w:rPr>
                      <w:rFonts w:cs="Times New Roman"/>
                      <w:color w:val="000000" w:themeColor="text1"/>
                      <w:lang w:val="en-GB"/>
                      <w14:textFill>
                        <w14:solidFill>
                          <w14:schemeClr w14:val="tx1"/>
                        </w14:solidFill>
                      </w14:textFill>
                    </w:rPr>
                    <w:t>区域</w:t>
                  </w:r>
                </w:p>
              </w:tc>
              <w:tc>
                <w:tcPr>
                  <w:tcW w:w="445" w:type="pct"/>
                  <w:vAlign w:val="center"/>
                </w:tcPr>
                <w:p w14:paraId="3B0D178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12E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FB60347">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2</w:t>
                  </w:r>
                </w:p>
              </w:tc>
              <w:tc>
                <w:tcPr>
                  <w:tcW w:w="3045" w:type="pct"/>
                  <w:vAlign w:val="center"/>
                </w:tcPr>
                <w:p w14:paraId="4DF2B8D0">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长江鱼嘴以上江段及其一级支流汇入口上游20km、嘉陵江及其一级支流汇入口上游20km、集中式饮用水水源取水口上游20km范围内的沿岸地区（江河50年一遇洪水位向陆域一侧1km范围内）的重金属（铬、镉、汞、砷、铅等五类重金属，下同）、剧毒物质和持久性有机污染物的工业项目</w:t>
                  </w:r>
                </w:p>
              </w:tc>
              <w:tc>
                <w:tcPr>
                  <w:tcW w:w="1225" w:type="pct"/>
                  <w:vAlign w:val="center"/>
                </w:tcPr>
                <w:p w14:paraId="1191A7A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不涉及重金属、剧毒和持久性有机污染物</w:t>
                  </w:r>
                </w:p>
              </w:tc>
              <w:tc>
                <w:tcPr>
                  <w:tcW w:w="445" w:type="pct"/>
                  <w:vAlign w:val="center"/>
                </w:tcPr>
                <w:p w14:paraId="66FBF47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C89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C916D1D">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3</w:t>
                  </w:r>
                </w:p>
              </w:tc>
              <w:tc>
                <w:tcPr>
                  <w:tcW w:w="3045" w:type="pct"/>
                  <w:vAlign w:val="center"/>
                </w:tcPr>
                <w:p w14:paraId="4131C0FB">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未进入国家和市政府批准的化工园区或化工集中区的化工项目</w:t>
                  </w:r>
                </w:p>
              </w:tc>
              <w:tc>
                <w:tcPr>
                  <w:tcW w:w="1225" w:type="pct"/>
                  <w:vAlign w:val="center"/>
                </w:tcPr>
                <w:p w14:paraId="39CB42A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非化工项目</w:t>
                  </w:r>
                </w:p>
              </w:tc>
              <w:tc>
                <w:tcPr>
                  <w:tcW w:w="445" w:type="pct"/>
                  <w:vAlign w:val="center"/>
                </w:tcPr>
                <w:p w14:paraId="7ECD6C8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07AF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5978E95F">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4</w:t>
                  </w:r>
                </w:p>
              </w:tc>
              <w:tc>
                <w:tcPr>
                  <w:tcW w:w="3045" w:type="pct"/>
                  <w:vAlign w:val="center"/>
                </w:tcPr>
                <w:p w14:paraId="53E43EA9">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大气污染防治重点控制区域内，燃煤火电、化工、水泥、采（碎）石场、烧结砖瓦窑以及燃煤锅炉等项目</w:t>
                  </w:r>
                </w:p>
              </w:tc>
              <w:tc>
                <w:tcPr>
                  <w:tcW w:w="1225" w:type="pct"/>
                  <w:vAlign w:val="center"/>
                </w:tcPr>
                <w:p w14:paraId="2E1ACD66">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非所列的大气污染防治重点项目</w:t>
                  </w:r>
                </w:p>
              </w:tc>
              <w:tc>
                <w:tcPr>
                  <w:tcW w:w="445" w:type="pct"/>
                  <w:vAlign w:val="center"/>
                </w:tcPr>
                <w:p w14:paraId="692B037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8C6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28CB8BC8">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5</w:t>
                  </w:r>
                </w:p>
              </w:tc>
              <w:tc>
                <w:tcPr>
                  <w:tcW w:w="3045" w:type="pct"/>
                  <w:vAlign w:val="center"/>
                </w:tcPr>
                <w:p w14:paraId="67474D89">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主城区以外的各区县城区及其主导上风向5km范围内，燃煤电厂、水泥、冶炼等大气污染严重的项目</w:t>
                  </w:r>
                </w:p>
              </w:tc>
              <w:tc>
                <w:tcPr>
                  <w:tcW w:w="1225" w:type="pct"/>
                  <w:vAlign w:val="center"/>
                </w:tcPr>
                <w:p w14:paraId="1D238C9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非所列的大气污染严重的项目</w:t>
                  </w:r>
                </w:p>
              </w:tc>
              <w:tc>
                <w:tcPr>
                  <w:tcW w:w="445" w:type="pct"/>
                  <w:vAlign w:val="center"/>
                </w:tcPr>
                <w:p w14:paraId="0D0774F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E78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0B61E2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6</w:t>
                  </w:r>
                </w:p>
              </w:tc>
              <w:tc>
                <w:tcPr>
                  <w:tcW w:w="3045" w:type="pct"/>
                  <w:vAlign w:val="center"/>
                </w:tcPr>
                <w:p w14:paraId="3CC2283D">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二十五度以上陡坡地开垦种植农作物</w:t>
                  </w:r>
                </w:p>
              </w:tc>
              <w:tc>
                <w:tcPr>
                  <w:tcW w:w="1225" w:type="pct"/>
                  <w:vAlign w:val="center"/>
                </w:tcPr>
                <w:p w14:paraId="4F34E45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非农业项目</w:t>
                  </w:r>
                </w:p>
              </w:tc>
              <w:tc>
                <w:tcPr>
                  <w:tcW w:w="445" w:type="pct"/>
                  <w:vAlign w:val="center"/>
                </w:tcPr>
                <w:p w14:paraId="3496F7A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E01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2E6FF89E">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7</w:t>
                  </w:r>
                </w:p>
              </w:tc>
              <w:tc>
                <w:tcPr>
                  <w:tcW w:w="3045" w:type="pct"/>
                  <w:vAlign w:val="center"/>
                </w:tcPr>
                <w:p w14:paraId="737DD62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饮用水水源保护区、自然保护区、自然文化遗产地、湿地公园、森林公园、风景名胜区、地质公园等区域进行工业化城镇化开发。</w:t>
                  </w:r>
                </w:p>
              </w:tc>
              <w:tc>
                <w:tcPr>
                  <w:tcW w:w="1225" w:type="pct"/>
                  <w:vAlign w:val="center"/>
                </w:tcPr>
                <w:p w14:paraId="193B1210">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不涉及所列区域</w:t>
                  </w:r>
                </w:p>
              </w:tc>
              <w:tc>
                <w:tcPr>
                  <w:tcW w:w="445" w:type="pct"/>
                  <w:vAlign w:val="center"/>
                </w:tcPr>
                <w:p w14:paraId="053AFC2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2A4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8A90C81">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8</w:t>
                  </w:r>
                </w:p>
              </w:tc>
              <w:tc>
                <w:tcPr>
                  <w:tcW w:w="3045" w:type="pct"/>
                  <w:vAlign w:val="center"/>
                </w:tcPr>
                <w:p w14:paraId="3C7C6A6A">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生态红线控制区、生态环境敏感区、人口聚集区涉重金属排放项目</w:t>
                  </w:r>
                </w:p>
              </w:tc>
              <w:tc>
                <w:tcPr>
                  <w:tcW w:w="1225" w:type="pct"/>
                  <w:vAlign w:val="center"/>
                </w:tcPr>
                <w:p w14:paraId="14CE0EC1">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不涉及重金属排放</w:t>
                  </w:r>
                </w:p>
              </w:tc>
              <w:tc>
                <w:tcPr>
                  <w:tcW w:w="445" w:type="pct"/>
                  <w:vAlign w:val="center"/>
                </w:tcPr>
                <w:p w14:paraId="31A0D76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9B0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52630861">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9</w:t>
                  </w:r>
                </w:p>
              </w:tc>
              <w:tc>
                <w:tcPr>
                  <w:tcW w:w="3045" w:type="pct"/>
                  <w:vAlign w:val="center"/>
                </w:tcPr>
                <w:p w14:paraId="5B3F2682">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长江干流及主要支流岸线1km范围内重化工项目（除在建项目外）</w:t>
                  </w:r>
                </w:p>
              </w:tc>
              <w:tc>
                <w:tcPr>
                  <w:tcW w:w="1225" w:type="pct"/>
                  <w:vAlign w:val="center"/>
                </w:tcPr>
                <w:p w14:paraId="55900EE8">
                  <w:pPr>
                    <w:pStyle w:val="8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非重化工项目</w:t>
                  </w:r>
                </w:p>
              </w:tc>
              <w:tc>
                <w:tcPr>
                  <w:tcW w:w="445" w:type="pct"/>
                  <w:vAlign w:val="center"/>
                </w:tcPr>
                <w:p w14:paraId="5258DC9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593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BE11A29">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10</w:t>
                  </w:r>
                </w:p>
              </w:tc>
              <w:tc>
                <w:tcPr>
                  <w:tcW w:w="3045" w:type="pct"/>
                  <w:vAlign w:val="center"/>
                </w:tcPr>
                <w:p w14:paraId="16631D53">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修改为长江干流及主要支流（指乌江、嘉陵江、大宁河、阿蓬江、涪江、渠江）175米库岸沿线至第一山脊线范围内采矿</w:t>
                  </w:r>
                </w:p>
              </w:tc>
              <w:tc>
                <w:tcPr>
                  <w:tcW w:w="1225" w:type="pct"/>
                  <w:vAlign w:val="center"/>
                </w:tcPr>
                <w:p w14:paraId="0DFF09F7">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非采矿项目</w:t>
                  </w:r>
                </w:p>
              </w:tc>
              <w:tc>
                <w:tcPr>
                  <w:tcW w:w="445" w:type="pct"/>
                  <w:vAlign w:val="center"/>
                </w:tcPr>
                <w:p w14:paraId="3DAEA9C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5CE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47E7DB2">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11</w:t>
                  </w:r>
                </w:p>
              </w:tc>
              <w:tc>
                <w:tcPr>
                  <w:tcW w:w="3045" w:type="pct"/>
                  <w:vAlign w:val="center"/>
                </w:tcPr>
                <w:p w14:paraId="751598CD">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外环绕城高速公路以内长江、嘉陵江水域采矿</w:t>
                  </w:r>
                </w:p>
              </w:tc>
              <w:tc>
                <w:tcPr>
                  <w:tcW w:w="1225" w:type="pct"/>
                  <w:vAlign w:val="center"/>
                </w:tcPr>
                <w:p w14:paraId="2D133FC2">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非采矿项目</w:t>
                  </w:r>
                </w:p>
              </w:tc>
              <w:tc>
                <w:tcPr>
                  <w:tcW w:w="445" w:type="pct"/>
                  <w:vAlign w:val="center"/>
                </w:tcPr>
                <w:p w14:paraId="03287810">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21B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190CDF4">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12</w:t>
                  </w:r>
                </w:p>
              </w:tc>
              <w:tc>
                <w:tcPr>
                  <w:tcW w:w="3045" w:type="pct"/>
                  <w:vAlign w:val="center"/>
                </w:tcPr>
                <w:p w14:paraId="73563206">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主城区不符合“两江四岸”规划设计景观要求的项目以及造纸、印染、危险废物处置项目</w:t>
                  </w:r>
                </w:p>
              </w:tc>
              <w:tc>
                <w:tcPr>
                  <w:tcW w:w="1225" w:type="pct"/>
                  <w:vAlign w:val="center"/>
                </w:tcPr>
                <w:p w14:paraId="388A199A">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非所列项目</w:t>
                  </w:r>
                </w:p>
              </w:tc>
              <w:tc>
                <w:tcPr>
                  <w:tcW w:w="445" w:type="pct"/>
                  <w:vAlign w:val="center"/>
                </w:tcPr>
                <w:p w14:paraId="175AFB95">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DA5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4EA67FD">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13</w:t>
                  </w:r>
                </w:p>
              </w:tc>
              <w:tc>
                <w:tcPr>
                  <w:tcW w:w="3045" w:type="pct"/>
                  <w:vAlign w:val="center"/>
                </w:tcPr>
                <w:p w14:paraId="71501117">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主城区内环以内工业项目；内环以外燃煤电厂（含热电）、重化工以及使用煤和重油为燃料的工业项目</w:t>
                  </w:r>
                </w:p>
              </w:tc>
              <w:tc>
                <w:tcPr>
                  <w:tcW w:w="1225" w:type="pct"/>
                  <w:vAlign w:val="center"/>
                </w:tcPr>
                <w:p w14:paraId="54407ACB">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不属于内环以内工业项目，非热电、重化工、不使用燃煤和重油为燃料</w:t>
                  </w:r>
                </w:p>
              </w:tc>
              <w:tc>
                <w:tcPr>
                  <w:tcW w:w="445" w:type="pct"/>
                  <w:vAlign w:val="center"/>
                </w:tcPr>
                <w:p w14:paraId="11C1879F">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242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22EF7EC8">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14</w:t>
                  </w:r>
                </w:p>
              </w:tc>
              <w:tc>
                <w:tcPr>
                  <w:tcW w:w="3045" w:type="pct"/>
                  <w:vAlign w:val="center"/>
                </w:tcPr>
                <w:p w14:paraId="1CE04ED7">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主城区及其主导上风向20km范围内大气污染严重的燃煤电厂（含热电）、冶炼、水泥项目</w:t>
                  </w:r>
                </w:p>
              </w:tc>
              <w:tc>
                <w:tcPr>
                  <w:tcW w:w="1225" w:type="pct"/>
                  <w:vAlign w:val="center"/>
                </w:tcPr>
                <w:p w14:paraId="02A978BF">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非所列项目</w:t>
                  </w:r>
                </w:p>
              </w:tc>
              <w:tc>
                <w:tcPr>
                  <w:tcW w:w="445" w:type="pct"/>
                  <w:vAlign w:val="center"/>
                </w:tcPr>
                <w:p w14:paraId="160A554E">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3262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3DBF2D6E">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15</w:t>
                  </w:r>
                </w:p>
              </w:tc>
              <w:tc>
                <w:tcPr>
                  <w:tcW w:w="3045" w:type="pct"/>
                  <w:vAlign w:val="center"/>
                </w:tcPr>
                <w:p w14:paraId="479B99C6">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长江、嘉陵江主城区江段及其上游沿江河地区排放有毒有害物质、重金属以及存在严重环境安全风险的产业项目</w:t>
                  </w:r>
                </w:p>
              </w:tc>
              <w:tc>
                <w:tcPr>
                  <w:tcW w:w="1225" w:type="pct"/>
                  <w:vAlign w:val="center"/>
                </w:tcPr>
                <w:p w14:paraId="0CF1C0F3">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不属于有严重环境安全风险项目</w:t>
                  </w:r>
                </w:p>
              </w:tc>
              <w:tc>
                <w:tcPr>
                  <w:tcW w:w="445" w:type="pct"/>
                  <w:vAlign w:val="center"/>
                </w:tcPr>
                <w:p w14:paraId="09B188E1">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F0B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064BE46B">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16</w:t>
                  </w:r>
                </w:p>
              </w:tc>
              <w:tc>
                <w:tcPr>
                  <w:tcW w:w="3045" w:type="pct"/>
                  <w:vAlign w:val="center"/>
                </w:tcPr>
                <w:p w14:paraId="14D154CA">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东北部地区和东南部地区的化工项目（万州区仅限于对现有主体化工产业链进行完善和升级改造）</w:t>
                  </w:r>
                </w:p>
              </w:tc>
              <w:tc>
                <w:tcPr>
                  <w:tcW w:w="1225" w:type="pct"/>
                  <w:vAlign w:val="center"/>
                </w:tcPr>
                <w:p w14:paraId="433311F5">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非化工项目</w:t>
                  </w:r>
                </w:p>
              </w:tc>
              <w:tc>
                <w:tcPr>
                  <w:tcW w:w="445" w:type="pct"/>
                  <w:vAlign w:val="center"/>
                </w:tcPr>
                <w:p w14:paraId="6D4D57B1">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792E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5AF03287">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三</w:t>
                  </w:r>
                </w:p>
              </w:tc>
              <w:tc>
                <w:tcPr>
                  <w:tcW w:w="4716" w:type="pct"/>
                  <w:gridSpan w:val="3"/>
                  <w:vAlign w:val="center"/>
                </w:tcPr>
                <w:p w14:paraId="57D31959">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限制准入类</w:t>
                  </w:r>
                </w:p>
              </w:tc>
            </w:tr>
            <w:tr w14:paraId="186C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01C7D0D4">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w:t>
                  </w:r>
                </w:p>
              </w:tc>
              <w:tc>
                <w:tcPr>
                  <w:tcW w:w="3045" w:type="pct"/>
                  <w:vAlign w:val="center"/>
                </w:tcPr>
                <w:p w14:paraId="1BBA7497">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长江干流及主要支流岸线5km范围内，除经国家和市政府批准设立、仍在建设的工业园区外，不再新布局工业园区（不包括现有工业园区拓展）</w:t>
                  </w:r>
                </w:p>
              </w:tc>
              <w:tc>
                <w:tcPr>
                  <w:tcW w:w="1225" w:type="pct"/>
                  <w:vAlign w:val="center"/>
                </w:tcPr>
                <w:p w14:paraId="3C50572A">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不在所列区域</w:t>
                  </w:r>
                </w:p>
              </w:tc>
              <w:tc>
                <w:tcPr>
                  <w:tcW w:w="445" w:type="pct"/>
                  <w:vAlign w:val="center"/>
                </w:tcPr>
                <w:p w14:paraId="2DD5A1A0">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EA1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519B809D">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w:t>
                  </w:r>
                </w:p>
              </w:tc>
              <w:tc>
                <w:tcPr>
                  <w:tcW w:w="3045" w:type="pct"/>
                  <w:vAlign w:val="center"/>
                </w:tcPr>
                <w:p w14:paraId="6AB0C7BB">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大气污染防治一般控制区域内，限制建设大气污染严重项目</w:t>
                  </w:r>
                </w:p>
              </w:tc>
              <w:tc>
                <w:tcPr>
                  <w:tcW w:w="1225" w:type="pct"/>
                  <w:vAlign w:val="center"/>
                </w:tcPr>
                <w:p w14:paraId="11B55D7D">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非大气污染严重项目</w:t>
                  </w:r>
                </w:p>
              </w:tc>
              <w:tc>
                <w:tcPr>
                  <w:tcW w:w="445" w:type="pct"/>
                  <w:vAlign w:val="center"/>
                </w:tcPr>
                <w:p w14:paraId="1AAFF95C">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2DB3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6AD6CCE6">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3</w:t>
                  </w:r>
                </w:p>
              </w:tc>
              <w:tc>
                <w:tcPr>
                  <w:tcW w:w="3045" w:type="pct"/>
                  <w:vAlign w:val="center"/>
                </w:tcPr>
                <w:p w14:paraId="5E88A047">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其他区县的缺水区域严格限制建设高耗水的工业项目</w:t>
                  </w:r>
                </w:p>
              </w:tc>
              <w:tc>
                <w:tcPr>
                  <w:tcW w:w="1225" w:type="pct"/>
                  <w:vAlign w:val="center"/>
                </w:tcPr>
                <w:p w14:paraId="76B76B7A">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不在所列区域</w:t>
                  </w:r>
                </w:p>
              </w:tc>
              <w:tc>
                <w:tcPr>
                  <w:tcW w:w="445" w:type="pct"/>
                  <w:vAlign w:val="center"/>
                </w:tcPr>
                <w:p w14:paraId="4C51BC22">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504A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22CF807D">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4</w:t>
                  </w:r>
                </w:p>
              </w:tc>
              <w:tc>
                <w:tcPr>
                  <w:tcW w:w="3045" w:type="pct"/>
                  <w:vAlign w:val="center"/>
                </w:tcPr>
                <w:p w14:paraId="1020B5B4">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合川区、铜梁区、长寿区、璧山区等地区，严格限制新建可能对主城区大气产生影响的燃用煤、重油等高污染燃料的工业项目</w:t>
                  </w:r>
                </w:p>
              </w:tc>
              <w:tc>
                <w:tcPr>
                  <w:tcW w:w="1225" w:type="pct"/>
                  <w:vAlign w:val="center"/>
                </w:tcPr>
                <w:p w14:paraId="09850110">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不使用高污染燃料</w:t>
                  </w:r>
                </w:p>
              </w:tc>
              <w:tc>
                <w:tcPr>
                  <w:tcW w:w="445" w:type="pct"/>
                  <w:vAlign w:val="center"/>
                </w:tcPr>
                <w:p w14:paraId="7361F59B">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9AA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79D600B2">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5</w:t>
                  </w:r>
                </w:p>
              </w:tc>
              <w:tc>
                <w:tcPr>
                  <w:tcW w:w="3045" w:type="pct"/>
                  <w:vAlign w:val="center"/>
                </w:tcPr>
                <w:p w14:paraId="7BB44816">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东北部地区、东南部地区限制发展易破坏生态植被的采矿业、建材等工业项目</w:t>
                  </w:r>
                </w:p>
              </w:tc>
              <w:tc>
                <w:tcPr>
                  <w:tcW w:w="1225" w:type="pct"/>
                  <w:vAlign w:val="center"/>
                </w:tcPr>
                <w:p w14:paraId="5523F57A">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非所列工业项目</w:t>
                  </w:r>
                </w:p>
              </w:tc>
              <w:tc>
                <w:tcPr>
                  <w:tcW w:w="445" w:type="pct"/>
                  <w:vAlign w:val="center"/>
                </w:tcPr>
                <w:p w14:paraId="4F6A9587">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178E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5A43D8D6">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四</w:t>
                  </w:r>
                </w:p>
              </w:tc>
              <w:tc>
                <w:tcPr>
                  <w:tcW w:w="4716" w:type="pct"/>
                  <w:gridSpan w:val="3"/>
                  <w:vAlign w:val="center"/>
                </w:tcPr>
                <w:p w14:paraId="35DBD8A9">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产业投资准入政策（计算机、通信和其他电子设备制造业）</w:t>
                  </w:r>
                </w:p>
              </w:tc>
            </w:tr>
            <w:tr w14:paraId="1D81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1D34B1CF">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w:t>
                  </w:r>
                </w:p>
              </w:tc>
              <w:tc>
                <w:tcPr>
                  <w:tcW w:w="3045" w:type="pct"/>
                  <w:vAlign w:val="center"/>
                </w:tcPr>
                <w:p w14:paraId="432EB3F7">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电子管高频感应加热设备，主城区内环以内不予准入，内环以外允许改造升级</w:t>
                  </w:r>
                </w:p>
              </w:tc>
              <w:tc>
                <w:tcPr>
                  <w:tcW w:w="1225" w:type="pct"/>
                  <w:vAlign w:val="center"/>
                </w:tcPr>
                <w:p w14:paraId="68F1F48E">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非该类项目</w:t>
                  </w:r>
                </w:p>
              </w:tc>
              <w:tc>
                <w:tcPr>
                  <w:tcW w:w="445" w:type="pct"/>
                  <w:vAlign w:val="center"/>
                </w:tcPr>
                <w:p w14:paraId="55520E1F">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4186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E80D2EF">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w:t>
                  </w:r>
                </w:p>
              </w:tc>
              <w:tc>
                <w:tcPr>
                  <w:tcW w:w="3045" w:type="pct"/>
                  <w:vAlign w:val="center"/>
                </w:tcPr>
                <w:p w14:paraId="4A8CFB6D">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模拟CRT黑白及彩色电视机项目，主城区不予准入</w:t>
                  </w:r>
                </w:p>
              </w:tc>
              <w:tc>
                <w:tcPr>
                  <w:tcW w:w="1225" w:type="pct"/>
                  <w:vAlign w:val="center"/>
                </w:tcPr>
                <w:p w14:paraId="61A00CCE">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非该类项目</w:t>
                  </w:r>
                </w:p>
              </w:tc>
              <w:tc>
                <w:tcPr>
                  <w:tcW w:w="445" w:type="pct"/>
                  <w:vAlign w:val="center"/>
                </w:tcPr>
                <w:p w14:paraId="7A22C934">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r w14:paraId="6B24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 w:type="pct"/>
                  <w:vAlign w:val="center"/>
                </w:tcPr>
                <w:p w14:paraId="459DD1E1">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3</w:t>
                  </w:r>
                </w:p>
              </w:tc>
              <w:tc>
                <w:tcPr>
                  <w:tcW w:w="3045" w:type="pct"/>
                  <w:vAlign w:val="center"/>
                </w:tcPr>
                <w:p w14:paraId="2099A5D1">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激光视盘机生产线（VCD系列整机产品），主城区不予准入</w:t>
                  </w:r>
                </w:p>
              </w:tc>
              <w:tc>
                <w:tcPr>
                  <w:tcW w:w="1225" w:type="pct"/>
                  <w:vAlign w:val="center"/>
                </w:tcPr>
                <w:p w14:paraId="5266D57F">
                  <w:pPr>
                    <w:pStyle w:val="8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非该类项目</w:t>
                  </w:r>
                </w:p>
              </w:tc>
              <w:tc>
                <w:tcPr>
                  <w:tcW w:w="445" w:type="pct"/>
                  <w:vAlign w:val="center"/>
                </w:tcPr>
                <w:p w14:paraId="1472C710">
                  <w:pPr>
                    <w:pStyle w:val="8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r>
          </w:tbl>
          <w:p w14:paraId="03DEA4CA">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6、与《关于严格工业布局和准入的通知》（渝发改工〔2018〕781号）的符合性分析</w:t>
            </w:r>
          </w:p>
          <w:p w14:paraId="1FB68BB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《重庆市发展和改革委员会</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重庆市经济和信息化委员会关于严格工业布局和准入的通知》（渝发改工〔2018〕781号）对新建有污染物排放的项目应当进入工业园区（除在安全生产或者产业布局等方面有特殊要求外）提出了严格的要求。拟建项目选址于工业园区内，符合渝发改工〔2018〕781号文的要求。</w:t>
            </w:r>
          </w:p>
          <w:p w14:paraId="6E4A52CC">
            <w:pPr>
              <w:autoSpaceDE w:val="0"/>
              <w:autoSpaceDN w:val="0"/>
              <w:adjustRightInd w:val="0"/>
              <w:snapToGrid w:val="0"/>
              <w:ind w:firstLine="482" w:firstLineChars="20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表1-6与《关于严格工业布局和准入的通知》的符合性分析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7"/>
              <w:gridCol w:w="5004"/>
              <w:gridCol w:w="2934"/>
            </w:tblGrid>
            <w:tr w14:paraId="1580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tcBorders>
                    <w:top w:val="single" w:color="auto" w:sz="4" w:space="0"/>
                    <w:left w:val="single" w:color="auto" w:sz="4" w:space="0"/>
                    <w:bottom w:val="single" w:color="auto" w:sz="4" w:space="0"/>
                    <w:right w:val="single" w:color="auto" w:sz="4" w:space="0"/>
                  </w:tcBorders>
                  <w:vAlign w:val="center"/>
                </w:tcPr>
                <w:p w14:paraId="04728E8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2894" w:type="pct"/>
                  <w:tcBorders>
                    <w:top w:val="single" w:color="auto" w:sz="4" w:space="0"/>
                    <w:left w:val="single" w:color="auto" w:sz="4" w:space="0"/>
                    <w:bottom w:val="single" w:color="auto" w:sz="4" w:space="0"/>
                    <w:right w:val="single" w:color="auto" w:sz="4" w:space="0"/>
                  </w:tcBorders>
                  <w:vAlign w:val="center"/>
                </w:tcPr>
                <w:p w14:paraId="344069C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渝发改工[2018]781号文件要求</w:t>
                  </w:r>
                </w:p>
              </w:tc>
              <w:tc>
                <w:tcPr>
                  <w:tcW w:w="1697" w:type="pct"/>
                  <w:tcBorders>
                    <w:top w:val="single" w:color="auto" w:sz="4" w:space="0"/>
                    <w:left w:val="single" w:color="auto" w:sz="4" w:space="0"/>
                    <w:bottom w:val="single" w:color="auto" w:sz="4" w:space="0"/>
                    <w:right w:val="single" w:color="auto" w:sz="4" w:space="0"/>
                  </w:tcBorders>
                  <w:vAlign w:val="center"/>
                </w:tcPr>
                <w:p w14:paraId="5CCCF3F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拟建项目符合性</w:t>
                  </w:r>
                </w:p>
              </w:tc>
            </w:tr>
            <w:tr w14:paraId="3E97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tcBorders>
                    <w:top w:val="single" w:color="auto" w:sz="4" w:space="0"/>
                    <w:left w:val="single" w:color="auto" w:sz="4" w:space="0"/>
                    <w:bottom w:val="single" w:color="auto" w:sz="4" w:space="0"/>
                    <w:right w:val="single" w:color="auto" w:sz="4" w:space="0"/>
                  </w:tcBorders>
                  <w:vAlign w:val="center"/>
                </w:tcPr>
                <w:p w14:paraId="788AA5B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2894" w:type="pct"/>
                  <w:tcBorders>
                    <w:top w:val="single" w:color="auto" w:sz="4" w:space="0"/>
                    <w:left w:val="single" w:color="auto" w:sz="4" w:space="0"/>
                    <w:bottom w:val="single" w:color="auto" w:sz="4" w:space="0"/>
                    <w:right w:val="single" w:color="auto" w:sz="4" w:space="0"/>
                  </w:tcBorders>
                  <w:vAlign w:val="center"/>
                </w:tcPr>
                <w:p w14:paraId="43B8FCD3">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优化空间布局：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1697" w:type="pct"/>
                  <w:tcBorders>
                    <w:top w:val="single" w:color="auto" w:sz="4" w:space="0"/>
                    <w:left w:val="single" w:color="auto" w:sz="4" w:space="0"/>
                    <w:bottom w:val="single" w:color="auto" w:sz="4" w:space="0"/>
                    <w:right w:val="single" w:color="auto" w:sz="4" w:space="0"/>
                  </w:tcBorders>
                  <w:vAlign w:val="center"/>
                </w:tcPr>
                <w:p w14:paraId="7F82110D">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p w14:paraId="5C2159FE">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拟建项目不属于重化工、纺织、造纸等存在污染风险的工业项目。</w:t>
                  </w:r>
                </w:p>
              </w:tc>
            </w:tr>
            <w:tr w14:paraId="67C1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tcBorders>
                    <w:top w:val="single" w:color="auto" w:sz="4" w:space="0"/>
                    <w:left w:val="single" w:color="auto" w:sz="4" w:space="0"/>
                    <w:bottom w:val="single" w:color="auto" w:sz="4" w:space="0"/>
                    <w:right w:val="single" w:color="auto" w:sz="4" w:space="0"/>
                  </w:tcBorders>
                  <w:vAlign w:val="center"/>
                </w:tcPr>
                <w:p w14:paraId="706F0A2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2894" w:type="pct"/>
                  <w:tcBorders>
                    <w:top w:val="single" w:color="auto" w:sz="4" w:space="0"/>
                    <w:left w:val="single" w:color="auto" w:sz="4" w:space="0"/>
                    <w:bottom w:val="single" w:color="auto" w:sz="4" w:space="0"/>
                    <w:right w:val="single" w:color="auto" w:sz="4" w:space="0"/>
                  </w:tcBorders>
                  <w:vAlign w:val="center"/>
                </w:tcPr>
                <w:p w14:paraId="0A52D6E3">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1697" w:type="pct"/>
                  <w:tcBorders>
                    <w:top w:val="single" w:color="auto" w:sz="4" w:space="0"/>
                    <w:left w:val="single" w:color="auto" w:sz="4" w:space="0"/>
                    <w:bottom w:val="single" w:color="auto" w:sz="4" w:space="0"/>
                    <w:right w:val="single" w:color="auto" w:sz="4" w:space="0"/>
                  </w:tcBorders>
                  <w:vAlign w:val="center"/>
                </w:tcPr>
                <w:p w14:paraId="4CC03884">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p w14:paraId="252695D3">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拟建项目位于</w:t>
                  </w:r>
                  <w:r>
                    <w:rPr>
                      <w:rFonts w:cs="Times New Roman"/>
                      <w:bCs/>
                      <w:color w:val="000000" w:themeColor="text1"/>
                      <w14:textFill>
                        <w14:solidFill>
                          <w14:schemeClr w14:val="tx1"/>
                        </w14:solidFill>
                      </w14:textFill>
                    </w:rPr>
                    <w:t>铜梁高新区蒲吕片区</w:t>
                  </w:r>
                  <w:r>
                    <w:rPr>
                      <w:rFonts w:cs="Times New Roman"/>
                      <w:color w:val="000000" w:themeColor="text1"/>
                      <w14:textFill>
                        <w14:solidFill>
                          <w14:schemeClr w14:val="tx1"/>
                        </w14:solidFill>
                      </w14:textFill>
                    </w:rPr>
                    <w:t>。</w:t>
                  </w:r>
                </w:p>
              </w:tc>
            </w:tr>
            <w:tr w14:paraId="0887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tcBorders>
                    <w:top w:val="single" w:color="auto" w:sz="4" w:space="0"/>
                    <w:left w:val="single" w:color="auto" w:sz="4" w:space="0"/>
                    <w:bottom w:val="single" w:color="auto" w:sz="4" w:space="0"/>
                    <w:right w:val="single" w:color="auto" w:sz="4" w:space="0"/>
                  </w:tcBorders>
                  <w:vAlign w:val="center"/>
                </w:tcPr>
                <w:p w14:paraId="2887950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2894" w:type="pct"/>
                  <w:tcBorders>
                    <w:top w:val="single" w:color="auto" w:sz="4" w:space="0"/>
                    <w:left w:val="single" w:color="auto" w:sz="4" w:space="0"/>
                    <w:bottom w:val="single" w:color="auto" w:sz="4" w:space="0"/>
                    <w:right w:val="single" w:color="auto" w:sz="4" w:space="0"/>
                  </w:tcBorders>
                  <w:vAlign w:val="center"/>
                </w:tcPr>
                <w:p w14:paraId="1C701EDE">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产业准入：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1697" w:type="pct"/>
                  <w:tcBorders>
                    <w:top w:val="single" w:color="auto" w:sz="4" w:space="0"/>
                    <w:left w:val="single" w:color="auto" w:sz="4" w:space="0"/>
                    <w:bottom w:val="single" w:color="auto" w:sz="4" w:space="0"/>
                    <w:right w:val="single" w:color="auto" w:sz="4" w:space="0"/>
                  </w:tcBorders>
                  <w:vAlign w:val="center"/>
                </w:tcPr>
                <w:p w14:paraId="7B7E0889">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p w14:paraId="2918CCD5">
                  <w:pPr>
                    <w:pStyle w:val="85"/>
                    <w:ind w:firstLine="420" w:firstLineChars="20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拟建项目不属于造纸、印染、煤电、传统化工、传统燃油汽车、涉及重金属以及有毒有害和持久性污染物排放的项目。</w:t>
                  </w:r>
                </w:p>
              </w:tc>
            </w:tr>
          </w:tbl>
          <w:p w14:paraId="45C4C777">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7、与《重庆市生态环境保护“十四五”规划（2021—2025年）》（渝府发〔2022〕11号）、</w:t>
            </w:r>
            <w:r>
              <w:rPr>
                <w:rFonts w:eastAsia="宋体"/>
                <w:b/>
                <w:bCs/>
                <w:color w:val="000000" w:themeColor="text1"/>
                <w14:textFill>
                  <w14:solidFill>
                    <w14:schemeClr w14:val="tx1"/>
                  </w14:solidFill>
                </w14:textFill>
              </w:rPr>
              <w:t>《重庆市大气环境保护“十四五”规划（</w:t>
            </w:r>
            <w:r>
              <w:rPr>
                <w:rFonts w:eastAsia="宋体"/>
                <w:b/>
                <w:bCs/>
                <w:color w:val="000000" w:themeColor="text1"/>
                <w:lang w:bidi="en-US"/>
                <w14:textFill>
                  <w14:solidFill>
                    <w14:schemeClr w14:val="tx1"/>
                  </w14:solidFill>
                </w14:textFill>
              </w:rPr>
              <w:t>2021-2025</w:t>
            </w:r>
            <w:r>
              <w:rPr>
                <w:rFonts w:eastAsia="宋体"/>
                <w:b/>
                <w:bCs/>
                <w:color w:val="000000" w:themeColor="text1"/>
                <w14:textFill>
                  <w14:solidFill>
                    <w14:schemeClr w14:val="tx1"/>
                  </w14:solidFill>
                </w14:textFill>
              </w:rPr>
              <w:t>年）》</w:t>
            </w:r>
            <w:r>
              <w:rPr>
                <w:rFonts w:eastAsia="宋体"/>
                <w:b/>
                <w:color w:val="000000" w:themeColor="text1"/>
                <w14:textFill>
                  <w14:solidFill>
                    <w14:schemeClr w14:val="tx1"/>
                  </w14:solidFill>
                </w14:textFill>
              </w:rPr>
              <w:t>的符合性分析</w:t>
            </w:r>
          </w:p>
          <w:p w14:paraId="2F8383F9">
            <w:pPr>
              <w:autoSpaceDE w:val="0"/>
              <w:autoSpaceDN w:val="0"/>
              <w:adjustRightInd w:val="0"/>
              <w:snapToGrid w:val="0"/>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表1-7规划符合性分析一览表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249"/>
              <w:gridCol w:w="4309"/>
              <w:gridCol w:w="944"/>
              <w:gridCol w:w="1825"/>
              <w:gridCol w:w="102"/>
              <w:gridCol w:w="719"/>
            </w:tblGrid>
            <w:tr w14:paraId="22C4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08444E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3039" w:type="pct"/>
                  <w:gridSpan w:val="2"/>
                  <w:shd w:val="clear" w:color="auto" w:fill="auto"/>
                  <w:vAlign w:val="center"/>
                </w:tcPr>
                <w:p w14:paraId="78B8106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文件要求</w:t>
                  </w:r>
                </w:p>
              </w:tc>
              <w:tc>
                <w:tcPr>
                  <w:tcW w:w="1115" w:type="pct"/>
                  <w:gridSpan w:val="2"/>
                  <w:shd w:val="clear" w:color="auto" w:fill="auto"/>
                  <w:vAlign w:val="center"/>
                </w:tcPr>
                <w:p w14:paraId="484ACC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项目情况</w:t>
                  </w:r>
                </w:p>
              </w:tc>
              <w:tc>
                <w:tcPr>
                  <w:tcW w:w="415" w:type="pct"/>
                  <w:shd w:val="clear" w:color="auto" w:fill="auto"/>
                  <w:vAlign w:val="center"/>
                </w:tcPr>
                <w:p w14:paraId="73C229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tc>
            </w:tr>
            <w:tr w14:paraId="43ED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1838F9F3">
                  <w:pPr>
                    <w:jc w:val="center"/>
                    <w:rPr>
                      <w:color w:val="000000" w:themeColor="text1"/>
                      <w:szCs w:val="21"/>
                      <w14:textFill>
                        <w14:solidFill>
                          <w14:schemeClr w14:val="tx1"/>
                        </w14:solidFill>
                      </w14:textFill>
                    </w:rPr>
                  </w:pPr>
                  <w:r>
                    <w:rPr>
                      <w:color w:val="000000" w:themeColor="text1"/>
                      <w:kern w:val="0"/>
                      <w:sz w:val="24"/>
                      <w14:textFill>
                        <w14:solidFill>
                          <w14:schemeClr w14:val="tx1"/>
                        </w14:solidFill>
                      </w14:textFill>
                    </w:rPr>
                    <w:t>与（渝府发〔2022〕11号）符合性分析</w:t>
                  </w:r>
                </w:p>
              </w:tc>
            </w:tr>
            <w:tr w14:paraId="11B4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60764C2D">
                  <w:pP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039" w:type="pct"/>
                  <w:gridSpan w:val="2"/>
                  <w:shd w:val="clear" w:color="auto" w:fill="auto"/>
                  <w:vAlign w:val="center"/>
                </w:tcPr>
                <w:p w14:paraId="3DD33D17">
                  <w:pPr>
                    <w:rPr>
                      <w:color w:val="000000" w:themeColor="text1"/>
                      <w:szCs w:val="21"/>
                      <w14:textFill>
                        <w14:solidFill>
                          <w14:schemeClr w14:val="tx1"/>
                        </w14:solidFill>
                      </w14:textFill>
                    </w:rPr>
                  </w:pPr>
                  <w:r>
                    <w:rPr>
                      <w:color w:val="000000" w:themeColor="text1"/>
                      <w:szCs w:val="21"/>
                      <w14:textFill>
                        <w14:solidFill>
                          <w14:schemeClr w14:val="tx1"/>
                        </w14:solidFill>
                      </w14:textFill>
                    </w:rPr>
                    <w:t>控制煤炭消费总量。新建耗煤项目实行煤炭减量替代，加强煤层气（煤矿瓦斯）综合利用，实现全市煤炭消费总量及比重持续下降。加强煤炭清洁利用，推进散煤治理，将煤炭主要用于发电和供热，削减非电力用煤，推进电能替代燃煤和燃油。严控燃煤、燃气发电机组增长速度，淘汰达不到环保、能耗、安全等标准的燃煤机组。各区县城市建成区、工业园区基本淘汰35蒸吨/小时以下燃煤锅炉。推动企业自备电厂、65蒸吨/小时以上燃煤锅炉实施超低排放改造，燃气锅炉实施低氮改造。</w:t>
                  </w:r>
                </w:p>
              </w:tc>
              <w:tc>
                <w:tcPr>
                  <w:tcW w:w="1115" w:type="pct"/>
                  <w:gridSpan w:val="2"/>
                  <w:shd w:val="clear" w:color="auto" w:fill="auto"/>
                  <w:vAlign w:val="center"/>
                </w:tcPr>
                <w:p w14:paraId="2C588851">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项目不使用煤炭</w:t>
                  </w:r>
                </w:p>
              </w:tc>
              <w:tc>
                <w:tcPr>
                  <w:tcW w:w="415" w:type="pct"/>
                  <w:shd w:val="clear" w:color="auto" w:fill="auto"/>
                  <w:vAlign w:val="center"/>
                </w:tcPr>
                <w:p w14:paraId="1CEE4341">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BA0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791F1125">
                  <w:pP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39" w:type="pct"/>
                  <w:gridSpan w:val="2"/>
                  <w:shd w:val="clear" w:color="auto" w:fill="auto"/>
                  <w:vAlign w:val="center"/>
                </w:tcPr>
                <w:p w14:paraId="77587E09">
                  <w:pPr>
                    <w:rPr>
                      <w:color w:val="000000" w:themeColor="text1"/>
                      <w:szCs w:val="21"/>
                      <w14:textFill>
                        <w14:solidFill>
                          <w14:schemeClr w14:val="tx1"/>
                        </w14:solidFill>
                      </w14:textFill>
                    </w:rPr>
                  </w:pPr>
                  <w:r>
                    <w:rPr>
                      <w:color w:val="000000" w:themeColor="text1"/>
                      <w:szCs w:val="21"/>
                      <w14:textFill>
                        <w14:solidFill>
                          <w14:schemeClr w14:val="tx1"/>
                        </w14:solidFill>
                      </w14:textFill>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深化生态环境领域“放管服”改革，规范环境影响报告书技术评估，优化环评审批流程，拓展环评告知承诺制审批改革试点。完善重大项目环评审批服务机制，拓展“网上办”“掌上办”，做好提前对接和跟踪服务。</w:t>
                  </w:r>
                </w:p>
              </w:tc>
              <w:tc>
                <w:tcPr>
                  <w:tcW w:w="1115" w:type="pct"/>
                  <w:gridSpan w:val="2"/>
                  <w:shd w:val="clear" w:color="auto" w:fill="auto"/>
                  <w:vAlign w:val="center"/>
                </w:tcPr>
                <w:p w14:paraId="1F1CA276">
                  <w:pP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项目位于重庆铜梁高新技术产业开发区</w:t>
                  </w:r>
                  <w:r>
                    <w:rPr>
                      <w:color w:val="000000" w:themeColor="text1"/>
                      <w:szCs w:val="21"/>
                      <w14:textFill>
                        <w14:solidFill>
                          <w14:schemeClr w14:val="tx1"/>
                        </w14:solidFill>
                      </w14:textFill>
                    </w:rPr>
                    <w:t>，符合园区准入条件，符合《中华人民共和国长江保护法》等法律法规和产业结构调整指导目录、环境保护综合名录、长江经济带发展负面清单、重庆市产业投资准入等规定</w:t>
                  </w:r>
                </w:p>
              </w:tc>
              <w:tc>
                <w:tcPr>
                  <w:tcW w:w="415" w:type="pct"/>
                  <w:shd w:val="clear" w:color="auto" w:fill="auto"/>
                  <w:vAlign w:val="center"/>
                </w:tcPr>
                <w:p w14:paraId="1641D820">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B52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266E3E29">
                  <w:pP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39" w:type="pct"/>
                  <w:gridSpan w:val="2"/>
                  <w:shd w:val="clear" w:color="auto" w:fill="auto"/>
                  <w:vAlign w:val="center"/>
                </w:tcPr>
                <w:p w14:paraId="55220DED">
                  <w:pP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生态空间用途管制。科学编制国土空间规划，以长江和三峡库区生态保护为核心，以国家重点生态功能区、各类自然保护地为重点，贯彻落实主体功能区战略，构建复合型、立体化、网络化的总体生态安全格局。强化国土空间规划和用途管控，落实生态保护红线、永久基本农田、城镇开发边界等功能空间控制线。根据生态保护需要，结合土地综合整治、工矿废弃地复垦利用、矿山环境恢复治理等各类工程实施，因地制宜促进生态空间内建设用地逐步有序退出。加强中梁山、缙云山、明月山、铜锣山等重要山体和广阳岛、桃花岛、皇华岛等江心绿岛保护。实施生态功能区划，加强生态功能重要区域保护。开展全市生态状况变化遥感调查评估，定期发布生态质量监测评估报告，对重要生态功能区人类干扰、生态破坏等活动进行预警。实施长江岸线保护和开发利用总体规划，严格分区管理与用途管制</w:t>
                  </w:r>
                </w:p>
              </w:tc>
              <w:tc>
                <w:tcPr>
                  <w:tcW w:w="1115" w:type="pct"/>
                  <w:gridSpan w:val="2"/>
                  <w:shd w:val="clear" w:color="auto" w:fill="auto"/>
                  <w:vAlign w:val="center"/>
                </w:tcPr>
                <w:p w14:paraId="509D0EA7">
                  <w:pP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项目位于重庆铜梁高新技术产业开发区</w:t>
                  </w:r>
                  <w:r>
                    <w:rPr>
                      <w:color w:val="000000" w:themeColor="text1"/>
                      <w:szCs w:val="21"/>
                      <w14:textFill>
                        <w14:solidFill>
                          <w14:schemeClr w14:val="tx1"/>
                        </w14:solidFill>
                      </w14:textFill>
                    </w:rPr>
                    <w:t>，不属于长江和三峡库区生态保护区</w:t>
                  </w:r>
                </w:p>
              </w:tc>
              <w:tc>
                <w:tcPr>
                  <w:tcW w:w="415" w:type="pct"/>
                  <w:shd w:val="clear" w:color="auto" w:fill="auto"/>
                  <w:vAlign w:val="center"/>
                </w:tcPr>
                <w:p w14:paraId="32845898">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3844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0AEC7698">
                  <w:pP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039" w:type="pct"/>
                  <w:gridSpan w:val="2"/>
                  <w:shd w:val="clear" w:color="auto" w:fill="auto"/>
                  <w:vAlign w:val="center"/>
                </w:tcPr>
                <w:p w14:paraId="21E2CE8D">
                  <w:pP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生态保护红线管控。开展生态保护红线勘界定标。完善全市生态保护红线监管平台和生态保护红线台账数据库，建立生态保护红线监测网络。开展生态保护红线生态环境和人类活动本底调查，核定生态保护红线生态功能基线水平。生态保护红线内，自然保护地核心保护区原则上禁止人为活动，其他区域严格禁止开发性、生产性建设活动，在符合现行法律法规前提下，除国家重大战略项目外，仅允许对生态功能不造成破坏的有限人为活动。加大对生态保护红线内违法开发建设活动以及毁林、捕猎等破坏生态环境行为的查处力度。</w:t>
                  </w:r>
                </w:p>
              </w:tc>
              <w:tc>
                <w:tcPr>
                  <w:tcW w:w="1115" w:type="pct"/>
                  <w:gridSpan w:val="2"/>
                  <w:shd w:val="clear" w:color="auto" w:fill="auto"/>
                  <w:vAlign w:val="center"/>
                </w:tcPr>
                <w:p w14:paraId="70BE98F1">
                  <w:pP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项目位于重庆铜梁高新技术产业开发区</w:t>
                  </w:r>
                  <w:r>
                    <w:rPr>
                      <w:color w:val="000000" w:themeColor="text1"/>
                      <w:szCs w:val="21"/>
                      <w14:textFill>
                        <w14:solidFill>
                          <w14:schemeClr w14:val="tx1"/>
                        </w14:solidFill>
                      </w14:textFill>
                    </w:rPr>
                    <w:t>，不涉及生态保护红线</w:t>
                  </w:r>
                </w:p>
              </w:tc>
              <w:tc>
                <w:tcPr>
                  <w:tcW w:w="415" w:type="pct"/>
                  <w:shd w:val="clear" w:color="auto" w:fill="auto"/>
                  <w:vAlign w:val="center"/>
                </w:tcPr>
                <w:p w14:paraId="305011EF">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不涉及</w:t>
                  </w:r>
                </w:p>
              </w:tc>
            </w:tr>
            <w:tr w14:paraId="4A05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192808BB">
                  <w:pP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039" w:type="pct"/>
                  <w:gridSpan w:val="2"/>
                  <w:shd w:val="clear" w:color="auto" w:fill="auto"/>
                  <w:vAlign w:val="center"/>
                </w:tcPr>
                <w:p w14:paraId="4F28890A">
                  <w:pPr>
                    <w:rPr>
                      <w:color w:val="000000" w:themeColor="text1"/>
                      <w:szCs w:val="21"/>
                      <w14:textFill>
                        <w14:solidFill>
                          <w14:schemeClr w14:val="tx1"/>
                        </w14:solidFill>
                      </w14:textFill>
                    </w:rPr>
                  </w:pPr>
                  <w:r>
                    <w:rPr>
                      <w:color w:val="000000" w:themeColor="text1"/>
                      <w:szCs w:val="21"/>
                      <w14:textFill>
                        <w14:solidFill>
                          <w14:schemeClr w14:val="tx1"/>
                        </w14:solidFill>
                      </w14:textFill>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115" w:type="pct"/>
                  <w:gridSpan w:val="2"/>
                  <w:shd w:val="clear" w:color="auto" w:fill="auto"/>
                  <w:vAlign w:val="center"/>
                </w:tcPr>
                <w:p w14:paraId="4F119072">
                  <w:pPr>
                    <w:pStyle w:val="146"/>
                    <w:adjustRightInd w:val="0"/>
                    <w:snapToGrid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项目不涉及VOCs原料，仅淬火过程会产生少量油雾，经收集后进入高效油烟净化器处理后可有组织达标排放。</w:t>
                  </w:r>
                </w:p>
              </w:tc>
              <w:tc>
                <w:tcPr>
                  <w:tcW w:w="415" w:type="pct"/>
                  <w:shd w:val="clear" w:color="auto" w:fill="auto"/>
                  <w:vAlign w:val="center"/>
                </w:tcPr>
                <w:p w14:paraId="319DB78F">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3F9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7DC0C7F8">
                  <w:pP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3039" w:type="pct"/>
                  <w:gridSpan w:val="2"/>
                  <w:shd w:val="clear" w:color="auto" w:fill="auto"/>
                  <w:vAlign w:val="center"/>
                </w:tcPr>
                <w:p w14:paraId="6CECBAAF">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格建设用地土壤污染风险管控和修复。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w:t>
                  </w:r>
                </w:p>
              </w:tc>
              <w:tc>
                <w:tcPr>
                  <w:tcW w:w="1115" w:type="pct"/>
                  <w:gridSpan w:val="2"/>
                  <w:shd w:val="clear" w:color="auto" w:fill="auto"/>
                  <w:vAlign w:val="center"/>
                </w:tcPr>
                <w:p w14:paraId="6BB7AFB2">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项目不属于危险化学品生产企业</w:t>
                  </w:r>
                </w:p>
              </w:tc>
              <w:tc>
                <w:tcPr>
                  <w:tcW w:w="415" w:type="pct"/>
                  <w:shd w:val="clear" w:color="auto" w:fill="auto"/>
                  <w:vAlign w:val="center"/>
                </w:tcPr>
                <w:p w14:paraId="511B9B49">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不属于</w:t>
                  </w:r>
                </w:p>
              </w:tc>
            </w:tr>
            <w:tr w14:paraId="15B6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61D0FFFB">
                  <w:pP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3039" w:type="pct"/>
                  <w:gridSpan w:val="2"/>
                  <w:shd w:val="clear" w:color="auto" w:fill="auto"/>
                  <w:vAlign w:val="center"/>
                </w:tcPr>
                <w:p w14:paraId="42FEBAF5">
                  <w:pPr>
                    <w:rPr>
                      <w:color w:val="000000" w:themeColor="text1"/>
                      <w:szCs w:val="21"/>
                      <w14:textFill>
                        <w14:solidFill>
                          <w14:schemeClr w14:val="tx1"/>
                        </w14:solidFill>
                      </w14:textFill>
                    </w:rPr>
                  </w:pPr>
                  <w:r>
                    <w:rPr>
                      <w:color w:val="000000" w:themeColor="text1"/>
                      <w:szCs w:val="21"/>
                      <w14:textFill>
                        <w14:solidFill>
                          <w14:schemeClr w14:val="tx1"/>
                        </w14:solidFill>
                      </w14:textFill>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115" w:type="pct"/>
                  <w:gridSpan w:val="2"/>
                  <w:shd w:val="clear" w:color="auto" w:fill="auto"/>
                  <w:vAlign w:val="center"/>
                </w:tcPr>
                <w:p w14:paraId="60EC027F">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w:t>
                  </w:r>
                  <w:r>
                    <w:rPr>
                      <w:color w:val="000000" w:themeColor="text1"/>
                      <w:szCs w:val="21"/>
                      <w:lang w:bidi="ar"/>
                      <w14:textFill>
                        <w14:solidFill>
                          <w14:schemeClr w14:val="tx1"/>
                        </w14:solidFill>
                      </w14:textFill>
                    </w:rPr>
                    <w:t>重庆铜梁高新技术产业开发区</w:t>
                  </w:r>
                  <w:r>
                    <w:rPr>
                      <w:color w:val="000000" w:themeColor="text1"/>
                      <w:szCs w:val="21"/>
                      <w14:textFill>
                        <w14:solidFill>
                          <w14:schemeClr w14:val="tx1"/>
                        </w14:solidFill>
                      </w14:textFill>
                    </w:rPr>
                    <w:t>，为3类声环境功能区，厂界噪声达标排放</w:t>
                  </w:r>
                </w:p>
              </w:tc>
              <w:tc>
                <w:tcPr>
                  <w:tcW w:w="415" w:type="pct"/>
                  <w:shd w:val="clear" w:color="auto" w:fill="auto"/>
                  <w:vAlign w:val="center"/>
                </w:tcPr>
                <w:p w14:paraId="0D9DCB6B">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03B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77BA35DA">
                  <w:pP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3039" w:type="pct"/>
                  <w:gridSpan w:val="2"/>
                  <w:shd w:val="clear" w:color="auto" w:fill="auto"/>
                  <w:vAlign w:val="center"/>
                </w:tcPr>
                <w:p w14:paraId="5BAF3AB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tc>
              <w:tc>
                <w:tcPr>
                  <w:tcW w:w="1115" w:type="pct"/>
                  <w:gridSpan w:val="2"/>
                  <w:shd w:val="clear" w:color="auto" w:fill="auto"/>
                  <w:vAlign w:val="center"/>
                </w:tcPr>
                <w:p w14:paraId="056215B1">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项目建设单位在采取评价中提出的风险事故防范措施后，能有效预防事故的发生，可将项目风险降至最低程度，使项目在建设、营运过程环境风险控制在可接受的范围内</w:t>
                  </w:r>
                </w:p>
              </w:tc>
              <w:tc>
                <w:tcPr>
                  <w:tcW w:w="415" w:type="pct"/>
                  <w:shd w:val="clear" w:color="auto" w:fill="auto"/>
                  <w:vAlign w:val="center"/>
                </w:tcPr>
                <w:p w14:paraId="11FED77B">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9D0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gridSpan w:val="2"/>
                  <w:shd w:val="clear" w:color="auto" w:fill="auto"/>
                  <w:vAlign w:val="center"/>
                </w:tcPr>
                <w:p w14:paraId="259C2BD5">
                  <w:pP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3039" w:type="pct"/>
                  <w:gridSpan w:val="2"/>
                  <w:shd w:val="clear" w:color="auto" w:fill="auto"/>
                  <w:vAlign w:val="center"/>
                </w:tcPr>
                <w:p w14:paraId="089AF0B8">
                  <w:pPr>
                    <w:rPr>
                      <w:color w:val="000000" w:themeColor="text1"/>
                      <w:szCs w:val="21"/>
                      <w14:textFill>
                        <w14:solidFill>
                          <w14:schemeClr w14:val="tx1"/>
                        </w14:solidFill>
                      </w14:textFill>
                    </w:rPr>
                  </w:pPr>
                  <w:r>
                    <w:rPr>
                      <w:color w:val="000000" w:themeColor="text1"/>
                      <w:szCs w:val="21"/>
                      <w14:textFill>
                        <w14:solidFill>
                          <w14:schemeClr w14:val="tx1"/>
                        </w14:solidFill>
                      </w14:textFill>
                    </w:rPr>
                    <w:t>稳步推进沿江化工企业搬迁。对长江干支流岸线1公里范围内化工企业进行全面调查摸底，科学评估规划、安全、环保等合规情况，稳步有序实施整治搬迁工作，不搞“一刀切”。对尚未搬迁的企业，加强日常监管，督促企业提升环境风险防范能力，严防发生突发环境事件。禁止在长江干支流岸线1公里范围内新建、扩建化工园区和化工项目。鼓励现有工业项目、化工项目分别搬入工业集聚区、化工产业集聚区。</w:t>
                  </w:r>
                </w:p>
              </w:tc>
              <w:tc>
                <w:tcPr>
                  <w:tcW w:w="1115" w:type="pct"/>
                  <w:gridSpan w:val="2"/>
                  <w:shd w:val="clear" w:color="auto" w:fill="auto"/>
                  <w:vAlign w:val="center"/>
                </w:tcPr>
                <w:p w14:paraId="68185E0B">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w:t>
                  </w:r>
                  <w:r>
                    <w:rPr>
                      <w:color w:val="000000" w:themeColor="text1"/>
                      <w:szCs w:val="21"/>
                      <w:lang w:bidi="ar"/>
                      <w14:textFill>
                        <w14:solidFill>
                          <w14:schemeClr w14:val="tx1"/>
                        </w14:solidFill>
                      </w14:textFill>
                    </w:rPr>
                    <w:t>重庆铜梁高新技术产业开发区</w:t>
                  </w:r>
                  <w:r>
                    <w:rPr>
                      <w:color w:val="000000" w:themeColor="text1"/>
                      <w:szCs w:val="21"/>
                      <w14:textFill>
                        <w14:solidFill>
                          <w14:schemeClr w14:val="tx1"/>
                        </w14:solidFill>
                      </w14:textFill>
                    </w:rPr>
                    <w:t>，不属于化工企业</w:t>
                  </w:r>
                </w:p>
              </w:tc>
              <w:tc>
                <w:tcPr>
                  <w:tcW w:w="415" w:type="pct"/>
                  <w:shd w:val="clear" w:color="auto" w:fill="auto"/>
                  <w:vAlign w:val="center"/>
                </w:tcPr>
                <w:p w14:paraId="19D10413">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不属于</w:t>
                  </w:r>
                </w:p>
              </w:tc>
            </w:tr>
            <w:tr w14:paraId="0D3C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29C3C625">
                  <w:pPr>
                    <w:ind w:firstLine="843" w:firstLineChars="4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与《重庆市大气环境保护“十四五”规划（2021—2025年）》符合性</w:t>
                  </w:r>
                </w:p>
              </w:tc>
            </w:tr>
            <w:tr w14:paraId="34C3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14:paraId="6EBE2DDE">
                  <w:pPr>
                    <w:pStyle w:val="147"/>
                    <w:spacing w:after="0" w:line="240" w:lineRule="auto"/>
                    <w:ind w:firstLine="0" w:firstLineChars="0"/>
                    <w:jc w:val="center"/>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序号</w:t>
                  </w:r>
                </w:p>
              </w:tc>
              <w:tc>
                <w:tcPr>
                  <w:tcW w:w="2637" w:type="pct"/>
                  <w:gridSpan w:val="2"/>
                  <w:vAlign w:val="center"/>
                </w:tcPr>
                <w:p w14:paraId="6861ADF5">
                  <w:pPr>
                    <w:pStyle w:val="147"/>
                    <w:spacing w:after="0" w:line="240" w:lineRule="auto"/>
                    <w:ind w:firstLine="0" w:firstLineChars="0"/>
                    <w:jc w:val="center"/>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相关要求</w:t>
                  </w:r>
                </w:p>
              </w:tc>
              <w:tc>
                <w:tcPr>
                  <w:tcW w:w="1602" w:type="pct"/>
                  <w:gridSpan w:val="2"/>
                  <w:vAlign w:val="center"/>
                </w:tcPr>
                <w:p w14:paraId="17D0B585">
                  <w:pPr>
                    <w:pStyle w:val="147"/>
                    <w:spacing w:after="0" w:line="240" w:lineRule="auto"/>
                    <w:ind w:firstLine="0" w:firstLineChars="0"/>
                    <w:jc w:val="center"/>
                    <w:rPr>
                      <w:rFonts w:eastAsia="宋体"/>
                      <w:b/>
                      <w:bCs/>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拟建</w:t>
                  </w:r>
                  <w:r>
                    <w:rPr>
                      <w:rFonts w:eastAsia="宋体"/>
                      <w:b/>
                      <w:bCs/>
                      <w:color w:val="000000" w:themeColor="text1"/>
                      <w:szCs w:val="21"/>
                      <w14:textFill>
                        <w14:solidFill>
                          <w14:schemeClr w14:val="tx1"/>
                        </w14:solidFill>
                      </w14:textFill>
                    </w:rPr>
                    <w:t>项目情况</w:t>
                  </w:r>
                </w:p>
              </w:tc>
              <w:tc>
                <w:tcPr>
                  <w:tcW w:w="473" w:type="pct"/>
                  <w:gridSpan w:val="2"/>
                  <w:vAlign w:val="center"/>
                </w:tcPr>
                <w:p w14:paraId="67D6FF28">
                  <w:pPr>
                    <w:pStyle w:val="147"/>
                    <w:spacing w:after="0" w:line="240" w:lineRule="auto"/>
                    <w:ind w:firstLine="0" w:firstLineChars="0"/>
                    <w:jc w:val="center"/>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符合性</w:t>
                  </w:r>
                </w:p>
              </w:tc>
            </w:tr>
            <w:tr w14:paraId="5BA4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6" w:type="pct"/>
                  <w:vAlign w:val="center"/>
                </w:tcPr>
                <w:p w14:paraId="0901C200">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w:t>
                  </w:r>
                </w:p>
              </w:tc>
              <w:tc>
                <w:tcPr>
                  <w:tcW w:w="2637" w:type="pct"/>
                  <w:gridSpan w:val="2"/>
                  <w:vAlign w:val="center"/>
                </w:tcPr>
                <w:p w14:paraId="29AA508A">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加强源头控制</w:t>
                  </w:r>
                </w:p>
                <w:p w14:paraId="0281BDC3">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实施原辅材料和产品源头替代。加快对溶剂型涂料、油墨、胶粘剂、清洗剂使用企业制定低VOCs含量原辅材料替代计划。将生产和使用高VOCs含量产品的企业列入强制性清洁生产审核名单。</w:t>
                  </w:r>
                </w:p>
                <w:p w14:paraId="3C9433E7">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在</w:t>
                  </w:r>
                  <w:r>
                    <w:rPr>
                      <w:rFonts w:eastAsia="宋体"/>
                      <w:color w:val="000000" w:themeColor="text1"/>
                      <w:szCs w:val="21"/>
                      <w:lang w:val="zh-CN"/>
                      <w14:textFill>
                        <w14:solidFill>
                          <w14:schemeClr w14:val="tx1"/>
                        </w14:solidFill>
                      </w14:textFill>
                    </w:rPr>
                    <w:t>木质家具、汽车零部件、工程机械、钢结构、船舶制造等行业技术成熟环节，大力推广低</w:t>
                  </w:r>
                  <w:r>
                    <w:rPr>
                      <w:rFonts w:eastAsia="宋体"/>
                      <w:color w:val="000000" w:themeColor="text1"/>
                      <w:szCs w:val="21"/>
                      <w14:textFill>
                        <w14:solidFill>
                          <w14:schemeClr w14:val="tx1"/>
                        </w14:solidFill>
                      </w14:textFill>
                    </w:rPr>
                    <w:t>VOCs含量涂料。</w:t>
                  </w:r>
                </w:p>
              </w:tc>
              <w:tc>
                <w:tcPr>
                  <w:tcW w:w="1602" w:type="pct"/>
                  <w:gridSpan w:val="2"/>
                  <w:vAlign w:val="center"/>
                </w:tcPr>
                <w:p w14:paraId="09ACB8A3">
                  <w:pPr>
                    <w:pStyle w:val="145"/>
                    <w:spacing w:before="65" w:line="224" w:lineRule="auto"/>
                    <w:ind w:left="18"/>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不涉及VOCs原料，油料均使用密闭桶装储存于油料库房内</w:t>
                  </w:r>
                  <w:r>
                    <w:rPr>
                      <w:rFonts w:ascii="Times New Roman" w:hAnsi="Times New Roman" w:cs="Times New Roman"/>
                      <w:color w:val="000000" w:themeColor="text1"/>
                      <w14:textFill>
                        <w14:solidFill>
                          <w14:schemeClr w14:val="tx1"/>
                        </w14:solidFill>
                      </w14:textFill>
                    </w:rPr>
                    <w:t>。</w:t>
                  </w:r>
                </w:p>
              </w:tc>
              <w:tc>
                <w:tcPr>
                  <w:tcW w:w="473" w:type="pct"/>
                  <w:gridSpan w:val="2"/>
                  <w:vAlign w:val="center"/>
                </w:tcPr>
                <w:p w14:paraId="12C20060">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符合</w:t>
                  </w:r>
                </w:p>
              </w:tc>
            </w:tr>
            <w:tr w14:paraId="7F40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14:paraId="29DE25E1">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w:t>
                  </w:r>
                </w:p>
              </w:tc>
              <w:tc>
                <w:tcPr>
                  <w:tcW w:w="2637" w:type="pct"/>
                  <w:gridSpan w:val="2"/>
                  <w:vAlign w:val="center"/>
                </w:tcPr>
                <w:p w14:paraId="3B1E522B">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强化VOCs无组织排放管控。</w:t>
                  </w:r>
                </w:p>
                <w:p w14:paraId="1F205280">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实施储罐综合治理，浮顶与罐壁之间应采用高效密封方式，重点区域存储汽油、航空煤油、石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LDAR）工作，优先在密封点超过2000个的企业推行LDAR技术改造，并加强监督检查。</w:t>
                  </w:r>
                </w:p>
              </w:tc>
              <w:tc>
                <w:tcPr>
                  <w:tcW w:w="1602" w:type="pct"/>
                  <w:gridSpan w:val="2"/>
                  <w:vAlign w:val="center"/>
                </w:tcPr>
                <w:p w14:paraId="238633AE">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项目不使用储罐储存油料。项目矿物油采用桶装密闭存放，仅淬火过程会产生少量油雾，经收集后进入高效油烟净化器处理后可有组织达标排放，满足相关要求。</w:t>
                  </w:r>
                </w:p>
              </w:tc>
              <w:tc>
                <w:tcPr>
                  <w:tcW w:w="473" w:type="pct"/>
                  <w:gridSpan w:val="2"/>
                  <w:vAlign w:val="center"/>
                </w:tcPr>
                <w:p w14:paraId="0B9D5651">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符合</w:t>
                  </w:r>
                </w:p>
              </w:tc>
            </w:tr>
            <w:tr w14:paraId="3DA4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Align w:val="center"/>
                </w:tcPr>
                <w:p w14:paraId="0C6A5265">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w:t>
                  </w:r>
                </w:p>
              </w:tc>
              <w:tc>
                <w:tcPr>
                  <w:tcW w:w="2637" w:type="pct"/>
                  <w:gridSpan w:val="2"/>
                  <w:vAlign w:val="center"/>
                </w:tcPr>
                <w:p w14:paraId="2938363E">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推动VOCs末端治理升级。</w:t>
                  </w:r>
                </w:p>
                <w:p w14:paraId="1138E9A2">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推行“一企一策”，引导企业选择多种技术的组合工艺提高VOCs治理效率。</w:t>
                  </w:r>
                </w:p>
                <w:p w14:paraId="25D1A5B8">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加强非正常工况废气排放管控，制定非正常工况VOCs管控规程，严格按规程操作。</w:t>
                  </w:r>
                </w:p>
                <w:p w14:paraId="0134B126">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有条件的工业集聚区建设集中喷涂工程中心，配备高效治污设施，替代企业独立喷涂工序，对涉及喷漆、喷粉、印刷等废气进行集中处理。</w:t>
                  </w:r>
                </w:p>
              </w:tc>
              <w:tc>
                <w:tcPr>
                  <w:tcW w:w="1602" w:type="pct"/>
                  <w:gridSpan w:val="2"/>
                  <w:vAlign w:val="center"/>
                </w:tcPr>
                <w:p w14:paraId="60C42BEE">
                  <w:pPr>
                    <w:pStyle w:val="147"/>
                    <w:spacing w:after="0" w:line="240" w:lineRule="auto"/>
                    <w:ind w:firstLine="0" w:firstLineChars="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项目仅淬火过程会产生少量油雾，经收集后进入高效油烟净化器处理后可有组织达标排放，满足相关要求。有废气治理设施管理制度及操作规程，并有专人管理，加强日常维护保养，发现治理设施异常，相应生产设施立即停产检修。</w:t>
                  </w:r>
                </w:p>
              </w:tc>
              <w:tc>
                <w:tcPr>
                  <w:tcW w:w="473" w:type="pct"/>
                  <w:gridSpan w:val="2"/>
                  <w:vAlign w:val="center"/>
                </w:tcPr>
                <w:p w14:paraId="3E31705D">
                  <w:pPr>
                    <w:pStyle w:val="147"/>
                    <w:spacing w:after="0" w:line="240" w:lineRule="auto"/>
                    <w:ind w:firstLine="0" w:firstLineChars="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符合</w:t>
                  </w:r>
                </w:p>
              </w:tc>
            </w:tr>
          </w:tbl>
          <w:p w14:paraId="4C40A2A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8、与大气污染防治相关法律法规政策的符合性分析</w:t>
            </w:r>
          </w:p>
          <w:p w14:paraId="499B279A">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项目与大气污染防治相关法律法规政策的符合性见下表。</w:t>
            </w:r>
          </w:p>
          <w:p w14:paraId="1693D376">
            <w:pPr>
              <w:pStyle w:val="75"/>
              <w:spacing w:line="460" w:lineRule="exact"/>
              <w:ind w:firstLine="482"/>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表1-8与大气污染防治相关法律法规的符合性分析</w:t>
            </w:r>
          </w:p>
          <w:tbl>
            <w:tblPr>
              <w:tblStyle w:val="25"/>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82"/>
              <w:gridCol w:w="4064"/>
              <w:gridCol w:w="2147"/>
              <w:gridCol w:w="740"/>
            </w:tblGrid>
            <w:tr w14:paraId="62742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tcBorders>
                    <w:top w:val="single" w:color="auto" w:sz="6" w:space="0"/>
                    <w:left w:val="single" w:color="auto" w:sz="6" w:space="0"/>
                    <w:bottom w:val="single" w:color="auto" w:sz="6" w:space="0"/>
                    <w:right w:val="single" w:color="auto" w:sz="6" w:space="0"/>
                  </w:tcBorders>
                  <w:vAlign w:val="center"/>
                </w:tcPr>
                <w:p w14:paraId="1939F931">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文件</w:t>
                  </w:r>
                </w:p>
              </w:tc>
              <w:tc>
                <w:tcPr>
                  <w:tcW w:w="2353" w:type="pct"/>
                  <w:tcBorders>
                    <w:top w:val="single" w:color="auto" w:sz="6" w:space="0"/>
                    <w:left w:val="single" w:color="auto" w:sz="6" w:space="0"/>
                    <w:bottom w:val="single" w:color="auto" w:sz="6" w:space="0"/>
                    <w:right w:val="single" w:color="auto" w:sz="6" w:space="0"/>
                  </w:tcBorders>
                  <w:vAlign w:val="center"/>
                </w:tcPr>
                <w:p w14:paraId="5EFEF58C">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相关要求</w:t>
                  </w:r>
                </w:p>
              </w:tc>
              <w:tc>
                <w:tcPr>
                  <w:tcW w:w="1243" w:type="pct"/>
                  <w:tcBorders>
                    <w:top w:val="single" w:color="auto" w:sz="6" w:space="0"/>
                    <w:left w:val="single" w:color="auto" w:sz="6" w:space="0"/>
                    <w:bottom w:val="single" w:color="auto" w:sz="6" w:space="0"/>
                    <w:right w:val="single" w:color="auto" w:sz="6" w:space="0"/>
                  </w:tcBorders>
                  <w:vAlign w:val="center"/>
                </w:tcPr>
                <w:p w14:paraId="1B01B935">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项目情况</w:t>
                  </w:r>
                </w:p>
              </w:tc>
              <w:tc>
                <w:tcPr>
                  <w:tcW w:w="428" w:type="pct"/>
                  <w:tcBorders>
                    <w:top w:val="single" w:color="auto" w:sz="6" w:space="0"/>
                    <w:left w:val="single" w:color="auto" w:sz="6" w:space="0"/>
                    <w:bottom w:val="single" w:color="auto" w:sz="6" w:space="0"/>
                    <w:right w:val="single" w:color="auto" w:sz="6" w:space="0"/>
                  </w:tcBorders>
                  <w:vAlign w:val="center"/>
                </w:tcPr>
                <w:p w14:paraId="185AD94D">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符合性</w:t>
                  </w:r>
                </w:p>
              </w:tc>
            </w:tr>
            <w:tr w14:paraId="3BC28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restart"/>
                  <w:tcBorders>
                    <w:top w:val="single" w:color="auto" w:sz="6" w:space="0"/>
                    <w:left w:val="single" w:color="auto" w:sz="6" w:space="0"/>
                    <w:bottom w:val="single" w:color="auto" w:sz="6" w:space="0"/>
                    <w:right w:val="single" w:color="auto" w:sz="6" w:space="0"/>
                  </w:tcBorders>
                  <w:vAlign w:val="center"/>
                </w:tcPr>
                <w:p w14:paraId="14E35B35">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《中华人民共和国大气污染防治法》</w:t>
                  </w:r>
                </w:p>
              </w:tc>
              <w:tc>
                <w:tcPr>
                  <w:tcW w:w="2353" w:type="pct"/>
                  <w:tcBorders>
                    <w:top w:val="single" w:color="auto" w:sz="6" w:space="0"/>
                    <w:left w:val="single" w:color="auto" w:sz="6" w:space="0"/>
                    <w:bottom w:val="single" w:color="auto" w:sz="6" w:space="0"/>
                    <w:right w:val="single" w:color="auto" w:sz="6" w:space="0"/>
                  </w:tcBorders>
                  <w:vAlign w:val="center"/>
                </w:tcPr>
                <w:p w14:paraId="0C0535EC">
                  <w:pPr>
                    <w:pStyle w:val="50"/>
                    <w:spacing w:line="240" w:lineRule="auto"/>
                    <w:ind w:firstLine="0" w:firstLineChars="0"/>
                    <w:jc w:val="both"/>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产生含挥发性有机物废气的生产和服务活动，应当在密团空间或者设备中进行，并按规定安装、采取污染防治措施；无法密闭的，应当采取措施减少废气排放。</w:t>
                  </w:r>
                </w:p>
              </w:tc>
              <w:tc>
                <w:tcPr>
                  <w:tcW w:w="1243" w:type="pct"/>
                  <w:tcBorders>
                    <w:top w:val="single" w:color="auto" w:sz="6" w:space="0"/>
                    <w:left w:val="single" w:color="auto" w:sz="6" w:space="0"/>
                    <w:bottom w:val="single" w:color="auto" w:sz="6" w:space="0"/>
                    <w:right w:val="single" w:color="auto" w:sz="6" w:space="0"/>
                  </w:tcBorders>
                  <w:vAlign w:val="center"/>
                </w:tcPr>
                <w:p w14:paraId="4CFD04BF">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w:t>
                  </w:r>
                  <w:r>
                    <w:rPr>
                      <w:color w:val="000000" w:themeColor="text1"/>
                      <w:sz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65600E86">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5D1D1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top w:val="single" w:color="auto" w:sz="6" w:space="0"/>
                    <w:left w:val="single" w:color="auto" w:sz="6" w:space="0"/>
                    <w:bottom w:val="single" w:color="auto" w:sz="6" w:space="0"/>
                    <w:right w:val="single" w:color="auto" w:sz="6" w:space="0"/>
                  </w:tcBorders>
                  <w:vAlign w:val="center"/>
                </w:tcPr>
                <w:p w14:paraId="17400F01">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45E190AB">
                  <w:pPr>
                    <w:pStyle w:val="50"/>
                    <w:spacing w:line="240" w:lineRule="auto"/>
                    <w:ind w:firstLine="0" w:firstLineChars="0"/>
                    <w:jc w:val="both"/>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石油、化工以及其他生产和使用有机溶剂的企业，应当采取措施对管道、设备进行日常维护维修，减少物料泄漏，对泄漏的物料应当及时收集处理。</w:t>
                  </w:r>
                </w:p>
              </w:tc>
              <w:tc>
                <w:tcPr>
                  <w:tcW w:w="1243" w:type="pct"/>
                  <w:tcBorders>
                    <w:top w:val="single" w:color="auto" w:sz="6" w:space="0"/>
                    <w:left w:val="single" w:color="auto" w:sz="6" w:space="0"/>
                    <w:bottom w:val="single" w:color="auto" w:sz="6" w:space="0"/>
                    <w:right w:val="single" w:color="auto" w:sz="6" w:space="0"/>
                  </w:tcBorders>
                  <w:vAlign w:val="center"/>
                </w:tcPr>
                <w:p w14:paraId="1C5DD5B4">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建设单位生产过程中应定期对相应设备进行日常维护。</w:t>
                  </w:r>
                </w:p>
              </w:tc>
              <w:tc>
                <w:tcPr>
                  <w:tcW w:w="428" w:type="pct"/>
                  <w:tcBorders>
                    <w:top w:val="single" w:color="auto" w:sz="6" w:space="0"/>
                    <w:left w:val="single" w:color="auto" w:sz="6" w:space="0"/>
                    <w:bottom w:val="single" w:color="auto" w:sz="6" w:space="0"/>
                    <w:right w:val="single" w:color="auto" w:sz="6" w:space="0"/>
                  </w:tcBorders>
                  <w:vAlign w:val="center"/>
                </w:tcPr>
                <w:p w14:paraId="30F6A965">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1EF26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tcBorders>
                    <w:top w:val="single" w:color="auto" w:sz="6" w:space="0"/>
                    <w:left w:val="single" w:color="auto" w:sz="6" w:space="0"/>
                    <w:bottom w:val="single" w:color="auto" w:sz="6" w:space="0"/>
                    <w:right w:val="single" w:color="auto" w:sz="6" w:space="0"/>
                  </w:tcBorders>
                  <w:vAlign w:val="center"/>
                </w:tcPr>
                <w:p w14:paraId="1DD17BF9">
                  <w:pPr>
                    <w:pStyle w:val="50"/>
                    <w:spacing w:line="240" w:lineRule="auto"/>
                    <w:ind w:firstLine="0" w:firstLineChars="0"/>
                    <w:rPr>
                      <w:color w:val="000000" w:themeColor="text1"/>
                      <w:kern w:val="2"/>
                      <w:sz w:val="21"/>
                      <w14:textFill>
                        <w14:solidFill>
                          <w14:schemeClr w14:val="tx1"/>
                        </w14:solidFill>
                      </w14:textFill>
                    </w:rPr>
                  </w:pPr>
                  <w:r>
                    <w:rPr>
                      <w:color w:val="000000" w:themeColor="text1"/>
                      <w:sz w:val="21"/>
                      <w14:textFill>
                        <w14:solidFill>
                          <w14:schemeClr w14:val="tx1"/>
                        </w14:solidFill>
                      </w14:textFill>
                    </w:rPr>
                    <w:t>《重庆市大气污染防治条例》（2021年5月27日修正）</w:t>
                  </w:r>
                </w:p>
              </w:tc>
              <w:tc>
                <w:tcPr>
                  <w:tcW w:w="2353" w:type="pct"/>
                  <w:tcBorders>
                    <w:top w:val="single" w:color="auto" w:sz="6" w:space="0"/>
                    <w:left w:val="single" w:color="auto" w:sz="6" w:space="0"/>
                    <w:bottom w:val="single" w:color="auto" w:sz="6" w:space="0"/>
                    <w:right w:val="single" w:color="auto" w:sz="6" w:space="0"/>
                  </w:tcBorders>
                  <w:vAlign w:val="center"/>
                </w:tcPr>
                <w:p w14:paraId="0DC7A2D3">
                  <w:pPr>
                    <w:pStyle w:val="50"/>
                    <w:spacing w:line="240" w:lineRule="auto"/>
                    <w:ind w:firstLine="0" w:firstLineChars="0"/>
                    <w:jc w:val="left"/>
                    <w:rPr>
                      <w:color w:val="000000" w:themeColor="text1"/>
                      <w:kern w:val="2"/>
                      <w:sz w:val="21"/>
                      <w14:textFill>
                        <w14:solidFill>
                          <w14:schemeClr w14:val="tx1"/>
                        </w14:solidFill>
                      </w14:textFill>
                    </w:rPr>
                  </w:pPr>
                  <w:r>
                    <w:rPr>
                      <w:color w:val="000000" w:themeColor="text1"/>
                      <w:sz w:val="21"/>
                      <w14:textFill>
                        <w14:solidFill>
                          <w14:schemeClr w14:val="tx1"/>
                        </w14:solidFill>
                      </w14:textFill>
                    </w:rPr>
                    <w:t>“有机化工、制药、电子设备制造、包装印刷、家具制造及其他产生含挥发性有机物废气的生产和服务活动，应当在密闭空间或者设备中进行，并按照规定安装、使用污染防治设施，保持正常运行；无法密闭的，应当采取措施减少废气排放”及第六项：“其他向大气排放粉尘、恶臭气体，以及含重金属、持久性有机污染物等有毒有害气体的工业企业，应当按照规定配套安装净化装置或者采取其他措施减少污染物排放”。</w:t>
                  </w:r>
                </w:p>
              </w:tc>
              <w:tc>
                <w:tcPr>
                  <w:tcW w:w="1243" w:type="pct"/>
                  <w:tcBorders>
                    <w:top w:val="single" w:color="auto" w:sz="6" w:space="0"/>
                    <w:left w:val="single" w:color="auto" w:sz="6" w:space="0"/>
                    <w:bottom w:val="single" w:color="auto" w:sz="6" w:space="0"/>
                    <w:right w:val="single" w:color="auto" w:sz="6" w:space="0"/>
                  </w:tcBorders>
                  <w:vAlign w:val="center"/>
                </w:tcPr>
                <w:p w14:paraId="146AC5E6">
                  <w:pPr>
                    <w:pStyle w:val="50"/>
                    <w:spacing w:line="240" w:lineRule="auto"/>
                    <w:ind w:firstLine="0" w:firstLineChars="0"/>
                    <w:rPr>
                      <w:color w:val="000000" w:themeColor="text1"/>
                      <w:kern w:val="2"/>
                      <w:sz w:val="21"/>
                      <w14:textFill>
                        <w14:solidFill>
                          <w14:schemeClr w14:val="tx1"/>
                        </w14:solidFill>
                      </w14:textFill>
                    </w:rPr>
                  </w:pPr>
                  <w:r>
                    <w:rPr>
                      <w:color w:val="000000" w:themeColor="text1"/>
                      <w:spacing w:val="17"/>
                      <w:sz w:val="21"/>
                      <w14:textFill>
                        <w14:solidFill>
                          <w14:schemeClr w14:val="tx1"/>
                        </w14:solidFill>
                      </w14:textFill>
                    </w:rPr>
                    <w:t>项目</w:t>
                  </w:r>
                  <w:r>
                    <w:rPr>
                      <w:color w:val="000000" w:themeColor="text1"/>
                      <w:sz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406E1800">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3F7E0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restart"/>
                  <w:tcBorders>
                    <w:top w:val="single" w:color="auto" w:sz="6" w:space="0"/>
                    <w:left w:val="single" w:color="auto" w:sz="6" w:space="0"/>
                    <w:right w:val="single" w:color="auto" w:sz="6" w:space="0"/>
                  </w:tcBorders>
                  <w:vAlign w:val="center"/>
                </w:tcPr>
                <w:p w14:paraId="5B43A0E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《挥发性有机物无组织排放控制标准》(GB37822-2019)</w:t>
                  </w:r>
                </w:p>
              </w:tc>
              <w:tc>
                <w:tcPr>
                  <w:tcW w:w="2353" w:type="pct"/>
                  <w:tcBorders>
                    <w:top w:val="single" w:color="auto" w:sz="6" w:space="0"/>
                    <w:left w:val="single" w:color="auto" w:sz="6" w:space="0"/>
                    <w:bottom w:val="single" w:color="auto" w:sz="6" w:space="0"/>
                    <w:right w:val="single" w:color="auto" w:sz="6" w:space="0"/>
                  </w:tcBorders>
                  <w:vAlign w:val="center"/>
                </w:tcPr>
                <w:p w14:paraId="492C95C7">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6"/>
                      <w:lang w:eastAsia="zh-CN"/>
                      <w14:textFill>
                        <w14:solidFill>
                          <w14:schemeClr w14:val="tx1"/>
                        </w14:solidFill>
                      </w14:textFill>
                    </w:rPr>
                    <w:t>物料应储存于密闭的容器、包装</w:t>
                  </w:r>
                  <w:r>
                    <w:rPr>
                      <w:rFonts w:ascii="Times New Roman" w:hAnsi="Times New Roman" w:cs="Times New Roman"/>
                      <w:color w:val="000000" w:themeColor="text1"/>
                      <w:spacing w:val="8"/>
                      <w:lang w:eastAsia="zh-CN"/>
                      <w14:textFill>
                        <w14:solidFill>
                          <w14:schemeClr w14:val="tx1"/>
                        </w14:solidFill>
                      </w14:textFill>
                    </w:rPr>
                    <w:t>袋、储罐、储库、料仓中。</w:t>
                  </w:r>
                </w:p>
              </w:tc>
              <w:tc>
                <w:tcPr>
                  <w:tcW w:w="1243" w:type="pct"/>
                  <w:tcBorders>
                    <w:top w:val="single" w:color="auto" w:sz="6" w:space="0"/>
                    <w:left w:val="single" w:color="auto" w:sz="6" w:space="0"/>
                    <w:bottom w:val="single" w:color="auto" w:sz="6" w:space="0"/>
                    <w:right w:val="single" w:color="auto" w:sz="6" w:space="0"/>
                  </w:tcBorders>
                  <w:vAlign w:val="center"/>
                </w:tcPr>
                <w:p w14:paraId="0B7EFAF1">
                  <w:pPr>
                    <w:pStyle w:val="145"/>
                    <w:adjustRightInd w:val="0"/>
                    <w:snapToGrid w:val="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17"/>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不涉及VOCs原料，</w:t>
                  </w:r>
                  <w:r>
                    <w:rPr>
                      <w:rFonts w:hint="eastAsia" w:ascii="Times New Roman" w:hAnsi="Times New Roman" w:cs="Times New Roman"/>
                      <w:color w:val="000000" w:themeColor="text1"/>
                      <w:lang w:eastAsia="zh-CN"/>
                      <w14:textFill>
                        <w14:solidFill>
                          <w14:schemeClr w14:val="tx1"/>
                        </w14:solidFill>
                      </w14:textFill>
                    </w:rPr>
                    <w:t>本项目使用的</w:t>
                  </w:r>
                  <w:r>
                    <w:rPr>
                      <w:rFonts w:ascii="Times New Roman" w:hAnsi="Times New Roman" w:cs="Times New Roman"/>
                      <w:color w:val="000000" w:themeColor="text1"/>
                      <w:lang w:eastAsia="zh-CN"/>
                      <w14:textFill>
                        <w14:solidFill>
                          <w14:schemeClr w14:val="tx1"/>
                        </w14:solidFill>
                      </w14:textFill>
                    </w:rPr>
                    <w:t>油料均使用密闭桶装储存于油料库房内</w:t>
                  </w:r>
                  <w:r>
                    <w:rPr>
                      <w:rFonts w:ascii="Times New Roman" w:hAnsi="Times New Roman" w:cs="Times New Roman"/>
                      <w:color w:val="000000" w:themeColor="text1"/>
                      <w14:textFill>
                        <w14:solidFill>
                          <w14:schemeClr w14:val="tx1"/>
                        </w14:solidFill>
                      </w14:textFill>
                    </w:rPr>
                    <w:t>。</w:t>
                  </w:r>
                </w:p>
              </w:tc>
              <w:tc>
                <w:tcPr>
                  <w:tcW w:w="428" w:type="pct"/>
                  <w:tcBorders>
                    <w:top w:val="single" w:color="auto" w:sz="6" w:space="0"/>
                    <w:left w:val="single" w:color="auto" w:sz="6" w:space="0"/>
                    <w:bottom w:val="single" w:color="auto" w:sz="6" w:space="0"/>
                    <w:right w:val="single" w:color="auto" w:sz="6" w:space="0"/>
                  </w:tcBorders>
                  <w:vAlign w:val="center"/>
                </w:tcPr>
                <w:p w14:paraId="6973689B">
                  <w:pPr>
                    <w:pStyle w:val="148"/>
                    <w:widowControl/>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20915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1" w:hRule="atLeast"/>
                <w:jc w:val="center"/>
              </w:trPr>
              <w:tc>
                <w:tcPr>
                  <w:tcW w:w="974" w:type="pct"/>
                  <w:vMerge w:val="continue"/>
                  <w:tcBorders>
                    <w:left w:val="single" w:color="auto" w:sz="6" w:space="0"/>
                    <w:right w:val="single" w:color="auto" w:sz="6" w:space="0"/>
                  </w:tcBorders>
                  <w:vAlign w:val="center"/>
                </w:tcPr>
                <w:p w14:paraId="4BA8A67F">
                  <w:pPr>
                    <w:adjustRightInd w:val="0"/>
                    <w:snapToGrid w:val="0"/>
                    <w:jc w:val="center"/>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50C49995">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10"/>
                      <w:lang w:eastAsia="zh-CN"/>
                      <w14:textFill>
                        <w14:solidFill>
                          <w14:schemeClr w14:val="tx1"/>
                        </w14:solidFill>
                      </w14:textFill>
                    </w:rPr>
                    <w:t>盛装</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0"/>
                      <w:lang w:eastAsia="zh-CN"/>
                      <w14:textFill>
                        <w14:solidFill>
                          <w14:schemeClr w14:val="tx1"/>
                        </w14:solidFill>
                      </w14:textFill>
                    </w:rPr>
                    <w:t>物料的容器或包装袋应存</w:t>
                  </w:r>
                  <w:r>
                    <w:rPr>
                      <w:rFonts w:ascii="Times New Roman" w:hAnsi="Times New Roman" w:cs="Times New Roman"/>
                      <w:color w:val="000000" w:themeColor="text1"/>
                      <w:spacing w:val="9"/>
                      <w:lang w:eastAsia="zh-CN"/>
                      <w14:textFill>
                        <w14:solidFill>
                          <w14:schemeClr w14:val="tx1"/>
                        </w14:solidFill>
                      </w14:textFill>
                    </w:rPr>
                    <w:t>放于室内，或存放于设置有雨棚、遮</w:t>
                  </w:r>
                  <w:r>
                    <w:rPr>
                      <w:rFonts w:ascii="Times New Roman" w:hAnsi="Times New Roman" w:cs="Times New Roman"/>
                      <w:color w:val="000000" w:themeColor="text1"/>
                      <w:spacing w:val="5"/>
                      <w:lang w:eastAsia="zh-CN"/>
                      <w14:textFill>
                        <w14:solidFill>
                          <w14:schemeClr w14:val="tx1"/>
                        </w14:solidFill>
                      </w14:textFill>
                    </w:rPr>
                    <w:t>阳和防渗设施的专用场地。盛装</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9"/>
                      <w:lang w:eastAsia="zh-CN"/>
                      <w14:textFill>
                        <w14:solidFill>
                          <w14:schemeClr w14:val="tx1"/>
                        </w14:solidFill>
                      </w14:textFill>
                    </w:rPr>
                    <w:t>物料的容器或包装袋在非取用状态时</w:t>
                  </w:r>
                  <w:r>
                    <w:rPr>
                      <w:rFonts w:ascii="Times New Roman" w:hAnsi="Times New Roman" w:cs="Times New Roman"/>
                      <w:color w:val="000000" w:themeColor="text1"/>
                      <w:spacing w:val="8"/>
                      <w:lang w:eastAsia="zh-CN"/>
                      <w14:textFill>
                        <w14:solidFill>
                          <w14:schemeClr w14:val="tx1"/>
                        </w14:solidFill>
                      </w14:textFill>
                    </w:rPr>
                    <w:t>应加盖、封口，保持密闭。</w:t>
                  </w:r>
                </w:p>
              </w:tc>
              <w:tc>
                <w:tcPr>
                  <w:tcW w:w="1243" w:type="pct"/>
                  <w:tcBorders>
                    <w:top w:val="single" w:color="auto" w:sz="6" w:space="0"/>
                    <w:left w:val="single" w:color="auto" w:sz="6" w:space="0"/>
                    <w:bottom w:val="single" w:color="auto" w:sz="6" w:space="0"/>
                    <w:right w:val="single" w:color="auto" w:sz="6" w:space="0"/>
                  </w:tcBorders>
                  <w:vAlign w:val="center"/>
                </w:tcPr>
                <w:p w14:paraId="402A775D">
                  <w:pPr>
                    <w:pStyle w:val="145"/>
                    <w:adjustRightInd w:val="0"/>
                    <w:snapToGrid w:val="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17"/>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不涉及VOCs原料，</w:t>
                  </w:r>
                  <w:r>
                    <w:rPr>
                      <w:rFonts w:hint="eastAsia" w:ascii="Times New Roman" w:hAnsi="Times New Roman" w:cs="Times New Roman"/>
                      <w:color w:val="000000" w:themeColor="text1"/>
                      <w:lang w:eastAsia="zh-CN"/>
                      <w14:textFill>
                        <w14:solidFill>
                          <w14:schemeClr w14:val="tx1"/>
                        </w14:solidFill>
                      </w14:textFill>
                    </w:rPr>
                    <w:t>本项目使用的</w:t>
                  </w:r>
                  <w:r>
                    <w:rPr>
                      <w:rFonts w:ascii="Times New Roman" w:hAnsi="Times New Roman" w:cs="Times New Roman"/>
                      <w:color w:val="000000" w:themeColor="text1"/>
                      <w:lang w:eastAsia="zh-CN"/>
                      <w14:textFill>
                        <w14:solidFill>
                          <w14:schemeClr w14:val="tx1"/>
                        </w14:solidFill>
                      </w14:textFill>
                    </w:rPr>
                    <w:t>油料均使用密闭桶装储存于油料库房内</w:t>
                  </w:r>
                  <w:r>
                    <w:rPr>
                      <w:rFonts w:ascii="Times New Roman" w:hAnsi="Times New Roman" w:cs="Times New Roman"/>
                      <w:color w:val="000000" w:themeColor="text1"/>
                      <w14:textFill>
                        <w14:solidFill>
                          <w14:schemeClr w14:val="tx1"/>
                        </w14:solidFill>
                      </w14:textFill>
                    </w:rPr>
                    <w:t>。</w:t>
                  </w:r>
                </w:p>
              </w:tc>
              <w:tc>
                <w:tcPr>
                  <w:tcW w:w="428" w:type="pct"/>
                  <w:tcBorders>
                    <w:top w:val="single" w:color="auto" w:sz="6" w:space="0"/>
                    <w:left w:val="single" w:color="auto" w:sz="6" w:space="0"/>
                    <w:bottom w:val="single" w:color="auto" w:sz="6" w:space="0"/>
                    <w:right w:val="single" w:color="auto" w:sz="6" w:space="0"/>
                  </w:tcBorders>
                  <w:vAlign w:val="center"/>
                </w:tcPr>
                <w:p w14:paraId="34D2F4C0">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3D40C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57" w:hRule="atLeast"/>
                <w:jc w:val="center"/>
              </w:trPr>
              <w:tc>
                <w:tcPr>
                  <w:tcW w:w="974" w:type="pct"/>
                  <w:vMerge w:val="continue"/>
                  <w:tcBorders>
                    <w:left w:val="single" w:color="auto" w:sz="6" w:space="0"/>
                    <w:right w:val="single" w:color="auto" w:sz="6" w:space="0"/>
                  </w:tcBorders>
                  <w:vAlign w:val="center"/>
                </w:tcPr>
                <w:p w14:paraId="07C76146">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6613F435">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9"/>
                      <w:lang w:eastAsia="zh-CN"/>
                      <w14:textFill>
                        <w14:solidFill>
                          <w14:schemeClr w14:val="tx1"/>
                        </w14:solidFill>
                      </w14:textFill>
                    </w:rPr>
                    <w:t>液态</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9"/>
                      <w:lang w:eastAsia="zh-CN"/>
                      <w14:textFill>
                        <w14:solidFill>
                          <w14:schemeClr w14:val="tx1"/>
                        </w14:solidFill>
                      </w14:textFill>
                    </w:rPr>
                    <w:t>物料应采用密闭管道输送</w:t>
                  </w:r>
                  <w:r>
                    <w:rPr>
                      <w:rFonts w:ascii="Times New Roman" w:hAnsi="Times New Roman" w:cs="Times New Roman"/>
                      <w:color w:val="000000" w:themeColor="text1"/>
                      <w:spacing w:val="5"/>
                      <w:lang w:eastAsia="zh-CN"/>
                      <w14:textFill>
                        <w14:solidFill>
                          <w14:schemeClr w14:val="tx1"/>
                        </w14:solidFill>
                      </w14:textFill>
                    </w:rPr>
                    <w:t>方式或采用高位槽（罐）、桶泵等给料方</w:t>
                  </w:r>
                  <w:r>
                    <w:rPr>
                      <w:rFonts w:ascii="Times New Roman" w:hAnsi="Times New Roman" w:cs="Times New Roman"/>
                      <w:color w:val="000000" w:themeColor="text1"/>
                      <w:spacing w:val="9"/>
                      <w:lang w:eastAsia="zh-CN"/>
                      <w14:textFill>
                        <w14:solidFill>
                          <w14:schemeClr w14:val="tx1"/>
                        </w14:solidFill>
                      </w14:textFill>
                    </w:rPr>
                    <w:t>式密闭投加。无法密闭投加的，应在密闭空间内操作，或进行局部气体收</w:t>
                  </w:r>
                  <w:r>
                    <w:rPr>
                      <w:rFonts w:ascii="Times New Roman" w:hAnsi="Times New Roman" w:cs="Times New Roman"/>
                      <w:color w:val="000000" w:themeColor="text1"/>
                      <w:spacing w:val="10"/>
                      <w:lang w:eastAsia="zh-CN"/>
                      <w14:textFill>
                        <w14:solidFill>
                          <w14:schemeClr w14:val="tx1"/>
                        </w14:solidFill>
                      </w14:textFill>
                    </w:rPr>
                    <w:t>集，废气应排至</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0"/>
                      <w:lang w:eastAsia="zh-CN"/>
                      <w14:textFill>
                        <w14:solidFill>
                          <w14:schemeClr w14:val="tx1"/>
                        </w14:solidFill>
                      </w14:textFill>
                    </w:rPr>
                    <w:t>废气收集处理</w:t>
                  </w:r>
                  <w:r>
                    <w:rPr>
                      <w:rFonts w:ascii="Times New Roman" w:hAnsi="Times New Roman" w:cs="Times New Roman"/>
                      <w:color w:val="000000" w:themeColor="text1"/>
                      <w:spacing w:val="3"/>
                      <w:lang w:eastAsia="zh-CN"/>
                      <w14:textFill>
                        <w14:solidFill>
                          <w14:schemeClr w14:val="tx1"/>
                        </w14:solidFill>
                      </w14:textFill>
                    </w:rPr>
                    <w:t>系统。</w:t>
                  </w:r>
                </w:p>
              </w:tc>
              <w:tc>
                <w:tcPr>
                  <w:tcW w:w="1243" w:type="pct"/>
                  <w:tcBorders>
                    <w:top w:val="single" w:color="auto" w:sz="6" w:space="0"/>
                    <w:left w:val="single" w:color="auto" w:sz="6" w:space="0"/>
                    <w:bottom w:val="single" w:color="auto" w:sz="6" w:space="0"/>
                    <w:right w:val="single" w:color="auto" w:sz="6" w:space="0"/>
                  </w:tcBorders>
                  <w:vAlign w:val="center"/>
                </w:tcPr>
                <w:p w14:paraId="4DFC6A8A">
                  <w:pPr>
                    <w:pStyle w:val="145"/>
                    <w:adjustRightInd w:val="0"/>
                    <w:snapToGrid w:val="0"/>
                    <w:rPr>
                      <w:rFonts w:ascii="Times New Roman" w:hAnsi="Times New Roman" w:cs="Times New Roman"/>
                      <w:color w:val="000000" w:themeColor="text1"/>
                      <w:spacing w:val="-3"/>
                      <w:lang w:eastAsia="zh-CN"/>
                      <w14:textFill>
                        <w14:solidFill>
                          <w14:schemeClr w14:val="tx1"/>
                        </w14:solidFill>
                      </w14:textFill>
                    </w:rPr>
                  </w:pPr>
                  <w:r>
                    <w:rPr>
                      <w:rFonts w:ascii="Times New Roman" w:hAnsi="Times New Roman" w:cs="Times New Roman"/>
                      <w:color w:val="000000" w:themeColor="text1"/>
                      <w:spacing w:val="17"/>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仅淬火过程会产生少量油雾，经收集后进入高效油烟净化器处理后可有组织达标排放，</w:t>
                  </w:r>
                  <w:r>
                    <w:rPr>
                      <w:rFonts w:ascii="Times New Roman" w:hAnsi="Times New Roman" w:cs="Times New Roman"/>
                      <w:color w:val="000000" w:themeColor="text1"/>
                      <w14:textFill>
                        <w14:solidFill>
                          <w14:schemeClr w14:val="tx1"/>
                        </w14:solidFill>
                      </w14:textFill>
                    </w:rPr>
                    <w:t>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43AE0648">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51C08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7" w:hRule="atLeast"/>
                <w:jc w:val="center"/>
              </w:trPr>
              <w:tc>
                <w:tcPr>
                  <w:tcW w:w="974" w:type="pct"/>
                  <w:vMerge w:val="continue"/>
                  <w:tcBorders>
                    <w:left w:val="single" w:color="auto" w:sz="6" w:space="0"/>
                    <w:right w:val="single" w:color="auto" w:sz="6" w:space="0"/>
                  </w:tcBorders>
                  <w:vAlign w:val="center"/>
                </w:tcPr>
                <w:p w14:paraId="4C8EA0BF">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082574F7">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10"/>
                      <w:lang w:eastAsia="zh-CN"/>
                      <w14:textFill>
                        <w14:solidFill>
                          <w14:schemeClr w14:val="tx1"/>
                        </w14:solidFill>
                      </w14:textFill>
                    </w:rPr>
                    <w:t>粉状、粒状</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0"/>
                      <w:lang w:eastAsia="zh-CN"/>
                      <w14:textFill>
                        <w14:solidFill>
                          <w14:schemeClr w14:val="tx1"/>
                        </w14:solidFill>
                      </w14:textFill>
                    </w:rPr>
                    <w:t>物料应采用气力输</w:t>
                  </w:r>
                  <w:r>
                    <w:rPr>
                      <w:rFonts w:ascii="Times New Roman" w:hAnsi="Times New Roman" w:cs="Times New Roman"/>
                      <w:color w:val="000000" w:themeColor="text1"/>
                      <w:spacing w:val="9"/>
                      <w:lang w:eastAsia="zh-CN"/>
                      <w14:textFill>
                        <w14:solidFill>
                          <w14:schemeClr w14:val="tx1"/>
                        </w14:solidFill>
                      </w14:textFill>
                    </w:rPr>
                    <w:t>送方式或采用密闭固体投料器等给料方式密闭投加。无法密闭投加的，应在密闭空间内操作，或进行局部气体</w:t>
                  </w:r>
                  <w:r>
                    <w:rPr>
                      <w:rFonts w:ascii="Times New Roman" w:hAnsi="Times New Roman" w:cs="Times New Roman"/>
                      <w:color w:val="000000" w:themeColor="text1"/>
                      <w:spacing w:val="11"/>
                      <w:lang w:eastAsia="zh-CN"/>
                      <w14:textFill>
                        <w14:solidFill>
                          <w14:schemeClr w14:val="tx1"/>
                        </w14:solidFill>
                      </w14:textFill>
                    </w:rPr>
                    <w:t>收集，废气应排至除尘设施、</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7"/>
                      <w:lang w:eastAsia="zh-CN"/>
                      <w14:textFill>
                        <w14:solidFill>
                          <w14:schemeClr w14:val="tx1"/>
                        </w14:solidFill>
                      </w14:textFill>
                    </w:rPr>
                    <w:t>废气收集处理系统。</w:t>
                  </w:r>
                </w:p>
              </w:tc>
              <w:tc>
                <w:tcPr>
                  <w:tcW w:w="1243" w:type="pct"/>
                  <w:tcBorders>
                    <w:top w:val="single" w:color="auto" w:sz="6" w:space="0"/>
                    <w:left w:val="single" w:color="auto" w:sz="6" w:space="0"/>
                    <w:bottom w:val="single" w:color="auto" w:sz="6" w:space="0"/>
                    <w:right w:val="single" w:color="auto" w:sz="6" w:space="0"/>
                  </w:tcBorders>
                  <w:vAlign w:val="center"/>
                </w:tcPr>
                <w:p w14:paraId="33595A70">
                  <w:pPr>
                    <w:pStyle w:val="145"/>
                    <w:adjustRightInd w:val="0"/>
                    <w:snapToGrid w:val="0"/>
                    <w:jc w:val="center"/>
                    <w:rPr>
                      <w:rFonts w:ascii="Times New Roman" w:hAnsi="Times New Roman" w:cs="Times New Roman"/>
                      <w:color w:val="000000" w:themeColor="text1"/>
                      <w:spacing w:val="-3"/>
                      <w:lang w:eastAsia="zh-CN"/>
                      <w14:textFill>
                        <w14:solidFill>
                          <w14:schemeClr w14:val="tx1"/>
                        </w14:solidFill>
                      </w14:textFill>
                    </w:rPr>
                  </w:pPr>
                  <w:r>
                    <w:rPr>
                      <w:rFonts w:ascii="Times New Roman" w:hAnsi="Times New Roman" w:cs="Times New Roman"/>
                      <w:color w:val="000000" w:themeColor="text1"/>
                      <w:spacing w:val="17"/>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不涉及VOCs原料，</w:t>
                  </w:r>
                  <w:r>
                    <w:rPr>
                      <w:rFonts w:hint="eastAsia" w:ascii="Times New Roman" w:hAnsi="Times New Roman" w:cs="Times New Roman"/>
                      <w:color w:val="000000" w:themeColor="text1"/>
                      <w:lang w:eastAsia="zh-CN"/>
                      <w14:textFill>
                        <w14:solidFill>
                          <w14:schemeClr w14:val="tx1"/>
                        </w14:solidFill>
                      </w14:textFill>
                    </w:rPr>
                    <w:t>本项目使用的</w:t>
                  </w:r>
                  <w:r>
                    <w:rPr>
                      <w:rFonts w:ascii="Times New Roman" w:hAnsi="Times New Roman" w:cs="Times New Roman"/>
                      <w:color w:val="000000" w:themeColor="text1"/>
                      <w:lang w:eastAsia="zh-CN"/>
                      <w14:textFill>
                        <w14:solidFill>
                          <w14:schemeClr w14:val="tx1"/>
                        </w14:solidFill>
                      </w14:textFill>
                    </w:rPr>
                    <w:t>油料均使用密闭桶装储存于油料库房内</w:t>
                  </w:r>
                  <w:r>
                    <w:rPr>
                      <w:rFonts w:ascii="Times New Roman" w:hAnsi="Times New Roman" w:cs="Times New Roman"/>
                      <w:color w:val="000000" w:themeColor="text1"/>
                      <w14:textFill>
                        <w14:solidFill>
                          <w14:schemeClr w14:val="tx1"/>
                        </w14:solidFill>
                      </w14:textFill>
                    </w:rPr>
                    <w:t>。</w:t>
                  </w:r>
                </w:p>
              </w:tc>
              <w:tc>
                <w:tcPr>
                  <w:tcW w:w="428" w:type="pct"/>
                  <w:tcBorders>
                    <w:top w:val="single" w:color="auto" w:sz="6" w:space="0"/>
                    <w:left w:val="single" w:color="auto" w:sz="6" w:space="0"/>
                    <w:bottom w:val="single" w:color="auto" w:sz="6" w:space="0"/>
                    <w:right w:val="single" w:color="auto" w:sz="6" w:space="0"/>
                  </w:tcBorders>
                  <w:vAlign w:val="center"/>
                </w:tcPr>
                <w:p w14:paraId="76B966EC">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2478F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7" w:hRule="atLeast"/>
                <w:jc w:val="center"/>
              </w:trPr>
              <w:tc>
                <w:tcPr>
                  <w:tcW w:w="974" w:type="pct"/>
                  <w:vMerge w:val="continue"/>
                  <w:tcBorders>
                    <w:left w:val="single" w:color="auto" w:sz="6" w:space="0"/>
                    <w:right w:val="single" w:color="auto" w:sz="6" w:space="0"/>
                  </w:tcBorders>
                  <w:vAlign w:val="center"/>
                </w:tcPr>
                <w:p w14:paraId="03CC4787">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4603FCEA">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6"/>
                      <w:lang w:eastAsia="zh-CN"/>
                      <w14:textFill>
                        <w14:solidFill>
                          <w14:schemeClr w14:val="tx1"/>
                        </w14:solidFill>
                      </w14:textFill>
                    </w:rPr>
                    <w:t>物料卸（出、放）料过程应密闭，</w:t>
                  </w:r>
                  <w:r>
                    <w:rPr>
                      <w:rFonts w:ascii="Times New Roman" w:hAnsi="Times New Roman" w:cs="Times New Roman"/>
                      <w:color w:val="000000" w:themeColor="text1"/>
                      <w:spacing w:val="10"/>
                      <w:lang w:eastAsia="zh-CN"/>
                      <w14:textFill>
                        <w14:solidFill>
                          <w14:schemeClr w14:val="tx1"/>
                        </w14:solidFill>
                      </w14:textFill>
                    </w:rPr>
                    <w:t>卸料废气应排至</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0"/>
                      <w:lang w:eastAsia="zh-CN"/>
                      <w14:textFill>
                        <w14:solidFill>
                          <w14:schemeClr w14:val="tx1"/>
                        </w14:solidFill>
                      </w14:textFill>
                    </w:rPr>
                    <w:t>废气收集处理</w:t>
                  </w:r>
                  <w:r>
                    <w:rPr>
                      <w:rFonts w:ascii="Times New Roman" w:hAnsi="Times New Roman" w:cs="Times New Roman"/>
                      <w:color w:val="000000" w:themeColor="text1"/>
                      <w:spacing w:val="9"/>
                      <w:lang w:eastAsia="zh-CN"/>
                      <w14:textFill>
                        <w14:solidFill>
                          <w14:schemeClr w14:val="tx1"/>
                        </w14:solidFill>
                      </w14:textFill>
                    </w:rPr>
                    <w:t>系统；无法密闭的，应采取局部气体</w:t>
                  </w:r>
                  <w:r>
                    <w:rPr>
                      <w:rFonts w:ascii="Times New Roman" w:hAnsi="Times New Roman" w:cs="Times New Roman"/>
                      <w:color w:val="000000" w:themeColor="text1"/>
                      <w:spacing w:val="10"/>
                      <w:lang w:eastAsia="zh-CN"/>
                      <w14:textFill>
                        <w14:solidFill>
                          <w14:schemeClr w14:val="tx1"/>
                        </w14:solidFill>
                      </w14:textFill>
                    </w:rPr>
                    <w:t>收集措施，废气应排至</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0"/>
                      <w:lang w:eastAsia="zh-CN"/>
                      <w14:textFill>
                        <w14:solidFill>
                          <w14:schemeClr w14:val="tx1"/>
                        </w14:solidFill>
                      </w14:textFill>
                    </w:rPr>
                    <w:t>废气收</w:t>
                  </w:r>
                  <w:r>
                    <w:rPr>
                      <w:rFonts w:ascii="Times New Roman" w:hAnsi="Times New Roman" w:cs="Times New Roman"/>
                      <w:color w:val="000000" w:themeColor="text1"/>
                      <w:spacing w:val="6"/>
                      <w:lang w:eastAsia="zh-CN"/>
                      <w14:textFill>
                        <w14:solidFill>
                          <w14:schemeClr w14:val="tx1"/>
                        </w14:solidFill>
                      </w14:textFill>
                    </w:rPr>
                    <w:t>集处理系统。</w:t>
                  </w:r>
                </w:p>
              </w:tc>
              <w:tc>
                <w:tcPr>
                  <w:tcW w:w="1243" w:type="pct"/>
                  <w:tcBorders>
                    <w:top w:val="single" w:color="auto" w:sz="6" w:space="0"/>
                    <w:left w:val="single" w:color="auto" w:sz="6" w:space="0"/>
                    <w:bottom w:val="single" w:color="auto" w:sz="6" w:space="0"/>
                    <w:right w:val="single" w:color="auto" w:sz="6" w:space="0"/>
                  </w:tcBorders>
                  <w:vAlign w:val="center"/>
                </w:tcPr>
                <w:p w14:paraId="66175E33">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17"/>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仅淬火过程会产生少量油雾，经收集后进入高效油烟净化器处理后可有组织达标排放，</w:t>
                  </w:r>
                  <w:r>
                    <w:rPr>
                      <w:rFonts w:ascii="Times New Roman" w:hAnsi="Times New Roman" w:cs="Times New Roman"/>
                      <w:color w:val="000000" w:themeColor="text1"/>
                      <w14:textFill>
                        <w14:solidFill>
                          <w14:schemeClr w14:val="tx1"/>
                        </w14:solidFill>
                      </w14:textFill>
                    </w:rPr>
                    <w:t>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69119424">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76376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7" w:hRule="atLeast"/>
                <w:jc w:val="center"/>
              </w:trPr>
              <w:tc>
                <w:tcPr>
                  <w:tcW w:w="974" w:type="pct"/>
                  <w:vMerge w:val="continue"/>
                  <w:tcBorders>
                    <w:left w:val="single" w:color="auto" w:sz="6" w:space="0"/>
                    <w:right w:val="single" w:color="auto" w:sz="6" w:space="0"/>
                  </w:tcBorders>
                  <w:vAlign w:val="center"/>
                </w:tcPr>
                <w:p w14:paraId="6CEB26D6">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3B71D462">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8"/>
                      <w:lang w:eastAsia="zh-CN"/>
                      <w14:textFill>
                        <w14:solidFill>
                          <w14:schemeClr w14:val="tx1"/>
                        </w14:solidFill>
                      </w14:textFill>
                    </w:rPr>
                    <w:t>质量占比大于等于10%的含</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6"/>
                      <w:lang w:eastAsia="zh-CN"/>
                      <w14:textFill>
                        <w14:solidFill>
                          <w14:schemeClr w14:val="tx1"/>
                        </w14:solidFill>
                      </w14:textFill>
                    </w:rPr>
                    <w:t>产品，其使用过程应采用密闭设</w:t>
                  </w:r>
                  <w:r>
                    <w:rPr>
                      <w:rFonts w:ascii="Times New Roman" w:hAnsi="Times New Roman" w:cs="Times New Roman"/>
                      <w:color w:val="000000" w:themeColor="text1"/>
                      <w:spacing w:val="9"/>
                      <w:lang w:eastAsia="zh-CN"/>
                      <w14:textFill>
                        <w14:solidFill>
                          <w14:schemeClr w14:val="tx1"/>
                        </w14:solidFill>
                      </w14:textFill>
                    </w:rPr>
                    <w:t>备或在密闭空间内操作，废气应排至</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1"/>
                      <w:lang w:eastAsia="zh-CN"/>
                      <w14:textFill>
                        <w14:solidFill>
                          <w14:schemeClr w14:val="tx1"/>
                        </w14:solidFill>
                      </w14:textFill>
                    </w:rPr>
                    <w:t>废气收集处理系统；无法密闭</w:t>
                  </w:r>
                  <w:r>
                    <w:rPr>
                      <w:rFonts w:ascii="Times New Roman" w:hAnsi="Times New Roman" w:cs="Times New Roman"/>
                      <w:color w:val="000000" w:themeColor="text1"/>
                      <w:spacing w:val="9"/>
                      <w:lang w:eastAsia="zh-CN"/>
                      <w14:textFill>
                        <w14:solidFill>
                          <w14:schemeClr w14:val="tx1"/>
                        </w14:solidFill>
                      </w14:textFill>
                    </w:rPr>
                    <w:t>的，应采取局部气体收集措施，废气</w:t>
                  </w:r>
                  <w:r>
                    <w:rPr>
                      <w:rFonts w:ascii="Times New Roman" w:hAnsi="Times New Roman" w:cs="Times New Roman"/>
                      <w:color w:val="000000" w:themeColor="text1"/>
                      <w:spacing w:val="10"/>
                      <w:lang w:eastAsia="zh-CN"/>
                      <w14:textFill>
                        <w14:solidFill>
                          <w14:schemeClr w14:val="tx1"/>
                        </w14:solidFill>
                      </w14:textFill>
                    </w:rPr>
                    <w:t>应排至</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0"/>
                      <w:lang w:eastAsia="zh-CN"/>
                      <w14:textFill>
                        <w14:solidFill>
                          <w14:schemeClr w14:val="tx1"/>
                        </w14:solidFill>
                      </w14:textFill>
                    </w:rPr>
                    <w:t>废气收集处理系统。</w:t>
                  </w:r>
                </w:p>
              </w:tc>
              <w:tc>
                <w:tcPr>
                  <w:tcW w:w="1243" w:type="pct"/>
                  <w:tcBorders>
                    <w:top w:val="single" w:color="auto" w:sz="6" w:space="0"/>
                    <w:left w:val="single" w:color="auto" w:sz="6" w:space="0"/>
                    <w:bottom w:val="single" w:color="auto" w:sz="6" w:space="0"/>
                    <w:right w:val="single" w:color="auto" w:sz="6" w:space="0"/>
                  </w:tcBorders>
                  <w:vAlign w:val="center"/>
                </w:tcPr>
                <w:p w14:paraId="6584377B">
                  <w:pPr>
                    <w:pStyle w:val="145"/>
                    <w:adjustRightInd w:val="0"/>
                    <w:snapToGrid w:val="0"/>
                    <w:jc w:val="center"/>
                    <w:rPr>
                      <w:rFonts w:ascii="Times New Roman" w:hAnsi="Times New Roman" w:cs="Times New Roman"/>
                      <w:color w:val="000000" w:themeColor="text1"/>
                      <w:spacing w:val="10"/>
                      <w:lang w:eastAsia="zh-CN"/>
                      <w14:textFill>
                        <w14:solidFill>
                          <w14:schemeClr w14:val="tx1"/>
                        </w14:solidFill>
                      </w14:textFill>
                    </w:rPr>
                  </w:pPr>
                  <w:r>
                    <w:rPr>
                      <w:rFonts w:ascii="Times New Roman" w:hAnsi="Times New Roman" w:cs="Times New Roman"/>
                      <w:color w:val="000000" w:themeColor="text1"/>
                      <w:spacing w:val="17"/>
                      <w14:textFill>
                        <w14:solidFill>
                          <w14:schemeClr w14:val="tx1"/>
                        </w14:solidFill>
                      </w14:textFill>
                    </w:rPr>
                    <w:t>项目</w:t>
                  </w:r>
                  <w:r>
                    <w:rPr>
                      <w:rFonts w:ascii="Times New Roman" w:hAnsi="Times New Roman" w:cs="Times New Roman"/>
                      <w:color w:val="000000" w:themeColor="text1"/>
                      <w:lang w:eastAsia="zh-CN"/>
                      <w14:textFill>
                        <w14:solidFill>
                          <w14:schemeClr w14:val="tx1"/>
                        </w14:solidFill>
                      </w14:textFill>
                    </w:rPr>
                    <w:t>仅淬火过程会产生少量油雾，经收集后进入高效油烟净化器处理后可有组织达标排放，</w:t>
                  </w:r>
                  <w:r>
                    <w:rPr>
                      <w:rFonts w:ascii="Times New Roman" w:hAnsi="Times New Roman" w:cs="Times New Roman"/>
                      <w:color w:val="000000" w:themeColor="text1"/>
                      <w14:textFill>
                        <w14:solidFill>
                          <w14:schemeClr w14:val="tx1"/>
                        </w14:solidFill>
                      </w14:textFill>
                    </w:rPr>
                    <w:t>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756F927D">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78392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bottom w:val="single" w:color="auto" w:sz="6" w:space="0"/>
                    <w:right w:val="single" w:color="auto" w:sz="6" w:space="0"/>
                  </w:tcBorders>
                  <w:vAlign w:val="center"/>
                </w:tcPr>
                <w:p w14:paraId="6C9491D3">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24CBDE68">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9"/>
                      <w:lang w:eastAsia="zh-CN"/>
                      <w14:textFill>
                        <w14:solidFill>
                          <w14:schemeClr w14:val="tx1"/>
                        </w14:solidFill>
                      </w14:textFill>
                    </w:rPr>
                    <w:t>企业应建立台账，记录含</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9"/>
                      <w:lang w:eastAsia="zh-CN"/>
                      <w14:textFill>
                        <w14:solidFill>
                          <w14:schemeClr w14:val="tx1"/>
                        </w14:solidFill>
                      </w14:textFill>
                    </w:rPr>
                    <w:t>原辅</w:t>
                  </w:r>
                  <w:r>
                    <w:rPr>
                      <w:rFonts w:ascii="Times New Roman" w:hAnsi="Times New Roman" w:cs="Times New Roman"/>
                      <w:color w:val="000000" w:themeColor="text1"/>
                      <w:spacing w:val="6"/>
                      <w:lang w:eastAsia="zh-CN"/>
                      <w14:textFill>
                        <w14:solidFill>
                          <w14:schemeClr w14:val="tx1"/>
                        </w14:solidFill>
                      </w14:textFill>
                    </w:rPr>
                    <w:t>材料和含</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6"/>
                      <w:lang w:eastAsia="zh-CN"/>
                      <w14:textFill>
                        <w14:solidFill>
                          <w14:schemeClr w14:val="tx1"/>
                        </w14:solidFill>
                      </w14:textFill>
                    </w:rPr>
                    <w:t>产品的名称、使用量、</w:t>
                  </w:r>
                  <w:r>
                    <w:rPr>
                      <w:rFonts w:ascii="Times New Roman" w:hAnsi="Times New Roman" w:cs="Times New Roman"/>
                      <w:color w:val="000000" w:themeColor="text1"/>
                      <w:spacing w:val="7"/>
                      <w:lang w:eastAsia="zh-CN"/>
                      <w14:textFill>
                        <w14:solidFill>
                          <w14:schemeClr w14:val="tx1"/>
                        </w14:solidFill>
                      </w14:textFill>
                    </w:rPr>
                    <w:t>回收量、废弃量、去向以及</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7"/>
                      <w:lang w:eastAsia="zh-CN"/>
                      <w14:textFill>
                        <w14:solidFill>
                          <w14:schemeClr w14:val="tx1"/>
                        </w14:solidFill>
                      </w14:textFill>
                    </w:rPr>
                    <w:t>含</w:t>
                  </w:r>
                  <w:r>
                    <w:rPr>
                      <w:rFonts w:ascii="Times New Roman" w:hAnsi="Times New Roman" w:cs="Times New Roman"/>
                      <w:color w:val="000000" w:themeColor="text1"/>
                      <w:spacing w:val="5"/>
                      <w:lang w:eastAsia="zh-CN"/>
                      <w14:textFill>
                        <w14:solidFill>
                          <w14:schemeClr w14:val="tx1"/>
                        </w14:solidFill>
                      </w14:textFill>
                    </w:rPr>
                    <w:t>量等信息。台账保存期限不少于3年。</w:t>
                  </w:r>
                  <w:r>
                    <w:rPr>
                      <w:rFonts w:ascii="Times New Roman" w:hAnsi="Times New Roman" w:cs="Times New Roman"/>
                      <w:color w:val="000000" w:themeColor="text1"/>
                      <w:spacing w:val="7"/>
                      <w:lang w:eastAsia="zh-CN"/>
                      <w14:textFill>
                        <w14:solidFill>
                          <w14:schemeClr w14:val="tx1"/>
                        </w14:solidFill>
                      </w14:textFill>
                    </w:rPr>
                    <w:t>载有</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7"/>
                      <w:lang w:eastAsia="zh-CN"/>
                      <w14:textFill>
                        <w14:solidFill>
                          <w14:schemeClr w14:val="tx1"/>
                        </w14:solidFill>
                      </w14:textFill>
                    </w:rPr>
                    <w:t>物料的设备及其管道在开</w:t>
                  </w:r>
                  <w:r>
                    <w:rPr>
                      <w:rFonts w:ascii="Times New Roman" w:hAnsi="Times New Roman" w:cs="Times New Roman"/>
                      <w:color w:val="000000" w:themeColor="text1"/>
                      <w:spacing w:val="9"/>
                      <w:lang w:eastAsia="zh-CN"/>
                      <w14:textFill>
                        <w14:solidFill>
                          <w14:schemeClr w14:val="tx1"/>
                        </w14:solidFill>
                      </w14:textFill>
                    </w:rPr>
                    <w:t>停工（车）、检维修和清洗时，应在退料阶段将残存物料退净，并用密闭容器盛装，退料过程废气应排至</w:t>
                  </w:r>
                </w:p>
                <w:p w14:paraId="320723EC">
                  <w:pPr>
                    <w:pStyle w:val="145"/>
                    <w:adjustRightInd w:val="0"/>
                    <w:snapToGrid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6"/>
                      <w:lang w:eastAsia="zh-CN"/>
                      <w14:textFill>
                        <w14:solidFill>
                          <w14:schemeClr w14:val="tx1"/>
                        </w14:solidFill>
                      </w14:textFill>
                    </w:rPr>
                    <w:t>废气收集处理系统；清洗及吹扫</w:t>
                  </w:r>
                  <w:r>
                    <w:rPr>
                      <w:rFonts w:ascii="Times New Roman" w:hAnsi="Times New Roman" w:cs="Times New Roman"/>
                      <w:color w:val="000000" w:themeColor="text1"/>
                      <w:spacing w:val="9"/>
                      <w:lang w:eastAsia="zh-CN"/>
                      <w14:textFill>
                        <w14:solidFill>
                          <w14:schemeClr w14:val="tx1"/>
                        </w14:solidFill>
                      </w14:textFill>
                    </w:rPr>
                    <w:t>过程排气应排</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9"/>
                      <w:lang w:eastAsia="zh-CN"/>
                      <w14:textFill>
                        <w14:solidFill>
                          <w14:schemeClr w14:val="tx1"/>
                        </w14:solidFill>
                      </w14:textFill>
                    </w:rPr>
                    <w:t>废气收集处理系</w:t>
                  </w:r>
                  <w:r>
                    <w:rPr>
                      <w:rFonts w:ascii="Times New Roman" w:hAnsi="Times New Roman" w:cs="Times New Roman"/>
                      <w:color w:val="000000" w:themeColor="text1"/>
                      <w:lang w:eastAsia="zh-CN"/>
                      <w14:textFill>
                        <w14:solidFill>
                          <w14:schemeClr w14:val="tx1"/>
                        </w14:solidFill>
                      </w14:textFill>
                    </w:rPr>
                    <w:t>统。</w:t>
                  </w:r>
                </w:p>
              </w:tc>
              <w:tc>
                <w:tcPr>
                  <w:tcW w:w="1243" w:type="pct"/>
                  <w:tcBorders>
                    <w:top w:val="single" w:color="auto" w:sz="6" w:space="0"/>
                    <w:left w:val="single" w:color="auto" w:sz="6" w:space="0"/>
                    <w:bottom w:val="single" w:color="auto" w:sz="6" w:space="0"/>
                    <w:right w:val="single" w:color="auto" w:sz="6" w:space="0"/>
                  </w:tcBorders>
                  <w:vAlign w:val="center"/>
                </w:tcPr>
                <w:p w14:paraId="3A0E2FC3">
                  <w:pPr>
                    <w:pStyle w:val="145"/>
                    <w:adjustRightInd w:val="0"/>
                    <w:snapToGrid w:val="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8"/>
                      <w:lang w:eastAsia="zh-CN"/>
                      <w14:textFill>
                        <w14:solidFill>
                          <w14:schemeClr w14:val="tx1"/>
                        </w14:solidFill>
                      </w14:textFill>
                    </w:rPr>
                    <w:t>企业建成后按照规</w:t>
                  </w:r>
                  <w:r>
                    <w:rPr>
                      <w:rFonts w:ascii="Times New Roman" w:hAnsi="Times New Roman" w:cs="Times New Roman"/>
                      <w:color w:val="000000" w:themeColor="text1"/>
                      <w:spacing w:val="7"/>
                      <w:lang w:eastAsia="zh-CN"/>
                      <w14:textFill>
                        <w14:solidFill>
                          <w14:schemeClr w14:val="tx1"/>
                        </w14:solidFill>
                      </w14:textFill>
                    </w:rPr>
                    <w:t>范要求对应建立</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5"/>
                      <w:lang w:eastAsia="zh-CN"/>
                      <w14:textFill>
                        <w14:solidFill>
                          <w14:schemeClr w14:val="tx1"/>
                        </w14:solidFill>
                      </w14:textFill>
                    </w:rPr>
                    <w:t>相关台账，台</w:t>
                  </w:r>
                  <w:r>
                    <w:rPr>
                      <w:rFonts w:ascii="Times New Roman" w:hAnsi="Times New Roman" w:cs="Times New Roman"/>
                      <w:color w:val="000000" w:themeColor="text1"/>
                      <w:spacing w:val="9"/>
                      <w:lang w:eastAsia="zh-CN"/>
                      <w14:textFill>
                        <w14:solidFill>
                          <w14:schemeClr w14:val="tx1"/>
                        </w14:solidFill>
                      </w14:textFill>
                    </w:rPr>
                    <w:t>账保存期限不少于</w:t>
                  </w:r>
                  <w:r>
                    <w:rPr>
                      <w:rFonts w:ascii="Times New Roman" w:hAnsi="Times New Roman" w:cs="Times New Roman"/>
                      <w:color w:val="000000" w:themeColor="text1"/>
                      <w:spacing w:val="3"/>
                      <w:lang w:eastAsia="zh-CN"/>
                      <w14:textFill>
                        <w14:solidFill>
                          <w14:schemeClr w14:val="tx1"/>
                        </w14:solidFill>
                      </w14:textFill>
                    </w:rPr>
                    <w:t>3年。清洗过程</w:t>
                  </w:r>
                  <w:r>
                    <w:rPr>
                      <w:rFonts w:ascii="Times New Roman" w:hAnsi="Times New Roman" w:cs="Times New Roman"/>
                      <w:color w:val="000000" w:themeColor="text1"/>
                      <w:lang w:eastAsia="zh-CN"/>
                      <w14:textFill>
                        <w14:solidFill>
                          <w14:schemeClr w14:val="tx1"/>
                        </w14:solidFill>
                      </w14:textFill>
                    </w:rPr>
                    <w:t>VOCs</w:t>
                  </w:r>
                  <w:r>
                    <w:rPr>
                      <w:rFonts w:ascii="Times New Roman" w:hAnsi="Times New Roman" w:cs="Times New Roman"/>
                      <w:color w:val="000000" w:themeColor="text1"/>
                      <w:spacing w:val="12"/>
                      <w:lang w:eastAsia="zh-CN"/>
                      <w14:textFill>
                        <w14:solidFill>
                          <w14:schemeClr w14:val="tx1"/>
                        </w14:solidFill>
                      </w14:textFill>
                    </w:rPr>
                    <w:t>废气收集后进入</w:t>
                  </w:r>
                  <w:r>
                    <w:rPr>
                      <w:rFonts w:ascii="Times New Roman" w:hAnsi="Times New Roman" w:cs="Times New Roman"/>
                      <w:color w:val="000000" w:themeColor="text1"/>
                      <w:spacing w:val="8"/>
                      <w:lang w:eastAsia="zh-CN"/>
                      <w14:textFill>
                        <w14:solidFill>
                          <w14:schemeClr w14:val="tx1"/>
                        </w14:solidFill>
                      </w14:textFill>
                    </w:rPr>
                    <w:t>废气处理系统。</w:t>
                  </w:r>
                </w:p>
              </w:tc>
              <w:tc>
                <w:tcPr>
                  <w:tcW w:w="428" w:type="pct"/>
                  <w:tcBorders>
                    <w:top w:val="single" w:color="auto" w:sz="6" w:space="0"/>
                    <w:left w:val="single" w:color="auto" w:sz="6" w:space="0"/>
                    <w:bottom w:val="single" w:color="auto" w:sz="6" w:space="0"/>
                    <w:right w:val="single" w:color="auto" w:sz="6" w:space="0"/>
                  </w:tcBorders>
                  <w:vAlign w:val="center"/>
                </w:tcPr>
                <w:p w14:paraId="1F63B12C">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4A3BE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restart"/>
                  <w:tcBorders>
                    <w:top w:val="single" w:color="auto" w:sz="6" w:space="0"/>
                    <w:left w:val="single" w:color="auto" w:sz="6" w:space="0"/>
                    <w:bottom w:val="single" w:color="auto" w:sz="6" w:space="0"/>
                    <w:right w:val="single" w:color="auto" w:sz="6" w:space="0"/>
                  </w:tcBorders>
                  <w:vAlign w:val="center"/>
                </w:tcPr>
                <w:p w14:paraId="4DB2182F">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《重庆市生态环境局关于深化工业大气污染防治打赢蓝天保卫战的通知》（渝环〔2019〕176号）</w:t>
                  </w:r>
                </w:p>
              </w:tc>
              <w:tc>
                <w:tcPr>
                  <w:tcW w:w="2353" w:type="pct"/>
                  <w:tcBorders>
                    <w:top w:val="single" w:color="auto" w:sz="6" w:space="0"/>
                    <w:left w:val="single" w:color="auto" w:sz="6" w:space="0"/>
                    <w:bottom w:val="single" w:color="auto" w:sz="6" w:space="0"/>
                    <w:right w:val="single" w:color="auto" w:sz="6" w:space="0"/>
                  </w:tcBorders>
                  <w:vAlign w:val="center"/>
                </w:tcPr>
                <w:p w14:paraId="55A6C9E8">
                  <w:pPr>
                    <w:pStyle w:val="50"/>
                    <w:spacing w:line="240" w:lineRule="auto"/>
                    <w:ind w:firstLine="0" w:firstLineChars="0"/>
                    <w:jc w:val="both"/>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加强工业挥发性有机物（VOCs）治理。严格执行生态环境部印发的《重点行业挥发性有机物综合治理方案》（环大气〔2019〕53号）要求。</w:t>
                  </w:r>
                </w:p>
              </w:tc>
              <w:tc>
                <w:tcPr>
                  <w:tcW w:w="1243" w:type="pct"/>
                  <w:tcBorders>
                    <w:top w:val="single" w:color="auto" w:sz="6" w:space="0"/>
                    <w:left w:val="single" w:color="auto" w:sz="6" w:space="0"/>
                    <w:bottom w:val="single" w:color="auto" w:sz="6" w:space="0"/>
                    <w:right w:val="single" w:color="auto" w:sz="6" w:space="0"/>
                  </w:tcBorders>
                  <w:vAlign w:val="center"/>
                </w:tcPr>
                <w:p w14:paraId="49AED95D">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项目产生的少量废气经</w:t>
                  </w:r>
                  <w:r>
                    <w:rPr>
                      <w:color w:val="000000" w:themeColor="text1"/>
                      <w:sz w:val="21"/>
                      <w14:textFill>
                        <w14:solidFill>
                          <w14:schemeClr w14:val="tx1"/>
                        </w14:solidFill>
                      </w14:textFill>
                    </w:rPr>
                    <w:t>环保设备处理</w:t>
                  </w:r>
                  <w:r>
                    <w:rPr>
                      <w:color w:val="000000" w:themeColor="text1"/>
                      <w:kern w:val="2"/>
                      <w:sz w:val="21"/>
                      <w14:textFill>
                        <w14:solidFill>
                          <w14:schemeClr w14:val="tx1"/>
                        </w14:solidFill>
                      </w14:textFill>
                    </w:rPr>
                    <w:t>达标后排放，满足达标排放的要求，符合（环大气〔2019〕53号）要求。</w:t>
                  </w:r>
                </w:p>
              </w:tc>
              <w:tc>
                <w:tcPr>
                  <w:tcW w:w="428" w:type="pct"/>
                  <w:tcBorders>
                    <w:top w:val="single" w:color="auto" w:sz="6" w:space="0"/>
                    <w:left w:val="single" w:color="auto" w:sz="6" w:space="0"/>
                    <w:bottom w:val="single" w:color="auto" w:sz="6" w:space="0"/>
                    <w:right w:val="single" w:color="auto" w:sz="6" w:space="0"/>
                  </w:tcBorders>
                  <w:vAlign w:val="center"/>
                </w:tcPr>
                <w:p w14:paraId="17F85BA1">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25717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94" w:hRule="atLeast"/>
                <w:jc w:val="center"/>
              </w:trPr>
              <w:tc>
                <w:tcPr>
                  <w:tcW w:w="974" w:type="pct"/>
                  <w:vMerge w:val="continue"/>
                  <w:tcBorders>
                    <w:top w:val="single" w:color="auto" w:sz="6" w:space="0"/>
                    <w:left w:val="single" w:color="auto" w:sz="6" w:space="0"/>
                    <w:bottom w:val="single" w:color="auto" w:sz="6" w:space="0"/>
                    <w:right w:val="single" w:color="auto" w:sz="6" w:space="0"/>
                  </w:tcBorders>
                  <w:vAlign w:val="center"/>
                </w:tcPr>
                <w:p w14:paraId="227B369F">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2FA9C55B">
                  <w:pPr>
                    <w:pStyle w:val="50"/>
                    <w:spacing w:line="240" w:lineRule="auto"/>
                    <w:ind w:firstLine="0" w:firstLineChars="0"/>
                    <w:jc w:val="both"/>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依法依规控制生产经营活动中废气排放。涉及废气排放的生产经营单位要设置规范的排气筒，严格按照排污许可证要求排放扬尘、粉尘、烟尘，并对产生废气的环节开展全过程控制，采取有效措施减少无组织排放，防止废气扰民。</w:t>
                  </w:r>
                </w:p>
              </w:tc>
              <w:tc>
                <w:tcPr>
                  <w:tcW w:w="1243" w:type="pct"/>
                  <w:tcBorders>
                    <w:top w:val="single" w:color="auto" w:sz="6" w:space="0"/>
                    <w:left w:val="single" w:color="auto" w:sz="6" w:space="0"/>
                    <w:bottom w:val="single" w:color="auto" w:sz="6" w:space="0"/>
                    <w:right w:val="single" w:color="auto" w:sz="6" w:space="0"/>
                  </w:tcBorders>
                  <w:vAlign w:val="center"/>
                </w:tcPr>
                <w:p w14:paraId="607E56CF">
                  <w:pPr>
                    <w:pStyle w:val="50"/>
                    <w:spacing w:line="240" w:lineRule="auto"/>
                    <w:ind w:firstLine="0" w:firstLineChars="0"/>
                    <w:rPr>
                      <w:color w:val="000000" w:themeColor="text1"/>
                      <w:kern w:val="2"/>
                      <w:sz w:val="21"/>
                      <w14:textFill>
                        <w14:solidFill>
                          <w14:schemeClr w14:val="tx1"/>
                        </w14:solidFill>
                      </w14:textFill>
                    </w:rPr>
                  </w:pPr>
                  <w:r>
                    <w:rPr>
                      <w:color w:val="000000" w:themeColor="text1"/>
                      <w:sz w:val="21"/>
                      <w14:textFill>
                        <w14:solidFill>
                          <w14:schemeClr w14:val="tx1"/>
                        </w14:solidFill>
                      </w14:textFill>
                    </w:rPr>
                    <w:t>项目产生的废气</w:t>
                  </w:r>
                  <w:r>
                    <w:rPr>
                      <w:color w:val="000000" w:themeColor="text1"/>
                      <w:kern w:val="2"/>
                      <w:sz w:val="21"/>
                      <w14:textFill>
                        <w14:solidFill>
                          <w14:schemeClr w14:val="tx1"/>
                        </w14:solidFill>
                      </w14:textFill>
                    </w:rPr>
                    <w:t>处理后经规范的排气筒排放。</w:t>
                  </w:r>
                </w:p>
              </w:tc>
              <w:tc>
                <w:tcPr>
                  <w:tcW w:w="428" w:type="pct"/>
                  <w:tcBorders>
                    <w:top w:val="single" w:color="auto" w:sz="6" w:space="0"/>
                    <w:left w:val="single" w:color="auto" w:sz="6" w:space="0"/>
                    <w:bottom w:val="single" w:color="auto" w:sz="6" w:space="0"/>
                    <w:right w:val="single" w:color="auto" w:sz="6" w:space="0"/>
                  </w:tcBorders>
                  <w:vAlign w:val="center"/>
                </w:tcPr>
                <w:p w14:paraId="0BFD9BD8">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0A781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restart"/>
                  <w:tcBorders>
                    <w:top w:val="single" w:color="auto" w:sz="6" w:space="0"/>
                    <w:left w:val="single" w:color="auto" w:sz="6" w:space="0"/>
                    <w:right w:val="single" w:color="auto" w:sz="6" w:space="0"/>
                  </w:tcBorders>
                  <w:vAlign w:val="center"/>
                </w:tcPr>
                <w:p w14:paraId="68F3E965">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《2020年挥发性有机物治理攻坚方案》（环大气〔2020〕33号）</w:t>
                  </w:r>
                </w:p>
              </w:tc>
              <w:tc>
                <w:tcPr>
                  <w:tcW w:w="2353" w:type="pct"/>
                  <w:tcBorders>
                    <w:top w:val="single" w:color="auto" w:sz="6" w:space="0"/>
                    <w:left w:val="single" w:color="auto" w:sz="6" w:space="0"/>
                    <w:bottom w:val="single" w:color="auto" w:sz="6" w:space="0"/>
                    <w:right w:val="single" w:color="auto" w:sz="6" w:space="0"/>
                  </w:tcBorders>
                  <w:vAlign w:val="center"/>
                </w:tcPr>
                <w:p w14:paraId="249098E6">
                  <w:pPr>
                    <w:pStyle w:val="70"/>
                    <w:adjustRightInd w:val="0"/>
                    <w:snapToGrid w:val="0"/>
                    <w:spacing w:line="240" w:lineRule="auto"/>
                    <w:ind w:firstLine="0" w:firstLineChars="0"/>
                    <w:rPr>
                      <w:rFonts w:cs="Times New Roman"/>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大力推进源头替代，有效减少VOCs产生：</w:t>
                  </w:r>
                  <w:r>
                    <w:rPr>
                      <w:rFonts w:cs="Times New Roman"/>
                      <w:color w:val="000000" w:themeColor="text1"/>
                      <w:sz w:val="21"/>
                      <w:szCs w:val="21"/>
                      <w14:textFill>
                        <w14:solidFill>
                          <w14:schemeClr w14:val="tx1"/>
                        </w14:solidFill>
                      </w14:textFill>
                    </w:rPr>
                    <w:t>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w:t>
                  </w:r>
                </w:p>
              </w:tc>
              <w:tc>
                <w:tcPr>
                  <w:tcW w:w="1243" w:type="pct"/>
                  <w:tcBorders>
                    <w:top w:val="single" w:color="auto" w:sz="6" w:space="0"/>
                    <w:left w:val="single" w:color="auto" w:sz="6" w:space="0"/>
                    <w:right w:val="single" w:color="auto" w:sz="6" w:space="0"/>
                  </w:tcBorders>
                  <w:vAlign w:val="center"/>
                </w:tcPr>
                <w:p w14:paraId="70B06098">
                  <w:pPr>
                    <w:pStyle w:val="70"/>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项目按要求建立台账、工艺末端设置废气治理设施。</w:t>
                  </w:r>
                </w:p>
              </w:tc>
              <w:tc>
                <w:tcPr>
                  <w:tcW w:w="428" w:type="pct"/>
                  <w:tcBorders>
                    <w:top w:val="single" w:color="auto" w:sz="6" w:space="0"/>
                    <w:left w:val="single" w:color="auto" w:sz="6" w:space="0"/>
                    <w:bottom w:val="single" w:color="auto" w:sz="6" w:space="0"/>
                    <w:right w:val="single" w:color="auto" w:sz="6" w:space="0"/>
                  </w:tcBorders>
                  <w:vAlign w:val="center"/>
                </w:tcPr>
                <w:p w14:paraId="34542A32">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409D5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4" w:hRule="atLeast"/>
                <w:jc w:val="center"/>
              </w:trPr>
              <w:tc>
                <w:tcPr>
                  <w:tcW w:w="974" w:type="pct"/>
                  <w:vMerge w:val="continue"/>
                  <w:tcBorders>
                    <w:left w:val="single" w:color="auto" w:sz="6" w:space="0"/>
                    <w:right w:val="single" w:color="auto" w:sz="6" w:space="0"/>
                  </w:tcBorders>
                  <w:vAlign w:val="center"/>
                </w:tcPr>
                <w:p w14:paraId="1A3DB419">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67BD9A5D">
                  <w:pPr>
                    <w:pStyle w:val="70"/>
                    <w:adjustRightInd w:val="0"/>
                    <w:snapToGrid w:val="0"/>
                    <w:spacing w:line="240" w:lineRule="auto"/>
                    <w:ind w:firstLine="0" w:firstLineChars="0"/>
                    <w:rPr>
                      <w:rFonts w:cs="Times New Roman"/>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全面落实标准要求，强化无组织排放控制：</w:t>
                  </w:r>
                  <w:r>
                    <w:rPr>
                      <w:rFonts w:cs="Times New Roman"/>
                      <w:color w:val="000000" w:themeColor="text1"/>
                      <w:sz w:val="21"/>
                      <w:szCs w:val="21"/>
                      <w14:textFill>
                        <w14:solidFill>
                          <w14:schemeClr w14:val="tx1"/>
                        </w14:solidFill>
                      </w14:textFill>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w:t>
                  </w:r>
                </w:p>
              </w:tc>
              <w:tc>
                <w:tcPr>
                  <w:tcW w:w="1243" w:type="pct"/>
                  <w:tcBorders>
                    <w:left w:val="single" w:color="auto" w:sz="6" w:space="0"/>
                    <w:right w:val="single" w:color="auto" w:sz="6" w:space="0"/>
                  </w:tcBorders>
                  <w:vAlign w:val="center"/>
                </w:tcPr>
                <w:p w14:paraId="1F9E9248">
                  <w:pPr>
                    <w:pStyle w:val="70"/>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项目产生的危险废物交有资质单位收运处置。</w:t>
                  </w:r>
                </w:p>
              </w:tc>
              <w:tc>
                <w:tcPr>
                  <w:tcW w:w="428" w:type="pct"/>
                  <w:tcBorders>
                    <w:top w:val="single" w:color="auto" w:sz="6" w:space="0"/>
                    <w:left w:val="single" w:color="auto" w:sz="6" w:space="0"/>
                    <w:bottom w:val="single" w:color="auto" w:sz="6" w:space="0"/>
                    <w:right w:val="single" w:color="auto" w:sz="6" w:space="0"/>
                  </w:tcBorders>
                  <w:vAlign w:val="center"/>
                </w:tcPr>
                <w:p w14:paraId="5EA5FBCE">
                  <w:pPr>
                    <w:pStyle w:val="50"/>
                    <w:spacing w:line="240" w:lineRule="auto"/>
                    <w:ind w:firstLine="0" w:firstLineChars="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符合</w:t>
                  </w:r>
                </w:p>
              </w:tc>
            </w:tr>
            <w:tr w14:paraId="5C337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27FB32CE">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4FAB9BEB">
                  <w:pPr>
                    <w:pStyle w:val="70"/>
                    <w:adjustRightInd w:val="0"/>
                    <w:snapToGrid w:val="0"/>
                    <w:spacing w:line="240" w:lineRule="auto"/>
                    <w:ind w:firstLine="0" w:firstLineChars="0"/>
                    <w:rPr>
                      <w:rFonts w:cs="Times New Roman"/>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聚焦治污设施“三率”，提升综合治理效率：</w:t>
                  </w:r>
                  <w:r>
                    <w:rPr>
                      <w:rFonts w:cs="Times New Roman"/>
                      <w:color w:val="000000" w:themeColor="text1"/>
                      <w:sz w:val="21"/>
                      <w:szCs w:val="21"/>
                      <w14:textFill>
                        <w14:solidFill>
                          <w14:schemeClr w14:val="tx1"/>
                        </w14:solidFill>
                      </w14:textFill>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m/s，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243" w:type="pct"/>
                  <w:tcBorders>
                    <w:left w:val="single" w:color="auto" w:sz="6" w:space="0"/>
                    <w:right w:val="single" w:color="auto" w:sz="6" w:space="0"/>
                  </w:tcBorders>
                  <w:vAlign w:val="center"/>
                </w:tcPr>
                <w:p w14:paraId="3B153B2D">
                  <w:pPr>
                    <w:pStyle w:val="70"/>
                    <w:adjustRightInd w:val="0"/>
                    <w:snapToGrid w:val="0"/>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项目废气治理设备与生产设备“同启同停”的原则，并定期维护保养。</w:t>
                  </w:r>
                </w:p>
              </w:tc>
              <w:tc>
                <w:tcPr>
                  <w:tcW w:w="428" w:type="pct"/>
                  <w:tcBorders>
                    <w:top w:val="single" w:color="auto" w:sz="6" w:space="0"/>
                    <w:left w:val="single" w:color="auto" w:sz="6" w:space="0"/>
                    <w:bottom w:val="single" w:color="auto" w:sz="6" w:space="0"/>
                    <w:right w:val="single" w:color="auto" w:sz="6" w:space="0"/>
                  </w:tcBorders>
                  <w:vAlign w:val="center"/>
                </w:tcPr>
                <w:p w14:paraId="2645C147">
                  <w:pPr>
                    <w:pStyle w:val="50"/>
                    <w:spacing w:line="240" w:lineRule="auto"/>
                    <w:ind w:firstLine="0" w:firstLineChars="0"/>
                    <w:rPr>
                      <w:color w:val="000000" w:themeColor="text1"/>
                      <w:sz w:val="21"/>
                      <w14:textFill>
                        <w14:solidFill>
                          <w14:schemeClr w14:val="tx1"/>
                        </w14:solidFill>
                      </w14:textFill>
                    </w:rPr>
                  </w:pPr>
                  <w:r>
                    <w:rPr>
                      <w:color w:val="000000" w:themeColor="text1"/>
                      <w:kern w:val="2"/>
                      <w:sz w:val="21"/>
                      <w14:textFill>
                        <w14:solidFill>
                          <w14:schemeClr w14:val="tx1"/>
                        </w14:solidFill>
                      </w14:textFill>
                    </w:rPr>
                    <w:t>符合</w:t>
                  </w:r>
                </w:p>
              </w:tc>
            </w:tr>
            <w:tr w14:paraId="3CBD8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restart"/>
                  <w:tcBorders>
                    <w:left w:val="single" w:color="auto" w:sz="6" w:space="0"/>
                    <w:right w:val="single" w:color="auto" w:sz="6" w:space="0"/>
                  </w:tcBorders>
                  <w:vAlign w:val="center"/>
                </w:tcPr>
                <w:p w14:paraId="0CEF78E6">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w:t>
                  </w:r>
                  <w:r>
                    <w:rPr>
                      <w:color w:val="000000" w:themeColor="text1"/>
                      <w:kern w:val="2"/>
                      <w:sz w:val="21"/>
                      <w14:textFill>
                        <w14:solidFill>
                          <w14:schemeClr w14:val="tx1"/>
                        </w14:solidFill>
                      </w14:textFill>
                    </w:rPr>
                    <w:t>挥发性有机物</w:t>
                  </w:r>
                  <w:r>
                    <w:rPr>
                      <w:color w:val="000000" w:themeColor="text1"/>
                      <w:sz w:val="21"/>
                      <w14:textFill>
                        <w14:solidFill>
                          <w14:schemeClr w14:val="tx1"/>
                        </w14:solidFill>
                      </w14:textFill>
                    </w:rPr>
                    <w:t>（VOCs）污染防治技术政策》</w:t>
                  </w:r>
                </w:p>
              </w:tc>
              <w:tc>
                <w:tcPr>
                  <w:tcW w:w="2353" w:type="pct"/>
                  <w:tcBorders>
                    <w:top w:val="single" w:color="auto" w:sz="6" w:space="0"/>
                    <w:left w:val="single" w:color="auto" w:sz="6" w:space="0"/>
                    <w:bottom w:val="single" w:color="auto" w:sz="6" w:space="0"/>
                    <w:right w:val="single" w:color="auto" w:sz="6" w:space="0"/>
                  </w:tcBorders>
                  <w:vAlign w:val="center"/>
                </w:tcPr>
                <w:p w14:paraId="0481B0C8">
                  <w:pPr>
                    <w:pStyle w:val="91"/>
                    <w:spacing w:line="240" w:lineRule="auto"/>
                    <w:ind w:firstLine="0" w:firstLineChars="0"/>
                    <w:rPr>
                      <w:color w:val="000000" w:themeColor="text1"/>
                      <w:szCs w:val="21"/>
                      <w14:textFill>
                        <w14:solidFill>
                          <w14:schemeClr w14:val="tx1"/>
                        </w14:solidFill>
                      </w14:textFill>
                    </w:rPr>
                  </w:pPr>
                  <w:r>
                    <w:rPr>
                      <w:b/>
                      <w:color w:val="000000" w:themeColor="text1"/>
                      <w:szCs w:val="21"/>
                      <w14:textFill>
                        <w14:solidFill>
                          <w14:schemeClr w14:val="tx1"/>
                        </w14:solidFill>
                      </w14:textFill>
                    </w:rPr>
                    <w:t>源头和过程控制：</w:t>
                  </w:r>
                  <w:r>
                    <w:rPr>
                      <w:color w:val="000000" w:themeColor="text1"/>
                      <w:szCs w:val="21"/>
                      <w14:textFill>
                        <w14:solidFill>
                          <w14:schemeClr w14:val="tx1"/>
                        </w14:solidFill>
                      </w14:textFill>
                    </w:rPr>
                    <w:t>（十）在涂装、印刷、粘合、工业清洗等含VOCs产品的使用过程中的VOCs污染防治技术措施包括：</w:t>
                  </w:r>
                </w:p>
                <w:p w14:paraId="64E5233C">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1.鼓励使用通过环境标志产品认证的环保型涂料、油墨、胶粘剂和清洗剂；</w:t>
                  </w:r>
                </w:p>
                <w:p w14:paraId="3F6C7D47">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2.根据涂装工艺的不同，鼓励使用水性涂料、高固份涂料、粉末涂料、紫外光固化（UV）涂料等环保型涂料；推广采用静电喷涂、淋涂、辊涂、浸涂等效率较高的涂装工艺；应尽量避免无VOCs净化、回收措施的露天喷涂作业；</w:t>
                  </w:r>
                </w:p>
                <w:p w14:paraId="0EE89FBD">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3.在印刷工艺中推广使用水性油墨，印铁制罐行业鼓励使用紫外光固化（UV）油墨，书刊印刷行业鼓励使用预涂膜技术；</w:t>
                  </w:r>
                </w:p>
                <w:p w14:paraId="2956D2A7">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4.鼓励在人造板、制鞋、皮革制品、包装材料等粘合过程中使用水基型、热熔型等环保型胶粘剂，在复合膜的生产中推广无溶剂复合及共挤出复合技术；</w:t>
                  </w:r>
                </w:p>
                <w:p w14:paraId="0DE8B2E3">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5.淘汰以三氟三氯乙烷、甲基氯仿和四氯化碳为清洗剂或溶剂的生产工艺。清洗过程中产生的废溶剂宜密闭收集，有回收价值的废溶剂经处理后回用，其他废溶剂应妥善处置；</w:t>
                  </w:r>
                </w:p>
                <w:p w14:paraId="7D4605A3">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6.含VOCs产品的使用过程中，应采取废气收集措施，提高废气收集效率，减少废气的无组织排放与逸散，并对收集后的废气进行回收或处理后达标排放。</w:t>
                  </w:r>
                </w:p>
              </w:tc>
              <w:tc>
                <w:tcPr>
                  <w:tcW w:w="1243" w:type="pct"/>
                  <w:tcBorders>
                    <w:left w:val="single" w:color="auto" w:sz="6" w:space="0"/>
                    <w:right w:val="single" w:color="auto" w:sz="6" w:space="0"/>
                  </w:tcBorders>
                  <w:vAlign w:val="center"/>
                </w:tcPr>
                <w:p w14:paraId="0EA722A4">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259622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67EF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2CE586A4">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64481411">
                  <w:pPr>
                    <w:pStyle w:val="91"/>
                    <w:spacing w:line="240" w:lineRule="auto"/>
                    <w:ind w:firstLine="0" w:firstLineChars="0"/>
                    <w:rPr>
                      <w:color w:val="000000" w:themeColor="text1"/>
                      <w:szCs w:val="21"/>
                      <w14:textFill>
                        <w14:solidFill>
                          <w14:schemeClr w14:val="tx1"/>
                        </w14:solidFill>
                      </w14:textFill>
                    </w:rPr>
                  </w:pPr>
                  <w:r>
                    <w:rPr>
                      <w:b/>
                      <w:color w:val="000000" w:themeColor="text1"/>
                      <w:szCs w:val="21"/>
                      <w14:textFill>
                        <w14:solidFill>
                          <w14:schemeClr w14:val="tx1"/>
                        </w14:solidFill>
                      </w14:textFill>
                    </w:rPr>
                    <w:t>末端治理与综合利用：</w:t>
                  </w:r>
                  <w:r>
                    <w:rPr>
                      <w:color w:val="000000" w:themeColor="text1"/>
                      <w:szCs w:val="21"/>
                      <w14:textFill>
                        <w14:solidFill>
                          <w14:schemeClr w14:val="tx1"/>
                        </w14:solidFill>
                      </w14:textFill>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243" w:type="pct"/>
                  <w:tcBorders>
                    <w:left w:val="single" w:color="auto" w:sz="6" w:space="0"/>
                    <w:right w:val="single" w:color="auto" w:sz="6" w:space="0"/>
                  </w:tcBorders>
                  <w:vAlign w:val="center"/>
                </w:tcPr>
                <w:p w14:paraId="149BD626">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6E3F4BA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9AD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1511D757">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61A16ED3">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（十六）含有有机卤素成分VOCs的废气，宜采用非焚烧技术处理。</w:t>
                  </w:r>
                </w:p>
              </w:tc>
              <w:tc>
                <w:tcPr>
                  <w:tcW w:w="1243" w:type="pct"/>
                  <w:tcBorders>
                    <w:left w:val="single" w:color="auto" w:sz="6" w:space="0"/>
                    <w:right w:val="single" w:color="auto" w:sz="6" w:space="0"/>
                  </w:tcBorders>
                  <w:vAlign w:val="center"/>
                </w:tcPr>
                <w:p w14:paraId="2B4026A5">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根据原辅材料成分分析，项目废气不含有机卤素成分。</w:t>
                  </w:r>
                </w:p>
              </w:tc>
              <w:tc>
                <w:tcPr>
                  <w:tcW w:w="428" w:type="pct"/>
                  <w:tcBorders>
                    <w:top w:val="single" w:color="auto" w:sz="6" w:space="0"/>
                    <w:left w:val="single" w:color="auto" w:sz="6" w:space="0"/>
                    <w:bottom w:val="single" w:color="auto" w:sz="6" w:space="0"/>
                    <w:right w:val="single" w:color="auto" w:sz="6" w:space="0"/>
                  </w:tcBorders>
                  <w:vAlign w:val="center"/>
                </w:tcPr>
                <w:p w14:paraId="723258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B5FE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18BB7B2F">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3B20B0CD">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十七）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243" w:type="pct"/>
                  <w:tcBorders>
                    <w:left w:val="single" w:color="auto" w:sz="6" w:space="0"/>
                    <w:right w:val="single" w:color="auto" w:sz="6" w:space="0"/>
                  </w:tcBorders>
                  <w:vAlign w:val="center"/>
                </w:tcPr>
                <w:p w14:paraId="06D4FF87">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1F3A10D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A04F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181F3FB3">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0F35503A">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（十九）严格控制VOCs处理过程中产生的二次污染，对于催化燃烧和热力焚烧过程中产生的含硫、氮、氯等无机废气，以及吸附、吸收、冷凝、生物等治理过程中所产生的含有机物废水，应处理后达标排放。</w:t>
                  </w:r>
                </w:p>
              </w:tc>
              <w:tc>
                <w:tcPr>
                  <w:tcW w:w="1243" w:type="pct"/>
                  <w:tcBorders>
                    <w:left w:val="single" w:color="auto" w:sz="6" w:space="0"/>
                    <w:right w:val="single" w:color="auto" w:sz="6" w:space="0"/>
                  </w:tcBorders>
                  <w:vAlign w:val="center"/>
                </w:tcPr>
                <w:p w14:paraId="2B9D4BB5">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项目不产生废吸附材料，不产生废气治理含有机物的废物。</w:t>
                  </w:r>
                </w:p>
              </w:tc>
              <w:tc>
                <w:tcPr>
                  <w:tcW w:w="428" w:type="pct"/>
                  <w:tcBorders>
                    <w:top w:val="single" w:color="auto" w:sz="6" w:space="0"/>
                    <w:left w:val="single" w:color="auto" w:sz="6" w:space="0"/>
                    <w:bottom w:val="single" w:color="auto" w:sz="6" w:space="0"/>
                    <w:right w:val="single" w:color="auto" w:sz="6" w:space="0"/>
                  </w:tcBorders>
                  <w:vAlign w:val="center"/>
                </w:tcPr>
                <w:p w14:paraId="43F779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68E12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408DA8D0">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4B8B1204">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（二十）对于不能再生的过滤材料、吸附剂及催化剂等净化材料，应按照国家固体废物管理的相关规定处理处置。</w:t>
                  </w:r>
                </w:p>
              </w:tc>
              <w:tc>
                <w:tcPr>
                  <w:tcW w:w="1243" w:type="pct"/>
                  <w:tcBorders>
                    <w:left w:val="single" w:color="auto" w:sz="6" w:space="0"/>
                    <w:right w:val="single" w:color="auto" w:sz="6" w:space="0"/>
                  </w:tcBorders>
                  <w:vAlign w:val="center"/>
                </w:tcPr>
                <w:p w14:paraId="51310F9D">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不产生废吸附材料。</w:t>
                  </w:r>
                </w:p>
              </w:tc>
              <w:tc>
                <w:tcPr>
                  <w:tcW w:w="428" w:type="pct"/>
                  <w:tcBorders>
                    <w:top w:val="single" w:color="auto" w:sz="6" w:space="0"/>
                    <w:left w:val="single" w:color="auto" w:sz="6" w:space="0"/>
                    <w:bottom w:val="single" w:color="auto" w:sz="6" w:space="0"/>
                    <w:right w:val="single" w:color="auto" w:sz="6" w:space="0"/>
                  </w:tcBorders>
                  <w:vAlign w:val="center"/>
                </w:tcPr>
                <w:p w14:paraId="717EDA1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BEEF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7C59F0B8">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5211D45E">
                  <w:pPr>
                    <w:pStyle w:val="91"/>
                    <w:spacing w:line="240" w:lineRule="auto"/>
                    <w:ind w:firstLine="0" w:firstLineChars="0"/>
                    <w:rPr>
                      <w:color w:val="000000" w:themeColor="text1"/>
                      <w:szCs w:val="21"/>
                      <w14:textFill>
                        <w14:solidFill>
                          <w14:schemeClr w14:val="tx1"/>
                        </w14:solidFill>
                      </w14:textFill>
                    </w:rPr>
                  </w:pPr>
                  <w:r>
                    <w:rPr>
                      <w:b/>
                      <w:color w:val="000000" w:themeColor="text1"/>
                      <w:szCs w:val="21"/>
                      <w14:textFill>
                        <w14:solidFill>
                          <w14:schemeClr w14:val="tx1"/>
                        </w14:solidFill>
                      </w14:textFill>
                    </w:rPr>
                    <w:t>运行与监测：</w:t>
                  </w:r>
                  <w:r>
                    <w:rPr>
                      <w:color w:val="000000" w:themeColor="text1"/>
                      <w:szCs w:val="21"/>
                      <w14:textFill>
                        <w14:solidFill>
                          <w14:schemeClr w14:val="tx1"/>
                        </w14:solidFill>
                      </w14:textFill>
                    </w:rPr>
                    <w:t>（二十六）企业应建立健全VOCs治理设施的运行维护规程和台账等日常管理制度，并根据工艺要求定期对各类设备、电气、自控仪表等进行检修维护，确保设施的稳定运行。</w:t>
                  </w:r>
                </w:p>
              </w:tc>
              <w:tc>
                <w:tcPr>
                  <w:tcW w:w="1243" w:type="pct"/>
                  <w:tcBorders>
                    <w:left w:val="single" w:color="auto" w:sz="6" w:space="0"/>
                    <w:right w:val="single" w:color="auto" w:sz="6" w:space="0"/>
                  </w:tcBorders>
                  <w:vAlign w:val="center"/>
                </w:tcPr>
                <w:p w14:paraId="230A5FD3">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环评报告表中已提出明确要求。</w:t>
                  </w:r>
                </w:p>
              </w:tc>
              <w:tc>
                <w:tcPr>
                  <w:tcW w:w="428" w:type="pct"/>
                  <w:tcBorders>
                    <w:top w:val="single" w:color="auto" w:sz="6" w:space="0"/>
                    <w:left w:val="single" w:color="auto" w:sz="6" w:space="0"/>
                    <w:bottom w:val="single" w:color="auto" w:sz="6" w:space="0"/>
                    <w:right w:val="single" w:color="auto" w:sz="6" w:space="0"/>
                  </w:tcBorders>
                  <w:vAlign w:val="center"/>
                </w:tcPr>
                <w:p w14:paraId="2DC263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937A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restart"/>
                  <w:tcBorders>
                    <w:left w:val="single" w:color="auto" w:sz="6" w:space="0"/>
                    <w:right w:val="single" w:color="auto" w:sz="6" w:space="0"/>
                  </w:tcBorders>
                  <w:vAlign w:val="center"/>
                </w:tcPr>
                <w:p w14:paraId="333A9BE7">
                  <w:pPr>
                    <w:pStyle w:val="50"/>
                    <w:spacing w:line="240" w:lineRule="auto"/>
                    <w:ind w:firstLine="0" w:firstLineChars="0"/>
                    <w:rPr>
                      <w:color w:val="000000" w:themeColor="text1"/>
                      <w:sz w:val="21"/>
                      <w14:textFill>
                        <w14:solidFill>
                          <w14:schemeClr w14:val="tx1"/>
                        </w14:solidFill>
                      </w14:textFill>
                    </w:rPr>
                  </w:pPr>
                  <w:r>
                    <w:rPr>
                      <w:color w:val="000000" w:themeColor="text1"/>
                      <w:kern w:val="2"/>
                      <w:sz w:val="21"/>
                      <w14:textFill>
                        <w14:solidFill>
                          <w14:schemeClr w14:val="tx1"/>
                        </w14:solidFill>
                      </w14:textFill>
                    </w:rPr>
                    <w:t>《重点行业挥发性有机物综合治理方案》（环大气</w:t>
                  </w:r>
                  <w:r>
                    <w:rPr>
                      <w:color w:val="000000" w:themeColor="text1"/>
                      <w:sz w:val="21"/>
                      <w14:textFill>
                        <w14:solidFill>
                          <w14:schemeClr w14:val="tx1"/>
                        </w14:solidFill>
                      </w14:textFill>
                    </w:rPr>
                    <w:t>〔2019〕</w:t>
                  </w:r>
                  <w:r>
                    <w:rPr>
                      <w:color w:val="000000" w:themeColor="text1"/>
                      <w:kern w:val="2"/>
                      <w:sz w:val="21"/>
                      <w14:textFill>
                        <w14:solidFill>
                          <w14:schemeClr w14:val="tx1"/>
                        </w14:solidFill>
                      </w14:textFill>
                    </w:rPr>
                    <w:t>53号）</w:t>
                  </w:r>
                </w:p>
              </w:tc>
              <w:tc>
                <w:tcPr>
                  <w:tcW w:w="2353" w:type="pct"/>
                  <w:tcBorders>
                    <w:top w:val="single" w:color="auto" w:sz="6" w:space="0"/>
                    <w:left w:val="single" w:color="auto" w:sz="6" w:space="0"/>
                    <w:bottom w:val="single" w:color="auto" w:sz="6" w:space="0"/>
                    <w:right w:val="single" w:color="auto" w:sz="6" w:space="0"/>
                  </w:tcBorders>
                  <w:vAlign w:val="center"/>
                </w:tcPr>
                <w:p w14:paraId="5F552CA0">
                  <w:pPr>
                    <w:pStyle w:val="91"/>
                    <w:spacing w:line="240" w:lineRule="auto"/>
                    <w:ind w:firstLine="0" w:firstLineChars="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（一）大力推进源头替代。</w:t>
                  </w:r>
                  <w:r>
                    <w:rPr>
                      <w:color w:val="000000" w:themeColor="text1"/>
                      <w:szCs w:val="21"/>
                      <w14:textFill>
                        <w14:solidFill>
                          <w14:schemeClr w14:val="tx1"/>
                        </w14:solidFill>
                      </w14:textFill>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243" w:type="pct"/>
                  <w:tcBorders>
                    <w:left w:val="single" w:color="auto" w:sz="6" w:space="0"/>
                    <w:right w:val="single" w:color="auto" w:sz="6" w:space="0"/>
                  </w:tcBorders>
                  <w:vAlign w:val="center"/>
                </w:tcPr>
                <w:p w14:paraId="3D84DD9E">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11F4D7A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262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0" w:hRule="atLeast"/>
                <w:jc w:val="center"/>
              </w:trPr>
              <w:tc>
                <w:tcPr>
                  <w:tcW w:w="974" w:type="pct"/>
                  <w:vMerge w:val="continue"/>
                  <w:tcBorders>
                    <w:left w:val="single" w:color="auto" w:sz="6" w:space="0"/>
                    <w:right w:val="single" w:color="auto" w:sz="6" w:space="0"/>
                  </w:tcBorders>
                  <w:vAlign w:val="center"/>
                </w:tcPr>
                <w:p w14:paraId="05E24017">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4BD8D161">
                  <w:pPr>
                    <w:pStyle w:val="91"/>
                    <w:spacing w:line="240" w:lineRule="auto"/>
                    <w:ind w:firstLine="0" w:firstLineChars="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（二）全面加强无组织排放控制。</w:t>
                  </w:r>
                  <w:r>
                    <w:rPr>
                      <w:color w:val="000000" w:themeColor="text1"/>
                      <w:szCs w:val="21"/>
                      <w14:textFill>
                        <w14:solidFill>
                          <w14:schemeClr w14:val="tx1"/>
                        </w14:solidFill>
                      </w14:textFill>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243" w:type="pct"/>
                  <w:tcBorders>
                    <w:left w:val="single" w:color="auto" w:sz="6" w:space="0"/>
                    <w:right w:val="single" w:color="auto" w:sz="6" w:space="0"/>
                  </w:tcBorders>
                  <w:vAlign w:val="center"/>
                </w:tcPr>
                <w:p w14:paraId="7C137FD7">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59F12D3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6E65B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6BEB5735">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468E7E2A">
                  <w:pPr>
                    <w:pStyle w:val="91"/>
                    <w:spacing w:line="240" w:lineRule="auto"/>
                    <w:ind w:firstLine="0" w:firstLineChars="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（三）推进建设适宜高效的治污设施。</w:t>
                  </w:r>
                  <w:r>
                    <w:rPr>
                      <w:color w:val="000000" w:themeColor="text1"/>
                      <w:szCs w:val="21"/>
                      <w14:textFill>
                        <w14:solidFill>
                          <w14:schemeClr w14:val="tx1"/>
                        </w14:solidFill>
                      </w14:textFill>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0CDBF5CC">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行重点排放源排放浓度与去除效率双重控制。车间或生产设施收集排放的废气，VOCs初始排放速率大于等于3kg/h、重点区域大于等于2kg/h的，应加大控制力度，除确保排放浓度稳定达标外，还应实行去除效率控制，去除效率不低于80%。</w:t>
                  </w:r>
                </w:p>
              </w:tc>
              <w:tc>
                <w:tcPr>
                  <w:tcW w:w="1243" w:type="pct"/>
                  <w:tcBorders>
                    <w:left w:val="single" w:color="auto" w:sz="6" w:space="0"/>
                    <w:right w:val="single" w:color="auto" w:sz="6" w:space="0"/>
                  </w:tcBorders>
                  <w:vAlign w:val="center"/>
                </w:tcPr>
                <w:p w14:paraId="7A17DC90">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01580FC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E5BE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right w:val="single" w:color="auto" w:sz="6" w:space="0"/>
                  </w:tcBorders>
                  <w:vAlign w:val="center"/>
                </w:tcPr>
                <w:p w14:paraId="2BADF24D">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0DBE5A89">
                  <w:pPr>
                    <w:pStyle w:val="91"/>
                    <w:spacing w:line="240" w:lineRule="auto"/>
                    <w:ind w:firstLine="0" w:firstLineChars="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（四）深入实施精细化管控。</w:t>
                  </w:r>
                  <w:r>
                    <w:rPr>
                      <w:color w:val="000000" w:themeColor="text1"/>
                      <w:szCs w:val="21"/>
                      <w14:textFill>
                        <w14:solidFill>
                          <w14:schemeClr w14:val="tx1"/>
                        </w14:solidFill>
                      </w14:textFill>
                    </w:rPr>
                    <w:t>各地应围绕当地环境空气质量改善需求，根据O</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r>
                    <w:rPr>
                      <w:color w:val="000000" w:themeColor="text1"/>
                      <w:szCs w:val="21"/>
                      <w14:textFill>
                        <w14:solidFill>
                          <w14:schemeClr w14:val="tx1"/>
                        </w14:solidFill>
                      </w14:textFill>
                    </w:rPr>
                    <w:t>来源解析，结合行业污染排放特征和VOCs物质光化学反应活性等，确定本地区VOCs控制的重点行业和重点污染物，兼顾恶臭污染物和有毒有害物质控制等，提出有效管控方案，提高VOCs治理的精准性、针对性和有效性。</w:t>
                  </w:r>
                </w:p>
              </w:tc>
              <w:tc>
                <w:tcPr>
                  <w:tcW w:w="1243" w:type="pct"/>
                  <w:tcBorders>
                    <w:left w:val="single" w:color="auto" w:sz="6" w:space="0"/>
                    <w:right w:val="single" w:color="auto" w:sz="6" w:space="0"/>
                  </w:tcBorders>
                  <w:vAlign w:val="center"/>
                </w:tcPr>
                <w:p w14:paraId="79D734CA">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6B96ED6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02B6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74" w:type="pct"/>
                  <w:vMerge w:val="continue"/>
                  <w:tcBorders>
                    <w:left w:val="single" w:color="auto" w:sz="6" w:space="0"/>
                    <w:bottom w:val="single" w:color="auto" w:sz="6" w:space="0"/>
                    <w:right w:val="single" w:color="auto" w:sz="6" w:space="0"/>
                  </w:tcBorders>
                  <w:vAlign w:val="center"/>
                </w:tcPr>
                <w:p w14:paraId="627118C0">
                  <w:pPr>
                    <w:adjustRightInd w:val="0"/>
                    <w:snapToGrid w:val="0"/>
                    <w:rPr>
                      <w:color w:val="000000" w:themeColor="text1"/>
                      <w:szCs w:val="21"/>
                      <w14:textFill>
                        <w14:solidFill>
                          <w14:schemeClr w14:val="tx1"/>
                        </w14:solidFill>
                      </w14:textFill>
                    </w:rPr>
                  </w:pPr>
                </w:p>
              </w:tc>
              <w:tc>
                <w:tcPr>
                  <w:tcW w:w="2353" w:type="pct"/>
                  <w:tcBorders>
                    <w:top w:val="single" w:color="auto" w:sz="6" w:space="0"/>
                    <w:left w:val="single" w:color="auto" w:sz="6" w:space="0"/>
                    <w:bottom w:val="single" w:color="auto" w:sz="6" w:space="0"/>
                    <w:right w:val="single" w:color="auto" w:sz="6" w:space="0"/>
                  </w:tcBorders>
                  <w:vAlign w:val="center"/>
                </w:tcPr>
                <w:p w14:paraId="1021EBEF">
                  <w:pPr>
                    <w:pStyle w:val="91"/>
                    <w:spacing w:line="240" w:lineRule="auto"/>
                    <w:ind w:firstLine="0" w:firstLineChars="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（五）工业涂装VOCs综合治理。</w:t>
                  </w:r>
                  <w:r>
                    <w:rPr>
                      <w:color w:val="000000" w:themeColor="text1"/>
                      <w:szCs w:val="21"/>
                      <w14:textFill>
                        <w14:solidFill>
                          <w14:schemeClr w14:val="tx1"/>
                        </w14:solidFill>
                      </w14:textFill>
                    </w:rPr>
                    <w:t>加大汽车、家具、集装箱、电子产品、工程机械等行业VOCs治理力度，重点区域应结合本地产业特征，加快实施其他行业涂装VOCs综合治理。</w:t>
                  </w:r>
                </w:p>
                <w:p w14:paraId="3965D469">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　　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p w14:paraId="1DEDF51B">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　　加快推广紧凑式涂装工艺、先进涂装技术和设备。汽车制造整车生产推广使用“三涂一烘”“两涂一烘”或免中涂等紧凑型工艺、静电喷涂技术、自动化喷涂设备。汽车金属零配件企业鼓励采用粉末静电喷涂技术。集装箱制造一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p w14:paraId="4DAF5CF0">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　　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55AC56B6">
                  <w:pPr>
                    <w:pStyle w:val="91"/>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　　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243" w:type="pct"/>
                  <w:tcBorders>
                    <w:left w:val="single" w:color="auto" w:sz="6" w:space="0"/>
                    <w:bottom w:val="single" w:color="auto" w:sz="6" w:space="0"/>
                    <w:right w:val="single" w:color="auto" w:sz="6" w:space="0"/>
                  </w:tcBorders>
                  <w:vAlign w:val="center"/>
                </w:tcPr>
                <w:p w14:paraId="44858770">
                  <w:pPr>
                    <w:pStyle w:val="91"/>
                    <w:spacing w:line="240" w:lineRule="auto"/>
                    <w:ind w:firstLine="0" w:firstLineChars="0"/>
                    <w:rPr>
                      <w:color w:val="000000" w:themeColor="text1"/>
                      <w:szCs w:val="21"/>
                      <w14:textFill>
                        <w14:solidFill>
                          <w14:schemeClr w14:val="tx1"/>
                        </w14:solidFill>
                      </w14:textFill>
                    </w:rPr>
                  </w:pPr>
                  <w:r>
                    <w:rPr>
                      <w:color w:val="000000" w:themeColor="text1"/>
                      <w:spacing w:val="17"/>
                      <w:szCs w:val="21"/>
                      <w14:textFill>
                        <w14:solidFill>
                          <w14:schemeClr w14:val="tx1"/>
                        </w14:solidFill>
                      </w14:textFill>
                    </w:rPr>
                    <w:t>项目</w:t>
                  </w:r>
                  <w:r>
                    <w:rPr>
                      <w:color w:val="000000" w:themeColor="text1"/>
                      <w:szCs w:val="21"/>
                      <w14:textFill>
                        <w14:solidFill>
                          <w14:schemeClr w14:val="tx1"/>
                        </w14:solidFill>
                      </w14:textFill>
                    </w:rPr>
                    <w:t>仅淬火过程会产生少量油雾，经收集后进入高效油烟净化器处理后可有组织达标排放，满足相关要求。</w:t>
                  </w:r>
                </w:p>
              </w:tc>
              <w:tc>
                <w:tcPr>
                  <w:tcW w:w="428" w:type="pct"/>
                  <w:tcBorders>
                    <w:top w:val="single" w:color="auto" w:sz="6" w:space="0"/>
                    <w:left w:val="single" w:color="auto" w:sz="6" w:space="0"/>
                    <w:bottom w:val="single" w:color="auto" w:sz="6" w:space="0"/>
                    <w:right w:val="single" w:color="auto" w:sz="6" w:space="0"/>
                  </w:tcBorders>
                  <w:vAlign w:val="center"/>
                </w:tcPr>
                <w:p w14:paraId="23A1CAB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7CF28481">
            <w:pPr>
              <w:spacing w:line="460" w:lineRule="exact"/>
              <w:ind w:firstLine="482" w:firstLineChars="200"/>
              <w:rPr>
                <w:b/>
                <w:color w:val="000000" w:themeColor="text1"/>
                <w:sz w:val="24"/>
                <w:szCs w:val="24"/>
                <w14:textFill>
                  <w14:solidFill>
                    <w14:schemeClr w14:val="tx1"/>
                  </w14:solidFill>
                </w14:textFill>
              </w:rPr>
            </w:pPr>
            <w:r>
              <w:rPr>
                <w:b/>
                <w:bCs/>
                <w:color w:val="000000" w:themeColor="text1"/>
                <w:kern w:val="0"/>
                <w:sz w:val="24"/>
                <w:szCs w:val="24"/>
                <w14:textFill>
                  <w14:solidFill>
                    <w14:schemeClr w14:val="tx1"/>
                  </w14:solidFill>
                </w14:textFill>
              </w:rPr>
              <w:t>9、</w:t>
            </w:r>
            <w:r>
              <w:rPr>
                <w:b/>
                <w:color w:val="000000" w:themeColor="text1"/>
                <w:sz w:val="24"/>
                <w:szCs w:val="24"/>
                <w14:textFill>
                  <w14:solidFill>
                    <w14:schemeClr w14:val="tx1"/>
                  </w14:solidFill>
                </w14:textFill>
              </w:rPr>
              <w:t>与水污染防治相关法律法规政策的符合性分析</w:t>
            </w:r>
          </w:p>
          <w:p w14:paraId="5229483D">
            <w:pPr>
              <w:adjustRightInd w:val="0"/>
              <w:snapToGrid w:val="0"/>
              <w:spacing w:line="46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项目与水污染防治相关法律法规政策的符合性见下表。</w:t>
            </w:r>
          </w:p>
          <w:p w14:paraId="2231EAA4">
            <w:pPr>
              <w:pStyle w:val="75"/>
              <w:spacing w:line="460" w:lineRule="exact"/>
              <w:ind w:firstLine="482"/>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表1-9与水污染防治相关法律法规的符合性分析</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20"/>
              <w:gridCol w:w="4161"/>
              <w:gridCol w:w="2155"/>
              <w:gridCol w:w="804"/>
            </w:tblGrid>
            <w:tr w14:paraId="33D5E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80" w:type="pct"/>
                  <w:tcBorders>
                    <w:top w:val="single" w:color="auto" w:sz="6" w:space="0"/>
                    <w:left w:val="single" w:color="auto" w:sz="6" w:space="0"/>
                    <w:bottom w:val="single" w:color="auto" w:sz="6" w:space="0"/>
                    <w:right w:val="single" w:color="auto" w:sz="6" w:space="0"/>
                  </w:tcBorders>
                  <w:vAlign w:val="center"/>
                </w:tcPr>
                <w:p w14:paraId="00E3F4BA">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文件</w:t>
                  </w:r>
                </w:p>
              </w:tc>
              <w:tc>
                <w:tcPr>
                  <w:tcW w:w="2408" w:type="pct"/>
                  <w:tcBorders>
                    <w:top w:val="single" w:color="auto" w:sz="6" w:space="0"/>
                    <w:left w:val="single" w:color="auto" w:sz="6" w:space="0"/>
                    <w:bottom w:val="single" w:color="auto" w:sz="6" w:space="0"/>
                    <w:right w:val="single" w:color="auto" w:sz="6" w:space="0"/>
                  </w:tcBorders>
                  <w:vAlign w:val="center"/>
                </w:tcPr>
                <w:p w14:paraId="2B82093B">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相关要求</w:t>
                  </w:r>
                </w:p>
              </w:tc>
              <w:tc>
                <w:tcPr>
                  <w:tcW w:w="1247" w:type="pct"/>
                  <w:tcBorders>
                    <w:top w:val="single" w:color="auto" w:sz="6" w:space="0"/>
                    <w:left w:val="single" w:color="auto" w:sz="6" w:space="0"/>
                    <w:bottom w:val="single" w:color="auto" w:sz="6" w:space="0"/>
                    <w:right w:val="single" w:color="auto" w:sz="6" w:space="0"/>
                  </w:tcBorders>
                  <w:vAlign w:val="center"/>
                </w:tcPr>
                <w:p w14:paraId="5B5A8394">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项目情况</w:t>
                  </w:r>
                </w:p>
              </w:tc>
              <w:tc>
                <w:tcPr>
                  <w:tcW w:w="465" w:type="pct"/>
                  <w:tcBorders>
                    <w:top w:val="single" w:color="auto" w:sz="6" w:space="0"/>
                    <w:left w:val="single" w:color="auto" w:sz="6" w:space="0"/>
                    <w:bottom w:val="single" w:color="auto" w:sz="6" w:space="0"/>
                    <w:right w:val="single" w:color="auto" w:sz="6" w:space="0"/>
                  </w:tcBorders>
                  <w:vAlign w:val="center"/>
                </w:tcPr>
                <w:p w14:paraId="37EFF124">
                  <w:pPr>
                    <w:pStyle w:val="50"/>
                    <w:spacing w:line="240" w:lineRule="auto"/>
                    <w:ind w:left="-105" w:leftChars="-50" w:right="-105" w:rightChars="-50"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符合性</w:t>
                  </w:r>
                </w:p>
              </w:tc>
            </w:tr>
            <w:tr w14:paraId="1BD32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80" w:type="pct"/>
                  <w:tcBorders>
                    <w:top w:val="single" w:color="auto" w:sz="6" w:space="0"/>
                    <w:left w:val="single" w:color="auto" w:sz="6" w:space="0"/>
                    <w:bottom w:val="single" w:color="auto" w:sz="6" w:space="0"/>
                    <w:right w:val="single" w:color="auto" w:sz="6" w:space="0"/>
                  </w:tcBorders>
                  <w:vAlign w:val="center"/>
                </w:tcPr>
                <w:p w14:paraId="48F01D8D">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《中华人民共和国长江保护法》</w:t>
                  </w:r>
                </w:p>
                <w:p w14:paraId="2AE85F7E">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（2021年3月1日起施行）</w:t>
                  </w:r>
                </w:p>
              </w:tc>
              <w:tc>
                <w:tcPr>
                  <w:tcW w:w="2408" w:type="pct"/>
                  <w:tcBorders>
                    <w:top w:val="single" w:color="auto" w:sz="6" w:space="0"/>
                    <w:left w:val="single" w:color="auto" w:sz="6" w:space="0"/>
                    <w:bottom w:val="single" w:color="auto" w:sz="6" w:space="0"/>
                    <w:right w:val="single" w:color="auto" w:sz="6" w:space="0"/>
                  </w:tcBorders>
                  <w:vAlign w:val="center"/>
                </w:tcPr>
                <w:p w14:paraId="20825890">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247" w:type="pct"/>
                  <w:tcBorders>
                    <w:top w:val="single" w:color="auto" w:sz="6" w:space="0"/>
                    <w:left w:val="single" w:color="auto" w:sz="6" w:space="0"/>
                    <w:bottom w:val="single" w:color="auto" w:sz="6" w:space="0"/>
                    <w:right w:val="single" w:color="auto" w:sz="6" w:space="0"/>
                  </w:tcBorders>
                  <w:vAlign w:val="center"/>
                </w:tcPr>
                <w:p w14:paraId="6D647D44">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项目位于铜梁高新区，不在长江干支流岸线一公里范围内，且不属于化工项目，不涉及尾矿库。</w:t>
                  </w:r>
                </w:p>
              </w:tc>
              <w:tc>
                <w:tcPr>
                  <w:tcW w:w="465" w:type="pct"/>
                  <w:tcBorders>
                    <w:top w:val="single" w:color="auto" w:sz="6" w:space="0"/>
                    <w:left w:val="single" w:color="auto" w:sz="6" w:space="0"/>
                    <w:bottom w:val="single" w:color="auto" w:sz="6" w:space="0"/>
                    <w:right w:val="single" w:color="auto" w:sz="6" w:space="0"/>
                  </w:tcBorders>
                  <w:vAlign w:val="center"/>
                </w:tcPr>
                <w:p w14:paraId="5DA5AE04">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07B08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80" w:type="pct"/>
                  <w:tcBorders>
                    <w:top w:val="single" w:color="auto" w:sz="6" w:space="0"/>
                    <w:left w:val="single" w:color="auto" w:sz="6" w:space="0"/>
                    <w:bottom w:val="single" w:color="auto" w:sz="6" w:space="0"/>
                    <w:right w:val="single" w:color="auto" w:sz="6" w:space="0"/>
                  </w:tcBorders>
                  <w:vAlign w:val="center"/>
                </w:tcPr>
                <w:p w14:paraId="72390DD6">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《中华人民共和国水污染防治法》（2017年修正）</w:t>
                  </w:r>
                </w:p>
              </w:tc>
              <w:tc>
                <w:tcPr>
                  <w:tcW w:w="2408" w:type="pct"/>
                  <w:tcBorders>
                    <w:top w:val="single" w:color="auto" w:sz="6" w:space="0"/>
                    <w:left w:val="single" w:color="auto" w:sz="6" w:space="0"/>
                    <w:bottom w:val="single" w:color="auto" w:sz="6" w:space="0"/>
                    <w:right w:val="single" w:color="auto" w:sz="6" w:space="0"/>
                  </w:tcBorders>
                  <w:vAlign w:val="center"/>
                </w:tcPr>
                <w:p w14:paraId="19340879">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w:t>
                  </w:r>
                </w:p>
              </w:tc>
              <w:tc>
                <w:tcPr>
                  <w:tcW w:w="1247" w:type="pct"/>
                  <w:tcBorders>
                    <w:top w:val="single" w:color="auto" w:sz="6" w:space="0"/>
                    <w:left w:val="single" w:color="auto" w:sz="6" w:space="0"/>
                    <w:bottom w:val="single" w:color="auto" w:sz="6" w:space="0"/>
                    <w:right w:val="single" w:color="auto" w:sz="6" w:space="0"/>
                  </w:tcBorders>
                  <w:vAlign w:val="center"/>
                </w:tcPr>
                <w:p w14:paraId="53370E45">
                  <w:pPr>
                    <w:pStyle w:val="50"/>
                    <w:spacing w:line="240" w:lineRule="auto"/>
                    <w:ind w:firstLine="0" w:firstLineChars="0"/>
                    <w:jc w:val="both"/>
                    <w:rPr>
                      <w:color w:val="000000" w:themeColor="text1"/>
                      <w:sz w:val="21"/>
                      <w14:textFill>
                        <w14:solidFill>
                          <w14:schemeClr w14:val="tx1"/>
                        </w14:solidFill>
                      </w14:textFill>
                    </w:rPr>
                  </w:pPr>
                  <w:r>
                    <w:rPr>
                      <w:color w:val="000000" w:themeColor="text1"/>
                      <w:kern w:val="2"/>
                      <w:sz w:val="21"/>
                      <w14:textFill>
                        <w14:solidFill>
                          <w14:schemeClr w14:val="tx1"/>
                        </w14:solidFill>
                      </w14:textFill>
                    </w:rPr>
                    <w:t>项目</w:t>
                  </w:r>
                  <w:r>
                    <w:rPr>
                      <w:bCs/>
                      <w:color w:val="000000" w:themeColor="text1"/>
                      <w:sz w:val="21"/>
                      <w14:textFill>
                        <w14:solidFill>
                          <w14:schemeClr w14:val="tx1"/>
                        </w14:solidFill>
                      </w14:textFill>
                    </w:rPr>
                    <w:t>废水经处理达标后，进入</w:t>
                  </w:r>
                  <w:r>
                    <w:rPr>
                      <w:color w:val="000000" w:themeColor="text1"/>
                      <w:spacing w:val="12"/>
                      <w:sz w:val="21"/>
                      <w14:textFill>
                        <w14:solidFill>
                          <w14:schemeClr w14:val="tx1"/>
                        </w14:solidFill>
                      </w14:textFill>
                    </w:rPr>
                    <w:t>东城污水处理厂</w:t>
                  </w:r>
                  <w:r>
                    <w:rPr>
                      <w:bCs/>
                      <w:color w:val="000000" w:themeColor="text1"/>
                      <w:sz w:val="21"/>
                      <w14:textFill>
                        <w14:solidFill>
                          <w14:schemeClr w14:val="tx1"/>
                        </w14:solidFill>
                      </w14:textFill>
                    </w:rPr>
                    <w:t>进一步处理达标排放</w:t>
                  </w:r>
                  <w:r>
                    <w:rPr>
                      <w:color w:val="000000" w:themeColor="text1"/>
                      <w:kern w:val="2"/>
                      <w:sz w:val="21"/>
                      <w14:textFill>
                        <w14:solidFill>
                          <w14:schemeClr w14:val="tx1"/>
                        </w14:solidFill>
                      </w14:textFill>
                    </w:rPr>
                    <w:t>。</w:t>
                  </w:r>
                </w:p>
              </w:tc>
              <w:tc>
                <w:tcPr>
                  <w:tcW w:w="465" w:type="pct"/>
                  <w:tcBorders>
                    <w:top w:val="single" w:color="auto" w:sz="6" w:space="0"/>
                    <w:left w:val="single" w:color="auto" w:sz="6" w:space="0"/>
                    <w:bottom w:val="single" w:color="auto" w:sz="6" w:space="0"/>
                    <w:right w:val="single" w:color="auto" w:sz="6" w:space="0"/>
                  </w:tcBorders>
                  <w:vAlign w:val="center"/>
                </w:tcPr>
                <w:p w14:paraId="5102BDD2">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3F02F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80" w:type="pct"/>
                  <w:tcBorders>
                    <w:top w:val="single" w:color="auto" w:sz="6" w:space="0"/>
                    <w:left w:val="single" w:color="auto" w:sz="6" w:space="0"/>
                    <w:bottom w:val="single" w:color="auto" w:sz="6" w:space="0"/>
                    <w:right w:val="single" w:color="auto" w:sz="6" w:space="0"/>
                  </w:tcBorders>
                  <w:vAlign w:val="center"/>
                </w:tcPr>
                <w:p w14:paraId="2153C5AB">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重庆市水污染防治条例（2020年10月1日起施行）</w:t>
                  </w:r>
                </w:p>
              </w:tc>
              <w:tc>
                <w:tcPr>
                  <w:tcW w:w="2408" w:type="pct"/>
                  <w:tcBorders>
                    <w:top w:val="single" w:color="auto" w:sz="6" w:space="0"/>
                    <w:left w:val="single" w:color="auto" w:sz="6" w:space="0"/>
                    <w:bottom w:val="single" w:color="auto" w:sz="6" w:space="0"/>
                    <w:right w:val="single" w:color="auto" w:sz="6" w:space="0"/>
                  </w:tcBorders>
                  <w:vAlign w:val="center"/>
                </w:tcPr>
                <w:p w14:paraId="66AE25AD">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第十五条新建、改建、扩建直接或者间接向水体排放污染物的建设项目和其他水上设施，应当依法进行环境影响评价。</w:t>
                  </w:r>
                </w:p>
              </w:tc>
              <w:tc>
                <w:tcPr>
                  <w:tcW w:w="1247" w:type="pct"/>
                  <w:tcBorders>
                    <w:top w:val="single" w:color="auto" w:sz="6" w:space="0"/>
                    <w:left w:val="single" w:color="auto" w:sz="6" w:space="0"/>
                    <w:bottom w:val="single" w:color="auto" w:sz="6" w:space="0"/>
                    <w:right w:val="single" w:color="auto" w:sz="6" w:space="0"/>
                  </w:tcBorders>
                  <w:vAlign w:val="center"/>
                </w:tcPr>
                <w:p w14:paraId="2A2E8E95">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项目位于铜梁高新区，废水可纳管处理，且已按要求进行环境影响评价。</w:t>
                  </w:r>
                </w:p>
              </w:tc>
              <w:tc>
                <w:tcPr>
                  <w:tcW w:w="465" w:type="pct"/>
                  <w:tcBorders>
                    <w:top w:val="single" w:color="auto" w:sz="6" w:space="0"/>
                    <w:left w:val="single" w:color="auto" w:sz="6" w:space="0"/>
                    <w:bottom w:val="single" w:color="auto" w:sz="6" w:space="0"/>
                    <w:right w:val="single" w:color="auto" w:sz="6" w:space="0"/>
                  </w:tcBorders>
                  <w:vAlign w:val="center"/>
                </w:tcPr>
                <w:p w14:paraId="34EA2C5C">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bl>
          <w:p w14:paraId="61FB137F">
            <w:pPr>
              <w:spacing w:line="460" w:lineRule="exact"/>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10、与固体废物污染防治相关法律法规政策的符合性分析</w:t>
            </w:r>
          </w:p>
          <w:p w14:paraId="4D46873B">
            <w:pPr>
              <w:adjustRightInd w:val="0"/>
              <w:snapToGrid w:val="0"/>
              <w:spacing w:line="46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项目与固体废物污染防治相关法律法规政策的符合性见下表。</w:t>
            </w:r>
          </w:p>
          <w:p w14:paraId="345F0FA7">
            <w:pPr>
              <w:pStyle w:val="75"/>
              <w:spacing w:line="460" w:lineRule="exact"/>
              <w:ind w:firstLine="482"/>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表1-10与固体废物污染防治相关法律法规的符合性分析</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4854"/>
              <w:gridCol w:w="1901"/>
              <w:gridCol w:w="805"/>
            </w:tblGrid>
            <w:tr w14:paraId="44373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5" w:type="pct"/>
                  <w:tcBorders>
                    <w:top w:val="single" w:color="auto" w:sz="6" w:space="0"/>
                    <w:left w:val="single" w:color="auto" w:sz="6" w:space="0"/>
                    <w:bottom w:val="single" w:color="auto" w:sz="6" w:space="0"/>
                    <w:right w:val="single" w:color="auto" w:sz="6" w:space="0"/>
                  </w:tcBorders>
                  <w:vAlign w:val="center"/>
                </w:tcPr>
                <w:p w14:paraId="4FD63026">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文件</w:t>
                  </w:r>
                </w:p>
              </w:tc>
              <w:tc>
                <w:tcPr>
                  <w:tcW w:w="2809" w:type="pct"/>
                  <w:tcBorders>
                    <w:top w:val="single" w:color="auto" w:sz="6" w:space="0"/>
                    <w:left w:val="single" w:color="auto" w:sz="6" w:space="0"/>
                    <w:bottom w:val="single" w:color="auto" w:sz="6" w:space="0"/>
                    <w:right w:val="single" w:color="auto" w:sz="6" w:space="0"/>
                  </w:tcBorders>
                  <w:vAlign w:val="center"/>
                </w:tcPr>
                <w:p w14:paraId="4D8FF994">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相关要求</w:t>
                  </w:r>
                </w:p>
              </w:tc>
              <w:tc>
                <w:tcPr>
                  <w:tcW w:w="1100" w:type="pct"/>
                  <w:tcBorders>
                    <w:top w:val="single" w:color="auto" w:sz="6" w:space="0"/>
                    <w:left w:val="single" w:color="auto" w:sz="6" w:space="0"/>
                    <w:bottom w:val="single" w:color="auto" w:sz="6" w:space="0"/>
                    <w:right w:val="single" w:color="auto" w:sz="6" w:space="0"/>
                  </w:tcBorders>
                  <w:vAlign w:val="center"/>
                </w:tcPr>
                <w:p w14:paraId="44B93E72">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项目情况</w:t>
                  </w:r>
                </w:p>
              </w:tc>
              <w:tc>
                <w:tcPr>
                  <w:tcW w:w="466" w:type="pct"/>
                  <w:tcBorders>
                    <w:top w:val="single" w:color="auto" w:sz="6" w:space="0"/>
                    <w:left w:val="single" w:color="auto" w:sz="6" w:space="0"/>
                    <w:bottom w:val="single" w:color="auto" w:sz="6" w:space="0"/>
                    <w:right w:val="single" w:color="auto" w:sz="6" w:space="0"/>
                  </w:tcBorders>
                  <w:vAlign w:val="center"/>
                </w:tcPr>
                <w:p w14:paraId="0D6EB7ED">
                  <w:pPr>
                    <w:pStyle w:val="50"/>
                    <w:spacing w:line="240" w:lineRule="auto"/>
                    <w:ind w:left="-105" w:leftChars="-50" w:right="-105" w:rightChars="-50"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符合性</w:t>
                  </w:r>
                </w:p>
              </w:tc>
            </w:tr>
            <w:tr w14:paraId="69EE9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5" w:type="pct"/>
                  <w:vMerge w:val="restart"/>
                  <w:tcBorders>
                    <w:top w:val="single" w:color="auto" w:sz="6" w:space="0"/>
                    <w:left w:val="single" w:color="auto" w:sz="6" w:space="0"/>
                    <w:bottom w:val="single" w:color="auto" w:sz="6" w:space="0"/>
                    <w:right w:val="single" w:color="auto" w:sz="6" w:space="0"/>
                  </w:tcBorders>
                  <w:vAlign w:val="center"/>
                </w:tcPr>
                <w:p w14:paraId="78021316">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《中华人民共和国固体废物污染环境防治法》（2020年4月29日第二次修订）</w:t>
                  </w:r>
                </w:p>
              </w:tc>
              <w:tc>
                <w:tcPr>
                  <w:tcW w:w="2809" w:type="pct"/>
                  <w:tcBorders>
                    <w:top w:val="single" w:color="auto" w:sz="6" w:space="0"/>
                    <w:left w:val="single" w:color="auto" w:sz="6" w:space="0"/>
                    <w:bottom w:val="single" w:color="auto" w:sz="6" w:space="0"/>
                    <w:right w:val="single" w:color="auto" w:sz="6" w:space="0"/>
                  </w:tcBorders>
                  <w:vAlign w:val="center"/>
                </w:tcPr>
                <w:p w14:paraId="11ABFED5">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第三十六条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tc>
              <w:tc>
                <w:tcPr>
                  <w:tcW w:w="1100" w:type="pct"/>
                  <w:tcBorders>
                    <w:top w:val="single" w:color="auto" w:sz="6" w:space="0"/>
                    <w:left w:val="single" w:color="auto" w:sz="6" w:space="0"/>
                    <w:bottom w:val="single" w:color="auto" w:sz="6" w:space="0"/>
                    <w:right w:val="single" w:color="auto" w:sz="6" w:space="0"/>
                  </w:tcBorders>
                  <w:vAlign w:val="center"/>
                </w:tcPr>
                <w:p w14:paraId="384EEE43">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项目产生的固废分类收集后交相应单位处置，建成后建立工业固体废物台账，记录相关信息。</w:t>
                  </w:r>
                </w:p>
              </w:tc>
              <w:tc>
                <w:tcPr>
                  <w:tcW w:w="466" w:type="pct"/>
                  <w:tcBorders>
                    <w:top w:val="single" w:color="auto" w:sz="6" w:space="0"/>
                    <w:left w:val="single" w:color="auto" w:sz="6" w:space="0"/>
                    <w:bottom w:val="single" w:color="auto" w:sz="6" w:space="0"/>
                    <w:right w:val="single" w:color="auto" w:sz="6" w:space="0"/>
                  </w:tcBorders>
                  <w:vAlign w:val="center"/>
                </w:tcPr>
                <w:p w14:paraId="1BAE7394">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7739F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5" w:type="pct"/>
                  <w:vMerge w:val="continue"/>
                  <w:tcBorders>
                    <w:top w:val="single" w:color="auto" w:sz="6" w:space="0"/>
                    <w:left w:val="single" w:color="auto" w:sz="6" w:space="0"/>
                    <w:bottom w:val="single" w:color="auto" w:sz="6" w:space="0"/>
                    <w:right w:val="single" w:color="auto" w:sz="6" w:space="0"/>
                  </w:tcBorders>
                  <w:vAlign w:val="center"/>
                </w:tcPr>
                <w:p w14:paraId="5262CBF2">
                  <w:pPr>
                    <w:pStyle w:val="50"/>
                    <w:spacing w:line="240" w:lineRule="auto"/>
                    <w:ind w:firstLine="0" w:firstLineChars="0"/>
                    <w:rPr>
                      <w:color w:val="000000" w:themeColor="text1"/>
                      <w:sz w:val="21"/>
                      <w14:textFill>
                        <w14:solidFill>
                          <w14:schemeClr w14:val="tx1"/>
                        </w14:solidFill>
                      </w14:textFill>
                    </w:rPr>
                  </w:pPr>
                </w:p>
              </w:tc>
              <w:tc>
                <w:tcPr>
                  <w:tcW w:w="2809" w:type="pct"/>
                  <w:tcBorders>
                    <w:top w:val="single" w:color="auto" w:sz="6" w:space="0"/>
                    <w:left w:val="single" w:color="auto" w:sz="6" w:space="0"/>
                    <w:bottom w:val="single" w:color="auto" w:sz="6" w:space="0"/>
                    <w:right w:val="single" w:color="auto" w:sz="6" w:space="0"/>
                  </w:tcBorders>
                  <w:vAlign w:val="center"/>
                </w:tcPr>
                <w:p w14:paraId="24C6F0E9">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第三十七条产生工业固体废物的单位委托他人运输、利用、处置工业固体废物的，应当对受托方的主体资格和技术能力进行核实、依法签订书面合同，在合同中约定污染防治要求。</w:t>
                  </w:r>
                </w:p>
              </w:tc>
              <w:tc>
                <w:tcPr>
                  <w:tcW w:w="1100" w:type="pct"/>
                  <w:tcBorders>
                    <w:top w:val="single" w:color="auto" w:sz="6" w:space="0"/>
                    <w:left w:val="single" w:color="auto" w:sz="6" w:space="0"/>
                    <w:bottom w:val="single" w:color="auto" w:sz="6" w:space="0"/>
                    <w:right w:val="single" w:color="auto" w:sz="6" w:space="0"/>
                  </w:tcBorders>
                  <w:vAlign w:val="center"/>
                </w:tcPr>
                <w:p w14:paraId="38D81A8F">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项目危险废物委托有资质的单位清运处置，投产后签订危废处置协议。</w:t>
                  </w:r>
                </w:p>
              </w:tc>
              <w:tc>
                <w:tcPr>
                  <w:tcW w:w="466" w:type="pct"/>
                  <w:tcBorders>
                    <w:top w:val="single" w:color="auto" w:sz="6" w:space="0"/>
                    <w:left w:val="single" w:color="auto" w:sz="6" w:space="0"/>
                    <w:bottom w:val="single" w:color="auto" w:sz="6" w:space="0"/>
                    <w:right w:val="single" w:color="auto" w:sz="6" w:space="0"/>
                  </w:tcBorders>
                  <w:vAlign w:val="center"/>
                </w:tcPr>
                <w:p w14:paraId="79B2C0A4">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579ED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5" w:type="pct"/>
                  <w:vMerge w:val="continue"/>
                  <w:tcBorders>
                    <w:top w:val="single" w:color="auto" w:sz="6" w:space="0"/>
                    <w:left w:val="single" w:color="auto" w:sz="6" w:space="0"/>
                    <w:bottom w:val="single" w:color="auto" w:sz="6" w:space="0"/>
                    <w:right w:val="single" w:color="auto" w:sz="6" w:space="0"/>
                  </w:tcBorders>
                  <w:vAlign w:val="center"/>
                </w:tcPr>
                <w:p w14:paraId="2FFD870E">
                  <w:pPr>
                    <w:pStyle w:val="50"/>
                    <w:spacing w:line="240" w:lineRule="auto"/>
                    <w:ind w:firstLine="0" w:firstLineChars="0"/>
                    <w:rPr>
                      <w:color w:val="000000" w:themeColor="text1"/>
                      <w:sz w:val="21"/>
                      <w14:textFill>
                        <w14:solidFill>
                          <w14:schemeClr w14:val="tx1"/>
                        </w14:solidFill>
                      </w14:textFill>
                    </w:rPr>
                  </w:pPr>
                </w:p>
              </w:tc>
              <w:tc>
                <w:tcPr>
                  <w:tcW w:w="2809" w:type="pct"/>
                  <w:tcBorders>
                    <w:top w:val="single" w:color="auto" w:sz="6" w:space="0"/>
                    <w:left w:val="single" w:color="auto" w:sz="6" w:space="0"/>
                    <w:bottom w:val="single" w:color="auto" w:sz="6" w:space="0"/>
                    <w:right w:val="single" w:color="auto" w:sz="6" w:space="0"/>
                  </w:tcBorders>
                  <w:vAlign w:val="center"/>
                </w:tcPr>
                <w:p w14:paraId="1E16E1BC">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第四十条产生工业固体废物的单位应当根据经济、技术条件对工业固体废物加以利用；对暂时不利用或者不能利用的，应当按照国务院生态环境主管部门的规定建设贮存设施、场所，安全分类存放，或者采取无害化处置措施。贮存工业固体废物应当采取符合国家环境保护标准的防护措施。建设工业固体废物贮存、处置的设施、场所，应当符合国家环境保护标准。</w:t>
                  </w:r>
                </w:p>
              </w:tc>
              <w:tc>
                <w:tcPr>
                  <w:tcW w:w="1100" w:type="pct"/>
                  <w:tcBorders>
                    <w:top w:val="single" w:color="auto" w:sz="6" w:space="0"/>
                    <w:left w:val="single" w:color="auto" w:sz="6" w:space="0"/>
                    <w:bottom w:val="single" w:color="auto" w:sz="6" w:space="0"/>
                    <w:right w:val="single" w:color="auto" w:sz="6" w:space="0"/>
                  </w:tcBorders>
                  <w:vAlign w:val="center"/>
                </w:tcPr>
                <w:p w14:paraId="45E0FFFC">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项目产生的固废分类收集后交相应单位处置，固废暂存间符合相关要求。</w:t>
                  </w:r>
                </w:p>
              </w:tc>
              <w:tc>
                <w:tcPr>
                  <w:tcW w:w="466" w:type="pct"/>
                  <w:tcBorders>
                    <w:top w:val="single" w:color="auto" w:sz="6" w:space="0"/>
                    <w:left w:val="single" w:color="auto" w:sz="6" w:space="0"/>
                    <w:bottom w:val="single" w:color="auto" w:sz="6" w:space="0"/>
                    <w:right w:val="single" w:color="auto" w:sz="6" w:space="0"/>
                  </w:tcBorders>
                  <w:vAlign w:val="center"/>
                </w:tcPr>
                <w:p w14:paraId="0EC17720">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47FB2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5" w:type="pct"/>
                  <w:vMerge w:val="continue"/>
                  <w:tcBorders>
                    <w:top w:val="single" w:color="auto" w:sz="6" w:space="0"/>
                    <w:left w:val="single" w:color="auto" w:sz="6" w:space="0"/>
                    <w:bottom w:val="single" w:color="auto" w:sz="6" w:space="0"/>
                    <w:right w:val="single" w:color="auto" w:sz="6" w:space="0"/>
                  </w:tcBorders>
                  <w:vAlign w:val="center"/>
                </w:tcPr>
                <w:p w14:paraId="080AB9D8">
                  <w:pPr>
                    <w:pStyle w:val="50"/>
                    <w:spacing w:line="240" w:lineRule="auto"/>
                    <w:ind w:firstLine="0" w:firstLineChars="0"/>
                    <w:rPr>
                      <w:color w:val="000000" w:themeColor="text1"/>
                      <w:sz w:val="21"/>
                      <w14:textFill>
                        <w14:solidFill>
                          <w14:schemeClr w14:val="tx1"/>
                        </w14:solidFill>
                      </w14:textFill>
                    </w:rPr>
                  </w:pPr>
                </w:p>
              </w:tc>
              <w:tc>
                <w:tcPr>
                  <w:tcW w:w="2809" w:type="pct"/>
                  <w:tcBorders>
                    <w:top w:val="single" w:color="auto" w:sz="6" w:space="0"/>
                    <w:left w:val="single" w:color="auto" w:sz="6" w:space="0"/>
                    <w:bottom w:val="single" w:color="auto" w:sz="6" w:space="0"/>
                    <w:right w:val="single" w:color="auto" w:sz="6" w:space="0"/>
                  </w:tcBorders>
                  <w:vAlign w:val="center"/>
                </w:tcPr>
                <w:p w14:paraId="531DA738">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第七十八条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tc>
              <w:tc>
                <w:tcPr>
                  <w:tcW w:w="1100" w:type="pct"/>
                  <w:tcBorders>
                    <w:top w:val="single" w:color="auto" w:sz="6" w:space="0"/>
                    <w:left w:val="single" w:color="auto" w:sz="6" w:space="0"/>
                    <w:bottom w:val="single" w:color="auto" w:sz="6" w:space="0"/>
                    <w:right w:val="single" w:color="auto" w:sz="6" w:space="0"/>
                  </w:tcBorders>
                  <w:vAlign w:val="center"/>
                </w:tcPr>
                <w:p w14:paraId="6275692A">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项目签订危废转运协议，危险废物委托有资质的单位清运处置。建立危险废物管理台账。</w:t>
                  </w:r>
                </w:p>
              </w:tc>
              <w:tc>
                <w:tcPr>
                  <w:tcW w:w="466" w:type="pct"/>
                  <w:tcBorders>
                    <w:top w:val="single" w:color="auto" w:sz="6" w:space="0"/>
                    <w:left w:val="single" w:color="auto" w:sz="6" w:space="0"/>
                    <w:bottom w:val="single" w:color="auto" w:sz="6" w:space="0"/>
                    <w:right w:val="single" w:color="auto" w:sz="6" w:space="0"/>
                  </w:tcBorders>
                  <w:vAlign w:val="center"/>
                </w:tcPr>
                <w:p w14:paraId="43B2F53C">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r w14:paraId="3EBAC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25" w:type="pct"/>
                  <w:vMerge w:val="continue"/>
                  <w:tcBorders>
                    <w:top w:val="single" w:color="auto" w:sz="6" w:space="0"/>
                    <w:left w:val="single" w:color="auto" w:sz="6" w:space="0"/>
                    <w:bottom w:val="single" w:color="auto" w:sz="6" w:space="0"/>
                    <w:right w:val="single" w:color="auto" w:sz="6" w:space="0"/>
                  </w:tcBorders>
                  <w:vAlign w:val="center"/>
                </w:tcPr>
                <w:p w14:paraId="71756819">
                  <w:pPr>
                    <w:pStyle w:val="50"/>
                    <w:spacing w:line="240" w:lineRule="auto"/>
                    <w:ind w:firstLine="0" w:firstLineChars="0"/>
                    <w:rPr>
                      <w:color w:val="000000" w:themeColor="text1"/>
                      <w:sz w:val="21"/>
                      <w14:textFill>
                        <w14:solidFill>
                          <w14:schemeClr w14:val="tx1"/>
                        </w14:solidFill>
                      </w14:textFill>
                    </w:rPr>
                  </w:pPr>
                </w:p>
              </w:tc>
              <w:tc>
                <w:tcPr>
                  <w:tcW w:w="2809" w:type="pct"/>
                  <w:tcBorders>
                    <w:top w:val="single" w:color="auto" w:sz="6" w:space="0"/>
                    <w:left w:val="single" w:color="auto" w:sz="6" w:space="0"/>
                    <w:bottom w:val="single" w:color="auto" w:sz="6" w:space="0"/>
                    <w:right w:val="single" w:color="auto" w:sz="6" w:space="0"/>
                  </w:tcBorders>
                  <w:vAlign w:val="center"/>
                </w:tcPr>
                <w:p w14:paraId="46D8D1B0">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第七十九条产生危险废物的单位，应当按照国家有关规定和环境保护标准要求贮存、利用、处置危险废物，不得擅自倾倒、堆放。禁止将危险废物提供或者委托给无许可证的单位或者其他生产经营者从事收集、贮存、利用、处置活动。</w:t>
                  </w:r>
                </w:p>
              </w:tc>
              <w:tc>
                <w:tcPr>
                  <w:tcW w:w="1100" w:type="pct"/>
                  <w:tcBorders>
                    <w:top w:val="single" w:color="auto" w:sz="6" w:space="0"/>
                    <w:left w:val="single" w:color="auto" w:sz="6" w:space="0"/>
                    <w:bottom w:val="single" w:color="auto" w:sz="6" w:space="0"/>
                    <w:right w:val="single" w:color="auto" w:sz="6" w:space="0"/>
                  </w:tcBorders>
                  <w:vAlign w:val="center"/>
                </w:tcPr>
                <w:p w14:paraId="26508D67">
                  <w:pPr>
                    <w:pStyle w:val="50"/>
                    <w:spacing w:line="240" w:lineRule="auto"/>
                    <w:ind w:firstLine="0" w:firstLineChars="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项目签订危废转运协议，危险废物委托有资质的单位清运处置。建立危险废物管理台账。</w:t>
                  </w:r>
                </w:p>
              </w:tc>
              <w:tc>
                <w:tcPr>
                  <w:tcW w:w="466" w:type="pct"/>
                  <w:tcBorders>
                    <w:top w:val="single" w:color="auto" w:sz="6" w:space="0"/>
                    <w:left w:val="single" w:color="auto" w:sz="6" w:space="0"/>
                    <w:bottom w:val="single" w:color="auto" w:sz="6" w:space="0"/>
                    <w:right w:val="single" w:color="auto" w:sz="6" w:space="0"/>
                  </w:tcBorders>
                  <w:vAlign w:val="center"/>
                </w:tcPr>
                <w:p w14:paraId="211ABE6D">
                  <w:pPr>
                    <w:pStyle w:val="50"/>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符合</w:t>
                  </w:r>
                </w:p>
              </w:tc>
            </w:tr>
          </w:tbl>
          <w:p w14:paraId="0709ADEF">
            <w:pPr>
              <w:pStyle w:val="137"/>
              <w:rPr>
                <w:rFonts w:eastAsia="宋体"/>
                <w:b/>
                <w:bCs/>
                <w:color w:val="000000" w:themeColor="text1"/>
                <w:kern w:val="0"/>
                <w14:textFill>
                  <w14:solidFill>
                    <w14:schemeClr w14:val="tx1"/>
                  </w14:solidFill>
                </w14:textFill>
              </w:rPr>
            </w:pPr>
            <w:r>
              <w:rPr>
                <w:rFonts w:eastAsia="宋体"/>
                <w:b/>
                <w:bCs/>
                <w:color w:val="000000" w:themeColor="text1"/>
                <w:kern w:val="0"/>
                <w14:textFill>
                  <w14:solidFill>
                    <w14:schemeClr w14:val="tx1"/>
                  </w14:solidFill>
                </w14:textFill>
              </w:rPr>
              <w:t>11、与《四川省、重庆市长江经济带发展负面清单实施细则（试行，2022年版）》（川长江办〔2022〕17号）的符合性分析</w:t>
            </w:r>
          </w:p>
          <w:p w14:paraId="7BD3C13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结合企业实际情况，对照《四川省、重庆市长江经济带发展负面清单实施细则（试行，2022年版）》（川长江办〔2022〕17号），其符合性分析见表1-9。</w:t>
            </w:r>
          </w:p>
          <w:p w14:paraId="0C5A5DF4">
            <w:pPr>
              <w:autoSpaceDE w:val="0"/>
              <w:autoSpaceDN w:val="0"/>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表1-11与“川长江办〔2022〕17号”的符合性分析一览表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6"/>
              <w:gridCol w:w="4819"/>
              <w:gridCol w:w="2867"/>
              <w:gridCol w:w="543"/>
            </w:tblGrid>
            <w:tr w14:paraId="7278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631E0FDE">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序号</w:t>
                  </w:r>
                </w:p>
              </w:tc>
              <w:tc>
                <w:tcPr>
                  <w:tcW w:w="2787" w:type="pct"/>
                  <w:shd w:val="clear" w:color="auto" w:fill="auto"/>
                  <w:vAlign w:val="center"/>
                </w:tcPr>
                <w:p w14:paraId="2C3FFB53">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实施细则</w:t>
                  </w:r>
                </w:p>
              </w:tc>
              <w:tc>
                <w:tcPr>
                  <w:tcW w:w="1658" w:type="pct"/>
                  <w:shd w:val="clear" w:color="auto" w:fill="auto"/>
                  <w:vAlign w:val="center"/>
                </w:tcPr>
                <w:p w14:paraId="755AFB97">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拟建项目情况</w:t>
                  </w:r>
                </w:p>
              </w:tc>
              <w:tc>
                <w:tcPr>
                  <w:tcW w:w="315" w:type="pct"/>
                  <w:shd w:val="clear" w:color="auto" w:fill="auto"/>
                  <w:vAlign w:val="center"/>
                </w:tcPr>
                <w:p w14:paraId="6D196B76">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符合性</w:t>
                  </w:r>
                </w:p>
              </w:tc>
            </w:tr>
            <w:tr w14:paraId="10EE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5DB46E11">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w:t>
                  </w:r>
                </w:p>
              </w:tc>
              <w:tc>
                <w:tcPr>
                  <w:tcW w:w="2787" w:type="pct"/>
                  <w:shd w:val="clear" w:color="auto" w:fill="auto"/>
                  <w:vAlign w:val="center"/>
                </w:tcPr>
                <w:p w14:paraId="62B797BA">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禁止新建、改建和扩建不符合全国港口布局规划，以及《四川省内河水运发展规划》《泸州-宜宾-乐山港口群布局规划》《重庆港总体规划</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2035年</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》等省级港口布局规划及市级港口总体规划的码头项目。</w:t>
                  </w:r>
                </w:p>
              </w:tc>
              <w:tc>
                <w:tcPr>
                  <w:tcW w:w="1658" w:type="pct"/>
                  <w:shd w:val="clear" w:color="auto" w:fill="auto"/>
                  <w:vAlign w:val="center"/>
                </w:tcPr>
                <w:p w14:paraId="3915BD06">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拟建项目不属于码头项目。</w:t>
                  </w:r>
                </w:p>
              </w:tc>
              <w:tc>
                <w:tcPr>
                  <w:tcW w:w="315" w:type="pct"/>
                  <w:shd w:val="clear" w:color="auto" w:fill="auto"/>
                  <w:vAlign w:val="center"/>
                </w:tcPr>
                <w:p w14:paraId="3FB44681">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33E1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2B4A30F9">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2</w:t>
                  </w:r>
                </w:p>
              </w:tc>
              <w:tc>
                <w:tcPr>
                  <w:tcW w:w="2787" w:type="pct"/>
                  <w:shd w:val="clear" w:color="auto" w:fill="auto"/>
                  <w:vAlign w:val="center"/>
                </w:tcPr>
                <w:p w14:paraId="5BBC893C">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禁止新建、改建和扩建不符合《长江干线过江通道布局规划</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2020</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2035年</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》的过长江通道项目</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含桥梁、隧道</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，国家发展改革委同意过长江通道线位调整的除外。</w:t>
                  </w:r>
                </w:p>
              </w:tc>
              <w:tc>
                <w:tcPr>
                  <w:tcW w:w="1658" w:type="pct"/>
                  <w:shd w:val="clear" w:color="auto" w:fill="auto"/>
                  <w:vAlign w:val="center"/>
                </w:tcPr>
                <w:p w14:paraId="7B92E465">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拟建项目不属于过长江通道项目</w:t>
                  </w:r>
                </w:p>
              </w:tc>
              <w:tc>
                <w:tcPr>
                  <w:tcW w:w="315" w:type="pct"/>
                  <w:shd w:val="clear" w:color="auto" w:fill="auto"/>
                  <w:vAlign w:val="center"/>
                </w:tcPr>
                <w:p w14:paraId="5B6B7D32">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6C80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03F7D34D">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3</w:t>
                  </w:r>
                </w:p>
              </w:tc>
              <w:tc>
                <w:tcPr>
                  <w:tcW w:w="2787" w:type="pct"/>
                  <w:shd w:val="clear" w:color="auto" w:fill="auto"/>
                  <w:vAlign w:val="center"/>
                </w:tcPr>
                <w:p w14:paraId="5EE6F0C7">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禁止在自然保护区核心区、缓冲区的岸线和河段范围内投资建设旅游和生产经营项目。自然保护区的内部未分区的，依照核心区和缓冲区的规定管控。</w:t>
                  </w:r>
                </w:p>
              </w:tc>
              <w:tc>
                <w:tcPr>
                  <w:tcW w:w="1658" w:type="pct"/>
                  <w:shd w:val="clear" w:color="auto" w:fill="auto"/>
                  <w:vAlign w:val="center"/>
                </w:tcPr>
                <w:p w14:paraId="7B7D2E6B">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，不在自然保护区核心区、缓冲区的岸线和河段范围内。</w:t>
                  </w:r>
                </w:p>
              </w:tc>
              <w:tc>
                <w:tcPr>
                  <w:tcW w:w="315" w:type="pct"/>
                  <w:shd w:val="clear" w:color="auto" w:fill="auto"/>
                  <w:vAlign w:val="center"/>
                </w:tcPr>
                <w:p w14:paraId="76712BFE">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77B4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3F3FBF60">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4</w:t>
                  </w:r>
                </w:p>
              </w:tc>
              <w:tc>
                <w:tcPr>
                  <w:tcW w:w="2787" w:type="pct"/>
                  <w:shd w:val="clear" w:color="auto" w:fill="auto"/>
                  <w:vAlign w:val="center"/>
                </w:tcPr>
                <w:p w14:paraId="2E30F975">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禁止违反风景名胜区规划，在风景名胜区内设立各类开发区.禁止在风景名胜区核心景区的岸线和河段范围内建设宾馆、招待所、培训中心、疗养院以及与风景名胜资源保护无关的项目。</w:t>
                  </w:r>
                </w:p>
              </w:tc>
              <w:tc>
                <w:tcPr>
                  <w:tcW w:w="1658" w:type="pct"/>
                  <w:shd w:val="clear" w:color="auto" w:fill="auto"/>
                  <w:vAlign w:val="center"/>
                </w:tcPr>
                <w:p w14:paraId="4979E9B7">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，不涉及风景名胜区。</w:t>
                  </w:r>
                </w:p>
              </w:tc>
              <w:tc>
                <w:tcPr>
                  <w:tcW w:w="315" w:type="pct"/>
                  <w:shd w:val="clear" w:color="auto" w:fill="auto"/>
                  <w:vAlign w:val="center"/>
                </w:tcPr>
                <w:p w14:paraId="30893241">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0E4E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2FD321E7">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5</w:t>
                  </w:r>
                </w:p>
              </w:tc>
              <w:tc>
                <w:tcPr>
                  <w:tcW w:w="2787" w:type="pct"/>
                  <w:shd w:val="clear" w:color="auto" w:fill="auto"/>
                  <w:vAlign w:val="center"/>
                </w:tcPr>
                <w:p w14:paraId="034BC095">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禁止在饮用水水源准保护区的岸线和河段范围内新建、扩建对水体污染严重的建设项目，禁止改建增加排污量的建设项目。</w:t>
                  </w:r>
                </w:p>
              </w:tc>
              <w:tc>
                <w:tcPr>
                  <w:tcW w:w="1658" w:type="pct"/>
                  <w:shd w:val="clear" w:color="auto" w:fill="auto"/>
                  <w:vAlign w:val="center"/>
                </w:tcPr>
                <w:p w14:paraId="74F7F0B8">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，不在饮用水水源准保护区的岸线和河段范围内。</w:t>
                  </w:r>
                </w:p>
              </w:tc>
              <w:tc>
                <w:tcPr>
                  <w:tcW w:w="315" w:type="pct"/>
                  <w:shd w:val="clear" w:color="auto" w:fill="auto"/>
                  <w:vAlign w:val="center"/>
                </w:tcPr>
                <w:p w14:paraId="3774CFBE">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6F60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4AC90472">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6</w:t>
                  </w:r>
                </w:p>
              </w:tc>
              <w:tc>
                <w:tcPr>
                  <w:tcW w:w="2787" w:type="pct"/>
                  <w:shd w:val="clear" w:color="auto" w:fill="auto"/>
                  <w:vAlign w:val="center"/>
                </w:tcPr>
                <w:p w14:paraId="72103141">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饮用水水源二级保护区的岸线和河段范围内，除遵守准保护区规定外，禁止新建、改建、扩建排放污染物的投资建设项目；禁止从事对水体有污染的水产养殖等活动。</w:t>
                  </w:r>
                </w:p>
              </w:tc>
              <w:tc>
                <w:tcPr>
                  <w:tcW w:w="1658" w:type="pct"/>
                  <w:shd w:val="clear" w:color="auto" w:fill="auto"/>
                  <w:vAlign w:val="center"/>
                </w:tcPr>
                <w:p w14:paraId="6D47E140">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，不在饮用水水源二级保护区的岸线和河段范围内。</w:t>
                  </w:r>
                </w:p>
              </w:tc>
              <w:tc>
                <w:tcPr>
                  <w:tcW w:w="315" w:type="pct"/>
                  <w:shd w:val="clear" w:color="auto" w:fill="auto"/>
                  <w:vAlign w:val="center"/>
                </w:tcPr>
                <w:p w14:paraId="310F816C">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1553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13F15E9A">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7</w:t>
                  </w:r>
                </w:p>
              </w:tc>
              <w:tc>
                <w:tcPr>
                  <w:tcW w:w="2787" w:type="pct"/>
                  <w:shd w:val="clear" w:color="auto" w:fill="auto"/>
                  <w:vAlign w:val="center"/>
                </w:tcPr>
                <w:p w14:paraId="4E396DB8">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658" w:type="pct"/>
                  <w:shd w:val="clear" w:color="auto" w:fill="auto"/>
                  <w:vAlign w:val="center"/>
                </w:tcPr>
                <w:p w14:paraId="017BEC4F">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，不在饮用水水源一级保护区的岸线和河段范围内。</w:t>
                  </w:r>
                </w:p>
              </w:tc>
              <w:tc>
                <w:tcPr>
                  <w:tcW w:w="315" w:type="pct"/>
                  <w:shd w:val="clear" w:color="auto" w:fill="auto"/>
                  <w:vAlign w:val="center"/>
                </w:tcPr>
                <w:p w14:paraId="5349EF16">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702C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723384A0">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8</w:t>
                  </w:r>
                </w:p>
              </w:tc>
              <w:tc>
                <w:tcPr>
                  <w:tcW w:w="2787" w:type="pct"/>
                  <w:shd w:val="clear" w:color="auto" w:fill="auto"/>
                  <w:vAlign w:val="center"/>
                </w:tcPr>
                <w:p w14:paraId="6980E463">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禁止在水产种质资源保护区岸线和河段范围内新建围湖造田、围湖造地或挖沙采石等投资建设项目。</w:t>
                  </w:r>
                </w:p>
              </w:tc>
              <w:tc>
                <w:tcPr>
                  <w:tcW w:w="1658" w:type="pct"/>
                  <w:shd w:val="clear" w:color="auto" w:fill="auto"/>
                  <w:vAlign w:val="center"/>
                </w:tcPr>
                <w:p w14:paraId="6CF6626A">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，不在水产种植资源保护区的岸线和河段范围内。</w:t>
                  </w:r>
                </w:p>
              </w:tc>
              <w:tc>
                <w:tcPr>
                  <w:tcW w:w="315" w:type="pct"/>
                  <w:shd w:val="clear" w:color="auto" w:fill="auto"/>
                  <w:vAlign w:val="center"/>
                </w:tcPr>
                <w:p w14:paraId="69CEC574">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1202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3D849D75">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9</w:t>
                  </w:r>
                </w:p>
              </w:tc>
              <w:tc>
                <w:tcPr>
                  <w:tcW w:w="2787" w:type="pct"/>
                  <w:shd w:val="clear" w:color="auto" w:fill="auto"/>
                  <w:vAlign w:val="center"/>
                </w:tcPr>
                <w:p w14:paraId="7167920A">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olor w:val="000000" w:themeColor="text1"/>
                      <w:kern w:val="21"/>
                      <w:szCs w:val="21"/>
                      <w14:textFill>
                        <w14:solidFill>
                          <w14:schemeClr w14:val="tx1"/>
                        </w14:solidFill>
                      </w14:textFill>
                    </w:rPr>
                    <w:t>洄游</w:t>
                  </w:r>
                  <w:r>
                    <w:rPr>
                      <w:color w:val="000000" w:themeColor="text1"/>
                      <w:kern w:val="21"/>
                      <w:szCs w:val="21"/>
                      <w14:textFill>
                        <w14:solidFill>
                          <w14:schemeClr w14:val="tx1"/>
                        </w14:solidFill>
                      </w14:textFill>
                    </w:rPr>
                    <w:t>通道。</w:t>
                  </w:r>
                </w:p>
              </w:tc>
              <w:tc>
                <w:tcPr>
                  <w:tcW w:w="1658" w:type="pct"/>
                  <w:shd w:val="clear" w:color="auto" w:fill="auto"/>
                  <w:vAlign w:val="center"/>
                </w:tcPr>
                <w:p w14:paraId="160D0BF3">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，不在国家湿地公园的岸线和河段范围内。</w:t>
                  </w:r>
                </w:p>
              </w:tc>
              <w:tc>
                <w:tcPr>
                  <w:tcW w:w="315" w:type="pct"/>
                  <w:shd w:val="clear" w:color="auto" w:fill="auto"/>
                  <w:vAlign w:val="center"/>
                </w:tcPr>
                <w:p w14:paraId="37764AA7">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31C4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349A999E">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10</w:t>
                  </w:r>
                </w:p>
              </w:tc>
              <w:tc>
                <w:tcPr>
                  <w:tcW w:w="2787" w:type="pct"/>
                  <w:shd w:val="clear" w:color="auto" w:fill="auto"/>
                  <w:vAlign w:val="center"/>
                </w:tcPr>
                <w:p w14:paraId="3542A71D">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58" w:type="pct"/>
                  <w:shd w:val="clear" w:color="auto" w:fill="auto"/>
                  <w:vAlign w:val="center"/>
                </w:tcPr>
                <w:p w14:paraId="0AF74F80">
                  <w:pPr>
                    <w:autoSpaceDE w:val="0"/>
                    <w:autoSpaceDN w:val="0"/>
                    <w:adjustRightInd w:val="0"/>
                    <w:snapToGrid w:val="0"/>
                    <w:jc w:val="left"/>
                    <w:rPr>
                      <w:rFonts w:hint="eastAsia" w:eastAsia="宋体"/>
                      <w:color w:val="000000" w:themeColor="text1"/>
                      <w:kern w:val="21"/>
                      <w:szCs w:val="21"/>
                      <w:lang w:eastAsia="zh-CN"/>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，不在《长江岸线保护和开发利用总体规划》划定的岸线保护区内。</w:t>
                  </w:r>
                </w:p>
              </w:tc>
              <w:tc>
                <w:tcPr>
                  <w:tcW w:w="315" w:type="pct"/>
                  <w:shd w:val="clear" w:color="auto" w:fill="auto"/>
                  <w:vAlign w:val="center"/>
                </w:tcPr>
                <w:p w14:paraId="16BE1FA2">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5E31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1B937645">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11</w:t>
                  </w:r>
                </w:p>
              </w:tc>
              <w:tc>
                <w:tcPr>
                  <w:tcW w:w="2787" w:type="pct"/>
                  <w:shd w:val="clear" w:color="auto" w:fill="auto"/>
                  <w:vAlign w:val="center"/>
                </w:tcPr>
                <w:p w14:paraId="23698AE0">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禁止在《全国重要江河湖泊水功能区划》划定的河段及湖泊保护区、保留区内投资建设不利于水资源及自然生态保护的项目。</w:t>
                  </w:r>
                </w:p>
              </w:tc>
              <w:tc>
                <w:tcPr>
                  <w:tcW w:w="1658" w:type="pct"/>
                  <w:shd w:val="clear" w:color="auto" w:fill="auto"/>
                  <w:vAlign w:val="center"/>
                </w:tcPr>
                <w:p w14:paraId="3C9F2933">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，不在《全国重要江河湖泊水功能区划》划定的河段保护区、保留区。</w:t>
                  </w:r>
                </w:p>
              </w:tc>
              <w:tc>
                <w:tcPr>
                  <w:tcW w:w="315" w:type="pct"/>
                  <w:shd w:val="clear" w:color="auto" w:fill="auto"/>
                  <w:vAlign w:val="center"/>
                </w:tcPr>
                <w:p w14:paraId="207CD44A">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2027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735B8606">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12</w:t>
                  </w:r>
                </w:p>
              </w:tc>
              <w:tc>
                <w:tcPr>
                  <w:tcW w:w="2787" w:type="pct"/>
                  <w:shd w:val="clear" w:color="auto" w:fill="auto"/>
                  <w:vAlign w:val="center"/>
                </w:tcPr>
                <w:p w14:paraId="5A3075A9">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1658" w:type="pct"/>
                  <w:shd w:val="clear" w:color="auto" w:fill="auto"/>
                  <w:vAlign w:val="center"/>
                </w:tcPr>
                <w:p w14:paraId="2D5DB219">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拟建项目废水经厂区污水处理站处理后排入蒲吕污水处理厂处理，不新增排污口。</w:t>
                  </w:r>
                </w:p>
              </w:tc>
              <w:tc>
                <w:tcPr>
                  <w:tcW w:w="315" w:type="pct"/>
                  <w:shd w:val="clear" w:color="auto" w:fill="auto"/>
                  <w:vAlign w:val="center"/>
                </w:tcPr>
                <w:p w14:paraId="1C9E323D">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6475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3CF4F59B">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13</w:t>
                  </w:r>
                </w:p>
              </w:tc>
              <w:tc>
                <w:tcPr>
                  <w:tcW w:w="2787" w:type="pct"/>
                  <w:shd w:val="clear" w:color="auto" w:fill="auto"/>
                  <w:vAlign w:val="center"/>
                </w:tcPr>
                <w:p w14:paraId="39A6AA26">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禁止在长江干流、大渡河、岷江、赤水河、沱江、嘉陵江、乌江、汉江和51个</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四川省45个、重庆市6个</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水生生物保护区开展生产性捕捞。</w:t>
                  </w:r>
                </w:p>
              </w:tc>
              <w:tc>
                <w:tcPr>
                  <w:tcW w:w="1658" w:type="pct"/>
                  <w:shd w:val="clear" w:color="auto" w:fill="auto"/>
                  <w:vAlign w:val="center"/>
                </w:tcPr>
                <w:p w14:paraId="3DF22FCB">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拟建项目不涉及。</w:t>
                  </w:r>
                </w:p>
              </w:tc>
              <w:tc>
                <w:tcPr>
                  <w:tcW w:w="315" w:type="pct"/>
                  <w:shd w:val="clear" w:color="auto" w:fill="auto"/>
                  <w:vAlign w:val="center"/>
                </w:tcPr>
                <w:p w14:paraId="1FD1AE34">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w:t>
                  </w:r>
                </w:p>
              </w:tc>
            </w:tr>
            <w:tr w14:paraId="2933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665AB9D5">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14</w:t>
                  </w:r>
                </w:p>
              </w:tc>
              <w:tc>
                <w:tcPr>
                  <w:tcW w:w="2787" w:type="pct"/>
                  <w:shd w:val="clear" w:color="auto" w:fill="auto"/>
                  <w:vAlign w:val="center"/>
                </w:tcPr>
                <w:p w14:paraId="73CB4D1E">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禁止在长江干支流、重要湖泊岸线一公里范围内新建、扩建化工园区和化工项目。</w:t>
                  </w:r>
                </w:p>
              </w:tc>
              <w:tc>
                <w:tcPr>
                  <w:tcW w:w="1658" w:type="pct"/>
                  <w:shd w:val="clear" w:color="auto" w:fill="auto"/>
                  <w:vAlign w:val="center"/>
                </w:tcPr>
                <w:p w14:paraId="23D53F97">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，不属于化工项目。</w:t>
                  </w:r>
                </w:p>
              </w:tc>
              <w:tc>
                <w:tcPr>
                  <w:tcW w:w="315" w:type="pct"/>
                  <w:shd w:val="clear" w:color="auto" w:fill="auto"/>
                  <w:vAlign w:val="center"/>
                </w:tcPr>
                <w:p w14:paraId="4E3C1AC2">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705A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278007AD">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15</w:t>
                  </w:r>
                </w:p>
              </w:tc>
              <w:tc>
                <w:tcPr>
                  <w:tcW w:w="2787" w:type="pct"/>
                  <w:shd w:val="clear" w:color="auto" w:fill="auto"/>
                  <w:vAlign w:val="center"/>
                </w:tcPr>
                <w:p w14:paraId="042E2598">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1658" w:type="pct"/>
                  <w:shd w:val="clear" w:color="auto" w:fill="auto"/>
                  <w:vAlign w:val="center"/>
                </w:tcPr>
                <w:p w14:paraId="4A99BABC">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拟建项目属于有色金属铸造、计算机零部件制造、塑料零件及其他塑料制品制造，不属于尾矿库、冶炼渣库、磷石膏库。</w:t>
                  </w:r>
                </w:p>
              </w:tc>
              <w:tc>
                <w:tcPr>
                  <w:tcW w:w="315" w:type="pct"/>
                  <w:shd w:val="clear" w:color="auto" w:fill="auto"/>
                  <w:vAlign w:val="center"/>
                </w:tcPr>
                <w:p w14:paraId="454BA675">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79DE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4D635739">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16</w:t>
                  </w:r>
                </w:p>
              </w:tc>
              <w:tc>
                <w:tcPr>
                  <w:tcW w:w="2787" w:type="pct"/>
                  <w:shd w:val="clear" w:color="auto" w:fill="auto"/>
                  <w:vAlign w:val="center"/>
                </w:tcPr>
                <w:p w14:paraId="7EC1BA06">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禁止在生态保护红线区域、永久基本农田集中区域和其他需要特别保护的区域内选址建设尾矿库、冶炼渣库、磷石膏库。</w:t>
                  </w:r>
                </w:p>
              </w:tc>
              <w:tc>
                <w:tcPr>
                  <w:tcW w:w="1658" w:type="pct"/>
                  <w:shd w:val="clear" w:color="auto" w:fill="auto"/>
                  <w:vAlign w:val="center"/>
                </w:tcPr>
                <w:p w14:paraId="48183372">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w:t>
                  </w:r>
                  <w:r>
                    <w:rPr>
                      <w:color w:val="000000" w:themeColor="text1"/>
                      <w:kern w:val="21"/>
                      <w:szCs w:val="21"/>
                      <w14:textFill>
                        <w14:solidFill>
                          <w14:schemeClr w14:val="tx1"/>
                        </w14:solidFill>
                      </w14:textFill>
                    </w:rPr>
                    <w:t>，不在生态保护红线区域、永久基本农田集中区域和其他需要特别保护的区域内。</w:t>
                  </w:r>
                </w:p>
              </w:tc>
              <w:tc>
                <w:tcPr>
                  <w:tcW w:w="315" w:type="pct"/>
                  <w:shd w:val="clear" w:color="auto" w:fill="auto"/>
                  <w:vAlign w:val="center"/>
                </w:tcPr>
                <w:p w14:paraId="762F837F">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3CC1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3E004282">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17</w:t>
                  </w:r>
                </w:p>
              </w:tc>
              <w:tc>
                <w:tcPr>
                  <w:tcW w:w="2787" w:type="pct"/>
                  <w:shd w:val="clear" w:color="auto" w:fill="auto"/>
                  <w:vAlign w:val="center"/>
                </w:tcPr>
                <w:p w14:paraId="566EA108">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禁止在合规园区外新建、扩建钢铁、石化、化工、焦化、建材、有色、制浆造纸等高污染项目。</w:t>
                  </w:r>
                </w:p>
              </w:tc>
              <w:tc>
                <w:tcPr>
                  <w:tcW w:w="1658" w:type="pct"/>
                  <w:shd w:val="clear" w:color="auto" w:fill="auto"/>
                  <w:vAlign w:val="center"/>
                </w:tcPr>
                <w:p w14:paraId="69229723">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拟建项目位于铜梁高新区</w:t>
                  </w:r>
                  <w:r>
                    <w:rPr>
                      <w:bCs/>
                      <w:color w:val="000000" w:themeColor="text1"/>
                      <w:kern w:val="21"/>
                      <w:szCs w:val="21"/>
                      <w14:textFill>
                        <w14:solidFill>
                          <w14:schemeClr w14:val="tx1"/>
                        </w14:solidFill>
                      </w14:textFill>
                    </w:rPr>
                    <w:t>蒲吕片区，位于合规园区范围内。</w:t>
                  </w:r>
                </w:p>
              </w:tc>
              <w:tc>
                <w:tcPr>
                  <w:tcW w:w="315" w:type="pct"/>
                  <w:shd w:val="clear" w:color="auto" w:fill="auto"/>
                  <w:vAlign w:val="center"/>
                </w:tcPr>
                <w:p w14:paraId="7617AE39">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790B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3CEE4569">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18</w:t>
                  </w:r>
                </w:p>
              </w:tc>
              <w:tc>
                <w:tcPr>
                  <w:tcW w:w="2787" w:type="pct"/>
                  <w:shd w:val="clear" w:color="auto" w:fill="auto"/>
                  <w:vAlign w:val="center"/>
                </w:tcPr>
                <w:p w14:paraId="424DBA57">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禁止新建、扩建不符合国家石化、现代煤化工等产业布局规划的项目。</w:t>
                  </w:r>
                </w:p>
                <w:p w14:paraId="3BE1D78B">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（一）严格控制新增炼油产能，未列入《石化产业规划布局方案</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修订版</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》的新增炼油产能一律不得建设。</w:t>
                  </w:r>
                </w:p>
                <w:p w14:paraId="2E2869A0">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（二）新建煤制烯经、煤制芳</w:t>
                  </w:r>
                  <w:r>
                    <w:rPr>
                      <w:rFonts w:hint="eastAsia"/>
                      <w:color w:val="000000" w:themeColor="text1"/>
                      <w:kern w:val="21"/>
                      <w:szCs w:val="21"/>
                      <w14:textFill>
                        <w14:solidFill>
                          <w14:schemeClr w14:val="tx1"/>
                        </w14:solidFill>
                      </w14:textFill>
                    </w:rPr>
                    <w:t>烃</w:t>
                  </w:r>
                  <w:r>
                    <w:rPr>
                      <w:color w:val="000000" w:themeColor="text1"/>
                      <w:kern w:val="21"/>
                      <w:szCs w:val="21"/>
                      <w14:textFill>
                        <w14:solidFill>
                          <w14:schemeClr w14:val="tx1"/>
                        </w14:solidFill>
                      </w14:textFill>
                    </w:rPr>
                    <w:t>项目必须列入《现代煤化工产业创新发展布局方案》，必须符合《现代煤化工建设项目环境准入条件</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试行</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》要求。</w:t>
                  </w:r>
                </w:p>
              </w:tc>
              <w:tc>
                <w:tcPr>
                  <w:tcW w:w="1658" w:type="pct"/>
                  <w:shd w:val="clear" w:color="auto" w:fill="auto"/>
                  <w:vAlign w:val="center"/>
                </w:tcPr>
                <w:p w14:paraId="02CEE241">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拟建项目不属于石化、现代煤化工项目。</w:t>
                  </w:r>
                </w:p>
              </w:tc>
              <w:tc>
                <w:tcPr>
                  <w:tcW w:w="315" w:type="pct"/>
                  <w:shd w:val="clear" w:color="auto" w:fill="auto"/>
                  <w:vAlign w:val="center"/>
                </w:tcPr>
                <w:p w14:paraId="5B238C2B">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0ECD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6CF99823">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19</w:t>
                  </w:r>
                </w:p>
              </w:tc>
              <w:tc>
                <w:tcPr>
                  <w:tcW w:w="2787" w:type="pct"/>
                  <w:shd w:val="clear" w:color="auto" w:fill="auto"/>
                  <w:vAlign w:val="center"/>
                </w:tcPr>
                <w:p w14:paraId="1DA9CA17">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58" w:type="pct"/>
                  <w:shd w:val="clear" w:color="auto" w:fill="auto"/>
                  <w:vAlign w:val="center"/>
                </w:tcPr>
                <w:p w14:paraId="540045F9">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拟建项目属于《产业结构调整指导目录》允许类项目。</w:t>
                  </w:r>
                </w:p>
              </w:tc>
              <w:tc>
                <w:tcPr>
                  <w:tcW w:w="315" w:type="pct"/>
                  <w:shd w:val="clear" w:color="auto" w:fill="auto"/>
                  <w:vAlign w:val="center"/>
                </w:tcPr>
                <w:p w14:paraId="5C5CCC5B">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3693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6F1FFF9D">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20</w:t>
                  </w:r>
                </w:p>
              </w:tc>
              <w:tc>
                <w:tcPr>
                  <w:tcW w:w="2787" w:type="pct"/>
                  <w:shd w:val="clear" w:color="auto" w:fill="auto"/>
                  <w:vAlign w:val="center"/>
                </w:tcPr>
                <w:p w14:paraId="7690BA40">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1658" w:type="pct"/>
                  <w:shd w:val="clear" w:color="auto" w:fill="auto"/>
                  <w:vAlign w:val="center"/>
                </w:tcPr>
                <w:p w14:paraId="50BB47ED">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拟建项目不属于严重过剩产能行业的项目。</w:t>
                  </w:r>
                </w:p>
              </w:tc>
              <w:tc>
                <w:tcPr>
                  <w:tcW w:w="315" w:type="pct"/>
                  <w:shd w:val="clear" w:color="auto" w:fill="auto"/>
                  <w:vAlign w:val="center"/>
                </w:tcPr>
                <w:p w14:paraId="0FD902EC">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1720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6E4E81A4">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21</w:t>
                  </w:r>
                </w:p>
              </w:tc>
              <w:tc>
                <w:tcPr>
                  <w:tcW w:w="2787" w:type="pct"/>
                  <w:shd w:val="clear" w:color="auto" w:fill="auto"/>
                  <w:vAlign w:val="center"/>
                </w:tcPr>
                <w:p w14:paraId="2BCDFF5E">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禁止建设以下燃油汽车投资项目</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不在中国境内销售产品的投资项目除外</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w:t>
                  </w:r>
                </w:p>
                <w:p w14:paraId="13E725AE">
                  <w:pPr>
                    <w:autoSpaceDE w:val="0"/>
                    <w:autoSpaceDN w:val="0"/>
                    <w:adjustRightInd w:val="0"/>
                    <w:snapToGrid w:val="0"/>
                    <w:jc w:val="left"/>
                    <w:rPr>
                      <w:color w:val="000000" w:themeColor="text1"/>
                      <w:kern w:val="21"/>
                      <w:szCs w:val="21"/>
                      <w14:textFill>
                        <w14:solidFill>
                          <w14:schemeClr w14:val="tx1"/>
                        </w14:solidFill>
                      </w14:textFill>
                    </w:rPr>
                  </w:pP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一</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新建独立燃油汽车企业；</w:t>
                  </w:r>
                </w:p>
                <w:p w14:paraId="6AC312F7">
                  <w:pPr>
                    <w:autoSpaceDE w:val="0"/>
                    <w:autoSpaceDN w:val="0"/>
                    <w:adjustRightInd w:val="0"/>
                    <w:snapToGrid w:val="0"/>
                    <w:jc w:val="left"/>
                    <w:rPr>
                      <w:color w:val="000000" w:themeColor="text1"/>
                      <w:kern w:val="21"/>
                      <w:szCs w:val="21"/>
                      <w14:textFill>
                        <w14:solidFill>
                          <w14:schemeClr w14:val="tx1"/>
                        </w14:solidFill>
                      </w14:textFill>
                    </w:rPr>
                  </w:pP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二</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现有汽车企业跨乘用车、商用车类别建设燃油汽车生产能力；</w:t>
                  </w:r>
                </w:p>
                <w:p w14:paraId="24613654">
                  <w:pPr>
                    <w:autoSpaceDE w:val="0"/>
                    <w:autoSpaceDN w:val="0"/>
                    <w:adjustRightInd w:val="0"/>
                    <w:snapToGrid w:val="0"/>
                    <w:jc w:val="left"/>
                    <w:rPr>
                      <w:color w:val="000000" w:themeColor="text1"/>
                      <w:kern w:val="21"/>
                      <w:szCs w:val="21"/>
                      <w14:textFill>
                        <w14:solidFill>
                          <w14:schemeClr w14:val="tx1"/>
                        </w14:solidFill>
                      </w14:textFill>
                    </w:rPr>
                  </w:pP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三</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外省现有燃油汽车企业整体搬迁至本省</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列入国家级区域发展规划或不改变企业股权结构的项目除外</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w:t>
                  </w:r>
                </w:p>
                <w:p w14:paraId="3B72607C">
                  <w:pPr>
                    <w:autoSpaceDE w:val="0"/>
                    <w:autoSpaceDN w:val="0"/>
                    <w:adjustRightInd w:val="0"/>
                    <w:snapToGrid w:val="0"/>
                    <w:jc w:val="left"/>
                    <w:rPr>
                      <w:color w:val="000000" w:themeColor="text1"/>
                      <w:kern w:val="21"/>
                      <w:szCs w:val="21"/>
                      <w14:textFill>
                        <w14:solidFill>
                          <w14:schemeClr w14:val="tx1"/>
                        </w14:solidFill>
                      </w14:textFill>
                    </w:rPr>
                  </w:pP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四</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对行业管理部门特别公示的燃油汽车企业进行投资</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企业原有股东投资或将该企业转为非独立法人的投资项目除外</w:t>
                  </w:r>
                  <w:r>
                    <w:rPr>
                      <w:rFonts w:hint="eastAsia"/>
                      <w:color w:val="000000" w:themeColor="text1"/>
                      <w:kern w:val="21"/>
                      <w:szCs w:val="21"/>
                      <w14:textFill>
                        <w14:solidFill>
                          <w14:schemeClr w14:val="tx1"/>
                        </w14:solidFill>
                      </w14:textFill>
                    </w:rPr>
                    <w:t>）</w:t>
                  </w:r>
                  <w:r>
                    <w:rPr>
                      <w:color w:val="000000" w:themeColor="text1"/>
                      <w:kern w:val="21"/>
                      <w:szCs w:val="21"/>
                      <w14:textFill>
                        <w14:solidFill>
                          <w14:schemeClr w14:val="tx1"/>
                        </w14:solidFill>
                      </w14:textFill>
                    </w:rPr>
                    <w:t>。</w:t>
                  </w:r>
                </w:p>
              </w:tc>
              <w:tc>
                <w:tcPr>
                  <w:tcW w:w="1658" w:type="pct"/>
                  <w:shd w:val="clear" w:color="auto" w:fill="auto"/>
                  <w:vAlign w:val="center"/>
                </w:tcPr>
                <w:p w14:paraId="099CD5C7">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拟建项目不属于燃油汽车投资项目。</w:t>
                  </w:r>
                </w:p>
              </w:tc>
              <w:tc>
                <w:tcPr>
                  <w:tcW w:w="315" w:type="pct"/>
                  <w:shd w:val="clear" w:color="auto" w:fill="auto"/>
                  <w:vAlign w:val="center"/>
                </w:tcPr>
                <w:p w14:paraId="6FE0C4E9">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r w14:paraId="34CD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1" w:type="pct"/>
                  <w:shd w:val="clear" w:color="auto" w:fill="auto"/>
                  <w:vAlign w:val="center"/>
                </w:tcPr>
                <w:p w14:paraId="735AD65D">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22</w:t>
                  </w:r>
                </w:p>
              </w:tc>
              <w:tc>
                <w:tcPr>
                  <w:tcW w:w="2787" w:type="pct"/>
                  <w:shd w:val="clear" w:color="auto" w:fill="auto"/>
                  <w:vAlign w:val="center"/>
                </w:tcPr>
                <w:p w14:paraId="1EE63FB1">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禁止新建、扩建不符合要求的高耗能、高排放、低水平项目。</w:t>
                  </w:r>
                </w:p>
              </w:tc>
              <w:tc>
                <w:tcPr>
                  <w:tcW w:w="1658" w:type="pct"/>
                  <w:shd w:val="clear" w:color="auto" w:fill="auto"/>
                  <w:vAlign w:val="center"/>
                </w:tcPr>
                <w:p w14:paraId="7759AA46">
                  <w:pPr>
                    <w:autoSpaceDE w:val="0"/>
                    <w:autoSpaceDN w:val="0"/>
                    <w:adjustRightInd w:val="0"/>
                    <w:snapToGrid w:val="0"/>
                    <w:jc w:val="left"/>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拟建项目不属于高耗能、高排放、低水平项目。</w:t>
                  </w:r>
                </w:p>
              </w:tc>
              <w:tc>
                <w:tcPr>
                  <w:tcW w:w="315" w:type="pct"/>
                  <w:shd w:val="clear" w:color="auto" w:fill="auto"/>
                  <w:vAlign w:val="center"/>
                </w:tcPr>
                <w:p w14:paraId="6F92C51A">
                  <w:pPr>
                    <w:autoSpaceDE w:val="0"/>
                    <w:autoSpaceDN w:val="0"/>
                    <w:adjustRightInd w:val="0"/>
                    <w:snapToGrid w:val="0"/>
                    <w:jc w:val="center"/>
                    <w:rPr>
                      <w:color w:val="000000" w:themeColor="text1"/>
                      <w:kern w:val="21"/>
                      <w:szCs w:val="21"/>
                      <w14:textFill>
                        <w14:solidFill>
                          <w14:schemeClr w14:val="tx1"/>
                        </w14:solidFill>
                      </w14:textFill>
                    </w:rPr>
                  </w:pPr>
                  <w:r>
                    <w:rPr>
                      <w:color w:val="000000" w:themeColor="text1"/>
                      <w:kern w:val="21"/>
                      <w:szCs w:val="21"/>
                      <w14:textFill>
                        <w14:solidFill>
                          <w14:schemeClr w14:val="tx1"/>
                        </w14:solidFill>
                      </w14:textFill>
                    </w:rPr>
                    <w:t>符合</w:t>
                  </w:r>
                </w:p>
              </w:tc>
            </w:tr>
          </w:tbl>
          <w:p w14:paraId="56EDB07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根据表1-11的对比分析可知，项目与《四川省、重庆市长江经济带发展负面清单实施细则（试行，2022年版）》（川长江办〔2022〕17号）的相关要求相符。</w:t>
            </w:r>
          </w:p>
          <w:p w14:paraId="78DD70C9">
            <w:pPr>
              <w:pStyle w:val="137"/>
              <w:rPr>
                <w:rFonts w:eastAsia="宋体"/>
                <w:b/>
                <w:bCs/>
                <w:color w:val="000000" w:themeColor="text1"/>
                <w:kern w:val="0"/>
                <w14:textFill>
                  <w14:solidFill>
                    <w14:schemeClr w14:val="tx1"/>
                  </w14:solidFill>
                </w14:textFill>
              </w:rPr>
            </w:pPr>
            <w:r>
              <w:rPr>
                <w:rFonts w:eastAsia="宋体"/>
                <w:b/>
                <w:bCs/>
                <w:color w:val="000000" w:themeColor="text1"/>
                <w:kern w:val="0"/>
                <w14:textFill>
                  <w14:solidFill>
                    <w14:schemeClr w14:val="tx1"/>
                  </w14:solidFill>
                </w14:textFill>
              </w:rPr>
              <w:t>12、与“三线一单”的符合性分析</w:t>
            </w:r>
          </w:p>
          <w:p w14:paraId="71A1B14C">
            <w:pPr>
              <w:pStyle w:val="8"/>
              <w:ind w:firstLineChars="0"/>
              <w:rPr>
                <w:color w:val="000000" w:themeColor="text1"/>
                <w14:textFill>
                  <w14:solidFill>
                    <w14:schemeClr w14:val="tx1"/>
                  </w14:solidFill>
                </w14:textFill>
              </w:rPr>
            </w:pPr>
            <w:r>
              <w:rPr>
                <w:color w:val="000000" w:themeColor="text1"/>
                <w14:textFill>
                  <w14:solidFill>
                    <w14:schemeClr w14:val="tx1"/>
                  </w14:solidFill>
                </w14:textFill>
              </w:rPr>
              <w:t>拟建项目位于</w:t>
            </w:r>
            <w:r>
              <w:rPr>
                <w:bCs/>
                <w:color w:val="000000" w:themeColor="text1"/>
                <w14:textFill>
                  <w14:solidFill>
                    <w14:schemeClr w14:val="tx1"/>
                  </w14:solidFill>
                </w14:textFill>
              </w:rPr>
              <w:t>铜梁高新区蒲吕片区</w:t>
            </w:r>
            <w:r>
              <w:rPr>
                <w:color w:val="000000" w:themeColor="text1"/>
                <w14:textFill>
                  <w14:solidFill>
                    <w14:schemeClr w14:val="tx1"/>
                  </w14:solidFill>
                </w14:textFill>
              </w:rPr>
              <w:t>，根据《重庆市“三线一单”生态环境分区管控调整方案（2023年）》（渝环规（2024）2号）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《重庆市铜梁区“三线一单”生态环境分区管控调整方案（2023年）》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铜府发〔2024〕7号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及“重庆市‘三线一单’智检服务”平台的智检查询，项目所处位置属于“铜梁区工业城镇重点管控单元－城区片区”，为重点管控单元，环境管控单元编码：ZH50015120001。与“三线一单”管控要求符合性见表1-12。</w:t>
            </w:r>
          </w:p>
          <w:p w14:paraId="05846BCA">
            <w:pPr>
              <w:pStyle w:val="40"/>
              <w:ind w:firstLine="48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表1-12项目与“三线一单”管控要求符合性分析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022"/>
              <w:gridCol w:w="4101"/>
              <w:gridCol w:w="1852"/>
              <w:gridCol w:w="766"/>
            </w:tblGrid>
            <w:tr w14:paraId="0072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3" w:type="pct"/>
                  <w:gridSpan w:val="2"/>
                  <w:vAlign w:val="center"/>
                </w:tcPr>
                <w:p w14:paraId="445597A9">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环境管控单元编码</w:t>
                  </w:r>
                </w:p>
              </w:tc>
              <w:tc>
                <w:tcPr>
                  <w:tcW w:w="2372" w:type="pct"/>
                  <w:vAlign w:val="center"/>
                </w:tcPr>
                <w:p w14:paraId="09C2CA4A">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环境管控单元名称</w:t>
                  </w:r>
                </w:p>
              </w:tc>
              <w:tc>
                <w:tcPr>
                  <w:tcW w:w="1514" w:type="pct"/>
                  <w:gridSpan w:val="2"/>
                  <w:vAlign w:val="center"/>
                </w:tcPr>
                <w:p w14:paraId="3C8370D2">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环境管控单元类型</w:t>
                  </w:r>
                </w:p>
              </w:tc>
            </w:tr>
            <w:tr w14:paraId="4F5C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3" w:type="pct"/>
                  <w:gridSpan w:val="2"/>
                  <w:vAlign w:val="center"/>
                </w:tcPr>
                <w:p w14:paraId="755FE834">
                  <w:pPr>
                    <w:snapToGrid w:val="0"/>
                    <w:spacing w:line="32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ZH50015120001</w:t>
                  </w:r>
                </w:p>
              </w:tc>
              <w:tc>
                <w:tcPr>
                  <w:tcW w:w="2372" w:type="pct"/>
                  <w:vAlign w:val="center"/>
                </w:tcPr>
                <w:p w14:paraId="6112D564">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铜梁区工业城镇重点管控单元－城区片区</w:t>
                  </w:r>
                </w:p>
              </w:tc>
              <w:tc>
                <w:tcPr>
                  <w:tcW w:w="1514" w:type="pct"/>
                  <w:gridSpan w:val="2"/>
                  <w:vAlign w:val="center"/>
                </w:tcPr>
                <w:p w14:paraId="0E4526C2">
                  <w:pPr>
                    <w:snapToGrid w:val="0"/>
                    <w:spacing w:line="32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重点管控单元</w:t>
                  </w:r>
                </w:p>
              </w:tc>
            </w:tr>
            <w:tr w14:paraId="4CCF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Align w:val="center"/>
                </w:tcPr>
                <w:p w14:paraId="526EB8DC">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管控要求层级</w:t>
                  </w:r>
                </w:p>
              </w:tc>
              <w:tc>
                <w:tcPr>
                  <w:tcW w:w="590" w:type="pct"/>
                  <w:vAlign w:val="center"/>
                </w:tcPr>
                <w:p w14:paraId="494CAB6E">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管控类型</w:t>
                  </w:r>
                </w:p>
              </w:tc>
              <w:tc>
                <w:tcPr>
                  <w:tcW w:w="2372" w:type="pct"/>
                  <w:vAlign w:val="center"/>
                </w:tcPr>
                <w:p w14:paraId="09F4AC57">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管控要求</w:t>
                  </w:r>
                </w:p>
              </w:tc>
              <w:tc>
                <w:tcPr>
                  <w:tcW w:w="1071" w:type="pct"/>
                  <w:vAlign w:val="center"/>
                </w:tcPr>
                <w:p w14:paraId="701DDAD0">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建设项目相关情况</w:t>
                  </w:r>
                </w:p>
              </w:tc>
              <w:tc>
                <w:tcPr>
                  <w:tcW w:w="442" w:type="pct"/>
                  <w:vAlign w:val="center"/>
                </w:tcPr>
                <w:p w14:paraId="76948B7E">
                  <w:pPr>
                    <w:snapToGrid w:val="0"/>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符合性</w:t>
                  </w:r>
                </w:p>
              </w:tc>
            </w:tr>
            <w:tr w14:paraId="182A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restart"/>
                  <w:vAlign w:val="center"/>
                </w:tcPr>
                <w:p w14:paraId="0ED62BAE">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全市总体管控要求</w:t>
                  </w:r>
                </w:p>
              </w:tc>
              <w:tc>
                <w:tcPr>
                  <w:tcW w:w="590" w:type="pct"/>
                  <w:vAlign w:val="center"/>
                </w:tcPr>
                <w:p w14:paraId="710C2BDB">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372" w:type="pct"/>
                  <w:vAlign w:val="center"/>
                </w:tcPr>
                <w:p w14:paraId="221D8994">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1、深入贯彻习近平生态文明思想，筑牢长江上游重要生态屏障，推动优势区域重点发展、生态功能区重点保护、城乡融合发展，优化重点区域、流域、产业的空间布局。</w:t>
                  </w:r>
                </w:p>
                <w:p w14:paraId="497F91BA">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642672E5">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459CA6C8">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7C43A6EE">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5、新建、扩建有色金属冶炼、电镀、铅蓄电池等企业应布设在依法合规设立并经过规划环评的产业园区。</w:t>
                  </w:r>
                </w:p>
                <w:p w14:paraId="76AC1A06">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6、涉及环境防护距离的工业企业或项目应通过选址或调整布局原则上将环境防护距离控制在园区边界或用地红线内，提前合理规划项目地块布置、预防环境风险。</w:t>
                  </w:r>
                </w:p>
                <w:p w14:paraId="5A0E7E7D">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7、有效规范空间开发秩序，合理控制空间开发强度，切实将各类开发活动限制在资源环境承载能力之内，为构建高效协调可持续的国土空间开发格局奠定坚实基础。</w:t>
                  </w:r>
                </w:p>
              </w:tc>
              <w:tc>
                <w:tcPr>
                  <w:tcW w:w="1071" w:type="pct"/>
                  <w:vAlign w:val="center"/>
                </w:tcPr>
                <w:p w14:paraId="504D2936">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项目属于</w:t>
                  </w:r>
                  <w:r>
                    <w:rPr>
                      <w:rFonts w:hint="eastAsia"/>
                      <w:color w:val="000000" w:themeColor="text1"/>
                      <w:kern w:val="0"/>
                      <w:szCs w:val="21"/>
                      <w:lang w:val="en-US" w:eastAsia="zh-CN"/>
                      <w14:textFill>
                        <w14:solidFill>
                          <w14:schemeClr w14:val="tx1"/>
                        </w14:solidFill>
                      </w14:textFill>
                    </w:rPr>
                    <w:t>通用设备零部件制造</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位于铜梁高新区蒲吕片区，不在长江及重要干支流沿岸，</w:t>
                  </w:r>
                  <w:r>
                    <w:rPr>
                      <w:rFonts w:hint="eastAsia"/>
                      <w:color w:val="000000" w:themeColor="text1"/>
                      <w:kern w:val="0"/>
                      <w:szCs w:val="21"/>
                      <w14:textFill>
                        <w14:solidFill>
                          <w14:schemeClr w14:val="tx1"/>
                        </w14:solidFill>
                      </w14:textFill>
                    </w:rPr>
                    <w:t>不属于化工、尾矿库、冶炼渣库、磷石膏库、纸浆制造、印染等项目；不属于“高污染”及“两高”项目；不属于高耗能、高排放、低水平项目；不属于有色金属冶炼、电镀、铅蓄电池等企业；不涉及环境防护距离。</w:t>
                  </w:r>
                </w:p>
              </w:tc>
              <w:tc>
                <w:tcPr>
                  <w:tcW w:w="442" w:type="pct"/>
                  <w:vAlign w:val="center"/>
                </w:tcPr>
                <w:p w14:paraId="0B6C7A78">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42D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70288601">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607995E0">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372" w:type="pct"/>
                  <w:vAlign w:val="center"/>
                </w:tcPr>
                <w:p w14:paraId="00621807">
                  <w:pPr>
                    <w:numPr>
                      <w:ilvl w:val="0"/>
                      <w:numId w:val="2"/>
                    </w:num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7F4159EC">
                  <w:pPr>
                    <w:numPr>
                      <w:ilvl w:val="0"/>
                      <w:numId w:val="2"/>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155EF53B">
                  <w:pPr>
                    <w:numPr>
                      <w:ilvl w:val="0"/>
                      <w:numId w:val="2"/>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5247CAF8">
                  <w:pPr>
                    <w:numPr>
                      <w:ilvl w:val="0"/>
                      <w:numId w:val="2"/>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0FDA2F8F">
                  <w:pPr>
                    <w:numPr>
                      <w:ilvl w:val="0"/>
                      <w:numId w:val="2"/>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385EA914">
                  <w:pPr>
                    <w:numPr>
                      <w:ilvl w:val="0"/>
                      <w:numId w:val="2"/>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9BC7281">
                  <w:pPr>
                    <w:numPr>
                      <w:ilvl w:val="0"/>
                      <w:numId w:val="2"/>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体废物污染环境防治坚持减量化、资源化和无害化的原则。产生工业固体废物的单位应当建立健全工业固体废物产生、收集、贮存、运输、利用、处置全过程的污染环境防治责任制度，建立工业固体废物管理台账。</w:t>
                  </w:r>
                </w:p>
                <w:p w14:paraId="3DD8D6A8">
                  <w:pPr>
                    <w:numPr>
                      <w:ilvl w:val="0"/>
                      <w:numId w:val="0"/>
                    </w:numPr>
                    <w:autoSpaceDE w:val="0"/>
                    <w:autoSpaceDN w:val="0"/>
                    <w:adjustRightInd w:val="0"/>
                    <w:snapToGrid w:val="0"/>
                    <w:spacing w:line="240" w:lineRule="auto"/>
                    <w:ind w:leftChars="0"/>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8、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071" w:type="pct"/>
                  <w:vAlign w:val="center"/>
                </w:tcPr>
                <w:p w14:paraId="5BA33CF3">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项目属于</w:t>
                  </w:r>
                  <w:r>
                    <w:rPr>
                      <w:rFonts w:hint="eastAsia"/>
                      <w:color w:val="000000" w:themeColor="text1"/>
                      <w:kern w:val="0"/>
                      <w:szCs w:val="21"/>
                      <w:lang w:val="en-US" w:eastAsia="zh-CN"/>
                      <w14:textFill>
                        <w14:solidFill>
                          <w14:schemeClr w14:val="tx1"/>
                        </w14:solidFill>
                      </w14:textFill>
                    </w:rPr>
                    <w:t>通用设备零部件制造</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位于铜梁高新区蒲吕片区，</w:t>
                  </w:r>
                  <w:r>
                    <w:rPr>
                      <w:rFonts w:hint="eastAsia"/>
                      <w:color w:val="000000" w:themeColor="text1"/>
                      <w:kern w:val="0"/>
                      <w:szCs w:val="21"/>
                      <w14:textFill>
                        <w14:solidFill>
                          <w14:schemeClr w14:val="tx1"/>
                        </w14:solidFill>
                      </w14:textFill>
                    </w:rPr>
                    <w:t>不属于石化、煤化工、燃煤发电（含热电）、钢铁、有色金属冶炼、制浆造纸行业、重有色金属矿采选业、重有色金属冶炼业、铅蓄电池制造业、皮革鞣制加工业、化学原料及化学制品制造业、电镀行业。</w:t>
                  </w:r>
                </w:p>
                <w:p w14:paraId="0CF1542E">
                  <w:pPr>
                    <w:autoSpaceDE w:val="0"/>
                    <w:autoSpaceDN w:val="0"/>
                    <w:adjustRightInd w:val="0"/>
                    <w:snapToGrid w:val="0"/>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w:t>
                  </w:r>
                  <w:r>
                    <w:rPr>
                      <w:rFonts w:hint="eastAsia"/>
                      <w:color w:val="000000" w:themeColor="text1"/>
                      <w:kern w:val="0"/>
                      <w:szCs w:val="21"/>
                      <w:lang w:val="en-US" w:eastAsia="zh-CN"/>
                      <w14:textFill>
                        <w14:solidFill>
                          <w14:schemeClr w14:val="tx1"/>
                        </w14:solidFill>
                      </w14:textFill>
                    </w:rPr>
                    <w:t>淬火油烟</w:t>
                  </w:r>
                  <w:r>
                    <w:rPr>
                      <w:rFonts w:hint="eastAsia"/>
                      <w:color w:val="000000" w:themeColor="text1"/>
                      <w:kern w:val="0"/>
                      <w:szCs w:val="21"/>
                      <w14:textFill>
                        <w14:solidFill>
                          <w14:schemeClr w14:val="tx1"/>
                        </w14:solidFill>
                      </w14:textFill>
                    </w:rPr>
                    <w:t>废气经</w:t>
                  </w:r>
                  <w:r>
                    <w:rPr>
                      <w:rFonts w:hint="eastAsia"/>
                      <w:color w:val="000000" w:themeColor="text1"/>
                      <w:kern w:val="0"/>
                      <w:szCs w:val="21"/>
                      <w:lang w:val="en-US" w:eastAsia="zh-CN"/>
                      <w14:textFill>
                        <w14:solidFill>
                          <w14:schemeClr w14:val="tx1"/>
                        </w14:solidFill>
                      </w14:textFill>
                    </w:rPr>
                    <w:t>收集后由</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高效油烟净化器</w:t>
                  </w:r>
                  <w:r>
                    <w:rPr>
                      <w:rFonts w:hint="eastAsia"/>
                      <w:color w:val="000000" w:themeColor="text1"/>
                      <w:kern w:val="0"/>
                      <w:szCs w:val="21"/>
                      <w14:textFill>
                        <w14:solidFill>
                          <w14:schemeClr w14:val="tx1"/>
                        </w14:solidFill>
                      </w14:textFill>
                    </w:rPr>
                    <w:t>”处理达标后排放</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焊接废气经收集后由</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布袋除尘器</w:t>
                  </w:r>
                  <w:r>
                    <w:rPr>
                      <w:rFonts w:hint="eastAsia"/>
                      <w:color w:val="000000" w:themeColor="text1"/>
                      <w:kern w:val="0"/>
                      <w:szCs w:val="21"/>
                      <w14:textFill>
                        <w14:solidFill>
                          <w14:schemeClr w14:val="tx1"/>
                        </w14:solidFill>
                      </w14:textFill>
                    </w:rPr>
                    <w:t>”处理达标后排放满足要求。</w:t>
                  </w:r>
                </w:p>
                <w:p w14:paraId="4304AEAA">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r>
                    <w:rPr>
                      <w:rFonts w:hint="eastAsia"/>
                      <w:color w:val="000000" w:themeColor="text1"/>
                      <w:kern w:val="0"/>
                      <w:szCs w:val="21"/>
                      <w:lang w:val="en-US" w:eastAsia="zh-CN"/>
                      <w14:textFill>
                        <w14:solidFill>
                          <w14:schemeClr w14:val="tx1"/>
                        </w14:solidFill>
                      </w14:textFill>
                    </w:rPr>
                    <w:t>预处理</w:t>
                  </w:r>
                  <w:r>
                    <w:rPr>
                      <w:rFonts w:hint="eastAsia"/>
                      <w:color w:val="000000" w:themeColor="text1"/>
                      <w:kern w:val="0"/>
                      <w:szCs w:val="21"/>
                      <w14:textFill>
                        <w14:solidFill>
                          <w14:schemeClr w14:val="tx1"/>
                        </w14:solidFill>
                      </w14:textFill>
                    </w:rPr>
                    <w:t>处理达《污水综合排放标准》(GB8978-1996)三级标准后排入市政污水管网，进入园区污水处理厂处理达标后排放；固体废物污染按要求建立工业固体废物管理台账，生活垃圾交环卫部门处理。</w:t>
                  </w:r>
                </w:p>
              </w:tc>
              <w:tc>
                <w:tcPr>
                  <w:tcW w:w="442" w:type="pct"/>
                  <w:vAlign w:val="center"/>
                </w:tcPr>
                <w:p w14:paraId="45ADF6BA">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B95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7BEEFF41">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41511421">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372" w:type="pct"/>
                  <w:vAlign w:val="center"/>
                </w:tcPr>
                <w:p w14:paraId="28135C36">
                  <w:pPr>
                    <w:numPr>
                      <w:ilvl w:val="0"/>
                      <w:numId w:val="3"/>
                    </w:num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7A77C4FB">
                  <w:pPr>
                    <w:numPr>
                      <w:ilvl w:val="0"/>
                      <w:numId w:val="0"/>
                    </w:num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2、强化化工园区涉水突发环境事件四级环境风险防范体系建设。持续推进重点化工园区（化工集中区）建设有毒有害气体监测预警体系和水质生物毒性预警体系。</w:t>
                  </w:r>
                </w:p>
              </w:tc>
              <w:tc>
                <w:tcPr>
                  <w:tcW w:w="1071" w:type="pct"/>
                  <w:vAlign w:val="center"/>
                </w:tcPr>
                <w:p w14:paraId="711C59C7">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项目位于重庆市铜梁高新区蒲吕片区，该区域建立健全了风险防范体系，且制定了环境风险防范协调联动工作机制；项目不属于化工类项目。</w:t>
                  </w:r>
                </w:p>
              </w:tc>
              <w:tc>
                <w:tcPr>
                  <w:tcW w:w="442" w:type="pct"/>
                  <w:vAlign w:val="center"/>
                </w:tcPr>
                <w:p w14:paraId="04E813CD">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CB6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7195CC8D">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396838CA">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w:t>
                  </w:r>
                </w:p>
              </w:tc>
              <w:tc>
                <w:tcPr>
                  <w:tcW w:w="2372" w:type="pct"/>
                  <w:vAlign w:val="center"/>
                </w:tcPr>
                <w:p w14:paraId="1E153EF9">
                  <w:pPr>
                    <w:numPr>
                      <w:ilvl w:val="0"/>
                      <w:numId w:val="4"/>
                    </w:num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实施能源领域碳达峰碳中和行动，科学有序推动能源生产消费方式绿色低碳变革。实施可再生能源替代，减少化石能源消费。加强产业布局和能耗“双控”政策衔接，促进重点用能领域用能结构优化和能效提升。</w:t>
                  </w:r>
                </w:p>
                <w:p w14:paraId="7DBE69E1">
                  <w:pPr>
                    <w:numPr>
                      <w:ilvl w:val="0"/>
                      <w:numId w:val="4"/>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23DC8D4F">
                  <w:pPr>
                    <w:numPr>
                      <w:ilvl w:val="0"/>
                      <w:numId w:val="4"/>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新建、扩建“两高”项目应采用先进适用的工艺技术和装备，单位产品物耗、能耗、水耗等达到清洁生产先进水平。</w:t>
                  </w:r>
                </w:p>
                <w:p w14:paraId="751E949C">
                  <w:pPr>
                    <w:numPr>
                      <w:ilvl w:val="0"/>
                      <w:numId w:val="4"/>
                    </w:numPr>
                    <w:autoSpaceDE w:val="0"/>
                    <w:autoSpaceDN w:val="0"/>
                    <w:adjustRightInd w:val="0"/>
                    <w:snapToGrid w:val="0"/>
                    <w:spacing w:line="240" w:lineRule="auto"/>
                    <w:ind w:left="0" w:leftChars="0" w:firstLine="0" w:firstLineChars="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13994382">
                  <w:pPr>
                    <w:numPr>
                      <w:ilvl w:val="0"/>
                      <w:numId w:val="0"/>
                    </w:numPr>
                    <w:autoSpaceDE w:val="0"/>
                    <w:autoSpaceDN w:val="0"/>
                    <w:adjustRightInd w:val="0"/>
                    <w:snapToGrid w:val="0"/>
                    <w:spacing w:line="240" w:lineRule="auto"/>
                    <w:ind w:leftChars="0"/>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5、加快推进节水配套设施建设，加强再生水、雨水等非常规水多元、梯级和安全利用，逐年提高非常规水利用比例。结合现有污水处理设施提标升级扩能改造，系统规划城镇污水再生利用设施。</w:t>
                  </w:r>
                </w:p>
              </w:tc>
              <w:tc>
                <w:tcPr>
                  <w:tcW w:w="1071" w:type="pct"/>
                  <w:vAlign w:val="center"/>
                </w:tcPr>
                <w:p w14:paraId="669EF605">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项目属于</w:t>
                  </w:r>
                  <w:r>
                    <w:rPr>
                      <w:rFonts w:hint="eastAsia"/>
                      <w:color w:val="000000" w:themeColor="text1"/>
                      <w:kern w:val="0"/>
                      <w:szCs w:val="21"/>
                      <w:lang w:val="en-US" w:eastAsia="zh-CN"/>
                      <w14:textFill>
                        <w14:solidFill>
                          <w14:schemeClr w14:val="tx1"/>
                        </w14:solidFill>
                      </w14:textFill>
                    </w:rPr>
                    <w:t>通用设备零部件制造</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位于铜梁高新区蒲吕片区，</w:t>
                  </w:r>
                  <w:r>
                    <w:rPr>
                      <w:rFonts w:hint="eastAsia"/>
                      <w:color w:val="000000" w:themeColor="text1"/>
                      <w:kern w:val="0"/>
                      <w:szCs w:val="21"/>
                      <w14:textFill>
                        <w14:solidFill>
                          <w14:schemeClr w14:val="tx1"/>
                        </w14:solidFill>
                      </w14:textFill>
                    </w:rPr>
                    <w:t>不使用高污染燃料，不属于“两高”和火电、石化、有色金属、造纸、印染等高耗水项目。</w:t>
                  </w:r>
                </w:p>
              </w:tc>
              <w:tc>
                <w:tcPr>
                  <w:tcW w:w="442" w:type="pct"/>
                  <w:vAlign w:val="center"/>
                </w:tcPr>
                <w:p w14:paraId="2BEEA565">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63C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restart"/>
                  <w:vAlign w:val="center"/>
                </w:tcPr>
                <w:p w14:paraId="15D675B9">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铜梁区总体管控要求</w:t>
                  </w:r>
                </w:p>
              </w:tc>
              <w:tc>
                <w:tcPr>
                  <w:tcW w:w="590" w:type="pct"/>
                  <w:vMerge w:val="restart"/>
                  <w:vAlign w:val="center"/>
                </w:tcPr>
                <w:p w14:paraId="6D860547">
                  <w:pPr>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372" w:type="pct"/>
                  <w:vMerge w:val="restart"/>
                  <w:vAlign w:val="center"/>
                </w:tcPr>
                <w:p w14:paraId="7EBED921">
                  <w:pPr>
                    <w:pStyle w:val="154"/>
                    <w:keepNext w:val="0"/>
                    <w:keepLines w:val="0"/>
                    <w:widowControl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第一条深入贯彻习近平生态文明思想，筑牢长江上游重要生态屏障，推动优势区域重点发展、生态功能区重点保护、</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instrText xml:space="preserve"> HYPERLINK "http://guihuayun.com/baike/%E5%9F%8E%E4%B9%A1%E8%9E%8D%E5%90%88%E5%8F%91%E5%B1%95" \t "http://www.gui-hua.com/post/_blank" </w:instrTex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城乡融合发展</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，优化重点区域、流域、产业的空间布局。</w:t>
                  </w:r>
                </w:p>
                <w:p w14:paraId="34655E9D">
                  <w:pPr>
                    <w:pStyle w:val="154"/>
                    <w:keepNext w:val="0"/>
                    <w:keepLines w:val="0"/>
                    <w:widowControl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第二条</w:t>
                  </w:r>
                  <w:r>
                    <w:rPr>
                      <w:rFonts w:hint="default" w:ascii="Times New Roman" w:hAnsi="Times New Roman" w:eastAsia="宋体" w:cs="Times New Roman"/>
                      <w:color w:val="000000" w:themeColor="text1"/>
                      <w:kern w:val="0"/>
                      <w:sz w:val="21"/>
                      <w:szCs w:val="21"/>
                      <w:highlight w:val="none"/>
                      <w:lang w:val="zh-CN" w:eastAsia="zh-CN" w:bidi="ar"/>
                      <w14:textFill>
                        <w14:solidFill>
                          <w14:schemeClr w14:val="tx1"/>
                        </w14:solidFill>
                      </w14:textFill>
                    </w:rPr>
                    <w:t>禁止在合规园区外新建、扩建化工、建材、制浆造纸等高污染项目（高污染项目严格按照《环境保护综合名录》“高污染”产品名录执行）。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6E4E914E">
                  <w:pPr>
                    <w:pStyle w:val="154"/>
                    <w:keepNext w:val="0"/>
                    <w:keepLines w:val="0"/>
                    <w:widowControl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三</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条新建、扩建的电镀企业优先选择布设在依法合规设立并经规划环评的产业园区（铜梁高新区范围内）。</w:t>
                  </w:r>
                </w:p>
                <w:p w14:paraId="58FDE8FA">
                  <w:pPr>
                    <w:pStyle w:val="154"/>
                    <w:keepNext w:val="0"/>
                    <w:keepLines w:val="0"/>
                    <w:widowControl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四</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条有效规范空间开发秩序，合理控制空间开发强度，切实将各类开发活动限制在资源环境承载能力之内，为构建高效协调可持续的国土空间开发格局奠定坚实基础。</w:t>
                  </w:r>
                </w:p>
                <w:p w14:paraId="5D1465A6">
                  <w:pPr>
                    <w:pStyle w:val="154"/>
                    <w:keepNext w:val="0"/>
                    <w:keepLines w:val="0"/>
                    <w:widowControl w:val="0"/>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五</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条以减少邻避效应为出发点，优化工业用地空间布局，严格产业准入。采取“腾笼换鸟”的方式推动铜梁高新区白土坝片区产业提档转型升级，未来重点发展科技研发、工业服务等生产性服务业；以铜梁高新区姜家岩片区紧邻金川大道、龙安大道一侧工业用地为重点区域严格产业准入，邻近居住用地的地块不宜布置铸造、表面处理等大气污染较重、噪声大或其他易扰民的工业项目。</w:t>
                  </w:r>
                </w:p>
                <w:p w14:paraId="452C1D06">
                  <w:pPr>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第</w:t>
                  </w:r>
                  <w:r>
                    <w:rPr>
                      <w:rFonts w:hint="eastAsia" w:cs="Times New Roman"/>
                      <w:color w:val="000000" w:themeColor="text1"/>
                      <w:kern w:val="0"/>
                      <w:sz w:val="21"/>
                      <w:szCs w:val="21"/>
                      <w:highlight w:val="none"/>
                      <w:lang w:val="en-US" w:eastAsia="zh-CN" w:bidi="ar"/>
                      <w14:textFill>
                        <w14:solidFill>
                          <w14:schemeClr w14:val="tx1"/>
                        </w14:solidFill>
                      </w14:textFill>
                    </w:rPr>
                    <w:t>六</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条以不新增用地规模、不增加污染物排放总量、不增大环境风险为原则，有序引导镇街工业减污降碳绿色发展。镇域内现有零散工业用地内允许建设“零土地”（不涉及新征建设用地）技术改造升级且“两不增”（不增加污染物排放总量、不增大环境风险）的建设项目，</w:t>
                  </w:r>
                  <w:r>
                    <w:rPr>
                      <w:rFonts w:hint="default" w:ascii="Times New Roman" w:hAnsi="Times New Roman" w:eastAsia="宋体" w:cs="Times New Roman"/>
                      <w:color w:val="000000" w:themeColor="text1"/>
                      <w:kern w:val="0"/>
                      <w:sz w:val="21"/>
                      <w:szCs w:val="21"/>
                      <w:highlight w:val="none"/>
                      <w:lang w:val="zh-CN" w:eastAsia="zh-CN" w:bidi="ar"/>
                      <w14:textFill>
                        <w14:solidFill>
                          <w14:schemeClr w14:val="tx1"/>
                        </w14:solidFill>
                      </w14:textFill>
                    </w:rPr>
                    <w:t>鼓励现有工业项目搬入工业集聚区。</w:t>
                  </w:r>
                </w:p>
              </w:tc>
              <w:tc>
                <w:tcPr>
                  <w:tcW w:w="1071" w:type="pct"/>
                  <w:vMerge w:val="restart"/>
                  <w:vAlign w:val="center"/>
                </w:tcPr>
                <w:p w14:paraId="3CA5399F">
                  <w:pPr>
                    <w:adjustRightInd w:val="0"/>
                    <w:snapToGrid w:val="0"/>
                    <w:jc w:val="center"/>
                    <w:rPr>
                      <w:rFonts w:hint="default"/>
                      <w:color w:val="000000" w:themeColor="text1"/>
                      <w:szCs w:val="21"/>
                      <w:lang w:val="en-US"/>
                      <w14:textFill>
                        <w14:solidFill>
                          <w14:schemeClr w14:val="tx1"/>
                        </w14:solidFill>
                      </w14:textFill>
                    </w:rPr>
                  </w:pPr>
                  <w:r>
                    <w:rPr>
                      <w:rFonts w:hint="eastAsia"/>
                      <w:color w:val="000000" w:themeColor="text1"/>
                      <w:kern w:val="0"/>
                      <w:szCs w:val="21"/>
                      <w14:textFill>
                        <w14:solidFill>
                          <w14:schemeClr w14:val="tx1"/>
                        </w14:solidFill>
                      </w14:textFill>
                    </w:rPr>
                    <w:t>项目属于</w:t>
                  </w:r>
                  <w:r>
                    <w:rPr>
                      <w:rFonts w:hint="eastAsia"/>
                      <w:color w:val="000000" w:themeColor="text1"/>
                      <w:kern w:val="0"/>
                      <w:szCs w:val="21"/>
                      <w:lang w:val="en-US" w:eastAsia="zh-CN"/>
                      <w14:textFill>
                        <w14:solidFill>
                          <w14:schemeClr w14:val="tx1"/>
                        </w14:solidFill>
                      </w14:textFill>
                    </w:rPr>
                    <w:t>通用设备零部件制造</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位于铜梁高新区蒲吕片区，不属于高污染，高排放项目，项目满足</w:t>
                  </w:r>
                  <w:r>
                    <w:rPr>
                      <w:rFonts w:hint="default" w:ascii="Times New Roman" w:hAnsi="Times New Roman" w:eastAsia="宋体" w:cs="Times New Roman"/>
                      <w:color w:val="000000" w:themeColor="text1"/>
                      <w:kern w:val="0"/>
                      <w:sz w:val="21"/>
                      <w:szCs w:val="21"/>
                      <w:highlight w:val="none"/>
                      <w:lang w:val="zh-CN" w:eastAsia="zh-CN" w:bidi="ar"/>
                      <w14:textFill>
                        <w14:solidFill>
                          <w14:schemeClr w14:val="tx1"/>
                        </w14:solidFill>
                      </w14:textFill>
                    </w:rPr>
                    <w:t>生态环境准入清单、相关规划环评和相应行业建设项目环境准入条件</w:t>
                  </w:r>
                  <w:r>
                    <w:rPr>
                      <w:rFonts w:hint="eastAsia" w:ascii="Times New Roman" w:hAnsi="Times New Roman" w:eastAsia="宋体" w:cs="Times New Roman"/>
                      <w:color w:val="000000" w:themeColor="text1"/>
                      <w:kern w:val="0"/>
                      <w:sz w:val="21"/>
                      <w:szCs w:val="21"/>
                      <w:highlight w:val="none"/>
                      <w:lang w:val="zh-CN"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项目不属于电镀企业且不属于邻近居住用地的地块。</w:t>
                  </w:r>
                </w:p>
              </w:tc>
              <w:tc>
                <w:tcPr>
                  <w:tcW w:w="442" w:type="pct"/>
                  <w:vAlign w:val="center"/>
                </w:tcPr>
                <w:p w14:paraId="393E29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C30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6805F1A8">
                  <w:pPr>
                    <w:snapToGrid w:val="0"/>
                    <w:spacing w:line="320" w:lineRule="exact"/>
                    <w:jc w:val="center"/>
                    <w:rPr>
                      <w:color w:val="000000" w:themeColor="text1"/>
                      <w:szCs w:val="21"/>
                      <w14:textFill>
                        <w14:solidFill>
                          <w14:schemeClr w14:val="tx1"/>
                        </w14:solidFill>
                      </w14:textFill>
                    </w:rPr>
                  </w:pPr>
                </w:p>
              </w:tc>
              <w:tc>
                <w:tcPr>
                  <w:tcW w:w="590" w:type="pct"/>
                  <w:vMerge w:val="continue"/>
                  <w:vAlign w:val="center"/>
                </w:tcPr>
                <w:p w14:paraId="28E77DD5">
                  <w:pPr>
                    <w:snapToGrid w:val="0"/>
                    <w:spacing w:line="240" w:lineRule="auto"/>
                    <w:jc w:val="center"/>
                    <w:rPr>
                      <w:color w:val="000000" w:themeColor="text1"/>
                      <w:szCs w:val="21"/>
                      <w14:textFill>
                        <w14:solidFill>
                          <w14:schemeClr w14:val="tx1"/>
                        </w14:solidFill>
                      </w14:textFill>
                    </w:rPr>
                  </w:pPr>
                </w:p>
              </w:tc>
              <w:tc>
                <w:tcPr>
                  <w:tcW w:w="2372" w:type="pct"/>
                  <w:vMerge w:val="continue"/>
                  <w:vAlign w:val="center"/>
                </w:tcPr>
                <w:p w14:paraId="6B4D3C84">
                  <w:pPr>
                    <w:spacing w:line="240" w:lineRule="auto"/>
                    <w:rPr>
                      <w:color w:val="000000" w:themeColor="text1"/>
                      <w:szCs w:val="21"/>
                      <w14:textFill>
                        <w14:solidFill>
                          <w14:schemeClr w14:val="tx1"/>
                        </w14:solidFill>
                      </w14:textFill>
                    </w:rPr>
                  </w:pPr>
                </w:p>
              </w:tc>
              <w:tc>
                <w:tcPr>
                  <w:tcW w:w="1071" w:type="pct"/>
                  <w:vMerge w:val="continue"/>
                  <w:vAlign w:val="center"/>
                </w:tcPr>
                <w:p w14:paraId="3CBDB05F">
                  <w:pPr>
                    <w:adjustRightInd w:val="0"/>
                    <w:snapToGrid w:val="0"/>
                    <w:jc w:val="center"/>
                    <w:rPr>
                      <w:color w:val="000000" w:themeColor="text1"/>
                      <w:szCs w:val="21"/>
                      <w14:textFill>
                        <w14:solidFill>
                          <w14:schemeClr w14:val="tx1"/>
                        </w14:solidFill>
                      </w14:textFill>
                    </w:rPr>
                  </w:pPr>
                </w:p>
              </w:tc>
              <w:tc>
                <w:tcPr>
                  <w:tcW w:w="442" w:type="pct"/>
                  <w:vAlign w:val="center"/>
                </w:tcPr>
                <w:p w14:paraId="16357A6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99D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continue"/>
                  <w:vAlign w:val="center"/>
                </w:tcPr>
                <w:p w14:paraId="50203BDE">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46AEEF8D">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372" w:type="pct"/>
                  <w:vAlign w:val="center"/>
                </w:tcPr>
                <w:p w14:paraId="49F78193">
                  <w:pPr>
                    <w:numPr>
                      <w:ilvl w:val="0"/>
                      <w:numId w:val="0"/>
                    </w:numPr>
                    <w:spacing w:line="240" w:lineRule="auto"/>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第七条</w:t>
                  </w:r>
                  <w:r>
                    <w:rPr>
                      <w:rFonts w:hint="eastAsia"/>
                      <w:color w:val="000000" w:themeColor="text1"/>
                      <w:szCs w:val="21"/>
                      <w14:textFill>
                        <w14:solidFill>
                          <w14:schemeClr w14:val="tx1"/>
                        </w14:solidFill>
                      </w14:textFill>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第八条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7AAC2216">
                  <w:pPr>
                    <w:numPr>
                      <w:ilvl w:val="0"/>
                      <w:numId w:val="0"/>
                    </w:numPr>
                    <w:spacing w:line="240" w:lineRule="auto"/>
                    <w:ind w:left="0" w:leftChars="0" w:firstLine="0" w:firstLineChars="0"/>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w:t>
                  </w:r>
                  <w:r>
                    <w:rPr>
                      <w:rFonts w:hint="eastAsia" w:cs="Times New Roman"/>
                      <w:color w:val="000000" w:themeColor="text1"/>
                      <w:kern w:val="2"/>
                      <w:sz w:val="21"/>
                      <w:szCs w:val="21"/>
                      <w:lang w:val="en-US" w:eastAsia="zh-CN" w:bidi="ar-SA"/>
                      <w14:textFill>
                        <w14:solidFill>
                          <w14:schemeClr w14:val="tx1"/>
                        </w14:solidFill>
                      </w14:textFill>
                    </w:rPr>
                    <w:t>九</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条</w:t>
                  </w:r>
                  <w:r>
                    <w:rPr>
                      <w:rFonts w:hint="eastAsia"/>
                      <w:color w:val="000000" w:themeColor="text1"/>
                      <w:szCs w:val="21"/>
                      <w14:textFill>
                        <w14:solidFill>
                          <w14:schemeClr w14:val="tx1"/>
                        </w14:solidFill>
                      </w14:textFill>
                    </w:rPr>
                    <w:t>固体废物污染环境防治坚持减量化、资源化和无害化的原则。产生工业固体废物的单位应当建立健全工业固体废物产生、收集、贮存、运输、利用、处置全过程的污染环境防治责任制度，建立工业固体废物管理台账。</w:t>
                  </w:r>
                </w:p>
                <w:p w14:paraId="75E06172">
                  <w:pPr>
                    <w:widowControl w:val="0"/>
                    <w:numPr>
                      <w:ilvl w:val="0"/>
                      <w:numId w:val="0"/>
                    </w:numPr>
                    <w:spacing w:line="240" w:lineRule="auto"/>
                    <w:ind w:left="0" w:leftChars="0" w:firstLine="0" w:firstLine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w:t>
                  </w:r>
                  <w:r>
                    <w:rPr>
                      <w:rFonts w:hint="eastAsia" w:cs="Times New Roman"/>
                      <w:color w:val="000000" w:themeColor="text1"/>
                      <w:kern w:val="2"/>
                      <w:sz w:val="21"/>
                      <w:szCs w:val="21"/>
                      <w:lang w:val="en-US" w:eastAsia="zh-CN" w:bidi="ar-SA"/>
                      <w14:textFill>
                        <w14:solidFill>
                          <w14:schemeClr w14:val="tx1"/>
                        </w14:solidFill>
                      </w14:textFill>
                    </w:rPr>
                    <w:t>十</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条</w:t>
                  </w:r>
                  <w:r>
                    <w:rPr>
                      <w:rFonts w:hint="eastAsia"/>
                      <w:color w:val="000000" w:themeColor="text1"/>
                      <w:szCs w:val="21"/>
                      <w14:textFill>
                        <w14:solidFill>
                          <w14:schemeClr w14:val="tx1"/>
                        </w14:solidFill>
                      </w14:textFill>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p w14:paraId="6FB2C979">
                  <w:pPr>
                    <w:widowControl w:val="0"/>
                    <w:numPr>
                      <w:ilvl w:val="0"/>
                      <w:numId w:val="0"/>
                    </w:numPr>
                    <w:spacing w:line="240" w:lineRule="auto"/>
                    <w:ind w:left="0" w:leftChars="0" w:firstLine="0" w:firstLine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w:t>
                  </w:r>
                  <w:r>
                    <w:rPr>
                      <w:rFonts w:hint="eastAsia" w:cs="Times New Roman"/>
                      <w:color w:val="000000" w:themeColor="text1"/>
                      <w:kern w:val="2"/>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条</w:t>
                  </w:r>
                  <w:r>
                    <w:rPr>
                      <w:rFonts w:hint="eastAsia"/>
                      <w:color w:val="000000" w:themeColor="text1"/>
                      <w:szCs w:val="21"/>
                      <w14:textFill>
                        <w14:solidFill>
                          <w14:schemeClr w14:val="tx1"/>
                        </w14:solidFill>
                      </w14:textFill>
                    </w:rPr>
                    <w:t>严格按照国家及重庆市有关规定，对水泥熟料行业新建、扩建项目实行产能等量或减量置换。国家或地方已出台超低排放要求的“两高”行业建设项目应满足超低排放要求。</w:t>
                  </w:r>
                </w:p>
                <w:p w14:paraId="17B2EF95">
                  <w:pPr>
                    <w:widowControl w:val="0"/>
                    <w:numPr>
                      <w:ilvl w:val="0"/>
                      <w:numId w:val="0"/>
                    </w:numPr>
                    <w:spacing w:line="240" w:lineRule="auto"/>
                    <w:ind w:left="0" w:left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第十二条</w:t>
                  </w:r>
                  <w:r>
                    <w:rPr>
                      <w:rFonts w:hint="eastAsia"/>
                      <w:color w:val="000000" w:themeColor="text1"/>
                      <w:szCs w:val="21"/>
                      <w14:textFill>
                        <w14:solidFill>
                          <w14:schemeClr w14:val="tx1"/>
                        </w14:solidFill>
                      </w14:textFill>
                    </w:rPr>
                    <w:t>新、改、扩建重点行业（电镀行业）重点重金属污染物排放执行“等量替代”原则；禁止新建、扩建铅蓄电池制造项目。</w:t>
                  </w:r>
                </w:p>
                <w:p w14:paraId="50F10777">
                  <w:pPr>
                    <w:widowControl w:val="0"/>
                    <w:numPr>
                      <w:ilvl w:val="0"/>
                      <w:numId w:val="0"/>
                    </w:numPr>
                    <w:spacing w:line="240" w:lineRule="auto"/>
                    <w:ind w:left="0" w:left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第十三条</w:t>
                  </w:r>
                  <w:r>
                    <w:rPr>
                      <w:rFonts w:hint="eastAsia"/>
                      <w:color w:val="000000" w:themeColor="text1"/>
                      <w:szCs w:val="21"/>
                      <w14:textFill>
                        <w14:solidFill>
                          <w14:schemeClr w14:val="tx1"/>
                        </w14:solidFill>
                      </w14:textFill>
                    </w:rPr>
                    <w:t>以工业涂装、塑料零件及其他塑料制品制造、新型储能等行业为抓手，深化挥发性有机物治理。推动工业涂装持续提升低（无）VOCs含量、低反应活性的原辅材料替代比例；提升塑料零件及其他塑料制品制造行业废物治理水平；新建、改建、扩建涉VOCs的项目，加强源头控制，无特别规定的需使用低（无）VOCs含量的原辅料，加强废气收集，安装高效治理设施。</w:t>
                  </w:r>
                </w:p>
                <w:p w14:paraId="65C569B7">
                  <w:pPr>
                    <w:widowControl w:val="0"/>
                    <w:numPr>
                      <w:ilvl w:val="0"/>
                      <w:numId w:val="0"/>
                    </w:numPr>
                    <w:spacing w:line="240" w:lineRule="auto"/>
                    <w:ind w:left="0" w:left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第十四条</w:t>
                  </w:r>
                  <w:r>
                    <w:rPr>
                      <w:rFonts w:hint="eastAsia"/>
                      <w:color w:val="000000" w:themeColor="text1"/>
                      <w:szCs w:val="21"/>
                      <w14:textFill>
                        <w14:solidFill>
                          <w14:schemeClr w14:val="tx1"/>
                        </w14:solidFill>
                      </w14:textFill>
                    </w:rPr>
                    <w:t>以水泥、砖瓦、陶瓷等建材行业为重点，深入推进废气治理设施升级改造。深入推进燃煤锅炉、工业窑炉、水泥、砖瓦等重点行业废气治理措施设施升级改造；推进水泥、烧结砖瓦窑企业开展错峰生产，有序推动小、微型砖瓦窑企业关停或转型升级改造；推进重点工业企业燃煤锅炉清洁能源替代，禁止新建20蒸吨/小时以下的燃煤锅炉。</w:t>
                  </w:r>
                </w:p>
                <w:p w14:paraId="6C84ABCA">
                  <w:pPr>
                    <w:widowControl w:val="0"/>
                    <w:numPr>
                      <w:ilvl w:val="0"/>
                      <w:numId w:val="0"/>
                    </w:numPr>
                    <w:spacing w:line="240" w:lineRule="auto"/>
                    <w:ind w:left="0" w:left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第十五条</w:t>
                  </w:r>
                  <w:r>
                    <w:rPr>
                      <w:rFonts w:hint="eastAsia"/>
                      <w:color w:val="000000" w:themeColor="text1"/>
                      <w:szCs w:val="21"/>
                      <w14:textFill>
                        <w14:solidFill>
                          <w14:schemeClr w14:val="tx1"/>
                        </w14:solidFill>
                      </w14:textFill>
                    </w:rPr>
                    <w:t>以农村生活污水、农业种植、畜禽养殖和水产养殖为重点，推进农村面源污染防治。梯次推进农村生活污水治理，提高农村生活污水治理率。加快推进畜禽粪污综合利用和无害化处理设施建设，推进畜禽养殖场雨污分流、干湿分离改造。以30亩以上专用池塘养殖场为治理重点，梯次推进尾水治理措施。以化肥减量和农药减量为重点，从源头强化规模农业种植污染防治。</w:t>
                  </w:r>
                </w:p>
                <w:p w14:paraId="1A0F11B9">
                  <w:pPr>
                    <w:widowControl w:val="0"/>
                    <w:numPr>
                      <w:ilvl w:val="0"/>
                      <w:numId w:val="0"/>
                    </w:numPr>
                    <w:spacing w:line="240" w:lineRule="auto"/>
                    <w:ind w:left="0" w:leftChars="0"/>
                    <w:jc w:val="both"/>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第十六条</w:t>
                  </w:r>
                  <w:r>
                    <w:rPr>
                      <w:rFonts w:hint="eastAsia"/>
                      <w:color w:val="000000" w:themeColor="text1"/>
                      <w:szCs w:val="21"/>
                      <w14:textFill>
                        <w14:solidFill>
                          <w14:schemeClr w14:val="tx1"/>
                        </w14:solidFill>
                      </w14:textFill>
                    </w:rPr>
                    <w:t>以提高污水收集处理率为核心，推进污水处理厂提标扩建和完善污水管网。推进新东城污水处理厂提标改造工程；以小安溪流域范围内大庙镇、永嘉镇、石鱼镇等城镇污水处理厂提标改造为重点，有序推进乡镇生活污水处理设施提标改造，在有条件的区域推进尾水深度治理及资源化利用；进一步完善中心城区、各镇街场镇污水管网，加快推进污水管网新建、老旧管网改造及雨污分流改造等工程。</w:t>
                  </w:r>
                </w:p>
              </w:tc>
              <w:tc>
                <w:tcPr>
                  <w:tcW w:w="1071" w:type="pct"/>
                  <w:vAlign w:val="center"/>
                </w:tcPr>
                <w:p w14:paraId="545307BD">
                  <w:pPr>
                    <w:autoSpaceDE w:val="0"/>
                    <w:autoSpaceDN w:val="0"/>
                    <w:adjustRightInd w:val="0"/>
                    <w:snapToGrid w:val="0"/>
                    <w:spacing w:line="240" w:lineRule="auto"/>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项目属于</w:t>
                  </w:r>
                  <w:r>
                    <w:rPr>
                      <w:rFonts w:hint="eastAsia"/>
                      <w:color w:val="000000" w:themeColor="text1"/>
                      <w:kern w:val="0"/>
                      <w:szCs w:val="21"/>
                      <w:lang w:val="en-US" w:eastAsia="zh-CN"/>
                      <w14:textFill>
                        <w14:solidFill>
                          <w14:schemeClr w14:val="tx1"/>
                        </w14:solidFill>
                      </w14:textFill>
                    </w:rPr>
                    <w:t>通用设备零部件制造</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位于铜梁高新区蒲吕片区，</w:t>
                  </w:r>
                  <w:r>
                    <w:rPr>
                      <w:rFonts w:hint="eastAsia"/>
                      <w:color w:val="000000" w:themeColor="text1"/>
                      <w:kern w:val="0"/>
                      <w:szCs w:val="21"/>
                      <w14:textFill>
                        <w14:solidFill>
                          <w14:schemeClr w14:val="tx1"/>
                        </w14:solidFill>
                      </w14:textFill>
                    </w:rPr>
                    <w:t>不属于石化、煤化工、燃煤发电（含热电）、钢铁、有色金属冶炼、制浆造纸行业、重有色金属矿采选业、重有色金属冶炼业、铅蓄电池制造业、皮革鞣制加工业、化学原料及化学制品制造业、电镀行业。</w:t>
                  </w:r>
                </w:p>
                <w:p w14:paraId="2599E84E">
                  <w:pPr>
                    <w:autoSpaceDE w:val="0"/>
                    <w:autoSpaceDN w:val="0"/>
                    <w:adjustRightInd w:val="0"/>
                    <w:snapToGrid w:val="0"/>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w:t>
                  </w:r>
                  <w:r>
                    <w:rPr>
                      <w:rFonts w:hint="eastAsia"/>
                      <w:color w:val="000000" w:themeColor="text1"/>
                      <w:kern w:val="0"/>
                      <w:szCs w:val="21"/>
                      <w:lang w:val="en-US" w:eastAsia="zh-CN"/>
                      <w14:textFill>
                        <w14:solidFill>
                          <w14:schemeClr w14:val="tx1"/>
                        </w14:solidFill>
                      </w14:textFill>
                    </w:rPr>
                    <w:t>不涉及有机溶剂及涂料、胶水等，淬火油烟</w:t>
                  </w:r>
                  <w:r>
                    <w:rPr>
                      <w:rFonts w:hint="eastAsia"/>
                      <w:color w:val="000000" w:themeColor="text1"/>
                      <w:kern w:val="0"/>
                      <w:szCs w:val="21"/>
                      <w14:textFill>
                        <w14:solidFill>
                          <w14:schemeClr w14:val="tx1"/>
                        </w14:solidFill>
                      </w14:textFill>
                    </w:rPr>
                    <w:t>废气经</w:t>
                  </w:r>
                  <w:r>
                    <w:rPr>
                      <w:rFonts w:hint="eastAsia"/>
                      <w:color w:val="000000" w:themeColor="text1"/>
                      <w:kern w:val="0"/>
                      <w:szCs w:val="21"/>
                      <w:lang w:val="en-US" w:eastAsia="zh-CN"/>
                      <w14:textFill>
                        <w14:solidFill>
                          <w14:schemeClr w14:val="tx1"/>
                        </w14:solidFill>
                      </w14:textFill>
                    </w:rPr>
                    <w:t>收集后由</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高效油烟净化器</w:t>
                  </w:r>
                  <w:r>
                    <w:rPr>
                      <w:rFonts w:hint="eastAsia"/>
                      <w:color w:val="000000" w:themeColor="text1"/>
                      <w:kern w:val="0"/>
                      <w:szCs w:val="21"/>
                      <w14:textFill>
                        <w14:solidFill>
                          <w14:schemeClr w14:val="tx1"/>
                        </w14:solidFill>
                      </w14:textFill>
                    </w:rPr>
                    <w:t>”处理达标后排放</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焊接废气经收集后由</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布袋除尘器</w:t>
                  </w:r>
                  <w:r>
                    <w:rPr>
                      <w:rFonts w:hint="eastAsia"/>
                      <w:color w:val="000000" w:themeColor="text1"/>
                      <w:kern w:val="0"/>
                      <w:szCs w:val="21"/>
                      <w14:textFill>
                        <w14:solidFill>
                          <w14:schemeClr w14:val="tx1"/>
                        </w14:solidFill>
                      </w14:textFill>
                    </w:rPr>
                    <w:t>”处理达标后排放满足要求。</w:t>
                  </w:r>
                </w:p>
                <w:p w14:paraId="5A3379CA">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r>
                    <w:rPr>
                      <w:rFonts w:hint="eastAsia"/>
                      <w:color w:val="000000" w:themeColor="text1"/>
                      <w:kern w:val="0"/>
                      <w:szCs w:val="21"/>
                      <w:lang w:val="en-US" w:eastAsia="zh-CN"/>
                      <w14:textFill>
                        <w14:solidFill>
                          <w14:schemeClr w14:val="tx1"/>
                        </w14:solidFill>
                      </w14:textFill>
                    </w:rPr>
                    <w:t>预处理</w:t>
                  </w:r>
                  <w:r>
                    <w:rPr>
                      <w:rFonts w:hint="eastAsia"/>
                      <w:color w:val="000000" w:themeColor="text1"/>
                      <w:kern w:val="0"/>
                      <w:szCs w:val="21"/>
                      <w14:textFill>
                        <w14:solidFill>
                          <w14:schemeClr w14:val="tx1"/>
                        </w14:solidFill>
                      </w14:textFill>
                    </w:rPr>
                    <w:t>处理达《污水综合排放标准》(GB8978-1996)三级标准后排入市政污水管网，进入园区污水处理厂处理达标后排放；固体废物污染按要求建立工业固体废物管理台账，生活垃圾交环卫部门处理。</w:t>
                  </w:r>
                </w:p>
              </w:tc>
              <w:tc>
                <w:tcPr>
                  <w:tcW w:w="442" w:type="pct"/>
                  <w:vAlign w:val="center"/>
                </w:tcPr>
                <w:p w14:paraId="3792708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BB9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2A7D536D">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6E51E62C">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372" w:type="pct"/>
                  <w:vAlign w:val="center"/>
                </w:tcPr>
                <w:p w14:paraId="0E9DF272">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第</w:t>
                  </w:r>
                  <w:r>
                    <w:rPr>
                      <w:rFonts w:hint="eastAsia"/>
                      <w:color w:val="000000" w:themeColor="text1"/>
                      <w:szCs w:val="21"/>
                      <w:lang w:val="en-US" w:eastAsia="zh-CN"/>
                      <w14:textFill>
                        <w14:solidFill>
                          <w14:schemeClr w14:val="tx1"/>
                        </w14:solidFill>
                      </w14:textFill>
                    </w:rPr>
                    <w:t>十七</w:t>
                  </w:r>
                  <w:r>
                    <w:rPr>
                      <w:color w:val="000000" w:themeColor="text1"/>
                      <w:szCs w:val="21"/>
                      <w14:textFill>
                        <w14:solidFill>
                          <w14:schemeClr w14:val="tx1"/>
                        </w14:solidFill>
                      </w14:textFill>
                    </w:rPr>
                    <w:t>条：</w:t>
                  </w:r>
                  <w:r>
                    <w:rPr>
                      <w:rFonts w:hint="eastAsia"/>
                      <w:color w:val="000000" w:themeColor="text1"/>
                      <w:szCs w:val="21"/>
                      <w14:textFill>
                        <w14:solidFill>
                          <w14:schemeClr w14:val="tx1"/>
                        </w14:solidFill>
                      </w14:textFill>
                    </w:rPr>
                    <w:t>深入开展淮远河、小安溪等重点流域和城市级饮用水源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071" w:type="pct"/>
                  <w:vAlign w:val="center"/>
                </w:tcPr>
                <w:p w14:paraId="43C3E6B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项目存储少量的化学品，采取相应的风险防范措施后，环境风险可控</w:t>
                  </w:r>
                </w:p>
              </w:tc>
              <w:tc>
                <w:tcPr>
                  <w:tcW w:w="442" w:type="pct"/>
                  <w:vAlign w:val="center"/>
                </w:tcPr>
                <w:p w14:paraId="295F84D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60D8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7B8AC2B5">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357AC47D">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w:t>
                  </w:r>
                </w:p>
              </w:tc>
              <w:tc>
                <w:tcPr>
                  <w:tcW w:w="2372" w:type="pct"/>
                  <w:vAlign w:val="center"/>
                </w:tcPr>
                <w:p w14:paraId="49DA1315">
                  <w:pPr>
                    <w:numPr>
                      <w:ilvl w:val="0"/>
                      <w:numId w:val="0"/>
                    </w:numPr>
                    <w:spacing w:line="240" w:lineRule="auto"/>
                    <w:ind w:left="0" w:leftChars="0" w:firstLine="0" w:firstLineChars="0"/>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第十</w:t>
                  </w:r>
                  <w:r>
                    <w:rPr>
                      <w:rFonts w:hint="eastAsia" w:cs="Times New Roman"/>
                      <w:color w:val="000000" w:themeColor="text1"/>
                      <w:kern w:val="2"/>
                      <w:sz w:val="21"/>
                      <w:szCs w:val="21"/>
                      <w:lang w:val="en-US" w:eastAsia="zh-CN" w:bidi="ar-SA"/>
                      <w14:textFill>
                        <w14:solidFill>
                          <w14:schemeClr w14:val="tx1"/>
                        </w14:solidFill>
                      </w14:textFill>
                    </w:rPr>
                    <w:t>八</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条</w:t>
                  </w:r>
                  <w:r>
                    <w:rPr>
                      <w:rFonts w:hint="eastAsia"/>
                      <w:color w:val="000000" w:themeColor="text1"/>
                      <w:szCs w:val="21"/>
                      <w14:textFill>
                        <w14:solidFill>
                          <w14:schemeClr w14:val="tx1"/>
                        </w14:solidFill>
                      </w14:textFill>
                    </w:rPr>
                    <w:t>实施能源领域碳达峰碳中和行动，科学有序推动能源生产消费方式绿色低碳变革。实施可再生能源替代，减少化石能源消费。加强产业布局和能耗“双控”政策衔接，促进重点用能领域用能结构优化和能效提升。</w:t>
                  </w:r>
                </w:p>
                <w:p w14:paraId="3C32DEFC">
                  <w:pPr>
                    <w:numPr>
                      <w:ilvl w:val="0"/>
                      <w:numId w:val="5"/>
                    </w:numPr>
                    <w:spacing w:line="240" w:lineRule="auto"/>
                    <w:ind w:leftChars="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鼓励企业对标能耗限额标准先进值或国际先进水平，加快主要产品工艺升级与绿色化改造，推动工业窑炉、锅炉、电机、压缩机、泵、变压器等重点用能设备系统节能改造。推动现有企业、产业园生产过程清洁化转型，精准提升市场主体绿色低碳水平，引导园区低碳发展。</w:t>
                  </w:r>
                </w:p>
                <w:p w14:paraId="693FBBB3">
                  <w:pPr>
                    <w:numPr>
                      <w:ilvl w:val="0"/>
                      <w:numId w:val="5"/>
                    </w:numPr>
                    <w:spacing w:line="240" w:lineRule="auto"/>
                    <w:ind w:leftChars="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新建、扩建“两高”项目应采用先进适用的工艺技术和装备，单位产品物耗、能耗、水耗等达到清洁生产先进水平。</w:t>
                  </w:r>
                </w:p>
                <w:p w14:paraId="0018002E">
                  <w:pPr>
                    <w:numPr>
                      <w:ilvl w:val="0"/>
                      <w:numId w:val="5"/>
                    </w:numPr>
                    <w:spacing w:line="240" w:lineRule="auto"/>
                    <w:ind w:leftChars="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升工业、城镇生活、农业节水能力，推进再生水循环利用，提高水资源利用效率。加强工业节水改造，限制高耗水行业发展，积极推动工业废水资源化利用，鼓励和引导工业企业中水回用。加强城镇节水，开展公共建筑节水改造、城镇供水管网漏损治理工程。强化农业节水增效，加强石梁水库、双寨水库等中型灌区续建配套与节水改造，加强农业水利基础设施建设，完善农田灌排工程体系。深入挖掘非常规水资源开发利用潜力，推进再生水、雨水等非常规水资源的开发利用。</w:t>
                  </w:r>
                </w:p>
              </w:tc>
              <w:tc>
                <w:tcPr>
                  <w:tcW w:w="1071" w:type="pct"/>
                  <w:vAlign w:val="center"/>
                </w:tcPr>
                <w:p w14:paraId="45E4DA47">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项目不使用高污染燃料，不属于“两高”和火电、石化、有色金属、造纸、印染等高耗水项目</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项目能耗均较低</w:t>
                  </w:r>
                  <w:r>
                    <w:rPr>
                      <w:rFonts w:hint="eastAsia"/>
                      <w:color w:val="000000" w:themeColor="text1"/>
                      <w:kern w:val="0"/>
                      <w:szCs w:val="21"/>
                      <w14:textFill>
                        <w14:solidFill>
                          <w14:schemeClr w14:val="tx1"/>
                        </w14:solidFill>
                      </w14:textFill>
                    </w:rPr>
                    <w:t>。</w:t>
                  </w:r>
                </w:p>
              </w:tc>
              <w:tc>
                <w:tcPr>
                  <w:tcW w:w="442" w:type="pct"/>
                  <w:vAlign w:val="center"/>
                </w:tcPr>
                <w:p w14:paraId="49A8957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CE0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restart"/>
                  <w:vAlign w:val="center"/>
                </w:tcPr>
                <w:p w14:paraId="152EF17D">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单元管控要求</w:t>
                  </w:r>
                </w:p>
              </w:tc>
              <w:tc>
                <w:tcPr>
                  <w:tcW w:w="590" w:type="pct"/>
                  <w:vAlign w:val="center"/>
                </w:tcPr>
                <w:p w14:paraId="178EA0F9">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372" w:type="pct"/>
                  <w:vAlign w:val="center"/>
                </w:tcPr>
                <w:p w14:paraId="0CEB134B">
                  <w:pPr>
                    <w:pStyle w:val="149"/>
                    <w:numPr>
                      <w:ilvl w:val="0"/>
                      <w:numId w:val="6"/>
                    </w:numPr>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以减少邻避效应为出发点，推动白土坝片区产业转型提档升级。</w:t>
                  </w:r>
                </w:p>
                <w:p w14:paraId="3BE6BF3F">
                  <w:pPr>
                    <w:pStyle w:val="149"/>
                    <w:spacing w:line="240" w:lineRule="auto"/>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2.铜梁高新区姜家岩片区紧邻金川大道、龙安大道一侧工业用地不宜布置铸造、表面处理等大气污染较重、噪声大或其他易扰民的工业项目。</w:t>
                  </w:r>
                </w:p>
              </w:tc>
              <w:tc>
                <w:tcPr>
                  <w:tcW w:w="1071" w:type="pct"/>
                  <w:vAlign w:val="center"/>
                </w:tcPr>
                <w:p w14:paraId="509C1F0D">
                  <w:pPr>
                    <w:pStyle w:val="149"/>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pacing w:val="25"/>
                      <w:sz w:val="21"/>
                      <w:szCs w:val="21"/>
                      <w14:textFill>
                        <w14:solidFill>
                          <w14:schemeClr w14:val="tx1"/>
                        </w14:solidFill>
                      </w14:textFill>
                    </w:rPr>
                    <w:t>项目位于</w:t>
                  </w:r>
                  <w:r>
                    <w:rPr>
                      <w:color w:val="000000" w:themeColor="text1"/>
                      <w:kern w:val="0"/>
                      <w:sz w:val="21"/>
                      <w:szCs w:val="21"/>
                      <w14:textFill>
                        <w14:solidFill>
                          <w14:schemeClr w14:val="tx1"/>
                        </w14:solidFill>
                      </w14:textFill>
                    </w:rPr>
                    <w:t>铜梁高新区</w:t>
                  </w:r>
                  <w:r>
                    <w:rPr>
                      <w:color w:val="000000" w:themeColor="text1"/>
                      <w:spacing w:val="25"/>
                      <w:sz w:val="21"/>
                      <w:szCs w:val="21"/>
                      <w14:textFill>
                        <w14:solidFill>
                          <w14:schemeClr w14:val="tx1"/>
                        </w14:solidFill>
                      </w14:textFill>
                    </w:rPr>
                    <w:t>蒲吕片区，不属于上述区域</w:t>
                  </w:r>
                  <w:r>
                    <w:rPr>
                      <w:color w:val="000000" w:themeColor="text1"/>
                      <w:spacing w:val="7"/>
                      <w:sz w:val="21"/>
                      <w:szCs w:val="21"/>
                      <w14:textFill>
                        <w14:solidFill>
                          <w14:schemeClr w14:val="tx1"/>
                        </w14:solidFill>
                      </w14:textFill>
                    </w:rPr>
                    <w:t>。</w:t>
                  </w:r>
                </w:p>
              </w:tc>
              <w:tc>
                <w:tcPr>
                  <w:tcW w:w="442" w:type="pct"/>
                  <w:vAlign w:val="center"/>
                </w:tcPr>
                <w:p w14:paraId="1B29EC6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BAD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5ECC44AA">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5CCCFA6D">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372" w:type="pct"/>
                  <w:vAlign w:val="center"/>
                </w:tcPr>
                <w:p w14:paraId="4AC7C6CC">
                  <w:pPr>
                    <w:numPr>
                      <w:ilvl w:val="0"/>
                      <w:numId w:val="7"/>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铜梁高新区中心城区组团内新建、改建、扩建涉VOCs排放的项目，要加强源头控制，无特别规定的要使用低（无）VOCs含量的原辅料，加强废气收集，安装高效治理设施；</w:t>
                  </w:r>
                </w:p>
                <w:p w14:paraId="169AA914">
                  <w:pPr>
                    <w:numPr>
                      <w:ilvl w:val="0"/>
                      <w:numId w:val="7"/>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推进新东城污水处理厂提标扩建，尾水排放标准至少达到《城镇污水处理厂污染物排放标准》（GB18918-2002）中一级A标准；</w:t>
                  </w:r>
                </w:p>
                <w:p w14:paraId="51931D76">
                  <w:pPr>
                    <w:numPr>
                      <w:ilvl w:val="0"/>
                      <w:numId w:val="7"/>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推进铜梁高新区（企业）污水管网错接、漏接等排查，加快实施园区管网更新、破损修复。</w:t>
                  </w:r>
                </w:p>
                <w:p w14:paraId="4C29C6F7">
                  <w:pPr>
                    <w:numPr>
                      <w:ilvl w:val="0"/>
                      <w:numId w:val="7"/>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鼓励使用电动和天然气非道路移动机械，推动新增和更换的公交车等使用新能源或清洁能源；</w:t>
                  </w:r>
                </w:p>
                <w:p w14:paraId="5DF24382">
                  <w:pPr>
                    <w:numPr>
                      <w:ilvl w:val="0"/>
                      <w:numId w:val="7"/>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以中心城区新城开发区域为重点，加强施工扬尘监管，逐步推进工地安装在线监控系统。</w:t>
                  </w:r>
                </w:p>
                <w:p w14:paraId="4ED2D5C5">
                  <w:pPr>
                    <w:rPr>
                      <w:color w:val="000000" w:themeColor="text1"/>
                      <w14:textFill>
                        <w14:solidFill>
                          <w14:schemeClr w14:val="tx1"/>
                        </w14:solidFill>
                      </w14:textFill>
                    </w:rPr>
                  </w:pPr>
                  <w:r>
                    <w:rPr>
                      <w:color w:val="000000" w:themeColor="text1"/>
                      <w:szCs w:val="21"/>
                      <w14:textFill>
                        <w14:solidFill>
                          <w14:schemeClr w14:val="tx1"/>
                        </w14:solidFill>
                      </w14:textFill>
                    </w:rPr>
                    <w:t>6.开展城区范围内雨污管网分流改造工程、老旧管网改造工程；新建区域排水体制采用雨污分流制，建成区“十四五”期间完成雨污分流改造，基本实现污水管网全覆盖。</w:t>
                  </w:r>
                </w:p>
              </w:tc>
              <w:tc>
                <w:tcPr>
                  <w:tcW w:w="1071" w:type="pct"/>
                  <w:vAlign w:val="center"/>
                </w:tcPr>
                <w:p w14:paraId="004CE93D">
                  <w:pPr>
                    <w:pStyle w:val="149"/>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项目仅淬火过程会产生少量油雾，经收集后进入高效油烟净化器处理后可有组织达标排放，满足相关要求。</w:t>
                  </w:r>
                  <w:r>
                    <w:rPr>
                      <w:color w:val="000000" w:themeColor="text1"/>
                      <w:spacing w:val="7"/>
                      <w:sz w:val="21"/>
                      <w:szCs w:val="21"/>
                      <w14:textFill>
                        <w14:solidFill>
                          <w14:schemeClr w14:val="tx1"/>
                        </w14:solidFill>
                      </w14:textFill>
                    </w:rPr>
                    <w:t>项目所在区域污水管网已连接蒲吕污水处理厂。</w:t>
                  </w:r>
                </w:p>
              </w:tc>
              <w:tc>
                <w:tcPr>
                  <w:tcW w:w="442" w:type="pct"/>
                  <w:vAlign w:val="center"/>
                </w:tcPr>
                <w:p w14:paraId="46A28E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EF4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0AC33EE1">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2B681E7B">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372" w:type="pct"/>
                </w:tcPr>
                <w:p w14:paraId="380464F5">
                  <w:pPr>
                    <w:pStyle w:val="145"/>
                    <w:spacing w:before="30"/>
                    <w:ind w:right="51"/>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9"/>
                      <w:lang w:eastAsia="zh-CN"/>
                      <w14:textFill>
                        <w14:solidFill>
                          <w14:schemeClr w14:val="tx1"/>
                        </w14:solidFill>
                      </w14:textFill>
                    </w:rPr>
                    <w:t>/</w:t>
                  </w:r>
                </w:p>
              </w:tc>
              <w:tc>
                <w:tcPr>
                  <w:tcW w:w="1071" w:type="pct"/>
                  <w:vAlign w:val="center"/>
                </w:tcPr>
                <w:p w14:paraId="7A524077">
                  <w:pPr>
                    <w:pStyle w:val="145"/>
                    <w:adjustRightInd w:val="0"/>
                    <w:snapToGrid w:val="0"/>
                    <w:spacing w:before="65"/>
                    <w:ind w:left="115" w:right="103"/>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p>
              </w:tc>
              <w:tc>
                <w:tcPr>
                  <w:tcW w:w="442" w:type="pct"/>
                  <w:vAlign w:val="center"/>
                </w:tcPr>
                <w:p w14:paraId="4FE9A4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193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2" w:type="pct"/>
                  <w:vMerge w:val="continue"/>
                  <w:vAlign w:val="center"/>
                </w:tcPr>
                <w:p w14:paraId="508B37F8">
                  <w:pPr>
                    <w:snapToGrid w:val="0"/>
                    <w:spacing w:line="320" w:lineRule="exact"/>
                    <w:jc w:val="center"/>
                    <w:rPr>
                      <w:color w:val="000000" w:themeColor="text1"/>
                      <w:szCs w:val="21"/>
                      <w14:textFill>
                        <w14:solidFill>
                          <w14:schemeClr w14:val="tx1"/>
                        </w14:solidFill>
                      </w14:textFill>
                    </w:rPr>
                  </w:pPr>
                </w:p>
              </w:tc>
              <w:tc>
                <w:tcPr>
                  <w:tcW w:w="590" w:type="pct"/>
                  <w:vAlign w:val="center"/>
                </w:tcPr>
                <w:p w14:paraId="0125FF97">
                  <w:pPr>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w:t>
                  </w:r>
                </w:p>
              </w:tc>
              <w:tc>
                <w:tcPr>
                  <w:tcW w:w="2372" w:type="pct"/>
                  <w:vAlign w:val="center"/>
                </w:tcPr>
                <w:p w14:paraId="4CE634F4">
                  <w:pPr>
                    <w:numPr>
                      <w:ilvl w:val="0"/>
                      <w:numId w:val="8"/>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推行节水措施和中水回用提高水资源回用率，鼓励工业企业提高中水回用率。推广高效冷却、洗涤、循环用水、废污水再生利用、高耗水生产工艺替代等节水工艺和技术。</w:t>
                  </w:r>
                </w:p>
                <w:p w14:paraId="43090694">
                  <w:pPr>
                    <w:numPr>
                      <w:ilvl w:val="0"/>
                      <w:numId w:val="8"/>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加快居民供水管网设施改造，减少跑冒滴漏，降低公共供水管网漏损率，大力推广和使用节水器具，减少生活用水量。对现状小区、企业和学校等公共机构进行节水化改造；</w:t>
                  </w:r>
                </w:p>
                <w:p w14:paraId="2E6C4164">
                  <w:pPr>
                    <w:rPr>
                      <w:color w:val="000000" w:themeColor="text1"/>
                      <w:szCs w:val="21"/>
                      <w14:textFill>
                        <w14:solidFill>
                          <w14:schemeClr w14:val="tx1"/>
                        </w14:solidFill>
                      </w14:textFill>
                    </w:rPr>
                  </w:pPr>
                  <w:r>
                    <w:rPr>
                      <w:color w:val="000000" w:themeColor="text1"/>
                      <w:szCs w:val="21"/>
                      <w14:textFill>
                        <w14:solidFill>
                          <w14:schemeClr w14:val="tx1"/>
                        </w14:solidFill>
                      </w14:textFill>
                    </w:rPr>
                    <w:t>3.推进南城再生水厂和大学园区再生水厂建设。</w:t>
                  </w:r>
                </w:p>
              </w:tc>
              <w:tc>
                <w:tcPr>
                  <w:tcW w:w="1071" w:type="pct"/>
                  <w:vAlign w:val="center"/>
                </w:tcPr>
                <w:p w14:paraId="55DA8AED">
                  <w:pPr>
                    <w:pStyle w:val="149"/>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项目不使用高污染燃料，</w:t>
                  </w:r>
                  <w:r>
                    <w:rPr>
                      <w:color w:val="000000" w:themeColor="text1"/>
                      <w:spacing w:val="8"/>
                      <w:sz w:val="21"/>
                      <w:szCs w:val="21"/>
                      <w14:textFill>
                        <w14:solidFill>
                          <w14:schemeClr w14:val="tx1"/>
                        </w14:solidFill>
                      </w14:textFill>
                    </w:rPr>
                    <w:t>项目推行节水措施</w:t>
                  </w:r>
                  <w:r>
                    <w:rPr>
                      <w:color w:val="000000" w:themeColor="text1"/>
                      <w:sz w:val="21"/>
                      <w:szCs w:val="21"/>
                      <w14:textFill>
                        <w14:solidFill>
                          <w14:schemeClr w14:val="tx1"/>
                        </w14:solidFill>
                      </w14:textFill>
                    </w:rPr>
                    <w:t>，符合相关要求</w:t>
                  </w:r>
                </w:p>
              </w:tc>
              <w:tc>
                <w:tcPr>
                  <w:tcW w:w="442" w:type="pct"/>
                  <w:vAlign w:val="center"/>
                </w:tcPr>
                <w:p w14:paraId="5708292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0E18E94D">
            <w:pPr>
              <w:pStyle w:val="40"/>
              <w:ind w:firstLine="480"/>
              <w:jc w:val="center"/>
              <w:rPr>
                <w:rFonts w:ascii="Times New Roman" w:hAnsi="Times New Roman" w:cs="Times New Roman"/>
                <w:b/>
                <w:color w:val="000000" w:themeColor="text1"/>
                <w14:textFill>
                  <w14:solidFill>
                    <w14:schemeClr w14:val="tx1"/>
                  </w14:solidFill>
                </w14:textFill>
              </w:rPr>
            </w:pPr>
          </w:p>
          <w:p w14:paraId="7589461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根据表1-12的对比分析可知，拟建项目符合“三线一单”的相关要求。</w:t>
            </w:r>
          </w:p>
          <w:p w14:paraId="789EAF06">
            <w:pPr>
              <w:spacing w:line="360" w:lineRule="auto"/>
              <w:ind w:firstLine="480"/>
              <w:rPr>
                <w:color w:val="000000" w:themeColor="text1"/>
                <w14:textFill>
                  <w14:solidFill>
                    <w14:schemeClr w14:val="tx1"/>
                  </w14:solidFill>
                </w14:textFill>
              </w:rPr>
            </w:pPr>
          </w:p>
          <w:p w14:paraId="301CCADA">
            <w:pPr>
              <w:spacing w:line="360" w:lineRule="auto"/>
              <w:ind w:firstLine="480"/>
              <w:rPr>
                <w:color w:val="000000" w:themeColor="text1"/>
                <w14:textFill>
                  <w14:solidFill>
                    <w14:schemeClr w14:val="tx1"/>
                  </w14:solidFill>
                </w14:textFill>
              </w:rPr>
            </w:pPr>
          </w:p>
          <w:p w14:paraId="077F2BE9">
            <w:pPr>
              <w:spacing w:line="360" w:lineRule="auto"/>
              <w:ind w:firstLine="480"/>
              <w:rPr>
                <w:color w:val="000000" w:themeColor="text1"/>
                <w14:textFill>
                  <w14:solidFill>
                    <w14:schemeClr w14:val="tx1"/>
                  </w14:solidFill>
                </w14:textFill>
              </w:rPr>
            </w:pPr>
          </w:p>
          <w:p w14:paraId="79ABFFF3">
            <w:pPr>
              <w:spacing w:line="360" w:lineRule="auto"/>
              <w:ind w:firstLine="480"/>
              <w:rPr>
                <w:color w:val="000000" w:themeColor="text1"/>
                <w14:textFill>
                  <w14:solidFill>
                    <w14:schemeClr w14:val="tx1"/>
                  </w14:solidFill>
                </w14:textFill>
              </w:rPr>
            </w:pPr>
          </w:p>
          <w:p w14:paraId="0EAC2A8A">
            <w:pPr>
              <w:spacing w:line="360" w:lineRule="auto"/>
              <w:ind w:firstLine="480"/>
              <w:rPr>
                <w:color w:val="000000" w:themeColor="text1"/>
                <w14:textFill>
                  <w14:solidFill>
                    <w14:schemeClr w14:val="tx1"/>
                  </w14:solidFill>
                </w14:textFill>
              </w:rPr>
            </w:pPr>
          </w:p>
          <w:p w14:paraId="570B0AB5">
            <w:pPr>
              <w:rPr>
                <w:color w:val="000000" w:themeColor="text1"/>
                <w14:textFill>
                  <w14:solidFill>
                    <w14:schemeClr w14:val="tx1"/>
                  </w14:solidFill>
                </w14:textFill>
              </w:rPr>
            </w:pPr>
          </w:p>
          <w:p w14:paraId="1BA869C4">
            <w:pPr>
              <w:pStyle w:val="6"/>
              <w:ind w:left="0" w:leftChars="0" w:firstLine="0" w:firstLineChars="0"/>
              <w:rPr>
                <w:color w:val="000000" w:themeColor="text1"/>
                <w14:textFill>
                  <w14:solidFill>
                    <w14:schemeClr w14:val="tx1"/>
                  </w14:solidFill>
                </w14:textFill>
              </w:rPr>
            </w:pPr>
          </w:p>
        </w:tc>
      </w:tr>
    </w:tbl>
    <w:p w14:paraId="78743B2F">
      <w:pPr>
        <w:spacing w:line="360" w:lineRule="auto"/>
        <w:outlineLvl w:val="0"/>
        <w:rPr>
          <w:color w:val="000000" w:themeColor="text1"/>
          <w:sz w:val="30"/>
          <w14:textFill>
            <w14:solidFill>
              <w14:schemeClr w14:val="tx1"/>
            </w14:solidFill>
          </w14:textFill>
        </w:rPr>
        <w:sectPr>
          <w:footerReference r:id="rId3" w:type="default"/>
          <w:pgSz w:w="11906" w:h="16838"/>
          <w:pgMar w:top="1701" w:right="1531" w:bottom="1701" w:left="1531" w:header="851" w:footer="1077" w:gutter="0"/>
          <w:cols w:space="720" w:num="1"/>
          <w:docGrid w:linePitch="312" w:charSpace="0"/>
        </w:sectPr>
      </w:pPr>
    </w:p>
    <w:p w14:paraId="0D1ADE4E">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r>
        <w:rPr>
          <w:rFonts w:ascii="Times New Roman" w:hAnsi="Times New Roman" w:cs="Times New Roman"/>
          <w:b/>
          <w:snapToGrid w:val="0"/>
          <w:color w:val="000000" w:themeColor="text1"/>
          <w:sz w:val="30"/>
          <w:szCs w:val="30"/>
          <w14:textFill>
            <w14:solidFill>
              <w14:schemeClr w14:val="tx1"/>
            </w14:solidFill>
          </w14:textFill>
        </w:rPr>
        <w:t>二、建设项目工程分析</w:t>
      </w:r>
    </w:p>
    <w:tbl>
      <w:tblPr>
        <w:tblStyle w:val="25"/>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853"/>
      </w:tblGrid>
      <w:tr w14:paraId="57CE4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470" w:type="dxa"/>
            <w:vAlign w:val="center"/>
          </w:tcPr>
          <w:p w14:paraId="140D8D1E">
            <w:pPr>
              <w:pStyle w:val="22"/>
              <w:adjustRightInd w:val="0"/>
              <w:snapToGrid w:val="0"/>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建设内容</w:t>
            </w:r>
          </w:p>
        </w:tc>
        <w:tc>
          <w:tcPr>
            <w:tcW w:w="8309" w:type="dxa"/>
          </w:tcPr>
          <w:p w14:paraId="7AB5F618">
            <w:pPr>
              <w:pStyle w:val="137"/>
              <w:rPr>
                <w:rFonts w:eastAsia="宋体"/>
                <w:b/>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2.1项目建设内容</w:t>
            </w:r>
          </w:p>
          <w:p w14:paraId="02AE9208">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2.1.1项目由来</w:t>
            </w:r>
          </w:p>
          <w:p w14:paraId="740795B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华控新程自动化技术（重庆）有限公司（以下简称“建设单位”）成立于2024年1月，是一家从事特种设备、通用设备制造及销售的企业。</w:t>
            </w:r>
          </w:p>
          <w:p w14:paraId="29FEC77C">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建设单位为迎合市场行情，拟租用铜梁区蒲吕街道产业大道38号1-1小米智能制造产业园内现有标准厂房4A栋1楼（租赁面积3929.25m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），建设“年产1万台智能流体控制产品项目”（以下简称“拟建项目”），购置数控车床、加工中心、氩弧焊机、电阻式热处理设备、试压设备等，建设完成后达年产1万台智能流体控制产品（阀门）的产能。</w:t>
            </w:r>
          </w:p>
          <w:p w14:paraId="090A809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依据《建设项目环境影响评价分类管理名录》（2021年版），拟建项目属于名录中“</w:t>
            </w:r>
            <w:r>
              <w:rPr>
                <w:color w:val="000000" w:themeColor="text1"/>
                <w:kern w:val="0"/>
                <w:sz w:val="24"/>
                <w14:textFill>
                  <w14:solidFill>
                    <w14:schemeClr w14:val="tx1"/>
                  </w14:solidFill>
                </w14:textFill>
              </w:rPr>
              <w:t>三十一、通用设备制造业34泵、阀门、压缩机及类似机械制造344</w:t>
            </w:r>
            <w:r>
              <w:rPr>
                <w:color w:val="000000" w:themeColor="text1"/>
                <w:sz w:val="24"/>
                <w14:textFill>
                  <w14:solidFill>
                    <w14:schemeClr w14:val="tx1"/>
                  </w14:solidFill>
                </w14:textFill>
              </w:rPr>
              <w:t>”中“其他”类，应编制环境影响报告表。</w:t>
            </w:r>
          </w:p>
          <w:p w14:paraId="688641D3">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2.1.2项目基本情况</w:t>
            </w:r>
          </w:p>
          <w:p w14:paraId="602131E7">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项目名称：年产1万台智能流体控制产品项目。</w:t>
            </w:r>
          </w:p>
          <w:p w14:paraId="3CA1AB4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建设单位：华控新程自动化技术（重庆）有限公司。</w:t>
            </w:r>
          </w:p>
          <w:p w14:paraId="1CA2CA92">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建设地点：重庆市铜梁区蒲吕街道产业大道38号1-1（小米智能制造产业园4A栋1楼）。</w:t>
            </w:r>
          </w:p>
          <w:p w14:paraId="23EA0C1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建设规模：租赁小米智能制造产业园内现有标准厂房4</w:t>
            </w:r>
            <w:r>
              <w:rPr>
                <w:rFonts w:hint="eastAsia" w:eastAsia="宋体"/>
                <w:color w:val="000000" w:themeColor="text1"/>
                <w:lang w:val="en-US" w:eastAsia="zh-CN"/>
                <w14:textFill>
                  <w14:solidFill>
                    <w14:schemeClr w14:val="tx1"/>
                  </w14:solidFill>
                </w14:textFill>
              </w:rPr>
              <w:t>A</w:t>
            </w:r>
            <w:r>
              <w:rPr>
                <w:rFonts w:eastAsia="宋体"/>
                <w:color w:val="000000" w:themeColor="text1"/>
                <w14:textFill>
                  <w14:solidFill>
                    <w14:schemeClr w14:val="tx1"/>
                  </w14:solidFill>
                </w14:textFill>
              </w:rPr>
              <w:t>栋1楼（租赁面积3929.25m</w:t>
            </w:r>
            <w:r>
              <w:rPr>
                <w:rFonts w:eastAsia="宋体"/>
                <w:color w:val="000000" w:themeColor="text1"/>
                <w:vertAlign w:val="superscript"/>
                <w14:textFill>
                  <w14:solidFill>
                    <w14:schemeClr w14:val="tx1"/>
                  </w14:solidFill>
                </w14:textFill>
              </w:rPr>
              <w:t>2</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该厂房合计3F，总高23m，其中1F高度11m</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厂房2~3F目前为空置，未入驻其他企业</w:t>
            </w:r>
            <w:r>
              <w:rPr>
                <w:rFonts w:eastAsia="宋体"/>
                <w:color w:val="000000" w:themeColor="text1"/>
                <w14:textFill>
                  <w14:solidFill>
                    <w14:schemeClr w14:val="tx1"/>
                  </w14:solidFill>
                </w14:textFill>
              </w:rPr>
              <w:t>），购置数控车床、加工中心、氩弧焊机、电阻式热处理设备、试压设备等，建设完成后达年产1万台智能流体控制产品（阀门）的产能。</w:t>
            </w:r>
          </w:p>
          <w:p w14:paraId="0898032C">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劳动定员及工作制度：项目劳动定员20人，1班工作制，每班8小时，夜间不生产，年工作300天，厂区内不设置食堂、住宿。</w:t>
            </w:r>
          </w:p>
          <w:p w14:paraId="65290800">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投资金额：项目总投资800万元，其中环保投资16万元。</w:t>
            </w:r>
          </w:p>
          <w:p w14:paraId="5B7579C5">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建设周期：2个月</w:t>
            </w:r>
          </w:p>
          <w:p w14:paraId="6270DF74">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2.1.3产品方案</w:t>
            </w:r>
          </w:p>
          <w:p w14:paraId="08EF1AE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拟建项目主要生产智能流体控制产品，即阀门，产品种类主要为三个（球阀、蝶阀、调节阀），产品</w:t>
            </w:r>
            <w:r>
              <w:rPr>
                <w:rFonts w:hint="eastAsia" w:eastAsia="宋体"/>
                <w:color w:val="000000" w:themeColor="text1"/>
                <w:lang w:val="en-US" w:eastAsia="zh-CN"/>
                <w14:textFill>
                  <w14:solidFill>
                    <w14:schemeClr w14:val="tx1"/>
                  </w14:solidFill>
                </w14:textFill>
              </w:rPr>
              <w:t>主要用于水泵、压缩机、传动机等设备（项目厂区不涉及涂装工艺），产品</w:t>
            </w:r>
            <w:r>
              <w:rPr>
                <w:rFonts w:eastAsia="宋体"/>
                <w:color w:val="000000" w:themeColor="text1"/>
                <w14:textFill>
                  <w14:solidFill>
                    <w14:schemeClr w14:val="tx1"/>
                  </w14:solidFill>
                </w14:textFill>
              </w:rPr>
              <w:t>方案详见下表2-1。</w:t>
            </w:r>
          </w:p>
          <w:p w14:paraId="1BBBABBD">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表2-1拟建项目产品方案一览表</w:t>
            </w:r>
          </w:p>
          <w:tbl>
            <w:tblPr>
              <w:tblStyle w:val="25"/>
              <w:tblW w:w="8597" w:type="dxa"/>
              <w:tblInd w:w="0" w:type="dxa"/>
              <w:tblLayout w:type="fixed"/>
              <w:tblCellMar>
                <w:top w:w="0" w:type="dxa"/>
                <w:left w:w="108" w:type="dxa"/>
                <w:bottom w:w="0" w:type="dxa"/>
                <w:right w:w="108" w:type="dxa"/>
              </w:tblCellMar>
            </w:tblPr>
            <w:tblGrid>
              <w:gridCol w:w="474"/>
              <w:gridCol w:w="688"/>
              <w:gridCol w:w="809"/>
              <w:gridCol w:w="1132"/>
              <w:gridCol w:w="1515"/>
              <w:gridCol w:w="1412"/>
              <w:gridCol w:w="1172"/>
              <w:gridCol w:w="1395"/>
            </w:tblGrid>
            <w:tr w14:paraId="0970EC14">
              <w:tblPrEx>
                <w:tblCellMar>
                  <w:top w:w="0" w:type="dxa"/>
                  <w:left w:w="108" w:type="dxa"/>
                  <w:bottom w:w="0" w:type="dxa"/>
                  <w:right w:w="108" w:type="dxa"/>
                </w:tblCellMar>
              </w:tblPrEx>
              <w:trPr>
                <w:trHeight w:val="402" w:hRule="atLeast"/>
              </w:trPr>
              <w:tc>
                <w:tcPr>
                  <w:tcW w:w="4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7F2D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688" w:type="dxa"/>
                  <w:tcBorders>
                    <w:top w:val="single" w:color="auto" w:sz="4" w:space="0"/>
                    <w:left w:val="nil"/>
                    <w:bottom w:val="single" w:color="auto" w:sz="4" w:space="0"/>
                    <w:right w:val="single" w:color="auto" w:sz="4" w:space="0"/>
                  </w:tcBorders>
                  <w:shd w:val="clear" w:color="auto" w:fill="auto"/>
                  <w:noWrap/>
                  <w:vAlign w:val="center"/>
                </w:tcPr>
                <w:p w14:paraId="28C75A3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产品类型</w:t>
                  </w:r>
                </w:p>
              </w:tc>
              <w:tc>
                <w:tcPr>
                  <w:tcW w:w="809" w:type="dxa"/>
                  <w:tcBorders>
                    <w:top w:val="single" w:color="auto" w:sz="4" w:space="0"/>
                    <w:left w:val="nil"/>
                    <w:bottom w:val="single" w:color="auto" w:sz="4" w:space="0"/>
                    <w:right w:val="single" w:color="auto" w:sz="4" w:space="0"/>
                  </w:tcBorders>
                  <w:shd w:val="clear" w:color="auto" w:fill="auto"/>
                  <w:noWrap/>
                  <w:vAlign w:val="center"/>
                </w:tcPr>
                <w:p w14:paraId="57B05052">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产能</w:t>
                  </w:r>
                  <w:r>
                    <w:rPr>
                      <w:rFonts w:cs="Times New Roman"/>
                      <w:color w:val="000000" w:themeColor="text1"/>
                      <w14:textFill>
                        <w14:solidFill>
                          <w14:schemeClr w14:val="tx1"/>
                        </w14:solidFill>
                      </w14:textFill>
                    </w:rPr>
                    <w:t>/件</w:t>
                  </w:r>
                </w:p>
              </w:tc>
              <w:tc>
                <w:tcPr>
                  <w:tcW w:w="1132" w:type="dxa"/>
                  <w:tcBorders>
                    <w:top w:val="single" w:color="auto" w:sz="4" w:space="0"/>
                    <w:left w:val="nil"/>
                    <w:bottom w:val="single" w:color="auto" w:sz="4" w:space="0"/>
                    <w:right w:val="single" w:color="auto" w:sz="4" w:space="0"/>
                  </w:tcBorders>
                  <w:shd w:val="clear" w:color="auto" w:fill="auto"/>
                  <w:noWrap/>
                  <w:vAlign w:val="center"/>
                </w:tcPr>
                <w:p w14:paraId="44863664">
                  <w:pPr>
                    <w:pStyle w:val="85"/>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典型产品规格</w:t>
                  </w:r>
                </w:p>
              </w:tc>
              <w:tc>
                <w:tcPr>
                  <w:tcW w:w="1515" w:type="dxa"/>
                  <w:tcBorders>
                    <w:top w:val="single" w:color="auto" w:sz="4" w:space="0"/>
                    <w:left w:val="nil"/>
                    <w:bottom w:val="single" w:color="auto" w:sz="4" w:space="0"/>
                    <w:right w:val="single" w:color="auto" w:sz="4" w:space="0"/>
                  </w:tcBorders>
                  <w:shd w:val="clear" w:color="auto" w:fill="auto"/>
                  <w:noWrap/>
                  <w:vAlign w:val="center"/>
                </w:tcPr>
                <w:p w14:paraId="4C9D62A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产品型号</w:t>
                  </w:r>
                </w:p>
              </w:tc>
              <w:tc>
                <w:tcPr>
                  <w:tcW w:w="1412" w:type="dxa"/>
                  <w:tcBorders>
                    <w:top w:val="single" w:color="auto" w:sz="4" w:space="0"/>
                    <w:left w:val="nil"/>
                    <w:bottom w:val="single" w:color="auto" w:sz="4" w:space="0"/>
                    <w:right w:val="single" w:color="auto" w:sz="4" w:space="0"/>
                  </w:tcBorders>
                  <w:shd w:val="clear" w:color="auto" w:fill="auto"/>
                  <w:noWrap/>
                  <w:vAlign w:val="center"/>
                </w:tcPr>
                <w:p w14:paraId="7C5FAC6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产品单重</w:t>
                  </w:r>
                </w:p>
              </w:tc>
              <w:tc>
                <w:tcPr>
                  <w:tcW w:w="1172" w:type="dxa"/>
                  <w:tcBorders>
                    <w:top w:val="single" w:color="auto" w:sz="4" w:space="0"/>
                    <w:left w:val="nil"/>
                    <w:bottom w:val="single" w:color="auto" w:sz="4" w:space="0"/>
                    <w:right w:val="single" w:color="auto" w:sz="4" w:space="0"/>
                  </w:tcBorders>
                  <w:shd w:val="clear" w:color="auto" w:fill="auto"/>
                  <w:noWrap/>
                  <w:vAlign w:val="center"/>
                </w:tcPr>
                <w:p w14:paraId="670E286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材质</w:t>
                  </w:r>
                </w:p>
              </w:tc>
              <w:tc>
                <w:tcPr>
                  <w:tcW w:w="1395" w:type="dxa"/>
                  <w:tcBorders>
                    <w:top w:val="single" w:color="auto" w:sz="4" w:space="0"/>
                    <w:left w:val="nil"/>
                    <w:bottom w:val="single" w:color="auto" w:sz="4" w:space="0"/>
                    <w:right w:val="single" w:color="auto" w:sz="4" w:space="0"/>
                  </w:tcBorders>
                  <w:shd w:val="clear" w:color="auto" w:fill="auto"/>
                  <w:noWrap/>
                  <w:vAlign w:val="center"/>
                </w:tcPr>
                <w:p w14:paraId="32007AD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产品总重量</w:t>
                  </w:r>
                </w:p>
              </w:tc>
            </w:tr>
            <w:tr w14:paraId="7F8EE57A">
              <w:tblPrEx>
                <w:tblCellMar>
                  <w:top w:w="0" w:type="dxa"/>
                  <w:left w:w="108" w:type="dxa"/>
                  <w:bottom w:w="0" w:type="dxa"/>
                  <w:right w:w="108" w:type="dxa"/>
                </w:tblCellMar>
              </w:tblPrEx>
              <w:trPr>
                <w:trHeight w:val="402" w:hRule="atLeast"/>
              </w:trPr>
              <w:tc>
                <w:tcPr>
                  <w:tcW w:w="474" w:type="dxa"/>
                  <w:tcBorders>
                    <w:top w:val="nil"/>
                    <w:left w:val="single" w:color="auto" w:sz="4" w:space="0"/>
                    <w:bottom w:val="single" w:color="auto" w:sz="4" w:space="0"/>
                    <w:right w:val="single" w:color="auto" w:sz="4" w:space="0"/>
                  </w:tcBorders>
                  <w:shd w:val="clear" w:color="auto" w:fill="auto"/>
                  <w:noWrap/>
                  <w:vAlign w:val="center"/>
                </w:tcPr>
                <w:p w14:paraId="6F7A10B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688" w:type="dxa"/>
                  <w:tcBorders>
                    <w:top w:val="nil"/>
                    <w:left w:val="nil"/>
                    <w:bottom w:val="single" w:color="auto" w:sz="4" w:space="0"/>
                    <w:right w:val="single" w:color="auto" w:sz="4" w:space="0"/>
                  </w:tcBorders>
                  <w:shd w:val="clear" w:color="auto" w:fill="auto"/>
                  <w:noWrap/>
                  <w:vAlign w:val="center"/>
                </w:tcPr>
                <w:p w14:paraId="2BFAFE6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球阀</w:t>
                  </w:r>
                </w:p>
              </w:tc>
              <w:tc>
                <w:tcPr>
                  <w:tcW w:w="809" w:type="dxa"/>
                  <w:tcBorders>
                    <w:top w:val="nil"/>
                    <w:left w:val="nil"/>
                    <w:bottom w:val="single" w:color="auto" w:sz="4" w:space="0"/>
                    <w:right w:val="single" w:color="auto" w:sz="4" w:space="0"/>
                  </w:tcBorders>
                  <w:shd w:val="clear" w:color="auto" w:fill="auto"/>
                  <w:noWrap/>
                  <w:vAlign w:val="center"/>
                </w:tcPr>
                <w:p w14:paraId="1A8DCE8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3000</w:t>
                  </w:r>
                </w:p>
              </w:tc>
              <w:tc>
                <w:tcPr>
                  <w:tcW w:w="1132" w:type="dxa"/>
                  <w:tcBorders>
                    <w:top w:val="nil"/>
                    <w:left w:val="nil"/>
                    <w:bottom w:val="single" w:color="auto" w:sz="4" w:space="0"/>
                    <w:right w:val="single" w:color="auto" w:sz="4" w:space="0"/>
                  </w:tcBorders>
                  <w:shd w:val="clear" w:color="auto" w:fill="auto"/>
                  <w:noWrap/>
                  <w:vAlign w:val="center"/>
                </w:tcPr>
                <w:p w14:paraId="13268E37">
                  <w:pPr>
                    <w:pStyle w:val="8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80*15*40cm</w:t>
                  </w:r>
                </w:p>
              </w:tc>
              <w:tc>
                <w:tcPr>
                  <w:tcW w:w="1515" w:type="dxa"/>
                  <w:tcBorders>
                    <w:top w:val="nil"/>
                    <w:left w:val="nil"/>
                    <w:bottom w:val="single" w:color="auto" w:sz="4" w:space="0"/>
                    <w:right w:val="single" w:color="auto" w:sz="4" w:space="0"/>
                  </w:tcBorders>
                  <w:shd w:val="clear" w:color="auto" w:fill="auto"/>
                  <w:noWrap/>
                  <w:vAlign w:val="center"/>
                </w:tcPr>
                <w:p w14:paraId="4244359C">
                  <w:pPr>
                    <w:pStyle w:val="8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AGHR</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AGFRAGHV</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AGHRF</w:t>
                  </w:r>
                  <w:r>
                    <w:rPr>
                      <w:rFonts w:hint="eastAsia" w:cs="Times New Roman"/>
                      <w:color w:val="000000" w:themeColor="text1"/>
                      <w:highlight w:val="none"/>
                      <w14:textFill>
                        <w14:solidFill>
                          <w14:schemeClr w14:val="tx1"/>
                        </w14:solidFill>
                      </w14:textFill>
                    </w:rPr>
                    <w:t>系列</w:t>
                  </w:r>
                </w:p>
              </w:tc>
              <w:tc>
                <w:tcPr>
                  <w:tcW w:w="1412" w:type="dxa"/>
                  <w:tcBorders>
                    <w:top w:val="nil"/>
                    <w:left w:val="single" w:color="auto" w:sz="4" w:space="0"/>
                    <w:bottom w:val="single" w:color="auto" w:sz="4" w:space="0"/>
                    <w:right w:val="single" w:color="auto" w:sz="4" w:space="0"/>
                  </w:tcBorders>
                  <w:shd w:val="clear" w:color="auto" w:fill="auto"/>
                  <w:noWrap/>
                  <w:vAlign w:val="center"/>
                </w:tcPr>
                <w:p w14:paraId="6CBBD0D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20~500kg，典型产品100kg</w:t>
                  </w:r>
                </w:p>
              </w:tc>
              <w:tc>
                <w:tcPr>
                  <w:tcW w:w="1172" w:type="dxa"/>
                  <w:vMerge w:val="restart"/>
                  <w:tcBorders>
                    <w:top w:val="nil"/>
                    <w:left w:val="single" w:color="auto" w:sz="4" w:space="0"/>
                    <w:right w:val="single" w:color="auto" w:sz="4" w:space="0"/>
                  </w:tcBorders>
                  <w:shd w:val="clear" w:color="auto" w:fill="auto"/>
                  <w:noWrap/>
                  <w:vAlign w:val="center"/>
                </w:tcPr>
                <w:p w14:paraId="37639BD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碳钢、不锈钢棒材、板材，其中不锈钢占比90%，碳钢10%</w:t>
                  </w:r>
                </w:p>
              </w:tc>
              <w:tc>
                <w:tcPr>
                  <w:tcW w:w="1395" w:type="dxa"/>
                  <w:tcBorders>
                    <w:top w:val="nil"/>
                    <w:left w:val="single" w:color="auto" w:sz="4" w:space="0"/>
                    <w:bottom w:val="single" w:color="000000" w:sz="4" w:space="0"/>
                    <w:right w:val="single" w:color="auto" w:sz="4" w:space="0"/>
                  </w:tcBorders>
                  <w:shd w:val="clear" w:color="auto" w:fill="auto"/>
                  <w:noWrap/>
                  <w:vAlign w:val="center"/>
                </w:tcPr>
                <w:p w14:paraId="404A4EF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60~1500t，年均300t</w:t>
                  </w:r>
                </w:p>
              </w:tc>
            </w:tr>
            <w:tr w14:paraId="5D71C647">
              <w:tblPrEx>
                <w:tblCellMar>
                  <w:top w:w="0" w:type="dxa"/>
                  <w:left w:w="108" w:type="dxa"/>
                  <w:bottom w:w="0" w:type="dxa"/>
                  <w:right w:w="108" w:type="dxa"/>
                </w:tblCellMar>
              </w:tblPrEx>
              <w:trPr>
                <w:trHeight w:val="402" w:hRule="atLeast"/>
              </w:trPr>
              <w:tc>
                <w:tcPr>
                  <w:tcW w:w="474" w:type="dxa"/>
                  <w:tcBorders>
                    <w:top w:val="nil"/>
                    <w:left w:val="single" w:color="auto" w:sz="4" w:space="0"/>
                    <w:bottom w:val="single" w:color="auto" w:sz="4" w:space="0"/>
                    <w:right w:val="single" w:color="auto" w:sz="4" w:space="0"/>
                  </w:tcBorders>
                  <w:shd w:val="clear" w:color="auto" w:fill="auto"/>
                  <w:noWrap/>
                  <w:vAlign w:val="center"/>
                </w:tcPr>
                <w:p w14:paraId="6A05CA4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688" w:type="dxa"/>
                  <w:tcBorders>
                    <w:top w:val="nil"/>
                    <w:left w:val="nil"/>
                    <w:bottom w:val="single" w:color="auto" w:sz="4" w:space="0"/>
                    <w:right w:val="single" w:color="auto" w:sz="4" w:space="0"/>
                  </w:tcBorders>
                  <w:shd w:val="clear" w:color="auto" w:fill="auto"/>
                  <w:noWrap/>
                  <w:vAlign w:val="center"/>
                </w:tcPr>
                <w:p w14:paraId="20CD977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蝶阀</w:t>
                  </w:r>
                </w:p>
              </w:tc>
              <w:tc>
                <w:tcPr>
                  <w:tcW w:w="809" w:type="dxa"/>
                  <w:tcBorders>
                    <w:top w:val="nil"/>
                    <w:left w:val="nil"/>
                    <w:bottom w:val="single" w:color="auto" w:sz="4" w:space="0"/>
                    <w:right w:val="single" w:color="auto" w:sz="4" w:space="0"/>
                  </w:tcBorders>
                  <w:shd w:val="clear" w:color="auto" w:fill="auto"/>
                  <w:noWrap/>
                  <w:vAlign w:val="center"/>
                </w:tcPr>
                <w:p w14:paraId="608D02F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3000</w:t>
                  </w:r>
                </w:p>
              </w:tc>
              <w:tc>
                <w:tcPr>
                  <w:tcW w:w="1132" w:type="dxa"/>
                  <w:tcBorders>
                    <w:top w:val="nil"/>
                    <w:left w:val="nil"/>
                    <w:bottom w:val="single" w:color="auto" w:sz="4" w:space="0"/>
                    <w:right w:val="single" w:color="auto" w:sz="4" w:space="0"/>
                  </w:tcBorders>
                  <w:shd w:val="clear" w:color="auto" w:fill="auto"/>
                  <w:noWrap/>
                  <w:vAlign w:val="center"/>
                </w:tcPr>
                <w:p w14:paraId="6BAAC602">
                  <w:pPr>
                    <w:pStyle w:val="8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DN100~DN250，厚70mm</w:t>
                  </w:r>
                </w:p>
              </w:tc>
              <w:tc>
                <w:tcPr>
                  <w:tcW w:w="1515" w:type="dxa"/>
                  <w:tcBorders>
                    <w:top w:val="nil"/>
                    <w:left w:val="nil"/>
                    <w:bottom w:val="single" w:color="auto" w:sz="4" w:space="0"/>
                    <w:right w:val="single" w:color="auto" w:sz="4" w:space="0"/>
                  </w:tcBorders>
                  <w:shd w:val="clear" w:color="auto" w:fill="auto"/>
                  <w:noWrap/>
                  <w:vAlign w:val="center"/>
                </w:tcPr>
                <w:p w14:paraId="593B06B2">
                  <w:pPr>
                    <w:pStyle w:val="8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VNJG、VNSF、VNM</w:t>
                  </w:r>
                  <w:r>
                    <w:rPr>
                      <w:rFonts w:hint="eastAsia" w:cs="Times New Roman"/>
                      <w:color w:val="000000" w:themeColor="text1"/>
                      <w:highlight w:val="none"/>
                      <w14:textFill>
                        <w14:solidFill>
                          <w14:schemeClr w14:val="tx1"/>
                        </w14:solidFill>
                      </w14:textFill>
                    </w:rPr>
                    <w:t>系列</w:t>
                  </w:r>
                </w:p>
              </w:tc>
              <w:tc>
                <w:tcPr>
                  <w:tcW w:w="1412" w:type="dxa"/>
                  <w:tcBorders>
                    <w:top w:val="nil"/>
                    <w:left w:val="single" w:color="auto" w:sz="4" w:space="0"/>
                    <w:bottom w:val="single" w:color="auto" w:sz="4" w:space="0"/>
                    <w:right w:val="single" w:color="auto" w:sz="4" w:space="0"/>
                  </w:tcBorders>
                  <w:shd w:val="clear" w:color="auto" w:fill="auto"/>
                  <w:noWrap/>
                  <w:vAlign w:val="center"/>
                </w:tcPr>
                <w:p w14:paraId="0345526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20kg~1t，典型产品100kg</w:t>
                  </w:r>
                </w:p>
              </w:tc>
              <w:tc>
                <w:tcPr>
                  <w:tcW w:w="1172" w:type="dxa"/>
                  <w:vMerge w:val="continue"/>
                  <w:tcBorders>
                    <w:left w:val="single" w:color="auto" w:sz="4" w:space="0"/>
                    <w:right w:val="single" w:color="auto" w:sz="4" w:space="0"/>
                  </w:tcBorders>
                  <w:shd w:val="clear" w:color="auto" w:fill="auto"/>
                  <w:noWrap/>
                  <w:vAlign w:val="center"/>
                </w:tcPr>
                <w:p w14:paraId="75B66418">
                  <w:pPr>
                    <w:pStyle w:val="85"/>
                    <w:rPr>
                      <w:rFonts w:cs="Times New Roman"/>
                      <w:color w:val="000000" w:themeColor="text1"/>
                      <w14:textFill>
                        <w14:solidFill>
                          <w14:schemeClr w14:val="tx1"/>
                        </w14:solidFill>
                      </w14:textFill>
                    </w:rPr>
                  </w:pPr>
                </w:p>
              </w:tc>
              <w:tc>
                <w:tcPr>
                  <w:tcW w:w="1395" w:type="dxa"/>
                  <w:tcBorders>
                    <w:top w:val="nil"/>
                    <w:left w:val="single" w:color="auto" w:sz="4" w:space="0"/>
                    <w:bottom w:val="single" w:color="auto" w:sz="4" w:space="0"/>
                    <w:right w:val="single" w:color="auto" w:sz="4" w:space="0"/>
                  </w:tcBorders>
                  <w:shd w:val="clear" w:color="auto" w:fill="auto"/>
                  <w:noWrap/>
                  <w:vAlign w:val="center"/>
                </w:tcPr>
                <w:p w14:paraId="6A3811B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60~3000t，年均300t</w:t>
                  </w:r>
                </w:p>
              </w:tc>
            </w:tr>
            <w:tr w14:paraId="5927881F">
              <w:tblPrEx>
                <w:tblCellMar>
                  <w:top w:w="0" w:type="dxa"/>
                  <w:left w:w="108" w:type="dxa"/>
                  <w:bottom w:w="0" w:type="dxa"/>
                  <w:right w:w="108" w:type="dxa"/>
                </w:tblCellMar>
              </w:tblPrEx>
              <w:trPr>
                <w:trHeight w:val="402" w:hRule="atLeast"/>
              </w:trPr>
              <w:tc>
                <w:tcPr>
                  <w:tcW w:w="474" w:type="dxa"/>
                  <w:tcBorders>
                    <w:top w:val="nil"/>
                    <w:left w:val="single" w:color="auto" w:sz="4" w:space="0"/>
                    <w:bottom w:val="single" w:color="auto" w:sz="4" w:space="0"/>
                    <w:right w:val="single" w:color="auto" w:sz="4" w:space="0"/>
                  </w:tcBorders>
                  <w:shd w:val="clear" w:color="auto" w:fill="auto"/>
                  <w:noWrap/>
                  <w:vAlign w:val="center"/>
                </w:tcPr>
                <w:p w14:paraId="696C5F1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688" w:type="dxa"/>
                  <w:tcBorders>
                    <w:top w:val="single" w:color="auto" w:sz="4" w:space="0"/>
                    <w:left w:val="nil"/>
                    <w:bottom w:val="single" w:color="auto" w:sz="4" w:space="0"/>
                    <w:right w:val="single" w:color="auto" w:sz="4" w:space="0"/>
                  </w:tcBorders>
                  <w:shd w:val="clear" w:color="auto" w:fill="auto"/>
                  <w:noWrap/>
                  <w:vAlign w:val="center"/>
                </w:tcPr>
                <w:p w14:paraId="02F6DD9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调节阀</w:t>
                  </w:r>
                </w:p>
              </w:tc>
              <w:tc>
                <w:tcPr>
                  <w:tcW w:w="809" w:type="dxa"/>
                  <w:tcBorders>
                    <w:top w:val="nil"/>
                    <w:left w:val="nil"/>
                    <w:bottom w:val="single" w:color="auto" w:sz="4" w:space="0"/>
                    <w:right w:val="single" w:color="auto" w:sz="4" w:space="0"/>
                  </w:tcBorders>
                  <w:shd w:val="clear" w:color="auto" w:fill="auto"/>
                  <w:noWrap/>
                  <w:vAlign w:val="center"/>
                </w:tcPr>
                <w:p w14:paraId="447EDC3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4000</w:t>
                  </w:r>
                </w:p>
              </w:tc>
              <w:tc>
                <w:tcPr>
                  <w:tcW w:w="1132" w:type="dxa"/>
                  <w:tcBorders>
                    <w:top w:val="nil"/>
                    <w:left w:val="nil"/>
                    <w:bottom w:val="single" w:color="auto" w:sz="4" w:space="0"/>
                    <w:right w:val="single" w:color="auto" w:sz="4" w:space="0"/>
                  </w:tcBorders>
                  <w:shd w:val="clear" w:color="auto" w:fill="auto"/>
                  <w:noWrap/>
                  <w:vAlign w:val="center"/>
                </w:tcPr>
                <w:p w14:paraId="34181E55">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DN100~DN250，厚50mm</w:t>
                  </w:r>
                </w:p>
              </w:tc>
              <w:tc>
                <w:tcPr>
                  <w:tcW w:w="1515" w:type="dxa"/>
                  <w:tcBorders>
                    <w:top w:val="nil"/>
                    <w:left w:val="nil"/>
                    <w:bottom w:val="single" w:color="auto" w:sz="4" w:space="0"/>
                    <w:right w:val="single" w:color="auto" w:sz="4" w:space="0"/>
                  </w:tcBorders>
                  <w:shd w:val="clear" w:color="auto" w:fill="auto"/>
                  <w:noWrap/>
                  <w:vAlign w:val="center"/>
                </w:tcPr>
                <w:p w14:paraId="4730F589">
                  <w:pPr>
                    <w:pStyle w:val="85"/>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FTS</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FCP</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FKG</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F100</w:t>
                  </w:r>
                  <w:r>
                    <w:rPr>
                      <w:rFonts w:hint="eastAsia" w:cs="Times New Roman"/>
                      <w:color w:val="000000" w:themeColor="text1"/>
                      <w:highlight w:val="none"/>
                      <w14:textFill>
                        <w14:solidFill>
                          <w14:schemeClr w14:val="tx1"/>
                        </w14:solidFill>
                      </w14:textFill>
                    </w:rPr>
                    <w:t>系列</w:t>
                  </w:r>
                </w:p>
              </w:tc>
              <w:tc>
                <w:tcPr>
                  <w:tcW w:w="1412" w:type="dxa"/>
                  <w:tcBorders>
                    <w:top w:val="single" w:color="auto" w:sz="4" w:space="0"/>
                    <w:left w:val="single" w:color="auto" w:sz="4" w:space="0"/>
                    <w:bottom w:val="single" w:color="auto" w:sz="4" w:space="0"/>
                    <w:right w:val="single" w:color="auto" w:sz="4" w:space="0"/>
                  </w:tcBorders>
                  <w:vAlign w:val="center"/>
                </w:tcPr>
                <w:p w14:paraId="7EE24FA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20kg~1t，典型产品150kg</w:t>
                  </w:r>
                </w:p>
              </w:tc>
              <w:tc>
                <w:tcPr>
                  <w:tcW w:w="1172" w:type="dxa"/>
                  <w:vMerge w:val="continue"/>
                  <w:tcBorders>
                    <w:left w:val="single" w:color="auto" w:sz="4" w:space="0"/>
                    <w:bottom w:val="single" w:color="auto" w:sz="4" w:space="0"/>
                    <w:right w:val="single" w:color="auto" w:sz="4" w:space="0"/>
                  </w:tcBorders>
                  <w:vAlign w:val="center"/>
                </w:tcPr>
                <w:p w14:paraId="3AE05429">
                  <w:pPr>
                    <w:pStyle w:val="85"/>
                    <w:rPr>
                      <w:rFonts w:cs="Times New Roman"/>
                      <w:color w:val="000000" w:themeColor="text1"/>
                      <w14:textFill>
                        <w14:solidFill>
                          <w14:schemeClr w14:val="tx1"/>
                        </w14:solidFill>
                      </w14:textFill>
                    </w:rPr>
                  </w:pPr>
                </w:p>
              </w:tc>
              <w:tc>
                <w:tcPr>
                  <w:tcW w:w="1395" w:type="dxa"/>
                  <w:tcBorders>
                    <w:top w:val="single" w:color="auto" w:sz="4" w:space="0"/>
                    <w:left w:val="single" w:color="auto" w:sz="4" w:space="0"/>
                    <w:bottom w:val="single" w:color="000000" w:sz="4" w:space="0"/>
                    <w:right w:val="single" w:color="auto" w:sz="4" w:space="0"/>
                  </w:tcBorders>
                  <w:vAlign w:val="center"/>
                </w:tcPr>
                <w:p w14:paraId="52EC4D8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80~4000t，年均600t</w:t>
                  </w:r>
                </w:p>
              </w:tc>
            </w:tr>
          </w:tbl>
          <w:p w14:paraId="7B295BA3">
            <w:pPr>
              <w:pStyle w:val="137"/>
              <w:spacing w:line="240" w:lineRule="auto"/>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注：由于项目产品规格较多，</w:t>
            </w:r>
            <w:r>
              <w:rPr>
                <w:rFonts w:hint="eastAsia" w:eastAsia="宋体"/>
                <w:b/>
                <w:color w:val="000000" w:themeColor="text1"/>
                <w:lang w:val="en-US" w:eastAsia="zh-CN"/>
                <w14:textFill>
                  <w14:solidFill>
                    <w14:schemeClr w14:val="tx1"/>
                  </w14:solidFill>
                </w14:textFill>
              </w:rPr>
              <w:t>但主要生产工艺相同，故</w:t>
            </w:r>
            <w:r>
              <w:rPr>
                <w:rFonts w:eastAsia="宋体"/>
                <w:b/>
                <w:color w:val="000000" w:themeColor="text1"/>
                <w14:textFill>
                  <w14:solidFill>
                    <w14:schemeClr w14:val="tx1"/>
                  </w14:solidFill>
                </w14:textFill>
              </w:rPr>
              <w:t>本项目仅列举其中几种</w:t>
            </w:r>
            <w:r>
              <w:rPr>
                <w:rFonts w:hint="eastAsia" w:eastAsia="宋体"/>
                <w:b/>
                <w:color w:val="000000" w:themeColor="text1"/>
                <w14:textFill>
                  <w14:solidFill>
                    <w14:schemeClr w14:val="tx1"/>
                  </w14:solidFill>
                </w14:textFill>
              </w:rPr>
              <w:t>具有代表性的</w:t>
            </w:r>
            <w:r>
              <w:rPr>
                <w:rFonts w:eastAsia="宋体"/>
                <w:b/>
                <w:color w:val="000000" w:themeColor="text1"/>
                <w14:textFill>
                  <w14:solidFill>
                    <w14:schemeClr w14:val="tx1"/>
                  </w14:solidFill>
                </w14:textFill>
              </w:rPr>
              <w:t>型号，为贴合项目实际生产情况，项目后续产排污统计均按照典型产品产能核算。</w:t>
            </w:r>
          </w:p>
          <w:p w14:paraId="7F2F7CC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2.1.4项目建设内容</w:t>
            </w:r>
          </w:p>
          <w:p w14:paraId="5CA58E13">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拟建项目租用小米智能制造产业园内现有标准厂房A4栋1楼进行生产（租赁面积3929.25m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、单层整体租赁，该厂房合计3F，总高23m，其中1F高度11m）。其按生产内容及功能可分为主体工程、辅助工程、环保工程、储运工程及公用工程五个组成部分。</w:t>
            </w:r>
          </w:p>
          <w:p w14:paraId="6D36B65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拟建项目组成情况详见表2-2。</w:t>
            </w:r>
          </w:p>
          <w:p w14:paraId="1B2E81BA">
            <w:pPr>
              <w:adjustRightInd w:val="0"/>
              <w:snapToGrid w:val="0"/>
              <w:jc w:val="center"/>
              <w:outlineLvl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t>表2-2项目组成情况一览表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57"/>
              <w:gridCol w:w="823"/>
              <w:gridCol w:w="5951"/>
              <w:gridCol w:w="796"/>
            </w:tblGrid>
            <w:tr w14:paraId="1BCF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Align w:val="center"/>
                </w:tcPr>
                <w:p w14:paraId="6825D6D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739" w:type="pct"/>
                  <w:gridSpan w:val="2"/>
                  <w:vAlign w:val="center"/>
                </w:tcPr>
                <w:p w14:paraId="223D1B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3449" w:type="pct"/>
                  <w:vAlign w:val="center"/>
                </w:tcPr>
                <w:p w14:paraId="041A7E8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内容与规模</w:t>
                  </w:r>
                </w:p>
              </w:tc>
              <w:tc>
                <w:tcPr>
                  <w:tcW w:w="462" w:type="pct"/>
                  <w:vAlign w:val="center"/>
                </w:tcPr>
                <w:p w14:paraId="5B59C11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14:paraId="3651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restart"/>
                  <w:vAlign w:val="center"/>
                </w:tcPr>
                <w:p w14:paraId="163EFF2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739" w:type="pct"/>
                  <w:gridSpan w:val="2"/>
                  <w:vAlign w:val="center"/>
                </w:tcPr>
                <w:p w14:paraId="153592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热处理区</w:t>
                  </w:r>
                </w:p>
              </w:tc>
              <w:tc>
                <w:tcPr>
                  <w:tcW w:w="3449" w:type="pct"/>
                  <w:vAlign w:val="center"/>
                </w:tcPr>
                <w:p w14:paraId="6466385B">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w:t>
                  </w:r>
                  <w:r>
                    <w:rPr>
                      <w:rFonts w:hint="eastAsia"/>
                      <w:color w:val="000000" w:themeColor="text1"/>
                      <w:szCs w:val="21"/>
                      <w:lang w:val="en-US" w:eastAsia="zh-CN"/>
                      <w14:textFill>
                        <w14:solidFill>
                          <w14:schemeClr w14:val="tx1"/>
                        </w14:solidFill>
                      </w14:textFill>
                    </w:rPr>
                    <w:t>西</w:t>
                  </w:r>
                  <w:r>
                    <w:rPr>
                      <w:color w:val="000000" w:themeColor="text1"/>
                      <w:szCs w:val="21"/>
                      <w14:textFill>
                        <w14:solidFill>
                          <w14:schemeClr w14:val="tx1"/>
                        </w14:solidFill>
                      </w14:textFill>
                    </w:rPr>
                    <w:t>北部区域，面积约60m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。该生产线主要设置</w:t>
                  </w:r>
                  <w:r>
                    <w:rPr>
                      <w:rFonts w:hint="eastAsia"/>
                      <w:color w:val="000000" w:themeColor="text1"/>
                      <w:szCs w:val="21"/>
                      <w14:textFill>
                        <w14:solidFill>
                          <w14:schemeClr w14:val="tx1"/>
                        </w14:solidFill>
                      </w14:textFill>
                    </w:rPr>
                    <w:t>电阻</w:t>
                  </w:r>
                  <w:r>
                    <w:rPr>
                      <w:color w:val="000000" w:themeColor="text1"/>
                      <w:szCs w:val="21"/>
                      <w14:textFill>
                        <w14:solidFill>
                          <w14:schemeClr w14:val="tx1"/>
                        </w14:solidFill>
                      </w14:textFill>
                    </w:rPr>
                    <w:t>正火炉2台、淬火油槽1个（钢制离地式槽体，规格约</w:t>
                  </w:r>
                  <w:r>
                    <w:rPr>
                      <w:rFonts w:hint="eastAsia" w:cs="Times New Roman"/>
                      <w:color w:val="000000" w:themeColor="text1"/>
                      <w:szCs w:val="21"/>
                      <w:lang w:val="en-US" w:eastAsia="zh-CN"/>
                      <w14:textFill>
                        <w14:solidFill>
                          <w14:schemeClr w14:val="tx1"/>
                        </w14:solidFill>
                      </w14:textFill>
                    </w:rPr>
                    <w:t>2.0</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1.2</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1.0</w:t>
                  </w:r>
                  <w:r>
                    <w:rPr>
                      <w:rFonts w:cs="Times New Roman"/>
                      <w:color w:val="000000" w:themeColor="text1"/>
                      <w:szCs w:val="21"/>
                      <w14:textFill>
                        <w14:solidFill>
                          <w14:schemeClr w14:val="tx1"/>
                        </w14:solidFill>
                      </w14:textFill>
                    </w:rPr>
                    <w:t>m</w:t>
                  </w:r>
                  <w:r>
                    <w:rPr>
                      <w:color w:val="000000" w:themeColor="text1"/>
                      <w:szCs w:val="21"/>
                      <w14:textFill>
                        <w14:solidFill>
                          <w14:schemeClr w14:val="tx1"/>
                        </w14:solidFill>
                      </w14:textFill>
                    </w:rPr>
                    <w:t>，有效容积</w:t>
                  </w:r>
                  <w:r>
                    <w:rPr>
                      <w:rFonts w:hint="eastAsia"/>
                      <w:color w:val="000000" w:themeColor="text1"/>
                      <w:szCs w:val="21"/>
                      <w:lang w:val="en-US" w:eastAsia="zh-CN"/>
                      <w14:textFill>
                        <w14:solidFill>
                          <w14:schemeClr w14:val="tx1"/>
                        </w14:solidFill>
                      </w14:textFill>
                    </w:rPr>
                    <w:t>2.4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，日常油液量</w:t>
                  </w:r>
                  <w:r>
                    <w:rPr>
                      <w:rFonts w:hint="eastAsia"/>
                      <w:color w:val="000000" w:themeColor="text1"/>
                      <w:szCs w:val="21"/>
                      <w:lang w:val="en-US" w:eastAsia="zh-CN"/>
                      <w14:textFill>
                        <w14:solidFill>
                          <w14:schemeClr w14:val="tx1"/>
                        </w14:solidFill>
                      </w14:textFill>
                    </w:rPr>
                    <w:t>1.2</w:t>
                  </w:r>
                  <w:r>
                    <w:rPr>
                      <w:color w:val="000000" w:themeColor="text1"/>
                      <w:szCs w:val="21"/>
                      <w14:textFill>
                        <w14:solidFill>
                          <w14:schemeClr w14:val="tx1"/>
                        </w14:solidFill>
                      </w14:textFill>
                    </w:rPr>
                    <w:t>t）、冷却水槽1个（钢制离地式槽体，规格约</w:t>
                  </w:r>
                  <w:r>
                    <w:rPr>
                      <w:rFonts w:hint="eastAsia" w:cs="Times New Roman"/>
                      <w:color w:val="000000" w:themeColor="text1"/>
                      <w:szCs w:val="21"/>
                      <w:lang w:val="en-US" w:eastAsia="zh-CN"/>
                      <w14:textFill>
                        <w14:solidFill>
                          <w14:schemeClr w14:val="tx1"/>
                        </w14:solidFill>
                      </w14:textFill>
                    </w:rPr>
                    <w:t>2.0</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1.2</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1.0</w:t>
                  </w:r>
                  <w:r>
                    <w:rPr>
                      <w:rFonts w:cs="Times New Roman"/>
                      <w:color w:val="000000" w:themeColor="text1"/>
                      <w:szCs w:val="21"/>
                      <w14:textFill>
                        <w14:solidFill>
                          <w14:schemeClr w14:val="tx1"/>
                        </w14:solidFill>
                      </w14:textFill>
                    </w:rPr>
                    <w:t>m</w:t>
                  </w:r>
                  <w:r>
                    <w:rPr>
                      <w:color w:val="000000" w:themeColor="text1"/>
                      <w:szCs w:val="21"/>
                      <w14:textFill>
                        <w14:solidFill>
                          <w14:schemeClr w14:val="tx1"/>
                        </w14:solidFill>
                      </w14:textFill>
                    </w:rPr>
                    <w:t>，有效容积</w:t>
                  </w:r>
                  <w:r>
                    <w:rPr>
                      <w:rFonts w:hint="eastAsia"/>
                      <w:color w:val="000000" w:themeColor="text1"/>
                      <w:szCs w:val="21"/>
                      <w:lang w:val="en-US" w:eastAsia="zh-CN"/>
                      <w14:textFill>
                        <w14:solidFill>
                          <w14:schemeClr w14:val="tx1"/>
                        </w14:solidFill>
                      </w14:textFill>
                    </w:rPr>
                    <w:t>2.4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，日常</w:t>
                  </w:r>
                  <w:r>
                    <w:rPr>
                      <w:rFonts w:hint="eastAsia"/>
                      <w:color w:val="000000" w:themeColor="text1"/>
                      <w:szCs w:val="21"/>
                      <w:lang w:val="en-US" w:eastAsia="zh-CN"/>
                      <w14:textFill>
                        <w14:solidFill>
                          <w14:schemeClr w14:val="tx1"/>
                        </w14:solidFill>
                      </w14:textFill>
                    </w:rPr>
                    <w:t>水</w:t>
                  </w:r>
                  <w:r>
                    <w:rPr>
                      <w:color w:val="000000" w:themeColor="text1"/>
                      <w:szCs w:val="21"/>
                      <w14:textFill>
                        <w14:solidFill>
                          <w14:schemeClr w14:val="tx1"/>
                        </w14:solidFill>
                      </w14:textFill>
                    </w:rPr>
                    <w:t>量</w:t>
                  </w:r>
                  <w:r>
                    <w:rPr>
                      <w:rFonts w:hint="eastAsia"/>
                      <w:color w:val="000000" w:themeColor="text1"/>
                      <w:szCs w:val="21"/>
                      <w:lang w:val="en-US" w:eastAsia="zh-CN"/>
                      <w14:textFill>
                        <w14:solidFill>
                          <w14:schemeClr w14:val="tx1"/>
                        </w14:solidFill>
                      </w14:textFill>
                    </w:rPr>
                    <w:t>1.2</w:t>
                  </w:r>
                  <w:r>
                    <w:rPr>
                      <w:color w:val="000000" w:themeColor="text1"/>
                      <w:szCs w:val="21"/>
                      <w14:textFill>
                        <w14:solidFill>
                          <w14:schemeClr w14:val="tx1"/>
                        </w14:solidFill>
                      </w14:textFill>
                    </w:rPr>
                    <w:t>t），用于原材料热处理。</w:t>
                  </w:r>
                </w:p>
              </w:tc>
              <w:tc>
                <w:tcPr>
                  <w:tcW w:w="462" w:type="pct"/>
                  <w:vAlign w:val="center"/>
                </w:tcPr>
                <w:p w14:paraId="784BE0F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2FB9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5F9F184B">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5117E8F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焊接、清洗区</w:t>
                  </w:r>
                </w:p>
              </w:tc>
              <w:tc>
                <w:tcPr>
                  <w:tcW w:w="3449" w:type="pct"/>
                  <w:vAlign w:val="center"/>
                </w:tcPr>
                <w:p w14:paraId="478F1DA4">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w:t>
                  </w:r>
                  <w:r>
                    <w:rPr>
                      <w:rFonts w:hint="eastAsia"/>
                      <w:color w:val="000000" w:themeColor="text1"/>
                      <w:szCs w:val="21"/>
                      <w:lang w:val="en-US" w:eastAsia="zh-CN"/>
                      <w14:textFill>
                        <w14:solidFill>
                          <w14:schemeClr w14:val="tx1"/>
                        </w14:solidFill>
                      </w14:textFill>
                    </w:rPr>
                    <w:t>西</w:t>
                  </w:r>
                  <w:r>
                    <w:rPr>
                      <w:color w:val="000000" w:themeColor="text1"/>
                      <w:szCs w:val="21"/>
                      <w14:textFill>
                        <w14:solidFill>
                          <w14:schemeClr w14:val="tx1"/>
                        </w14:solidFill>
                      </w14:textFill>
                    </w:rPr>
                    <w:t>北侧区域，面积约50m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。该区域主要设置1台等离子焊机、1台氩弧焊机和1台清洗机，同时配套设置4个氩气钢瓶（18kg/瓶），用于工件清洗和焊接。</w:t>
                  </w:r>
                </w:p>
              </w:tc>
              <w:tc>
                <w:tcPr>
                  <w:tcW w:w="462" w:type="pct"/>
                  <w:vAlign w:val="center"/>
                </w:tcPr>
                <w:p w14:paraId="718E0C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23E6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4C8E0889">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043B1F1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机加工区域</w:t>
                  </w:r>
                </w:p>
              </w:tc>
              <w:tc>
                <w:tcPr>
                  <w:tcW w:w="3449" w:type="pct"/>
                  <w:vAlign w:val="center"/>
                </w:tcPr>
                <w:p w14:paraId="257944E6">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w:t>
                  </w:r>
                  <w:r>
                    <w:rPr>
                      <w:rFonts w:hint="eastAsia"/>
                      <w:color w:val="000000" w:themeColor="text1"/>
                      <w:szCs w:val="21"/>
                      <w:lang w:val="en-US" w:eastAsia="zh-CN"/>
                      <w14:textFill>
                        <w14:solidFill>
                          <w14:schemeClr w14:val="tx1"/>
                        </w14:solidFill>
                      </w14:textFill>
                    </w:rPr>
                    <w:t>中部偏北侧</w:t>
                  </w:r>
                  <w:r>
                    <w:rPr>
                      <w:color w:val="000000" w:themeColor="text1"/>
                      <w:szCs w:val="21"/>
                      <w14:textFill>
                        <w14:solidFill>
                          <w14:schemeClr w14:val="tx1"/>
                        </w14:solidFill>
                      </w14:textFill>
                    </w:rPr>
                    <w:t>，面积约500m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，分为粗加工区域和精加工区域，设置有数控车床、加工中心、摇臂钻床等设备，用于工件机加工。</w:t>
                  </w:r>
                </w:p>
              </w:tc>
              <w:tc>
                <w:tcPr>
                  <w:tcW w:w="462" w:type="pct"/>
                  <w:vAlign w:val="center"/>
                </w:tcPr>
                <w:p w14:paraId="6723CF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30BF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5BEF9F8A">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52B95C5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装配区</w:t>
                  </w:r>
                </w:p>
              </w:tc>
              <w:tc>
                <w:tcPr>
                  <w:tcW w:w="3449" w:type="pct"/>
                  <w:vAlign w:val="center"/>
                </w:tcPr>
                <w:p w14:paraId="529211FE">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w:t>
                  </w:r>
                  <w:r>
                    <w:rPr>
                      <w:rFonts w:hint="eastAsia"/>
                      <w:color w:val="000000" w:themeColor="text1"/>
                      <w:szCs w:val="21"/>
                      <w14:textFill>
                        <w14:solidFill>
                          <w14:schemeClr w14:val="tx1"/>
                        </w14:solidFill>
                      </w14:textFill>
                    </w:rPr>
                    <w:t>中部靠</w:t>
                  </w:r>
                  <w:r>
                    <w:rPr>
                      <w:color w:val="000000" w:themeColor="text1"/>
                      <w:szCs w:val="21"/>
                      <w14:textFill>
                        <w14:solidFill>
                          <w14:schemeClr w14:val="tx1"/>
                        </w14:solidFill>
                      </w14:textFill>
                    </w:rPr>
                    <w:t>南侧，面积约500m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，设置4条人工装配线，每条线配置1台试压机，用于产品装配和试压检测。</w:t>
                  </w:r>
                </w:p>
              </w:tc>
              <w:tc>
                <w:tcPr>
                  <w:tcW w:w="462" w:type="pct"/>
                  <w:vAlign w:val="center"/>
                </w:tcPr>
                <w:p w14:paraId="683764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72AF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678A2154">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188731E0">
                  <w:pPr>
                    <w:adjustRightInd w:val="0"/>
                    <w:snapToGrid w:val="0"/>
                    <w:jc w:val="center"/>
                    <w:rPr>
                      <w:color w:val="000000" w:themeColor="text1"/>
                      <w:szCs w:val="21"/>
                      <w14:textFill>
                        <w14:solidFill>
                          <w14:schemeClr w14:val="tx1"/>
                        </w14:solidFill>
                      </w14:textFill>
                    </w:rPr>
                  </w:pPr>
                </w:p>
              </w:tc>
              <w:tc>
                <w:tcPr>
                  <w:tcW w:w="3449" w:type="pct"/>
                  <w:vAlign w:val="center"/>
                </w:tcPr>
                <w:p w14:paraId="036582F7">
                  <w:pPr>
                    <w:adjustRightInd w:val="0"/>
                    <w:snapToGrid w:val="0"/>
                    <w:rPr>
                      <w:color w:val="000000" w:themeColor="text1"/>
                      <w:szCs w:val="21"/>
                      <w14:textFill>
                        <w14:solidFill>
                          <w14:schemeClr w14:val="tx1"/>
                        </w14:solidFill>
                      </w14:textFill>
                    </w:rPr>
                  </w:pPr>
                </w:p>
              </w:tc>
              <w:tc>
                <w:tcPr>
                  <w:tcW w:w="462" w:type="pct"/>
                  <w:vAlign w:val="center"/>
                </w:tcPr>
                <w:p w14:paraId="00E0F2DD">
                  <w:pPr>
                    <w:adjustRightInd w:val="0"/>
                    <w:snapToGrid w:val="0"/>
                    <w:jc w:val="center"/>
                    <w:rPr>
                      <w:color w:val="000000" w:themeColor="text1"/>
                      <w:szCs w:val="21"/>
                      <w14:textFill>
                        <w14:solidFill>
                          <w14:schemeClr w14:val="tx1"/>
                        </w14:solidFill>
                      </w14:textFill>
                    </w:rPr>
                  </w:pPr>
                </w:p>
              </w:tc>
            </w:tr>
            <w:tr w14:paraId="067B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6D4984DB">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1D4BFCB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低温处理区</w:t>
                  </w:r>
                </w:p>
              </w:tc>
              <w:tc>
                <w:tcPr>
                  <w:tcW w:w="3449" w:type="pct"/>
                  <w:vAlign w:val="center"/>
                </w:tcPr>
                <w:p w14:paraId="46B6F7A1">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位于厂区东南侧，面积约50m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，用于部分低温阀产品所用原料的低温处理，设置1个低温槽、1个控制器、1个杜瓦罐，并设置4个液氮瓶（100L/瓶）。</w:t>
                  </w:r>
                </w:p>
              </w:tc>
              <w:tc>
                <w:tcPr>
                  <w:tcW w:w="462" w:type="pct"/>
                  <w:vAlign w:val="center"/>
                </w:tcPr>
                <w:p w14:paraId="7E0E40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7A12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restart"/>
                  <w:vAlign w:val="center"/>
                </w:tcPr>
                <w:p w14:paraId="62D463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辅助工程</w:t>
                  </w:r>
                </w:p>
              </w:tc>
              <w:tc>
                <w:tcPr>
                  <w:tcW w:w="739" w:type="pct"/>
                  <w:gridSpan w:val="2"/>
                  <w:vAlign w:val="center"/>
                </w:tcPr>
                <w:p w14:paraId="5AD894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办公区</w:t>
                  </w:r>
                </w:p>
              </w:tc>
              <w:tc>
                <w:tcPr>
                  <w:tcW w:w="3449" w:type="pct"/>
                  <w:vAlign w:val="center"/>
                </w:tcPr>
                <w:p w14:paraId="282875FD">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设置1处办公区，位于厂区东北侧，面积约100m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，分为会议室、办公区，用于职工办公和会议。</w:t>
                  </w:r>
                </w:p>
              </w:tc>
              <w:tc>
                <w:tcPr>
                  <w:tcW w:w="462" w:type="pct"/>
                  <w:vAlign w:val="center"/>
                </w:tcPr>
                <w:p w14:paraId="046484D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1293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26D5439D">
                  <w:pPr>
                    <w:adjustRightInd w:val="0"/>
                    <w:snapToGrid w:val="0"/>
                    <w:jc w:val="center"/>
                    <w:rPr>
                      <w:color w:val="000000" w:themeColor="text1"/>
                      <w:szCs w:val="21"/>
                      <w14:textFill>
                        <w14:solidFill>
                          <w14:schemeClr w14:val="tx1"/>
                        </w14:solidFill>
                      </w14:textFill>
                    </w:rPr>
                  </w:pPr>
                </w:p>
              </w:tc>
              <w:tc>
                <w:tcPr>
                  <w:tcW w:w="1199" w:type="dxa"/>
                  <w:gridSpan w:val="2"/>
                  <w:vAlign w:val="center"/>
                </w:tcPr>
                <w:p w14:paraId="39313F1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检测室</w:t>
                  </w:r>
                </w:p>
              </w:tc>
              <w:tc>
                <w:tcPr>
                  <w:tcW w:w="5576" w:type="dxa"/>
                  <w:vAlign w:val="center"/>
                </w:tcPr>
                <w:p w14:paraId="20A32CA7">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位于厂房西北侧，面积约50m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，用于产品物理检测。</w:t>
                  </w:r>
                </w:p>
              </w:tc>
              <w:tc>
                <w:tcPr>
                  <w:tcW w:w="745" w:type="dxa"/>
                  <w:vAlign w:val="center"/>
                </w:tcPr>
                <w:p w14:paraId="5AD9418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4558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35141264">
                  <w:pPr>
                    <w:adjustRightInd w:val="0"/>
                    <w:snapToGrid w:val="0"/>
                    <w:jc w:val="center"/>
                    <w:rPr>
                      <w:color w:val="000000" w:themeColor="text1"/>
                      <w:szCs w:val="21"/>
                      <w14:textFill>
                        <w14:solidFill>
                          <w14:schemeClr w14:val="tx1"/>
                        </w14:solidFill>
                      </w14:textFill>
                    </w:rPr>
                  </w:pPr>
                </w:p>
              </w:tc>
              <w:tc>
                <w:tcPr>
                  <w:tcW w:w="1199" w:type="dxa"/>
                  <w:gridSpan w:val="2"/>
                  <w:vAlign w:val="center"/>
                </w:tcPr>
                <w:p w14:paraId="327C4F69">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卫生间</w:t>
                  </w:r>
                </w:p>
              </w:tc>
              <w:tc>
                <w:tcPr>
                  <w:tcW w:w="5576" w:type="dxa"/>
                  <w:vAlign w:val="center"/>
                </w:tcPr>
                <w:p w14:paraId="4F5C9DB6">
                  <w:pPr>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位于厂房东南侧，</w:t>
                  </w:r>
                  <w:r>
                    <w:rPr>
                      <w:color w:val="000000" w:themeColor="text1"/>
                      <w:szCs w:val="21"/>
                      <w14:textFill>
                        <w14:solidFill>
                          <w14:schemeClr w14:val="tx1"/>
                        </w14:solidFill>
                      </w14:textFill>
                    </w:rPr>
                    <w:t>，面积约</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w:t>
                  </w:r>
                  <w:r>
                    <w:rPr>
                      <w:rFonts w:hint="eastAsia"/>
                      <w:color w:val="000000" w:themeColor="text1"/>
                      <w:szCs w:val="21"/>
                      <w:lang w:val="en-US" w:eastAsia="zh-CN"/>
                      <w14:textFill>
                        <w14:solidFill>
                          <w14:schemeClr w14:val="tx1"/>
                        </w14:solidFill>
                      </w14:textFill>
                    </w:rPr>
                    <w:t>员工如厕。</w:t>
                  </w:r>
                </w:p>
              </w:tc>
              <w:tc>
                <w:tcPr>
                  <w:tcW w:w="745" w:type="dxa"/>
                  <w:vAlign w:val="center"/>
                </w:tcPr>
                <w:p w14:paraId="0D295659">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14:paraId="6EB4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4B3D8C3C">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7FB9DB8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展厅</w:t>
                  </w:r>
                </w:p>
              </w:tc>
              <w:tc>
                <w:tcPr>
                  <w:tcW w:w="3449" w:type="pct"/>
                  <w:vAlign w:val="center"/>
                </w:tcPr>
                <w:p w14:paraId="5C00DF2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位于厂房南侧，面积约30m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，用于产品展示。</w:t>
                  </w:r>
                </w:p>
              </w:tc>
              <w:tc>
                <w:tcPr>
                  <w:tcW w:w="462" w:type="pct"/>
                  <w:vAlign w:val="center"/>
                </w:tcPr>
                <w:p w14:paraId="318898E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5A3C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19F0E351">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756F183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配电室</w:t>
                  </w:r>
                </w:p>
              </w:tc>
              <w:tc>
                <w:tcPr>
                  <w:tcW w:w="3449" w:type="pct"/>
                  <w:vAlign w:val="center"/>
                </w:tcPr>
                <w:p w14:paraId="266C6FBC">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位于厂房南侧，面积约10m</w:t>
                  </w:r>
                  <w:r>
                    <w:rPr>
                      <w:color w:val="000000" w:themeColor="text1"/>
                      <w:szCs w:val="21"/>
                      <w:vertAlign w:val="superscript"/>
                      <w14:textFill>
                        <w14:solidFill>
                          <w14:schemeClr w14:val="tx1"/>
                        </w14:solidFill>
                      </w14:textFill>
                    </w:rPr>
                    <w:t>2</w:t>
                  </w:r>
                  <w:r>
                    <w:rPr>
                      <w:color w:val="000000" w:themeColor="text1"/>
                      <w:szCs w:val="21"/>
                      <w:highlight w:val="none"/>
                      <w14:textFill>
                        <w14:solidFill>
                          <w14:schemeClr w14:val="tx1"/>
                        </w14:solidFill>
                      </w14:textFill>
                    </w:rPr>
                    <w:t>，小米智能制造产业园</w:t>
                  </w:r>
                  <w:r>
                    <w:rPr>
                      <w:rFonts w:hint="eastAsia"/>
                      <w:color w:val="000000" w:themeColor="text1"/>
                      <w:szCs w:val="21"/>
                      <w:highlight w:val="none"/>
                      <w:lang w:val="en-US" w:eastAsia="zh-CN"/>
                      <w14:textFill>
                        <w14:solidFill>
                          <w14:schemeClr w14:val="tx1"/>
                        </w14:solidFill>
                      </w14:textFill>
                    </w:rPr>
                    <w:t>配电直接</w:t>
                  </w:r>
                  <w:r>
                    <w:rPr>
                      <w:color w:val="000000" w:themeColor="text1"/>
                      <w:szCs w:val="21"/>
                      <w:highlight w:val="none"/>
                      <w14:textFill>
                        <w14:solidFill>
                          <w14:schemeClr w14:val="tx1"/>
                        </w14:solidFill>
                      </w14:textFill>
                    </w:rPr>
                    <w:t>供至厂房</w:t>
                  </w:r>
                  <w:r>
                    <w:rPr>
                      <w:rFonts w:hint="eastAsia"/>
                      <w:color w:val="000000" w:themeColor="text1"/>
                      <w:szCs w:val="21"/>
                      <w:highlight w:val="none"/>
                      <w:lang w:val="en-US" w:eastAsia="zh-CN"/>
                      <w14:textFill>
                        <w14:solidFill>
                          <w14:schemeClr w14:val="tx1"/>
                        </w14:solidFill>
                      </w14:textFill>
                    </w:rPr>
                    <w:t>配电室</w:t>
                  </w:r>
                  <w:r>
                    <w:rPr>
                      <w:color w:val="000000" w:themeColor="text1"/>
                      <w:szCs w:val="21"/>
                      <w:highlight w:val="none"/>
                      <w14:textFill>
                        <w14:solidFill>
                          <w14:schemeClr w14:val="tx1"/>
                        </w14:solidFill>
                      </w14:textFill>
                    </w:rPr>
                    <w:t>内，项目直接依托使用。</w:t>
                  </w:r>
                </w:p>
              </w:tc>
              <w:tc>
                <w:tcPr>
                  <w:tcW w:w="462" w:type="pct"/>
                  <w:vAlign w:val="center"/>
                </w:tcPr>
                <w:p w14:paraId="257DE1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7F3D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restart"/>
                  <w:vAlign w:val="center"/>
                </w:tcPr>
                <w:p w14:paraId="70FC7D5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储运工程</w:t>
                  </w:r>
                </w:p>
              </w:tc>
              <w:tc>
                <w:tcPr>
                  <w:tcW w:w="739" w:type="pct"/>
                  <w:gridSpan w:val="2"/>
                  <w:vAlign w:val="center"/>
                </w:tcPr>
                <w:p w14:paraId="33933C4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成品区</w:t>
                  </w:r>
                </w:p>
              </w:tc>
              <w:tc>
                <w:tcPr>
                  <w:tcW w:w="3449" w:type="pct"/>
                  <w:vAlign w:val="center"/>
                </w:tcPr>
                <w:p w14:paraId="6810844B">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成品堆放区域位于</w:t>
                  </w:r>
                  <w:r>
                    <w:rPr>
                      <w:color w:val="000000" w:themeColor="text1"/>
                      <w:szCs w:val="21"/>
                      <w14:textFill>
                        <w14:solidFill>
                          <w14:schemeClr w14:val="tx1"/>
                        </w14:solidFill>
                      </w14:textFill>
                    </w:rPr>
                    <w:t>厂房东南侧，堆存面积100m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，码垛暂存生产线成品；</w:t>
                  </w:r>
                </w:p>
              </w:tc>
              <w:tc>
                <w:tcPr>
                  <w:tcW w:w="462" w:type="pct"/>
                  <w:vAlign w:val="center"/>
                </w:tcPr>
                <w:p w14:paraId="161D6E8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6424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5F40BC66">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4652ED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原料堆放区域</w:t>
                  </w:r>
                </w:p>
              </w:tc>
              <w:tc>
                <w:tcPr>
                  <w:tcW w:w="3449" w:type="pct"/>
                  <w:vAlign w:val="center"/>
                </w:tcPr>
                <w:p w14:paraId="1EFBC4E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w:t>
                  </w:r>
                  <w:r>
                    <w:rPr>
                      <w:bCs/>
                      <w:color w:val="000000" w:themeColor="text1"/>
                      <w:szCs w:val="21"/>
                      <w14:textFill>
                        <w14:solidFill>
                          <w14:schemeClr w14:val="tx1"/>
                        </w14:solidFill>
                      </w14:textFill>
                    </w:rPr>
                    <w:t>东北侧</w:t>
                  </w:r>
                  <w:r>
                    <w:rPr>
                      <w:color w:val="000000" w:themeColor="text1"/>
                      <w:szCs w:val="21"/>
                      <w14:textFill>
                        <w14:solidFill>
                          <w14:schemeClr w14:val="tx1"/>
                        </w14:solidFill>
                      </w14:textFill>
                    </w:rPr>
                    <w:t>，面积约100m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。储存生产线生产所需的外购棒材、板材等。</w:t>
                  </w:r>
                </w:p>
              </w:tc>
              <w:tc>
                <w:tcPr>
                  <w:tcW w:w="462" w:type="pct"/>
                  <w:vAlign w:val="center"/>
                </w:tcPr>
                <w:p w14:paraId="254023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635E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6D1379FE">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2775A2E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半成品库</w:t>
                  </w:r>
                </w:p>
              </w:tc>
              <w:tc>
                <w:tcPr>
                  <w:tcW w:w="3449" w:type="pct"/>
                  <w:vAlign w:val="center"/>
                </w:tcPr>
                <w:p w14:paraId="1AE1EEF1">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机加工半成品</w:t>
                  </w:r>
                  <w:r>
                    <w:rPr>
                      <w:rFonts w:hint="eastAsia"/>
                      <w:color w:val="000000" w:themeColor="text1"/>
                      <w:szCs w:val="21"/>
                      <w:lang w:val="en-US" w:eastAsia="zh-CN"/>
                      <w14:textFill>
                        <w14:solidFill>
                          <w14:schemeClr w14:val="tx1"/>
                        </w14:solidFill>
                      </w14:textFill>
                    </w:rPr>
                    <w:t>库</w:t>
                  </w:r>
                  <w:r>
                    <w:rPr>
                      <w:color w:val="000000" w:themeColor="text1"/>
                      <w:szCs w:val="21"/>
                      <w14:textFill>
                        <w14:solidFill>
                          <w14:schemeClr w14:val="tx1"/>
                        </w14:solidFill>
                      </w14:textFill>
                    </w:rPr>
                    <w:t>位于厂区中部偏东侧，面积约50m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。用于暂存厂区机加工半成品</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试压</w:t>
                  </w:r>
                  <w:r>
                    <w:rPr>
                      <w:color w:val="000000" w:themeColor="text1"/>
                      <w:szCs w:val="21"/>
                      <w14:textFill>
                        <w14:solidFill>
                          <w14:schemeClr w14:val="tx1"/>
                        </w14:solidFill>
                      </w14:textFill>
                    </w:rPr>
                    <w:t>半成品</w:t>
                  </w:r>
                  <w:r>
                    <w:rPr>
                      <w:rFonts w:hint="eastAsia"/>
                      <w:color w:val="000000" w:themeColor="text1"/>
                      <w:szCs w:val="21"/>
                      <w:lang w:val="en-US" w:eastAsia="zh-CN"/>
                      <w14:textFill>
                        <w14:solidFill>
                          <w14:schemeClr w14:val="tx1"/>
                        </w14:solidFill>
                      </w14:textFill>
                    </w:rPr>
                    <w:t>库</w:t>
                  </w:r>
                  <w:r>
                    <w:rPr>
                      <w:color w:val="000000" w:themeColor="text1"/>
                      <w:szCs w:val="21"/>
                      <w14:textFill>
                        <w14:solidFill>
                          <w14:schemeClr w14:val="tx1"/>
                        </w14:solidFill>
                      </w14:textFill>
                    </w:rPr>
                    <w:t>位于厂区</w:t>
                  </w:r>
                  <w:r>
                    <w:rPr>
                      <w:rFonts w:hint="eastAsia"/>
                      <w:color w:val="000000" w:themeColor="text1"/>
                      <w:szCs w:val="21"/>
                      <w:lang w:val="en-US" w:eastAsia="zh-CN"/>
                      <w14:textFill>
                        <w14:solidFill>
                          <w14:schemeClr w14:val="tx1"/>
                        </w14:solidFill>
                      </w14:textFill>
                    </w:rPr>
                    <w:t>西南侧</w:t>
                  </w:r>
                  <w:r>
                    <w:rPr>
                      <w:color w:val="000000" w:themeColor="text1"/>
                      <w:szCs w:val="21"/>
                      <w14:textFill>
                        <w14:solidFill>
                          <w14:schemeClr w14:val="tx1"/>
                        </w14:solidFill>
                      </w14:textFill>
                    </w:rPr>
                    <w:t>，面积约50m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。用于暂存厂区</w:t>
                  </w:r>
                  <w:r>
                    <w:rPr>
                      <w:rFonts w:hint="eastAsia"/>
                      <w:color w:val="000000" w:themeColor="text1"/>
                      <w:szCs w:val="21"/>
                      <w:lang w:val="en-US" w:eastAsia="zh-CN"/>
                      <w14:textFill>
                        <w14:solidFill>
                          <w14:schemeClr w14:val="tx1"/>
                        </w14:solidFill>
                      </w14:textFill>
                    </w:rPr>
                    <w:t>试压</w:t>
                  </w:r>
                  <w:r>
                    <w:rPr>
                      <w:color w:val="000000" w:themeColor="text1"/>
                      <w:szCs w:val="21"/>
                      <w14:textFill>
                        <w14:solidFill>
                          <w14:schemeClr w14:val="tx1"/>
                        </w14:solidFill>
                      </w14:textFill>
                    </w:rPr>
                    <w:t>半成品。</w:t>
                  </w:r>
                </w:p>
              </w:tc>
              <w:tc>
                <w:tcPr>
                  <w:tcW w:w="462" w:type="pct"/>
                  <w:vAlign w:val="center"/>
                </w:tcPr>
                <w:p w14:paraId="62406AF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57AF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4DBE2EB3">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0F37D5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油料库房</w:t>
                  </w:r>
                </w:p>
              </w:tc>
              <w:tc>
                <w:tcPr>
                  <w:tcW w:w="3449" w:type="pct"/>
                  <w:vAlign w:val="center"/>
                </w:tcPr>
                <w:p w14:paraId="19C6B066">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位于</w:t>
                  </w:r>
                  <w:r>
                    <w:rPr>
                      <w:color w:val="000000" w:themeColor="text1"/>
                      <w:szCs w:val="21"/>
                      <w14:textFill>
                        <w14:solidFill>
                          <w14:schemeClr w14:val="tx1"/>
                        </w14:solidFill>
                      </w14:textFill>
                    </w:rPr>
                    <w:t>厂房东南侧，面积10m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，用于暂存厂区使用的淬火油、切削液、液压油等油料，油料库房地坪做防腐防渗处理，并于油料暂存区域设置托盘。</w:t>
                  </w:r>
                </w:p>
              </w:tc>
              <w:tc>
                <w:tcPr>
                  <w:tcW w:w="462" w:type="pct"/>
                  <w:vAlign w:val="center"/>
                </w:tcPr>
                <w:p w14:paraId="348A169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5D4E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5A81551F">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3526A0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气体储存</w:t>
                  </w:r>
                </w:p>
              </w:tc>
              <w:tc>
                <w:tcPr>
                  <w:tcW w:w="3449" w:type="pct"/>
                  <w:vAlign w:val="center"/>
                </w:tcPr>
                <w:p w14:paraId="015F5272">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低温处理区域</w:t>
                  </w:r>
                  <w:r>
                    <w:rPr>
                      <w:rFonts w:hint="eastAsia"/>
                      <w:color w:val="000000" w:themeColor="text1"/>
                      <w14:textFill>
                        <w14:solidFill>
                          <w14:schemeClr w14:val="tx1"/>
                        </w14:solidFill>
                      </w14:textFill>
                    </w:rPr>
                    <w:t>设置</w:t>
                  </w:r>
                  <w:r>
                    <w:rPr>
                      <w:color w:val="000000" w:themeColor="text1"/>
                      <w:szCs w:val="21"/>
                      <w14:textFill>
                        <w14:solidFill>
                          <w14:schemeClr w14:val="tx1"/>
                        </w14:solidFill>
                      </w14:textFill>
                    </w:rPr>
                    <w:t>4个液氮瓶（100L/瓶）；焊接区设置</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个氩气钢瓶（18kg/瓶）。</w:t>
                  </w:r>
                </w:p>
              </w:tc>
              <w:tc>
                <w:tcPr>
                  <w:tcW w:w="462" w:type="pct"/>
                  <w:vAlign w:val="center"/>
                </w:tcPr>
                <w:p w14:paraId="7E0E1BE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6748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047E1FDF">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104BAA8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运输</w:t>
                  </w:r>
                </w:p>
              </w:tc>
              <w:tc>
                <w:tcPr>
                  <w:tcW w:w="3449" w:type="pct"/>
                  <w:vAlign w:val="center"/>
                </w:tcPr>
                <w:p w14:paraId="53C33FEA">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厂内原料、产品等采用人工手推车、电叉车等转运，不涉及机动车运输。厂外依托园区已建道路利用厢式货车进行原材料和产品运输。</w:t>
                  </w:r>
                </w:p>
              </w:tc>
              <w:tc>
                <w:tcPr>
                  <w:tcW w:w="462" w:type="pct"/>
                  <w:vAlign w:val="center"/>
                </w:tcPr>
                <w:p w14:paraId="72B2301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168F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restart"/>
                  <w:vAlign w:val="center"/>
                </w:tcPr>
                <w:p w14:paraId="1094C1A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739" w:type="pct"/>
                  <w:gridSpan w:val="2"/>
                  <w:vAlign w:val="center"/>
                </w:tcPr>
                <w:p w14:paraId="0D0999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供水系统</w:t>
                  </w:r>
                </w:p>
              </w:tc>
              <w:tc>
                <w:tcPr>
                  <w:tcW w:w="3449" w:type="pct"/>
                  <w:vAlign w:val="center"/>
                </w:tcPr>
                <w:p w14:paraId="48E06A73">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小米智能制造产业园供水管道已直接铺设至厂房内，项目直接依托使用。</w:t>
                  </w:r>
                </w:p>
              </w:tc>
              <w:tc>
                <w:tcPr>
                  <w:tcW w:w="462" w:type="pct"/>
                  <w:vAlign w:val="center"/>
                </w:tcPr>
                <w:p w14:paraId="3980A2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p>
              </w:tc>
            </w:tr>
            <w:tr w14:paraId="3D27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02ECCAC5">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206F47B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排水系统</w:t>
                  </w:r>
                </w:p>
              </w:tc>
              <w:tc>
                <w:tcPr>
                  <w:tcW w:w="3449" w:type="pct"/>
                  <w:vAlign w:val="center"/>
                </w:tcPr>
                <w:p w14:paraId="752954B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小米智能制造产业园已修建400m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生化池集中收集处理园内生活污水，且污水收集管道已接入厂房内。项目生产废水经厂区自建隔油沉淀池预处理后与生活污水一起依托小米智能制造产业园现有污水收集处理系统预处理后排入园区污水管网。</w:t>
                  </w:r>
                </w:p>
              </w:tc>
              <w:tc>
                <w:tcPr>
                  <w:tcW w:w="462" w:type="pct"/>
                  <w:vAlign w:val="center"/>
                </w:tcPr>
                <w:p w14:paraId="0A51B5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新建+依托</w:t>
                  </w:r>
                </w:p>
              </w:tc>
            </w:tr>
            <w:tr w14:paraId="7DE7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0367175D">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726FD36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供电系统</w:t>
                  </w:r>
                </w:p>
              </w:tc>
              <w:tc>
                <w:tcPr>
                  <w:tcW w:w="3449" w:type="pct"/>
                  <w:vAlign w:val="center"/>
                </w:tcPr>
                <w:p w14:paraId="65ADC74E">
                  <w:pPr>
                    <w:adjustRightInd w:val="0"/>
                    <w:snapToGrid w:val="0"/>
                    <w:rPr>
                      <w:color w:val="000000" w:themeColor="text1"/>
                      <w:szCs w:val="21"/>
                      <w14:textFill>
                        <w14:solidFill>
                          <w14:schemeClr w14:val="tx1"/>
                        </w14:solidFill>
                      </w14:textFill>
                    </w:rPr>
                  </w:pPr>
                  <w:r>
                    <w:rPr>
                      <w:bCs/>
                      <w:color w:val="000000" w:themeColor="text1"/>
                      <w:szCs w:val="21"/>
                      <w14:textFill>
                        <w14:solidFill>
                          <w14:schemeClr w14:val="tx1"/>
                        </w14:solidFill>
                      </w14:textFill>
                    </w:rPr>
                    <w:t>由</w:t>
                  </w:r>
                  <w:r>
                    <w:rPr>
                      <w:color w:val="000000" w:themeColor="text1"/>
                      <w:szCs w:val="21"/>
                      <w14:textFill>
                        <w14:solidFill>
                          <w14:schemeClr w14:val="tx1"/>
                        </w14:solidFill>
                      </w14:textFill>
                    </w:rPr>
                    <w:t>小米智能制造产业园</w:t>
                  </w:r>
                  <w:r>
                    <w:rPr>
                      <w:bCs/>
                      <w:color w:val="000000" w:themeColor="text1"/>
                      <w:szCs w:val="21"/>
                      <w14:textFill>
                        <w14:solidFill>
                          <w14:schemeClr w14:val="tx1"/>
                        </w14:solidFill>
                      </w14:textFill>
                    </w:rPr>
                    <w:t>集中配电室引至项目厂房配电房，再对各个生产单元进行分区供电。</w:t>
                  </w:r>
                </w:p>
              </w:tc>
              <w:tc>
                <w:tcPr>
                  <w:tcW w:w="462" w:type="pct"/>
                  <w:vAlign w:val="center"/>
                </w:tcPr>
                <w:p w14:paraId="7D04E7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p>
              </w:tc>
            </w:tr>
            <w:tr w14:paraId="6181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38216BA8">
                  <w:pPr>
                    <w:adjustRightInd w:val="0"/>
                    <w:snapToGrid w:val="0"/>
                    <w:jc w:val="center"/>
                    <w:rPr>
                      <w:color w:val="000000" w:themeColor="text1"/>
                      <w:szCs w:val="21"/>
                      <w14:textFill>
                        <w14:solidFill>
                          <w14:schemeClr w14:val="tx1"/>
                        </w14:solidFill>
                      </w14:textFill>
                    </w:rPr>
                  </w:pPr>
                </w:p>
              </w:tc>
              <w:tc>
                <w:tcPr>
                  <w:tcW w:w="739" w:type="pct"/>
                  <w:gridSpan w:val="2"/>
                  <w:vAlign w:val="center"/>
                </w:tcPr>
                <w:p w14:paraId="374307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空压机</w:t>
                  </w:r>
                </w:p>
              </w:tc>
              <w:tc>
                <w:tcPr>
                  <w:tcW w:w="3449" w:type="pct"/>
                  <w:vAlign w:val="center"/>
                </w:tcPr>
                <w:p w14:paraId="3EC536DF">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布置在车间西南部，由</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台空压机、1台空气干燥机和</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个容积1m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的储气罐组成，单台供气流量为1.7~6.5m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/min，0.</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MPa。</w:t>
                  </w:r>
                </w:p>
              </w:tc>
              <w:tc>
                <w:tcPr>
                  <w:tcW w:w="462" w:type="pct"/>
                  <w:vAlign w:val="center"/>
                </w:tcPr>
                <w:p w14:paraId="11EA9F9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41F6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restart"/>
                  <w:vAlign w:val="center"/>
                </w:tcPr>
                <w:p w14:paraId="5A609D0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265" w:type="pct"/>
                  <w:vMerge w:val="restart"/>
                  <w:vAlign w:val="center"/>
                </w:tcPr>
                <w:p w14:paraId="6A611F6E">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473" w:type="pct"/>
                  <w:vAlign w:val="center"/>
                </w:tcPr>
                <w:p w14:paraId="57032E4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1#排气筒</w:t>
                  </w:r>
                </w:p>
              </w:tc>
              <w:tc>
                <w:tcPr>
                  <w:tcW w:w="3449" w:type="pct"/>
                  <w:vAlign w:val="center"/>
                </w:tcPr>
                <w:p w14:paraId="7DF0DC26">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焊接废气经集气罩收集至布袋除尘器处理后，经25m高的1#排气筒高于厂房楼顶排放。</w:t>
                  </w:r>
                </w:p>
              </w:tc>
              <w:tc>
                <w:tcPr>
                  <w:tcW w:w="462" w:type="pct"/>
                  <w:vAlign w:val="center"/>
                </w:tcPr>
                <w:p w14:paraId="4B4015F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2F2C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585CE56B">
                  <w:pPr>
                    <w:adjustRightInd w:val="0"/>
                    <w:snapToGrid w:val="0"/>
                    <w:jc w:val="center"/>
                    <w:rPr>
                      <w:color w:val="000000" w:themeColor="text1"/>
                      <w:szCs w:val="21"/>
                      <w14:textFill>
                        <w14:solidFill>
                          <w14:schemeClr w14:val="tx1"/>
                        </w14:solidFill>
                      </w14:textFill>
                    </w:rPr>
                  </w:pPr>
                </w:p>
              </w:tc>
              <w:tc>
                <w:tcPr>
                  <w:tcW w:w="265" w:type="pct"/>
                  <w:vMerge w:val="continue"/>
                  <w:vAlign w:val="center"/>
                </w:tcPr>
                <w:p w14:paraId="1F6E2EA6">
                  <w:pPr>
                    <w:adjustRightInd w:val="0"/>
                    <w:snapToGrid w:val="0"/>
                    <w:rPr>
                      <w:color w:val="000000" w:themeColor="text1"/>
                      <w:szCs w:val="21"/>
                      <w14:textFill>
                        <w14:solidFill>
                          <w14:schemeClr w14:val="tx1"/>
                        </w14:solidFill>
                      </w14:textFill>
                    </w:rPr>
                  </w:pPr>
                </w:p>
              </w:tc>
              <w:tc>
                <w:tcPr>
                  <w:tcW w:w="473" w:type="pct"/>
                  <w:vAlign w:val="center"/>
                </w:tcPr>
                <w:p w14:paraId="1B2C606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2#排气筒</w:t>
                  </w:r>
                </w:p>
              </w:tc>
              <w:tc>
                <w:tcPr>
                  <w:tcW w:w="3449" w:type="pct"/>
                  <w:vAlign w:val="center"/>
                </w:tcPr>
                <w:p w14:paraId="789B0AAA">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淬火槽废气经集气罩集中收集至高效油烟净化器处理后，经25m高的2#排气筒高于厂房楼顶排放。</w:t>
                  </w:r>
                </w:p>
              </w:tc>
              <w:tc>
                <w:tcPr>
                  <w:tcW w:w="462" w:type="pct"/>
                  <w:vAlign w:val="center"/>
                </w:tcPr>
                <w:p w14:paraId="56CB34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44D5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5106715F">
                  <w:pPr>
                    <w:adjustRightInd w:val="0"/>
                    <w:snapToGrid w:val="0"/>
                    <w:jc w:val="center"/>
                    <w:rPr>
                      <w:color w:val="000000" w:themeColor="text1"/>
                      <w:szCs w:val="21"/>
                      <w14:textFill>
                        <w14:solidFill>
                          <w14:schemeClr w14:val="tx1"/>
                        </w14:solidFill>
                      </w14:textFill>
                    </w:rPr>
                  </w:pPr>
                </w:p>
              </w:tc>
              <w:tc>
                <w:tcPr>
                  <w:tcW w:w="265" w:type="pct"/>
                  <w:vMerge w:val="continue"/>
                  <w:vAlign w:val="center"/>
                </w:tcPr>
                <w:p w14:paraId="11CA3C11">
                  <w:pPr>
                    <w:adjustRightInd w:val="0"/>
                    <w:snapToGrid w:val="0"/>
                    <w:rPr>
                      <w:color w:val="000000" w:themeColor="text1"/>
                      <w:szCs w:val="21"/>
                      <w14:textFill>
                        <w14:solidFill>
                          <w14:schemeClr w14:val="tx1"/>
                        </w14:solidFill>
                      </w14:textFill>
                    </w:rPr>
                  </w:pPr>
                </w:p>
              </w:tc>
              <w:tc>
                <w:tcPr>
                  <w:tcW w:w="473" w:type="pct"/>
                  <w:vAlign w:val="center"/>
                </w:tcPr>
                <w:p w14:paraId="51BE2A7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3449" w:type="pct"/>
                  <w:vAlign w:val="center"/>
                </w:tcPr>
                <w:p w14:paraId="1AD9BB02">
                  <w:pPr>
                    <w:adjustRightInd w:val="0"/>
                    <w:snapToGrid w:val="0"/>
                    <w:ind w:firstLine="420" w:firstLineChars="200"/>
                    <w:rPr>
                      <w:color w:val="000000" w:themeColor="text1"/>
                      <w:szCs w:val="21"/>
                      <w14:textFill>
                        <w14:solidFill>
                          <w14:schemeClr w14:val="tx1"/>
                        </w14:solidFill>
                      </w14:textFill>
                    </w:rPr>
                  </w:pPr>
                  <w:r>
                    <w:rPr>
                      <w:smallCaps/>
                      <w:color w:val="000000" w:themeColor="text1"/>
                      <w:szCs w:val="21"/>
                      <w14:textFill>
                        <w14:solidFill>
                          <w14:schemeClr w14:val="tx1"/>
                        </w14:solidFill>
                      </w14:textFill>
                    </w:rPr>
                    <w:t>加强车间通风排气。</w:t>
                  </w:r>
                </w:p>
              </w:tc>
              <w:tc>
                <w:tcPr>
                  <w:tcW w:w="462" w:type="pct"/>
                  <w:vAlign w:val="center"/>
                </w:tcPr>
                <w:p w14:paraId="274E28D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5667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03097DD1">
                  <w:pPr>
                    <w:adjustRightInd w:val="0"/>
                    <w:snapToGrid w:val="0"/>
                    <w:jc w:val="center"/>
                    <w:rPr>
                      <w:color w:val="000000" w:themeColor="text1"/>
                      <w:szCs w:val="21"/>
                      <w14:textFill>
                        <w14:solidFill>
                          <w14:schemeClr w14:val="tx1"/>
                        </w14:solidFill>
                      </w14:textFill>
                    </w:rPr>
                  </w:pPr>
                </w:p>
              </w:tc>
              <w:tc>
                <w:tcPr>
                  <w:tcW w:w="265" w:type="pct"/>
                  <w:vAlign w:val="center"/>
                </w:tcPr>
                <w:p w14:paraId="4BD1849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473" w:type="pct"/>
                  <w:vAlign w:val="center"/>
                </w:tcPr>
                <w:p w14:paraId="4A922FF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生产生活废水</w:t>
                  </w:r>
                </w:p>
              </w:tc>
              <w:tc>
                <w:tcPr>
                  <w:tcW w:w="3449" w:type="pct"/>
                  <w:vAlign w:val="center"/>
                </w:tcPr>
                <w:p w14:paraId="2727B6C9">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于厂区设置处理能力1m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/d的</w:t>
                  </w:r>
                  <w:r>
                    <w:rPr>
                      <w:rFonts w:hint="eastAsia"/>
                      <w:color w:val="000000" w:themeColor="text1"/>
                      <w:szCs w:val="21"/>
                      <w:lang w:eastAsia="zh-CN"/>
                      <w14:textFill>
                        <w14:solidFill>
                          <w14:schemeClr w14:val="tx1"/>
                        </w14:solidFill>
                      </w14:textFill>
                    </w:rPr>
                    <w:t>隔油沉淀池（工艺：隔油</w:t>
                  </w:r>
                  <w:r>
                    <w:rPr>
                      <w:rFonts w:hint="eastAsia"/>
                      <w:color w:val="000000" w:themeColor="text1"/>
                      <w:szCs w:val="21"/>
                      <w:lang w:val="en-US" w:eastAsia="zh-CN"/>
                      <w14:textFill>
                        <w14:solidFill>
                          <w14:schemeClr w14:val="tx1"/>
                        </w14:solidFill>
                      </w14:textFill>
                    </w:rPr>
                    <w:t>+絮凝沉淀</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，预处理员工洗手废水、地坪清洁废水</w:t>
                  </w:r>
                  <w:r>
                    <w:rPr>
                      <w:rFonts w:hint="eastAsia"/>
                      <w:color w:val="000000" w:themeColor="text1"/>
                      <w:szCs w:val="21"/>
                      <w:lang w:eastAsia="zh-CN"/>
                      <w14:textFill>
                        <w14:solidFill>
                          <w14:schemeClr w14:val="tx1"/>
                        </w14:solidFill>
                      </w14:textFill>
                    </w:rPr>
                    <w:t>、空压机含油冷凝水</w:t>
                  </w:r>
                  <w:r>
                    <w:rPr>
                      <w:color w:val="000000" w:themeColor="text1"/>
                      <w:szCs w:val="21"/>
                      <w14:textFill>
                        <w14:solidFill>
                          <w14:schemeClr w14:val="tx1"/>
                        </w14:solidFill>
                      </w14:textFill>
                    </w:rPr>
                    <w:t>和清洗机废水</w:t>
                  </w:r>
                  <w:r>
                    <w:rPr>
                      <w:rFonts w:hint="eastAsia"/>
                      <w:color w:val="000000" w:themeColor="text1"/>
                      <w:szCs w:val="21"/>
                      <w:lang w:eastAsia="zh-CN"/>
                      <w14:textFill>
                        <w14:solidFill>
                          <w14:schemeClr w14:val="tx1"/>
                        </w14:solidFill>
                      </w14:textFill>
                    </w:rPr>
                    <w:t>，生产废水预处理后</w:t>
                  </w:r>
                  <w:r>
                    <w:rPr>
                      <w:color w:val="000000" w:themeColor="text1"/>
                      <w:szCs w:val="21"/>
                      <w14:textFill>
                        <w14:solidFill>
                          <w14:schemeClr w14:val="tx1"/>
                        </w14:solidFill>
                      </w14:textFill>
                    </w:rPr>
                    <w:t>与员工生活污水一起经园区内污水管道排至小米智能制造产业园400m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生化池内进行处理后再排入市政污水管网，最终进入蒲吕污水处理厂深度处理后排入小安溪。</w:t>
                  </w:r>
                </w:p>
              </w:tc>
              <w:tc>
                <w:tcPr>
                  <w:tcW w:w="462" w:type="pct"/>
                  <w:vAlign w:val="center"/>
                </w:tcPr>
                <w:p w14:paraId="6D581DB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新建+依托</w:t>
                  </w:r>
                </w:p>
              </w:tc>
            </w:tr>
            <w:tr w14:paraId="7D0D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4E161473">
                  <w:pPr>
                    <w:adjustRightInd w:val="0"/>
                    <w:snapToGrid w:val="0"/>
                    <w:jc w:val="center"/>
                    <w:rPr>
                      <w:color w:val="000000" w:themeColor="text1"/>
                      <w:szCs w:val="21"/>
                      <w14:textFill>
                        <w14:solidFill>
                          <w14:schemeClr w14:val="tx1"/>
                        </w14:solidFill>
                      </w14:textFill>
                    </w:rPr>
                  </w:pPr>
                </w:p>
              </w:tc>
              <w:tc>
                <w:tcPr>
                  <w:tcW w:w="262" w:type="pct"/>
                  <w:vMerge w:val="restart"/>
                  <w:vAlign w:val="center"/>
                </w:tcPr>
                <w:p w14:paraId="61C53B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477" w:type="pct"/>
                  <w:vAlign w:val="center"/>
                </w:tcPr>
                <w:p w14:paraId="63F0F8C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3449" w:type="pct"/>
                  <w:vAlign w:val="center"/>
                </w:tcPr>
                <w:p w14:paraId="7CE3328A">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于车间内配置若干0.5m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的垃圾桶，收集员工生活垃圾，再定期将垃圾桶内垃圾清运至小米智能制造产业园内垃圾收集点。</w:t>
                  </w:r>
                </w:p>
              </w:tc>
              <w:tc>
                <w:tcPr>
                  <w:tcW w:w="462" w:type="pct"/>
                  <w:vAlign w:val="center"/>
                </w:tcPr>
                <w:p w14:paraId="43B4ED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33CD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1503AA96">
                  <w:pPr>
                    <w:adjustRightInd w:val="0"/>
                    <w:snapToGrid w:val="0"/>
                    <w:jc w:val="center"/>
                    <w:rPr>
                      <w:color w:val="000000" w:themeColor="text1"/>
                      <w:szCs w:val="21"/>
                      <w14:textFill>
                        <w14:solidFill>
                          <w14:schemeClr w14:val="tx1"/>
                        </w14:solidFill>
                      </w14:textFill>
                    </w:rPr>
                  </w:pPr>
                </w:p>
              </w:tc>
              <w:tc>
                <w:tcPr>
                  <w:tcW w:w="262" w:type="pct"/>
                  <w:vMerge w:val="continue"/>
                  <w:vAlign w:val="center"/>
                </w:tcPr>
                <w:p w14:paraId="5C1DA10F">
                  <w:pPr>
                    <w:adjustRightInd w:val="0"/>
                    <w:snapToGrid w:val="0"/>
                    <w:jc w:val="center"/>
                    <w:rPr>
                      <w:color w:val="000000" w:themeColor="text1"/>
                      <w:szCs w:val="21"/>
                      <w14:textFill>
                        <w14:solidFill>
                          <w14:schemeClr w14:val="tx1"/>
                        </w14:solidFill>
                      </w14:textFill>
                    </w:rPr>
                  </w:pPr>
                </w:p>
              </w:tc>
              <w:tc>
                <w:tcPr>
                  <w:tcW w:w="477" w:type="pct"/>
                  <w:vAlign w:val="center"/>
                </w:tcPr>
                <w:p w14:paraId="419576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w:t>
                  </w:r>
                </w:p>
              </w:tc>
              <w:tc>
                <w:tcPr>
                  <w:tcW w:w="3449" w:type="pct"/>
                  <w:vAlign w:val="center"/>
                </w:tcPr>
                <w:p w14:paraId="678B9668">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设置一般固废暂存区1处，位于厂房南侧，面积约20m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，分类收集暂存项目产生的一般固废。</w:t>
                  </w:r>
                </w:p>
              </w:tc>
              <w:tc>
                <w:tcPr>
                  <w:tcW w:w="462" w:type="pct"/>
                  <w:vAlign w:val="center"/>
                </w:tcPr>
                <w:p w14:paraId="1D6C871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28C5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641EBDED">
                  <w:pPr>
                    <w:adjustRightInd w:val="0"/>
                    <w:snapToGrid w:val="0"/>
                    <w:jc w:val="center"/>
                    <w:rPr>
                      <w:color w:val="000000" w:themeColor="text1"/>
                      <w:szCs w:val="21"/>
                      <w14:textFill>
                        <w14:solidFill>
                          <w14:schemeClr w14:val="tx1"/>
                        </w14:solidFill>
                      </w14:textFill>
                    </w:rPr>
                  </w:pPr>
                </w:p>
              </w:tc>
              <w:tc>
                <w:tcPr>
                  <w:tcW w:w="262" w:type="pct"/>
                  <w:vMerge w:val="continue"/>
                  <w:vAlign w:val="center"/>
                </w:tcPr>
                <w:p w14:paraId="760E96EE">
                  <w:pPr>
                    <w:adjustRightInd w:val="0"/>
                    <w:snapToGrid w:val="0"/>
                    <w:jc w:val="center"/>
                    <w:rPr>
                      <w:color w:val="000000" w:themeColor="text1"/>
                      <w:szCs w:val="21"/>
                      <w14:textFill>
                        <w14:solidFill>
                          <w14:schemeClr w14:val="tx1"/>
                        </w14:solidFill>
                      </w14:textFill>
                    </w:rPr>
                  </w:pPr>
                </w:p>
              </w:tc>
              <w:tc>
                <w:tcPr>
                  <w:tcW w:w="477" w:type="pct"/>
                  <w:vAlign w:val="center"/>
                </w:tcPr>
                <w:p w14:paraId="572BCA5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3449" w:type="pct"/>
                  <w:vAlign w:val="center"/>
                </w:tcPr>
                <w:p w14:paraId="406EE76D">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厂区</w:t>
                  </w:r>
                  <w:r>
                    <w:rPr>
                      <w:color w:val="000000" w:themeColor="text1"/>
                      <w14:textFill>
                        <w14:solidFill>
                          <w14:schemeClr w14:val="tx1"/>
                        </w14:solidFill>
                      </w14:textFill>
                    </w:rPr>
                    <w:t>设置面积为10m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的危废贮存点</w:t>
                  </w:r>
                  <w:r>
                    <w:rPr>
                      <w:color w:val="000000" w:themeColor="text1"/>
                      <w:szCs w:val="21"/>
                      <w14:textFill>
                        <w14:solidFill>
                          <w14:schemeClr w14:val="tx1"/>
                        </w14:solidFill>
                      </w14:textFill>
                    </w:rPr>
                    <w:t>（其中5m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用于暂存含油废金属屑，并于贮存点地坪四周设置接油沟和收集井，用于收集渗滤油料、5m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用于暂存其他危险废物），分类收集车间产生的危废。危废贮存点将做好“六防”措施（防风、防雨、防晒、防渗、防晒、防腐）要求，并设置托盘。</w:t>
                  </w:r>
                </w:p>
              </w:tc>
              <w:tc>
                <w:tcPr>
                  <w:tcW w:w="462" w:type="pct"/>
                  <w:vAlign w:val="center"/>
                </w:tcPr>
                <w:p w14:paraId="2C2CCE1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2CED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0440812F">
                  <w:pPr>
                    <w:adjustRightInd w:val="0"/>
                    <w:snapToGrid w:val="0"/>
                    <w:jc w:val="center"/>
                    <w:rPr>
                      <w:color w:val="000000" w:themeColor="text1"/>
                      <w:szCs w:val="21"/>
                      <w14:textFill>
                        <w14:solidFill>
                          <w14:schemeClr w14:val="tx1"/>
                        </w14:solidFill>
                      </w14:textFill>
                    </w:rPr>
                  </w:pPr>
                </w:p>
              </w:tc>
              <w:tc>
                <w:tcPr>
                  <w:tcW w:w="1196" w:type="dxa"/>
                  <w:gridSpan w:val="2"/>
                  <w:vAlign w:val="center"/>
                </w:tcPr>
                <w:p w14:paraId="6A21CC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tc>
              <w:tc>
                <w:tcPr>
                  <w:tcW w:w="5576" w:type="dxa"/>
                  <w:vAlign w:val="center"/>
                </w:tcPr>
                <w:p w14:paraId="264859A0">
                  <w:pPr>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1 \* GB3 </w:instrText>
                  </w:r>
                  <w:r>
                    <w:rPr>
                      <w:color w:val="000000" w:themeColor="text1"/>
                      <w:kern w:val="0"/>
                      <w:szCs w:val="21"/>
                      <w14:textFill>
                        <w14:solidFill>
                          <w14:schemeClr w14:val="tx1"/>
                        </w14:solidFill>
                      </w14:textFill>
                    </w:rPr>
                    <w:fldChar w:fldCharType="separate"/>
                  </w:r>
                  <w:r>
                    <w:rPr>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fldChar w:fldCharType="end"/>
                  </w:r>
                  <w:r>
                    <w:rPr>
                      <w:color w:val="000000" w:themeColor="text1"/>
                      <w:kern w:val="0"/>
                      <w:szCs w:val="21"/>
                      <w14:textFill>
                        <w14:solidFill>
                          <w14:schemeClr w14:val="tx1"/>
                        </w14:solidFill>
                      </w14:textFill>
                    </w:rPr>
                    <w:t>重点防渗区包括</w:t>
                  </w:r>
                  <w:r>
                    <w:rPr>
                      <w:color w:val="000000" w:themeColor="text1"/>
                      <w:szCs w:val="21"/>
                      <w14:textFill>
                        <w14:solidFill>
                          <w14:schemeClr w14:val="tx1"/>
                        </w14:solidFill>
                      </w14:textFill>
                    </w:rPr>
                    <w:t>危险废物贮存点、淬火区和化学品库房等，</w:t>
                  </w:r>
                  <w:r>
                    <w:rPr>
                      <w:bCs/>
                      <w:color w:val="000000" w:themeColor="text1"/>
                      <w:kern w:val="0"/>
                      <w:szCs w:val="21"/>
                      <w14:textFill>
                        <w14:solidFill>
                          <w14:schemeClr w14:val="tx1"/>
                        </w14:solidFill>
                      </w14:textFill>
                    </w:rPr>
                    <w:t>地面按重点防渗区要求进行防腐防渗处理</w:t>
                  </w:r>
                  <w:r>
                    <w:rPr>
                      <w:color w:val="000000" w:themeColor="text1"/>
                      <w:kern w:val="0"/>
                      <w:szCs w:val="21"/>
                      <w14:textFill>
                        <w14:solidFill>
                          <w14:schemeClr w14:val="tx1"/>
                        </w14:solidFill>
                      </w14:textFill>
                    </w:rPr>
                    <w:t>；</w:t>
                  </w:r>
                </w:p>
                <w:p w14:paraId="39B12BEA">
                  <w:pP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2 \* GB3 </w:instrText>
                  </w:r>
                  <w:r>
                    <w:rPr>
                      <w:color w:val="000000" w:themeColor="text1"/>
                      <w:kern w:val="0"/>
                      <w:szCs w:val="21"/>
                      <w14:textFill>
                        <w14:solidFill>
                          <w14:schemeClr w14:val="tx1"/>
                        </w14:solidFill>
                      </w14:textFill>
                    </w:rPr>
                    <w:fldChar w:fldCharType="separate"/>
                  </w:r>
                  <w:r>
                    <w:rPr>
                      <w:color w:val="000000" w:themeColor="text1"/>
                      <w:kern w:val="0"/>
                      <w:szCs w:val="21"/>
                      <w14:textFill>
                        <w14:solidFill>
                          <w14:schemeClr w14:val="tx1"/>
                        </w14:solidFill>
                      </w14:textFill>
                    </w:rPr>
                    <w:t>②</w:t>
                  </w:r>
                  <w:r>
                    <w:rPr>
                      <w:color w:val="000000" w:themeColor="text1"/>
                      <w:kern w:val="0"/>
                      <w:szCs w:val="21"/>
                      <w14:textFill>
                        <w14:solidFill>
                          <w14:schemeClr w14:val="tx1"/>
                        </w14:solidFill>
                      </w14:textFill>
                    </w:rPr>
                    <w:fldChar w:fldCharType="end"/>
                  </w:r>
                  <w:r>
                    <w:rPr>
                      <w:color w:val="000000" w:themeColor="text1"/>
                      <w:szCs w:val="21"/>
                      <w14:textFill>
                        <w14:solidFill>
                          <w14:schemeClr w14:val="tx1"/>
                        </w14:solidFill>
                      </w14:textFill>
                    </w:rPr>
                    <w:t>一般防渗区包括一般固废暂存区、机加工区域、隔油沉淀池等，地坪做防渗处理</w:t>
                  </w:r>
                  <w:r>
                    <w:rPr>
                      <w:bCs/>
                      <w:color w:val="000000" w:themeColor="text1"/>
                      <w:kern w:val="0"/>
                      <w:szCs w:val="21"/>
                      <w14:textFill>
                        <w14:solidFill>
                          <w14:schemeClr w14:val="tx1"/>
                        </w14:solidFill>
                      </w14:textFill>
                    </w:rPr>
                    <w:t>。</w:t>
                  </w:r>
                </w:p>
              </w:tc>
              <w:tc>
                <w:tcPr>
                  <w:tcW w:w="747" w:type="dxa"/>
                  <w:vAlign w:val="center"/>
                </w:tcPr>
                <w:p w14:paraId="5E2BFA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730E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 w:type="pct"/>
                  <w:vMerge w:val="continue"/>
                  <w:vAlign w:val="center"/>
                </w:tcPr>
                <w:p w14:paraId="2B705CC4">
                  <w:pPr>
                    <w:adjustRightInd w:val="0"/>
                    <w:snapToGrid w:val="0"/>
                    <w:jc w:val="center"/>
                    <w:rPr>
                      <w:color w:val="000000" w:themeColor="text1"/>
                      <w:szCs w:val="21"/>
                      <w14:textFill>
                        <w14:solidFill>
                          <w14:schemeClr w14:val="tx1"/>
                        </w14:solidFill>
                      </w14:textFill>
                    </w:rPr>
                  </w:pPr>
                </w:p>
              </w:tc>
              <w:tc>
                <w:tcPr>
                  <w:tcW w:w="1196" w:type="dxa"/>
                  <w:gridSpan w:val="2"/>
                  <w:vAlign w:val="center"/>
                </w:tcPr>
                <w:p w14:paraId="709E1C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5576" w:type="dxa"/>
                  <w:vAlign w:val="center"/>
                </w:tcPr>
                <w:p w14:paraId="77CC112E">
                  <w:pPr>
                    <w:pStyle w:val="11"/>
                    <w:spacing w:line="240" w:lineRule="auto"/>
                    <w:ind w:firstLine="0" w:firstLineChars="0"/>
                    <w:rPr>
                      <w:color w:val="000000" w:themeColor="text1"/>
                      <w:szCs w:val="21"/>
                      <w14:textFill>
                        <w14:solidFill>
                          <w14:schemeClr w14:val="tx1"/>
                        </w14:solidFill>
                      </w14:textFill>
                    </w:rPr>
                  </w:pPr>
                  <w:r>
                    <w:rPr>
                      <w:color w:val="000000" w:themeColor="text1"/>
                      <w:kern w:val="0"/>
                      <w:sz w:val="21"/>
                      <w:szCs w:val="21"/>
                      <w14:textFill>
                        <w14:solidFill>
                          <w14:schemeClr w14:val="tx1"/>
                        </w14:solidFill>
                      </w14:textFill>
                    </w:rPr>
                    <w:t>建立应急体系，配置</w:t>
                  </w:r>
                  <w:r>
                    <w:rPr>
                      <w:color w:val="000000" w:themeColor="text1"/>
                      <w:kern w:val="0"/>
                      <w:szCs w:val="21"/>
                      <w14:textFill>
                        <w14:solidFill>
                          <w14:schemeClr w14:val="tx1"/>
                        </w14:solidFill>
                      </w14:textFill>
                    </w:rPr>
                    <w:t>相</w:t>
                  </w:r>
                  <w:r>
                    <w:rPr>
                      <w:color w:val="000000" w:themeColor="text1"/>
                      <w:kern w:val="0"/>
                      <w:sz w:val="21"/>
                      <w:szCs w:val="21"/>
                      <w14:textFill>
                        <w14:solidFill>
                          <w14:schemeClr w14:val="tx1"/>
                        </w14:solidFill>
                      </w14:textFill>
                    </w:rPr>
                    <w:t>应应急物资；油料库房、危险废物贮存点设置托盘，确保突发事故时废</w:t>
                  </w:r>
                  <w:r>
                    <w:rPr>
                      <w:bCs/>
                      <w:color w:val="000000" w:themeColor="text1"/>
                      <w:kern w:val="0"/>
                      <w:szCs w:val="21"/>
                      <w14:textFill>
                        <w14:solidFill>
                          <w14:schemeClr w14:val="tx1"/>
                        </w14:solidFill>
                      </w14:textFill>
                    </w:rPr>
                    <w:t>水和废液的有效拦截。</w:t>
                  </w:r>
                </w:p>
              </w:tc>
              <w:tc>
                <w:tcPr>
                  <w:tcW w:w="747" w:type="dxa"/>
                  <w:vAlign w:val="center"/>
                </w:tcPr>
                <w:p w14:paraId="717375D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bl>
          <w:p w14:paraId="62CE7140">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拟建项目与租用厂房的依托关系：</w:t>
            </w:r>
          </w:p>
          <w:p w14:paraId="561C4483">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拟建项目租用小米智能制造产业园内现有标准厂房4A栋1楼进行生产。项目部分公用工程、环保工程依托小米智能制造产业园内的已建配套设施。</w:t>
            </w:r>
          </w:p>
          <w:p w14:paraId="06AB51C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拟建项目与小米智能制造产业园的依托关系详见表2-3。</w:t>
            </w:r>
          </w:p>
          <w:p w14:paraId="69BA1D8D">
            <w:pPr>
              <w:pStyle w:val="13"/>
              <w:spacing w:after="0" w:line="240" w:lineRule="auto"/>
              <w:ind w:left="0" w:leftChars="0"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表2-3拟建项目</w:t>
            </w:r>
            <w:r>
              <w:rPr>
                <w:rFonts w:hint="eastAsia"/>
                <w:b/>
                <w:color w:val="000000" w:themeColor="text1"/>
                <w14:textFill>
                  <w14:solidFill>
                    <w14:schemeClr w14:val="tx1"/>
                  </w14:solidFill>
                </w14:textFill>
              </w:rPr>
              <w:t>与产业园</w:t>
            </w:r>
            <w:r>
              <w:rPr>
                <w:b/>
                <w:color w:val="000000" w:themeColor="text1"/>
                <w14:textFill>
                  <w14:solidFill>
                    <w14:schemeClr w14:val="tx1"/>
                  </w14:solidFill>
                </w14:textFill>
              </w:rPr>
              <w:t>依托关系情况表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772"/>
              <w:gridCol w:w="812"/>
              <w:gridCol w:w="4445"/>
              <w:gridCol w:w="1923"/>
            </w:tblGrid>
            <w:tr w14:paraId="2291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gridSpan w:val="2"/>
                  <w:tcBorders>
                    <w:top w:val="single" w:color="auto" w:sz="4" w:space="0"/>
                    <w:left w:val="single" w:color="auto" w:sz="4" w:space="0"/>
                    <w:bottom w:val="single" w:color="auto" w:sz="4" w:space="0"/>
                    <w:right w:val="single" w:color="auto" w:sz="4" w:space="0"/>
                  </w:tcBorders>
                  <w:vAlign w:val="center"/>
                </w:tcPr>
                <w:p w14:paraId="1F4959F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工程类别</w:t>
                  </w:r>
                </w:p>
              </w:tc>
              <w:tc>
                <w:tcPr>
                  <w:tcW w:w="471" w:type="pct"/>
                  <w:tcBorders>
                    <w:top w:val="single" w:color="auto" w:sz="4" w:space="0"/>
                    <w:left w:val="single" w:color="auto" w:sz="4" w:space="0"/>
                    <w:bottom w:val="single" w:color="auto" w:sz="4" w:space="0"/>
                    <w:right w:val="single" w:color="auto" w:sz="4" w:space="0"/>
                  </w:tcBorders>
                  <w:vAlign w:val="center"/>
                </w:tcPr>
                <w:p w14:paraId="21D73D7C">
                  <w:pPr>
                    <w:pStyle w:val="8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建设性质</w:t>
                  </w:r>
                </w:p>
              </w:tc>
              <w:tc>
                <w:tcPr>
                  <w:tcW w:w="2578" w:type="pct"/>
                  <w:tcBorders>
                    <w:top w:val="single" w:color="auto" w:sz="4" w:space="0"/>
                    <w:left w:val="single" w:color="auto" w:sz="4" w:space="0"/>
                    <w:bottom w:val="single" w:color="auto" w:sz="4" w:space="0"/>
                    <w:right w:val="single" w:color="auto" w:sz="4" w:space="0"/>
                  </w:tcBorders>
                  <w:vAlign w:val="center"/>
                </w:tcPr>
                <w:p w14:paraId="17F8AAC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内容</w:t>
                  </w:r>
                </w:p>
              </w:tc>
              <w:tc>
                <w:tcPr>
                  <w:tcW w:w="1115" w:type="pct"/>
                  <w:tcBorders>
                    <w:top w:val="single" w:color="auto" w:sz="4" w:space="0"/>
                    <w:left w:val="single" w:color="auto" w:sz="4" w:space="0"/>
                    <w:bottom w:val="single" w:color="auto" w:sz="4" w:space="0"/>
                    <w:right w:val="single" w:color="auto" w:sz="4" w:space="0"/>
                  </w:tcBorders>
                  <w:vAlign w:val="center"/>
                </w:tcPr>
                <w:p w14:paraId="5852EB3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可行性分析</w:t>
                  </w:r>
                </w:p>
              </w:tc>
            </w:tr>
            <w:tr w14:paraId="5C85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restart"/>
                  <w:tcBorders>
                    <w:top w:val="single" w:color="auto" w:sz="4" w:space="0"/>
                    <w:left w:val="single" w:color="auto" w:sz="4" w:space="0"/>
                    <w:right w:val="single" w:color="auto" w:sz="4" w:space="0"/>
                  </w:tcBorders>
                  <w:vAlign w:val="center"/>
                </w:tcPr>
                <w:p w14:paraId="52789DA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公用工程</w:t>
                  </w:r>
                </w:p>
              </w:tc>
              <w:tc>
                <w:tcPr>
                  <w:tcW w:w="447" w:type="pct"/>
                  <w:tcBorders>
                    <w:top w:val="single" w:color="auto" w:sz="4" w:space="0"/>
                    <w:left w:val="single" w:color="auto" w:sz="4" w:space="0"/>
                    <w:bottom w:val="single" w:color="auto" w:sz="4" w:space="0"/>
                    <w:right w:val="single" w:color="auto" w:sz="4" w:space="0"/>
                  </w:tcBorders>
                  <w:vAlign w:val="center"/>
                </w:tcPr>
                <w:p w14:paraId="5C13EB9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给水工程</w:t>
                  </w:r>
                </w:p>
              </w:tc>
              <w:tc>
                <w:tcPr>
                  <w:tcW w:w="471" w:type="pct"/>
                  <w:tcBorders>
                    <w:top w:val="single" w:color="auto" w:sz="4" w:space="0"/>
                    <w:left w:val="single" w:color="auto" w:sz="4" w:space="0"/>
                    <w:bottom w:val="single" w:color="auto" w:sz="4" w:space="0"/>
                    <w:right w:val="single" w:color="auto" w:sz="4" w:space="0"/>
                  </w:tcBorders>
                  <w:vAlign w:val="center"/>
                </w:tcPr>
                <w:p w14:paraId="0D747DC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c>
                <w:tcPr>
                  <w:tcW w:w="2578" w:type="pct"/>
                  <w:tcBorders>
                    <w:top w:val="single" w:color="auto" w:sz="4" w:space="0"/>
                    <w:left w:val="single" w:color="auto" w:sz="4" w:space="0"/>
                    <w:bottom w:val="single" w:color="auto" w:sz="4" w:space="0"/>
                    <w:right w:val="single" w:color="auto" w:sz="4" w:space="0"/>
                  </w:tcBorders>
                  <w:vAlign w:val="center"/>
                </w:tcPr>
                <w:p w14:paraId="653E389E">
                  <w:pPr>
                    <w:pStyle w:val="85"/>
                    <w:jc w:val="left"/>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小米智能制造产业园供水管道已直接铺设至厂房内，项目直接依托使用。</w:t>
                  </w:r>
                </w:p>
              </w:tc>
              <w:tc>
                <w:tcPr>
                  <w:tcW w:w="1115" w:type="pct"/>
                  <w:tcBorders>
                    <w:top w:val="single" w:color="auto" w:sz="4" w:space="0"/>
                    <w:left w:val="single" w:color="auto" w:sz="4" w:space="0"/>
                    <w:bottom w:val="single" w:color="auto" w:sz="4" w:space="0"/>
                    <w:right w:val="single" w:color="auto" w:sz="4" w:space="0"/>
                  </w:tcBorders>
                  <w:vAlign w:val="center"/>
                </w:tcPr>
                <w:p w14:paraId="34B3084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可行</w:t>
                  </w:r>
                </w:p>
              </w:tc>
            </w:tr>
            <w:tr w14:paraId="37AA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tcBorders>
                    <w:left w:val="single" w:color="auto" w:sz="4" w:space="0"/>
                    <w:right w:val="single" w:color="auto" w:sz="4" w:space="0"/>
                  </w:tcBorders>
                  <w:vAlign w:val="center"/>
                </w:tcPr>
                <w:p w14:paraId="356E7B3A">
                  <w:pPr>
                    <w:pStyle w:val="85"/>
                    <w:rPr>
                      <w:rFonts w:cs="Times New Roman"/>
                      <w:color w:val="000000" w:themeColor="text1"/>
                      <w14:textFill>
                        <w14:solidFill>
                          <w14:schemeClr w14:val="tx1"/>
                        </w14:solidFill>
                      </w14:textFill>
                    </w:rPr>
                  </w:pPr>
                </w:p>
              </w:tc>
              <w:tc>
                <w:tcPr>
                  <w:tcW w:w="447" w:type="pct"/>
                  <w:tcBorders>
                    <w:top w:val="single" w:color="auto" w:sz="4" w:space="0"/>
                    <w:left w:val="single" w:color="auto" w:sz="4" w:space="0"/>
                    <w:bottom w:val="single" w:color="auto" w:sz="4" w:space="0"/>
                    <w:right w:val="single" w:color="auto" w:sz="4" w:space="0"/>
                  </w:tcBorders>
                  <w:vAlign w:val="center"/>
                </w:tcPr>
                <w:p w14:paraId="11CD5DA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排水工程</w:t>
                  </w:r>
                </w:p>
              </w:tc>
              <w:tc>
                <w:tcPr>
                  <w:tcW w:w="471" w:type="pct"/>
                  <w:tcBorders>
                    <w:top w:val="single" w:color="auto" w:sz="4" w:space="0"/>
                    <w:left w:val="single" w:color="auto" w:sz="4" w:space="0"/>
                    <w:bottom w:val="single" w:color="auto" w:sz="4" w:space="0"/>
                    <w:right w:val="single" w:color="auto" w:sz="4" w:space="0"/>
                  </w:tcBorders>
                  <w:vAlign w:val="center"/>
                </w:tcPr>
                <w:p w14:paraId="2EF8058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c>
                <w:tcPr>
                  <w:tcW w:w="2578" w:type="pct"/>
                  <w:tcBorders>
                    <w:top w:val="single" w:color="auto" w:sz="4" w:space="0"/>
                    <w:left w:val="single" w:color="auto" w:sz="4" w:space="0"/>
                    <w:bottom w:val="single" w:color="auto" w:sz="4" w:space="0"/>
                    <w:right w:val="single" w:color="auto" w:sz="4" w:space="0"/>
                  </w:tcBorders>
                  <w:vAlign w:val="center"/>
                </w:tcPr>
                <w:p w14:paraId="3123159E">
                  <w:pPr>
                    <w:pStyle w:val="85"/>
                    <w:jc w:val="left"/>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小米智能制造产业园已修建生化池集中收集处理园内生活污水，且污水收集管道已接入厂房卫生间内。项目依托小米智能制造产业园现有污水收集处理系统预处理后排入园区污水管网。</w:t>
                  </w:r>
                </w:p>
              </w:tc>
              <w:tc>
                <w:tcPr>
                  <w:tcW w:w="1115" w:type="pct"/>
                  <w:tcBorders>
                    <w:top w:val="single" w:color="auto" w:sz="4" w:space="0"/>
                    <w:left w:val="single" w:color="auto" w:sz="4" w:space="0"/>
                    <w:bottom w:val="single" w:color="auto" w:sz="4" w:space="0"/>
                    <w:right w:val="single" w:color="auto" w:sz="4" w:space="0"/>
                  </w:tcBorders>
                  <w:vAlign w:val="center"/>
                </w:tcPr>
                <w:p w14:paraId="0FD1485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可行</w:t>
                  </w:r>
                </w:p>
              </w:tc>
            </w:tr>
            <w:tr w14:paraId="6E94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tcBorders>
                    <w:left w:val="single" w:color="auto" w:sz="4" w:space="0"/>
                    <w:right w:val="single" w:color="auto" w:sz="4" w:space="0"/>
                  </w:tcBorders>
                  <w:vAlign w:val="center"/>
                </w:tcPr>
                <w:p w14:paraId="023E481C">
                  <w:pPr>
                    <w:pStyle w:val="85"/>
                    <w:rPr>
                      <w:rFonts w:cs="Times New Roman"/>
                      <w:color w:val="000000" w:themeColor="text1"/>
                      <w14:textFill>
                        <w14:solidFill>
                          <w14:schemeClr w14:val="tx1"/>
                        </w14:solidFill>
                      </w14:textFill>
                    </w:rPr>
                  </w:pPr>
                </w:p>
              </w:tc>
              <w:tc>
                <w:tcPr>
                  <w:tcW w:w="447" w:type="pct"/>
                  <w:tcBorders>
                    <w:top w:val="single" w:color="auto" w:sz="4" w:space="0"/>
                    <w:left w:val="single" w:color="auto" w:sz="4" w:space="0"/>
                    <w:bottom w:val="single" w:color="auto" w:sz="4" w:space="0"/>
                    <w:right w:val="single" w:color="auto" w:sz="4" w:space="0"/>
                  </w:tcBorders>
                  <w:vAlign w:val="center"/>
                </w:tcPr>
                <w:p w14:paraId="3118072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供电系统</w:t>
                  </w:r>
                </w:p>
              </w:tc>
              <w:tc>
                <w:tcPr>
                  <w:tcW w:w="471" w:type="pct"/>
                  <w:tcBorders>
                    <w:top w:val="single" w:color="auto" w:sz="4" w:space="0"/>
                    <w:left w:val="single" w:color="auto" w:sz="4" w:space="0"/>
                    <w:bottom w:val="single" w:color="auto" w:sz="4" w:space="0"/>
                    <w:right w:val="single" w:color="auto" w:sz="4" w:space="0"/>
                  </w:tcBorders>
                  <w:vAlign w:val="center"/>
                </w:tcPr>
                <w:p w14:paraId="7858A4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c>
                <w:tcPr>
                  <w:tcW w:w="2578" w:type="pct"/>
                  <w:tcBorders>
                    <w:top w:val="single" w:color="auto" w:sz="4" w:space="0"/>
                    <w:left w:val="single" w:color="auto" w:sz="4" w:space="0"/>
                    <w:bottom w:val="single" w:color="auto" w:sz="4" w:space="0"/>
                    <w:right w:val="single" w:color="auto" w:sz="4" w:space="0"/>
                  </w:tcBorders>
                  <w:vAlign w:val="center"/>
                </w:tcPr>
                <w:p w14:paraId="2CE47591">
                  <w:pPr>
                    <w:pStyle w:val="85"/>
                    <w:jc w:val="left"/>
                    <w:rPr>
                      <w:rFonts w:cs="Times New Roman"/>
                      <w:color w:val="000000" w:themeColor="text1"/>
                      <w14:textFill>
                        <w14:solidFill>
                          <w14:schemeClr w14:val="tx1"/>
                        </w14:solidFill>
                      </w14:textFill>
                    </w:rPr>
                  </w:pPr>
                  <w:r>
                    <w:rPr>
                      <w:rFonts w:cs="Times New Roman"/>
                      <w:bCs/>
                      <w:color w:val="000000" w:themeColor="text1"/>
                      <w:szCs w:val="21"/>
                      <w14:textFill>
                        <w14:solidFill>
                          <w14:schemeClr w14:val="tx1"/>
                        </w14:solidFill>
                      </w14:textFill>
                    </w:rPr>
                    <w:t>由</w:t>
                  </w:r>
                  <w:r>
                    <w:rPr>
                      <w:rFonts w:cs="Times New Roman"/>
                      <w:color w:val="000000" w:themeColor="text1"/>
                      <w:szCs w:val="21"/>
                      <w14:textFill>
                        <w14:solidFill>
                          <w14:schemeClr w14:val="tx1"/>
                        </w14:solidFill>
                      </w14:textFill>
                    </w:rPr>
                    <w:t>小米智能制造产业园</w:t>
                  </w:r>
                  <w:r>
                    <w:rPr>
                      <w:rFonts w:cs="Times New Roman"/>
                      <w:bCs/>
                      <w:color w:val="000000" w:themeColor="text1"/>
                      <w:szCs w:val="21"/>
                      <w14:textFill>
                        <w14:solidFill>
                          <w14:schemeClr w14:val="tx1"/>
                        </w14:solidFill>
                      </w14:textFill>
                    </w:rPr>
                    <w:t>集中配电室引至项目厂房配电房，再对各个生产单元进行分区供电。</w:t>
                  </w:r>
                </w:p>
              </w:tc>
              <w:tc>
                <w:tcPr>
                  <w:tcW w:w="1115" w:type="pct"/>
                  <w:tcBorders>
                    <w:top w:val="single" w:color="auto" w:sz="4" w:space="0"/>
                    <w:left w:val="single" w:color="auto" w:sz="4" w:space="0"/>
                    <w:bottom w:val="single" w:color="auto" w:sz="4" w:space="0"/>
                    <w:right w:val="single" w:color="auto" w:sz="4" w:space="0"/>
                  </w:tcBorders>
                  <w:vAlign w:val="center"/>
                </w:tcPr>
                <w:p w14:paraId="5A3A5D9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可行</w:t>
                  </w:r>
                </w:p>
              </w:tc>
            </w:tr>
            <w:tr w14:paraId="65B5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left w:val="single" w:color="auto" w:sz="4" w:space="0"/>
                    <w:right w:val="single" w:color="auto" w:sz="4" w:space="0"/>
                  </w:tcBorders>
                  <w:vAlign w:val="center"/>
                </w:tcPr>
                <w:p w14:paraId="20B530E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环保工程</w:t>
                  </w:r>
                </w:p>
              </w:tc>
              <w:tc>
                <w:tcPr>
                  <w:tcW w:w="447" w:type="pct"/>
                  <w:tcBorders>
                    <w:top w:val="single" w:color="auto" w:sz="4" w:space="0"/>
                    <w:left w:val="single" w:color="auto" w:sz="4" w:space="0"/>
                    <w:bottom w:val="single" w:color="auto" w:sz="4" w:space="0"/>
                    <w:right w:val="single" w:color="auto" w:sz="4" w:space="0"/>
                  </w:tcBorders>
                  <w:vAlign w:val="center"/>
                </w:tcPr>
                <w:p w14:paraId="0CB4978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471" w:type="pct"/>
                  <w:tcBorders>
                    <w:top w:val="single" w:color="auto" w:sz="4" w:space="0"/>
                    <w:left w:val="single" w:color="auto" w:sz="4" w:space="0"/>
                    <w:bottom w:val="single" w:color="auto" w:sz="4" w:space="0"/>
                    <w:right w:val="single" w:color="auto" w:sz="4" w:space="0"/>
                  </w:tcBorders>
                  <w:vAlign w:val="center"/>
                </w:tcPr>
                <w:p w14:paraId="6C0F3B5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c>
                <w:tcPr>
                  <w:tcW w:w="2578" w:type="pct"/>
                  <w:tcBorders>
                    <w:top w:val="single" w:color="auto" w:sz="4" w:space="0"/>
                    <w:left w:val="single" w:color="auto" w:sz="4" w:space="0"/>
                    <w:bottom w:val="single" w:color="auto" w:sz="4" w:space="0"/>
                    <w:right w:val="single" w:color="auto" w:sz="4" w:space="0"/>
                  </w:tcBorders>
                  <w:vAlign w:val="center"/>
                </w:tcPr>
                <w:p w14:paraId="14CFDF64">
                  <w:pPr>
                    <w:pStyle w:val="85"/>
                    <w:jc w:val="left"/>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预处理后的生产废水与员工生活污水一起经园区内污水管道排至小米智能制造产业园400m</w:t>
                  </w:r>
                  <w:r>
                    <w:rPr>
                      <w:rFonts w:cs="Times New Roman"/>
                      <w:color w:val="000000" w:themeColor="text1"/>
                      <w:szCs w:val="21"/>
                      <w:vertAlign w:val="superscript"/>
                      <w14:textFill>
                        <w14:solidFill>
                          <w14:schemeClr w14:val="tx1"/>
                        </w14:solidFill>
                      </w14:textFill>
                    </w:rPr>
                    <w:t>3</w:t>
                  </w:r>
                  <w:r>
                    <w:rPr>
                      <w:rFonts w:cs="Times New Roman"/>
                      <w:color w:val="000000" w:themeColor="text1"/>
                      <w:szCs w:val="21"/>
                      <w14:textFill>
                        <w14:solidFill>
                          <w14:schemeClr w14:val="tx1"/>
                        </w14:solidFill>
                      </w14:textFill>
                    </w:rPr>
                    <w:t>生化池内进行处理后再排入市政污水管网，最终进入蒲吕污水处理厂深度处理后排入小安溪。</w:t>
                  </w:r>
                </w:p>
              </w:tc>
              <w:tc>
                <w:tcPr>
                  <w:tcW w:w="1115" w:type="pct"/>
                  <w:tcBorders>
                    <w:top w:val="single" w:color="auto" w:sz="4" w:space="0"/>
                    <w:left w:val="single" w:color="auto" w:sz="4" w:space="0"/>
                    <w:bottom w:val="single" w:color="auto" w:sz="4" w:space="0"/>
                    <w:right w:val="single" w:color="auto" w:sz="4" w:space="0"/>
                  </w:tcBorders>
                  <w:vAlign w:val="center"/>
                </w:tcPr>
                <w:p w14:paraId="56E4918E">
                  <w:pPr>
                    <w:pStyle w:val="85"/>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拟建项目污水量1.715m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/d，该生化池剩余处理能力300m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/d，能够满足项目需要。依托可行</w:t>
                  </w:r>
                  <w:r>
                    <w:rPr>
                      <w:rFonts w:hint="eastAsia" w:cs="Times New Roman"/>
                      <w:color w:val="000000" w:themeColor="text1"/>
                      <w:lang w:eastAsia="zh-CN"/>
                      <w14:textFill>
                        <w14:solidFill>
                          <w14:schemeClr w14:val="tx1"/>
                        </w14:solidFill>
                      </w14:textFill>
                    </w:rPr>
                    <w:t>，已开具废水接纳证明。</w:t>
                  </w:r>
                </w:p>
              </w:tc>
            </w:tr>
          </w:tbl>
          <w:p w14:paraId="659FCAB1">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2.1.5项目平面布置</w:t>
            </w:r>
          </w:p>
          <w:p w14:paraId="77B0A9E6">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拟建项目位于重庆市铜梁区蒲吕街道产业大道38号1-1（小米智能制造产业园4A栋1楼），主要分布如下：</w:t>
            </w:r>
          </w:p>
          <w:p w14:paraId="12C523C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生产车间北部由西向东依次布设检测室、会议室和办公区</w:t>
            </w:r>
            <w:r>
              <w:rPr>
                <w:rFonts w:eastAsia="宋体"/>
                <w:color w:val="000000" w:themeColor="text1"/>
                <w:szCs w:val="21"/>
                <w14:textFill>
                  <w14:solidFill>
                    <w14:schemeClr w14:val="tx1"/>
                  </w14:solidFill>
                </w14:textFill>
              </w:rPr>
              <w:t>；中部偏北侧</w:t>
            </w:r>
            <w:r>
              <w:rPr>
                <w:rFonts w:eastAsia="宋体"/>
                <w:color w:val="000000" w:themeColor="text1"/>
                <w14:textFill>
                  <w14:solidFill>
                    <w14:schemeClr w14:val="tx1"/>
                  </w14:solidFill>
                </w14:textFill>
              </w:rPr>
              <w:t>由西向东大体依次布设焊接区及热处理区、机加工区域、</w:t>
            </w:r>
            <w:r>
              <w:rPr>
                <w:rFonts w:hint="eastAsia" w:eastAsia="宋体"/>
                <w:color w:val="000000" w:themeColor="text1"/>
                <w:lang w:val="en-US" w:eastAsia="zh-CN"/>
                <w14:textFill>
                  <w14:solidFill>
                    <w14:schemeClr w14:val="tx1"/>
                  </w14:solidFill>
                </w14:textFill>
              </w:rPr>
              <w:t>机加工半成品库、</w:t>
            </w:r>
            <w:r>
              <w:rPr>
                <w:rFonts w:eastAsia="宋体"/>
                <w:color w:val="000000" w:themeColor="text1"/>
                <w14:textFill>
                  <w14:solidFill>
                    <w14:schemeClr w14:val="tx1"/>
                  </w14:solidFill>
                </w14:textFill>
              </w:rPr>
              <w:t>原材料堆放区；</w:t>
            </w:r>
            <w:r>
              <w:rPr>
                <w:rFonts w:eastAsia="宋体"/>
                <w:color w:val="000000" w:themeColor="text1"/>
                <w:szCs w:val="21"/>
                <w14:textFill>
                  <w14:solidFill>
                    <w14:schemeClr w14:val="tx1"/>
                  </w14:solidFill>
                </w14:textFill>
              </w:rPr>
              <w:t>中部偏南侧</w:t>
            </w:r>
            <w:r>
              <w:rPr>
                <w:rFonts w:eastAsia="宋体"/>
                <w:color w:val="000000" w:themeColor="text1"/>
                <w14:textFill>
                  <w14:solidFill>
                    <w14:schemeClr w14:val="tx1"/>
                  </w14:solidFill>
                </w14:textFill>
              </w:rPr>
              <w:t>由西向东大体依次布设</w:t>
            </w:r>
            <w:r>
              <w:rPr>
                <w:rFonts w:hint="eastAsia" w:eastAsia="宋体"/>
                <w:color w:val="000000" w:themeColor="text1"/>
                <w:lang w:val="en-US" w:eastAsia="zh-CN"/>
                <w14:textFill>
                  <w14:solidFill>
                    <w14:schemeClr w14:val="tx1"/>
                  </w14:solidFill>
                </w14:textFill>
              </w:rPr>
              <w:t>试压半成品库、</w:t>
            </w:r>
            <w:r>
              <w:rPr>
                <w:rFonts w:eastAsia="宋体"/>
                <w:color w:val="000000" w:themeColor="text1"/>
                <w14:textFill>
                  <w14:solidFill>
                    <w14:schemeClr w14:val="tx1"/>
                  </w14:solidFill>
                </w14:textFill>
              </w:rPr>
              <w:t>装配区、低温处理区、成品区；南部区域从西至东依次布设一般固废暂存区、配电室、展厅、卫生间、油料库房和危废贮存点。各生产单元分块布设，原、辅料仓库独立开设出口或紧邻厂区大门。厂区1~2#排气筒分别布设于厂房东北侧和西南侧。</w:t>
            </w:r>
          </w:p>
          <w:p w14:paraId="1ED56CEF">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根据小米智能制造产业园入驻规定，该园区内已集中配置了员工食堂及倒班宿舍楼，入驻单位不得单独在厂房内设置食堂及宿舍。对此，拟建项目厂区内不包食宿，厂区内工人自行至园区有偿解决食宿。</w:t>
            </w:r>
          </w:p>
          <w:p w14:paraId="3FB8E43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由此，项目平面布置在满足输出工艺、安全、环保、卫生的前提下，因地制宜、合理紧凑的布置相关设施，各功能分区明确、布局紧凑、流程顺畅。布局设计有利于生产管理和环境保护。具体布置见附图2。</w:t>
            </w:r>
          </w:p>
          <w:p w14:paraId="3658134A">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2.1.6主要生产设备</w:t>
            </w:r>
          </w:p>
          <w:p w14:paraId="28FF3423">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拟建项目主要生产设备详见表2-4。</w:t>
            </w:r>
          </w:p>
          <w:p w14:paraId="3C76C6DC">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2-4项目主要生产设备</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1510"/>
              <w:gridCol w:w="1686"/>
              <w:gridCol w:w="977"/>
              <w:gridCol w:w="1889"/>
              <w:gridCol w:w="2048"/>
            </w:tblGrid>
            <w:tr w14:paraId="07A5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Align w:val="center"/>
                </w:tcPr>
                <w:p w14:paraId="4600FE72">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序号</w:t>
                  </w:r>
                </w:p>
              </w:tc>
              <w:tc>
                <w:tcPr>
                  <w:tcW w:w="875" w:type="pct"/>
                  <w:vAlign w:val="center"/>
                </w:tcPr>
                <w:p w14:paraId="7C7087C4">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主要工艺环节名称</w:t>
                  </w:r>
                </w:p>
              </w:tc>
              <w:tc>
                <w:tcPr>
                  <w:tcW w:w="977" w:type="pct"/>
                  <w:vAlign w:val="center"/>
                </w:tcPr>
                <w:p w14:paraId="2C904EDF">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生产设施名称</w:t>
                  </w:r>
                </w:p>
              </w:tc>
              <w:tc>
                <w:tcPr>
                  <w:tcW w:w="566" w:type="pct"/>
                  <w:vAlign w:val="center"/>
                </w:tcPr>
                <w:p w14:paraId="0710939F">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数量（台）</w:t>
                  </w:r>
                </w:p>
              </w:tc>
              <w:tc>
                <w:tcPr>
                  <w:tcW w:w="1095" w:type="pct"/>
                  <w:vAlign w:val="center"/>
                </w:tcPr>
                <w:p w14:paraId="19799AD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规格/型号</w:t>
                  </w:r>
                </w:p>
              </w:tc>
              <w:tc>
                <w:tcPr>
                  <w:tcW w:w="1187" w:type="pct"/>
                  <w:vAlign w:val="center"/>
                </w:tcPr>
                <w:p w14:paraId="1CF4890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备注</w:t>
                  </w:r>
                </w:p>
              </w:tc>
            </w:tr>
            <w:tr w14:paraId="694D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 w:type="dxa"/>
                  <w:vAlign w:val="center"/>
                </w:tcPr>
                <w:p w14:paraId="4CA7425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14:textFill>
                        <w14:solidFill>
                          <w14:schemeClr w14:val="tx1"/>
                        </w14:solidFill>
                      </w14:textFill>
                    </w:rPr>
                    <w:t>1</w:t>
                  </w:r>
                </w:p>
              </w:tc>
              <w:tc>
                <w:tcPr>
                  <w:tcW w:w="875" w:type="pct"/>
                  <w:vAlign w:val="center"/>
                </w:tcPr>
                <w:p w14:paraId="20D41D3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下料</w:t>
                  </w:r>
                </w:p>
              </w:tc>
              <w:tc>
                <w:tcPr>
                  <w:tcW w:w="977" w:type="pct"/>
                  <w:vAlign w:val="center"/>
                </w:tcPr>
                <w:p w14:paraId="28E867E1">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锯床</w:t>
                  </w:r>
                </w:p>
              </w:tc>
              <w:tc>
                <w:tcPr>
                  <w:tcW w:w="566" w:type="pct"/>
                  <w:vAlign w:val="center"/>
                </w:tcPr>
                <w:p w14:paraId="34D2A709">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43EE5B75">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z w:val="18"/>
                      <w:szCs w:val="18"/>
                      <w14:textFill>
                        <w14:solidFill>
                          <w14:schemeClr w14:val="tx1"/>
                        </w14:solidFill>
                      </w14:textFill>
                    </w:rPr>
                    <w:t>JTM850</w:t>
                  </w:r>
                </w:p>
              </w:tc>
              <w:tc>
                <w:tcPr>
                  <w:tcW w:w="1187" w:type="pct"/>
                  <w:vAlign w:val="center"/>
                </w:tcPr>
                <w:p w14:paraId="555F153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下料</w:t>
                  </w:r>
                </w:p>
              </w:tc>
            </w:tr>
            <w:tr w14:paraId="7EBF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 w:type="dxa"/>
                  <w:vMerge w:val="restart"/>
                  <w:vAlign w:val="center"/>
                </w:tcPr>
                <w:p w14:paraId="4D3DB2D3">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14:textFill>
                        <w14:solidFill>
                          <w14:schemeClr w14:val="tx1"/>
                        </w14:solidFill>
                      </w14:textFill>
                    </w:rPr>
                    <w:t>2</w:t>
                  </w:r>
                </w:p>
              </w:tc>
              <w:tc>
                <w:tcPr>
                  <w:tcW w:w="875" w:type="pct"/>
                  <w:vMerge w:val="restart"/>
                  <w:vAlign w:val="center"/>
                </w:tcPr>
                <w:p w14:paraId="5E00C271">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热处理</w:t>
                  </w:r>
                </w:p>
              </w:tc>
              <w:tc>
                <w:tcPr>
                  <w:tcW w:w="977" w:type="pct"/>
                  <w:vAlign w:val="center"/>
                </w:tcPr>
                <w:p w14:paraId="0741078E">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电阻炉</w:t>
                  </w:r>
                </w:p>
              </w:tc>
              <w:tc>
                <w:tcPr>
                  <w:tcW w:w="566" w:type="pct"/>
                  <w:vAlign w:val="center"/>
                </w:tcPr>
                <w:p w14:paraId="02A244F0">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6EE216AB">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z w:val="20"/>
                      <w:szCs w:val="20"/>
                      <w14:textFill>
                        <w14:solidFill>
                          <w14:schemeClr w14:val="tx1"/>
                        </w14:solidFill>
                      </w14:textFill>
                    </w:rPr>
                    <w:t>RX3-1200X600X400-7</w:t>
                  </w:r>
                </w:p>
              </w:tc>
              <w:tc>
                <w:tcPr>
                  <w:tcW w:w="1187" w:type="pct"/>
                  <w:vMerge w:val="restart"/>
                  <w:vAlign w:val="center"/>
                </w:tcPr>
                <w:p w14:paraId="7651B0C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正火</w:t>
                  </w:r>
                </w:p>
              </w:tc>
            </w:tr>
            <w:tr w14:paraId="786A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297" w:type="pct"/>
                  <w:vMerge w:val="continue"/>
                  <w:vAlign w:val="center"/>
                </w:tcPr>
                <w:p w14:paraId="11585DBB">
                  <w:pPr>
                    <w:pStyle w:val="85"/>
                    <w:rPr>
                      <w:rFonts w:cs="Times New Roman"/>
                      <w:color w:val="000000" w:themeColor="text1"/>
                      <w14:textFill>
                        <w14:solidFill>
                          <w14:schemeClr w14:val="tx1"/>
                        </w14:solidFill>
                      </w14:textFill>
                    </w:rPr>
                  </w:pPr>
                </w:p>
              </w:tc>
              <w:tc>
                <w:tcPr>
                  <w:tcW w:w="875" w:type="pct"/>
                  <w:vMerge w:val="continue"/>
                  <w:vAlign w:val="center"/>
                </w:tcPr>
                <w:p w14:paraId="47E61655">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1E15F33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电阻炉</w:t>
                  </w:r>
                </w:p>
              </w:tc>
              <w:tc>
                <w:tcPr>
                  <w:tcW w:w="566" w:type="pct"/>
                  <w:vAlign w:val="center"/>
                </w:tcPr>
                <w:p w14:paraId="72337CC9">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6B62642F">
                  <w:pPr>
                    <w:pStyle w:val="85"/>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RX3-1200X600X400-12</w:t>
                  </w:r>
                </w:p>
              </w:tc>
              <w:tc>
                <w:tcPr>
                  <w:tcW w:w="1187" w:type="pct"/>
                  <w:vMerge w:val="continue"/>
                  <w:vAlign w:val="center"/>
                </w:tcPr>
                <w:p w14:paraId="7D2262E2">
                  <w:pPr>
                    <w:pStyle w:val="85"/>
                    <w:rPr>
                      <w:rFonts w:cs="Times New Roman"/>
                      <w:color w:val="000000" w:themeColor="text1"/>
                      <w:shd w:val="clear" w:color="auto" w:fill="FFFFFF"/>
                      <w14:textFill>
                        <w14:solidFill>
                          <w14:schemeClr w14:val="tx1"/>
                        </w14:solidFill>
                      </w14:textFill>
                    </w:rPr>
                  </w:pPr>
                </w:p>
              </w:tc>
            </w:tr>
            <w:tr w14:paraId="203F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66254526">
                  <w:pPr>
                    <w:pStyle w:val="85"/>
                    <w:rPr>
                      <w:rFonts w:cs="Times New Roman"/>
                      <w:color w:val="000000" w:themeColor="text1"/>
                      <w14:textFill>
                        <w14:solidFill>
                          <w14:schemeClr w14:val="tx1"/>
                        </w14:solidFill>
                      </w14:textFill>
                    </w:rPr>
                  </w:pPr>
                </w:p>
              </w:tc>
              <w:tc>
                <w:tcPr>
                  <w:tcW w:w="875" w:type="pct"/>
                  <w:vMerge w:val="continue"/>
                  <w:vAlign w:val="center"/>
                </w:tcPr>
                <w:p w14:paraId="55007964">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5677D583">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淬火油槽</w:t>
                  </w:r>
                </w:p>
              </w:tc>
              <w:tc>
                <w:tcPr>
                  <w:tcW w:w="566" w:type="pct"/>
                  <w:vAlign w:val="center"/>
                </w:tcPr>
                <w:p w14:paraId="52A08C19">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6F1060C8">
                  <w:pPr>
                    <w:pStyle w:val="85"/>
                    <w:rPr>
                      <w:rFonts w:cs="Times New Roman"/>
                      <w:color w:val="000000" w:themeColor="text1"/>
                      <w:sz w:val="20"/>
                      <w:szCs w:val="20"/>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1.2</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1.0</w:t>
                  </w:r>
                  <w:r>
                    <w:rPr>
                      <w:rFonts w:cs="Times New Roman"/>
                      <w:color w:val="000000" w:themeColor="text1"/>
                      <w:szCs w:val="21"/>
                      <w14:textFill>
                        <w14:solidFill>
                          <w14:schemeClr w14:val="tx1"/>
                        </w14:solidFill>
                      </w14:textFill>
                    </w:rPr>
                    <w:t>m</w:t>
                  </w:r>
                </w:p>
              </w:tc>
              <w:tc>
                <w:tcPr>
                  <w:tcW w:w="1187" w:type="pct"/>
                  <w:vAlign w:val="center"/>
                </w:tcPr>
                <w:p w14:paraId="6597A75C">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淬火，钢制离地槽体</w:t>
                  </w:r>
                </w:p>
              </w:tc>
            </w:tr>
            <w:tr w14:paraId="30C0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643FC8C4">
                  <w:pPr>
                    <w:pStyle w:val="85"/>
                    <w:rPr>
                      <w:rFonts w:cs="Times New Roman"/>
                      <w:color w:val="000000" w:themeColor="text1"/>
                      <w14:textFill>
                        <w14:solidFill>
                          <w14:schemeClr w14:val="tx1"/>
                        </w14:solidFill>
                      </w14:textFill>
                    </w:rPr>
                  </w:pPr>
                </w:p>
              </w:tc>
              <w:tc>
                <w:tcPr>
                  <w:tcW w:w="875" w:type="pct"/>
                  <w:vMerge w:val="continue"/>
                  <w:vAlign w:val="center"/>
                </w:tcPr>
                <w:p w14:paraId="60507E85">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5720052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冷却水槽</w:t>
                  </w:r>
                </w:p>
              </w:tc>
              <w:tc>
                <w:tcPr>
                  <w:tcW w:w="566" w:type="pct"/>
                  <w:vAlign w:val="center"/>
                </w:tcPr>
                <w:p w14:paraId="20CBC89A">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373D3C87">
                  <w:pPr>
                    <w:pStyle w:val="85"/>
                    <w:rPr>
                      <w:rFonts w:cs="Times New Roman"/>
                      <w:color w:val="000000" w:themeColor="text1"/>
                      <w:sz w:val="20"/>
                      <w:szCs w:val="20"/>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1.2</w:t>
                  </w:r>
                  <w:r>
                    <w:rPr>
                      <w:rFonts w:cs="Times New Roman"/>
                      <w:color w:val="000000" w:themeColor="text1"/>
                      <w:szCs w:val="21"/>
                      <w14:textFill>
                        <w14:solidFill>
                          <w14:schemeClr w14:val="tx1"/>
                        </w14:solidFill>
                      </w14:textFill>
                    </w:rPr>
                    <w:t>m*</w:t>
                  </w:r>
                  <w:r>
                    <w:rPr>
                      <w:rFonts w:hint="eastAsia" w:cs="Times New Roman"/>
                      <w:color w:val="000000" w:themeColor="text1"/>
                      <w:szCs w:val="21"/>
                      <w:lang w:val="en-US" w:eastAsia="zh-CN"/>
                      <w14:textFill>
                        <w14:solidFill>
                          <w14:schemeClr w14:val="tx1"/>
                        </w14:solidFill>
                      </w14:textFill>
                    </w:rPr>
                    <w:t>1.0</w:t>
                  </w:r>
                  <w:r>
                    <w:rPr>
                      <w:rFonts w:cs="Times New Roman"/>
                      <w:color w:val="000000" w:themeColor="text1"/>
                      <w:szCs w:val="21"/>
                      <w14:textFill>
                        <w14:solidFill>
                          <w14:schemeClr w14:val="tx1"/>
                        </w14:solidFill>
                      </w14:textFill>
                    </w:rPr>
                    <w:t>m</w:t>
                  </w:r>
                </w:p>
              </w:tc>
              <w:tc>
                <w:tcPr>
                  <w:tcW w:w="1187" w:type="pct"/>
                  <w:vAlign w:val="center"/>
                </w:tcPr>
                <w:p w14:paraId="73EC801F">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冷却，钢制离地槽体</w:t>
                  </w:r>
                </w:p>
              </w:tc>
            </w:tr>
            <w:tr w14:paraId="2DB7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 w:type="dxa"/>
                  <w:vMerge w:val="restart"/>
                  <w:vAlign w:val="center"/>
                </w:tcPr>
                <w:p w14:paraId="61C50E31">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14:textFill>
                        <w14:solidFill>
                          <w14:schemeClr w14:val="tx1"/>
                        </w14:solidFill>
                      </w14:textFill>
                    </w:rPr>
                    <w:t>3</w:t>
                  </w:r>
                </w:p>
              </w:tc>
              <w:tc>
                <w:tcPr>
                  <w:tcW w:w="875" w:type="pct"/>
                  <w:vMerge w:val="restart"/>
                  <w:vAlign w:val="center"/>
                </w:tcPr>
                <w:p w14:paraId="5AD124D6">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机械加工</w:t>
                  </w:r>
                </w:p>
              </w:tc>
              <w:tc>
                <w:tcPr>
                  <w:tcW w:w="977" w:type="pct"/>
                  <w:vAlign w:val="center"/>
                </w:tcPr>
                <w:p w14:paraId="79F6252F">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加工中心</w:t>
                  </w:r>
                </w:p>
              </w:tc>
              <w:tc>
                <w:tcPr>
                  <w:tcW w:w="566" w:type="pct"/>
                  <w:vAlign w:val="center"/>
                </w:tcPr>
                <w:p w14:paraId="37B5331C">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770" w:type="dxa"/>
                  <w:vAlign w:val="center"/>
                </w:tcPr>
                <w:p w14:paraId="367F281F">
                  <w:pPr>
                    <w:pStyle w:val="85"/>
                    <w:rPr>
                      <w:rFonts w:cs="Times New Roman"/>
                      <w:color w:val="000000" w:themeColor="text1"/>
                      <w:highlight w:val="none"/>
                      <w:shd w:val="clear" w:color="auto" w:fill="FFFFFF"/>
                      <w14:textFill>
                        <w14:solidFill>
                          <w14:schemeClr w14:val="tx1"/>
                        </w14:solidFill>
                      </w14:textFill>
                    </w:rPr>
                  </w:pPr>
                  <w:r>
                    <w:rPr>
                      <w:rFonts w:cs="Times New Roman"/>
                      <w:color w:val="000000" w:themeColor="text1"/>
                      <w:sz w:val="20"/>
                      <w:szCs w:val="20"/>
                      <w:highlight w:val="none"/>
                      <w14:textFill>
                        <w14:solidFill>
                          <w14:schemeClr w14:val="tx1"/>
                        </w14:solidFill>
                      </w14:textFill>
                    </w:rPr>
                    <w:t>VM1360RZ</w:t>
                  </w:r>
                </w:p>
              </w:tc>
              <w:tc>
                <w:tcPr>
                  <w:tcW w:w="1187" w:type="pct"/>
                  <w:vMerge w:val="restart"/>
                  <w:vAlign w:val="center"/>
                </w:tcPr>
                <w:p w14:paraId="1CDB3374">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机加工</w:t>
                  </w:r>
                </w:p>
              </w:tc>
            </w:tr>
            <w:tr w14:paraId="3B37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45EF5C47">
                  <w:pPr>
                    <w:pStyle w:val="85"/>
                    <w:rPr>
                      <w:rFonts w:cs="Times New Roman"/>
                      <w:color w:val="000000" w:themeColor="text1"/>
                      <w14:textFill>
                        <w14:solidFill>
                          <w14:schemeClr w14:val="tx1"/>
                        </w14:solidFill>
                      </w14:textFill>
                    </w:rPr>
                  </w:pPr>
                </w:p>
              </w:tc>
              <w:tc>
                <w:tcPr>
                  <w:tcW w:w="875" w:type="pct"/>
                  <w:vMerge w:val="continue"/>
                  <w:vAlign w:val="center"/>
                </w:tcPr>
                <w:p w14:paraId="6CBC378C">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032AB36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数控车床</w:t>
                  </w:r>
                </w:p>
              </w:tc>
              <w:tc>
                <w:tcPr>
                  <w:tcW w:w="566" w:type="pct"/>
                  <w:vAlign w:val="center"/>
                </w:tcPr>
                <w:p w14:paraId="3EF3FFBA">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7</w:t>
                  </w:r>
                </w:p>
              </w:tc>
              <w:tc>
                <w:tcPr>
                  <w:tcW w:w="1770" w:type="dxa"/>
                  <w:vAlign w:val="center"/>
                </w:tcPr>
                <w:p w14:paraId="3AC8BA29">
                  <w:pPr>
                    <w:pStyle w:val="85"/>
                    <w:rPr>
                      <w:rFonts w:cs="Times New Roman"/>
                      <w:color w:val="000000" w:themeColor="text1"/>
                      <w:sz w:val="20"/>
                      <w:szCs w:val="20"/>
                      <w:highlight w:val="none"/>
                      <w14:textFill>
                        <w14:solidFill>
                          <w14:schemeClr w14:val="tx1"/>
                        </w14:solidFill>
                      </w14:textFill>
                    </w:rPr>
                  </w:pPr>
                  <w:r>
                    <w:rPr>
                      <w:rFonts w:hint="eastAsia" w:cs="Times New Roman"/>
                      <w:color w:val="000000" w:themeColor="text1"/>
                      <w:sz w:val="20"/>
                      <w:szCs w:val="20"/>
                      <w:highlight w:val="none"/>
                      <w14:textFill>
                        <w14:solidFill>
                          <w14:schemeClr w14:val="tx1"/>
                        </w14:solidFill>
                      </w14:textFill>
                    </w:rPr>
                    <w:t>C</w:t>
                  </w:r>
                  <w:r>
                    <w:rPr>
                      <w:rFonts w:cs="Times New Roman"/>
                      <w:color w:val="000000" w:themeColor="text1"/>
                      <w:sz w:val="20"/>
                      <w:szCs w:val="20"/>
                      <w:highlight w:val="none"/>
                      <w14:textFill>
                        <w14:solidFill>
                          <w14:schemeClr w14:val="tx1"/>
                        </w14:solidFill>
                      </w14:textFill>
                    </w:rPr>
                    <w:t>AK80135/CAK5085/</w:t>
                  </w:r>
                </w:p>
                <w:p w14:paraId="40204F40">
                  <w:pPr>
                    <w:pStyle w:val="85"/>
                    <w:rPr>
                      <w:rFonts w:cs="Times New Roman"/>
                      <w:color w:val="000000" w:themeColor="text1"/>
                      <w:sz w:val="20"/>
                      <w:szCs w:val="20"/>
                      <w:highlight w:val="none"/>
                      <w14:textFill>
                        <w14:solidFill>
                          <w14:schemeClr w14:val="tx1"/>
                        </w14:solidFill>
                      </w14:textFill>
                    </w:rPr>
                  </w:pPr>
                  <w:r>
                    <w:rPr>
                      <w:rFonts w:hint="eastAsia" w:cs="Times New Roman"/>
                      <w:color w:val="000000" w:themeColor="text1"/>
                      <w:sz w:val="20"/>
                      <w:szCs w:val="20"/>
                      <w:highlight w:val="none"/>
                      <w14:textFill>
                        <w14:solidFill>
                          <w14:schemeClr w14:val="tx1"/>
                        </w14:solidFill>
                      </w14:textFill>
                    </w:rPr>
                    <w:t>V</w:t>
                  </w:r>
                  <w:r>
                    <w:rPr>
                      <w:rFonts w:cs="Times New Roman"/>
                      <w:color w:val="000000" w:themeColor="text1"/>
                      <w:sz w:val="20"/>
                      <w:szCs w:val="20"/>
                      <w:highlight w:val="none"/>
                      <w14:textFill>
                        <w14:solidFill>
                          <w14:schemeClr w14:val="tx1"/>
                        </w14:solidFill>
                      </w14:textFill>
                    </w:rPr>
                    <w:t>NL160SK</w:t>
                  </w:r>
                </w:p>
              </w:tc>
              <w:tc>
                <w:tcPr>
                  <w:tcW w:w="1187" w:type="pct"/>
                  <w:vMerge w:val="continue"/>
                  <w:vAlign w:val="center"/>
                </w:tcPr>
                <w:p w14:paraId="4D41E213">
                  <w:pPr>
                    <w:pStyle w:val="85"/>
                    <w:rPr>
                      <w:rFonts w:cs="Times New Roman"/>
                      <w:color w:val="000000" w:themeColor="text1"/>
                      <w:shd w:val="clear" w:color="auto" w:fill="FFFFFF"/>
                      <w14:textFill>
                        <w14:solidFill>
                          <w14:schemeClr w14:val="tx1"/>
                        </w14:solidFill>
                      </w14:textFill>
                    </w:rPr>
                  </w:pPr>
                </w:p>
              </w:tc>
            </w:tr>
            <w:tr w14:paraId="036A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205B0117">
                  <w:pPr>
                    <w:pStyle w:val="85"/>
                    <w:rPr>
                      <w:rFonts w:cs="Times New Roman"/>
                      <w:color w:val="000000" w:themeColor="text1"/>
                      <w:shd w:val="clear" w:color="auto" w:fill="FFFFFF"/>
                      <w14:textFill>
                        <w14:solidFill>
                          <w14:schemeClr w14:val="tx1"/>
                        </w14:solidFill>
                      </w14:textFill>
                    </w:rPr>
                  </w:pPr>
                </w:p>
              </w:tc>
              <w:tc>
                <w:tcPr>
                  <w:tcW w:w="875" w:type="pct"/>
                  <w:vMerge w:val="continue"/>
                  <w:vAlign w:val="center"/>
                </w:tcPr>
                <w:p w14:paraId="0B8494B6">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697B70C8">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普通车床</w:t>
                  </w:r>
                </w:p>
              </w:tc>
              <w:tc>
                <w:tcPr>
                  <w:tcW w:w="566" w:type="pct"/>
                  <w:vAlign w:val="center"/>
                </w:tcPr>
                <w:p w14:paraId="2AC3CC36">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770" w:type="dxa"/>
                  <w:vAlign w:val="center"/>
                </w:tcPr>
                <w:p w14:paraId="3BF49197">
                  <w:pPr>
                    <w:pStyle w:val="85"/>
                    <w:rPr>
                      <w:rFonts w:cs="Times New Roman"/>
                      <w:color w:val="000000" w:themeColor="text1"/>
                      <w:highlight w:val="none"/>
                      <w:shd w:val="clear" w:color="auto" w:fill="FFFFFF"/>
                      <w14:textFill>
                        <w14:solidFill>
                          <w14:schemeClr w14:val="tx1"/>
                        </w14:solidFill>
                      </w14:textFill>
                    </w:rPr>
                  </w:pPr>
                  <w:r>
                    <w:rPr>
                      <w:rFonts w:cs="Times New Roman"/>
                      <w:color w:val="000000" w:themeColor="text1"/>
                      <w:sz w:val="20"/>
                      <w:szCs w:val="20"/>
                      <w:highlight w:val="none"/>
                      <w14:textFill>
                        <w14:solidFill>
                          <w14:schemeClr w14:val="tx1"/>
                        </w14:solidFill>
                      </w14:textFill>
                    </w:rPr>
                    <w:t>CA6140B/A</w:t>
                  </w:r>
                </w:p>
              </w:tc>
              <w:tc>
                <w:tcPr>
                  <w:tcW w:w="1187" w:type="pct"/>
                  <w:vMerge w:val="continue"/>
                  <w:vAlign w:val="center"/>
                </w:tcPr>
                <w:p w14:paraId="340FEB15">
                  <w:pPr>
                    <w:pStyle w:val="85"/>
                    <w:rPr>
                      <w:rFonts w:cs="Times New Roman"/>
                      <w:color w:val="000000" w:themeColor="text1"/>
                      <w:shd w:val="clear" w:color="auto" w:fill="FFFFFF"/>
                      <w14:textFill>
                        <w14:solidFill>
                          <w14:schemeClr w14:val="tx1"/>
                        </w14:solidFill>
                      </w14:textFill>
                    </w:rPr>
                  </w:pPr>
                </w:p>
              </w:tc>
            </w:tr>
            <w:tr w14:paraId="229F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42D66275">
                  <w:pPr>
                    <w:pStyle w:val="85"/>
                    <w:rPr>
                      <w:rFonts w:cs="Times New Roman"/>
                      <w:color w:val="000000" w:themeColor="text1"/>
                      <w14:textFill>
                        <w14:solidFill>
                          <w14:schemeClr w14:val="tx1"/>
                        </w14:solidFill>
                      </w14:textFill>
                    </w:rPr>
                  </w:pPr>
                </w:p>
              </w:tc>
              <w:tc>
                <w:tcPr>
                  <w:tcW w:w="875" w:type="pct"/>
                  <w:vMerge w:val="continue"/>
                  <w:vAlign w:val="center"/>
                </w:tcPr>
                <w:p w14:paraId="723EB385">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68CCAFB0">
                  <w:pPr>
                    <w:pStyle w:val="85"/>
                    <w:rPr>
                      <w:rFonts w:cs="Times New Roman"/>
                      <w:color w:val="000000" w:themeColor="text1"/>
                      <w14:textFill>
                        <w14:solidFill>
                          <w14:schemeClr w14:val="tx1"/>
                        </w14:solidFill>
                      </w14:textFill>
                    </w:rPr>
                  </w:pPr>
                  <w:r>
                    <w:rPr>
                      <w:rFonts w:cs="Times New Roman"/>
                      <w:color w:val="000000" w:themeColor="text1"/>
                      <w:spacing w:val="8"/>
                      <w:szCs w:val="21"/>
                      <w:shd w:val="clear" w:color="auto" w:fill="FFFFFF"/>
                      <w14:textFill>
                        <w14:solidFill>
                          <w14:schemeClr w14:val="tx1"/>
                        </w14:solidFill>
                      </w14:textFill>
                    </w:rPr>
                    <w:t>摇臂钻床</w:t>
                  </w:r>
                </w:p>
              </w:tc>
              <w:tc>
                <w:tcPr>
                  <w:tcW w:w="566" w:type="pct"/>
                  <w:vAlign w:val="center"/>
                </w:tcPr>
                <w:p w14:paraId="69E9128E">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770" w:type="dxa"/>
                  <w:vAlign w:val="center"/>
                </w:tcPr>
                <w:p w14:paraId="739B4172">
                  <w:pPr>
                    <w:pStyle w:val="85"/>
                    <w:rPr>
                      <w:rFonts w:cs="Times New Roman"/>
                      <w:color w:val="000000" w:themeColor="text1"/>
                      <w:sz w:val="20"/>
                      <w:szCs w:val="20"/>
                      <w:highlight w:val="none"/>
                      <w14:textFill>
                        <w14:solidFill>
                          <w14:schemeClr w14:val="tx1"/>
                        </w14:solidFill>
                      </w14:textFill>
                    </w:rPr>
                  </w:pPr>
                  <w:r>
                    <w:rPr>
                      <w:rFonts w:hint="eastAsia" w:cs="Times New Roman"/>
                      <w:color w:val="000000" w:themeColor="text1"/>
                      <w:sz w:val="20"/>
                      <w:szCs w:val="20"/>
                      <w:highlight w:val="none"/>
                      <w14:textFill>
                        <w14:solidFill>
                          <w14:schemeClr w14:val="tx1"/>
                        </w14:solidFill>
                      </w14:textFill>
                    </w:rPr>
                    <w:t>Z</w:t>
                  </w:r>
                  <w:r>
                    <w:rPr>
                      <w:rFonts w:cs="Times New Roman"/>
                      <w:color w:val="000000" w:themeColor="text1"/>
                      <w:sz w:val="20"/>
                      <w:szCs w:val="20"/>
                      <w:highlight w:val="none"/>
                      <w14:textFill>
                        <w14:solidFill>
                          <w14:schemeClr w14:val="tx1"/>
                        </w14:solidFill>
                      </w14:textFill>
                    </w:rPr>
                    <w:t>3050X16/1</w:t>
                  </w:r>
                </w:p>
              </w:tc>
              <w:tc>
                <w:tcPr>
                  <w:tcW w:w="1187" w:type="pct"/>
                  <w:vMerge w:val="continue"/>
                  <w:vAlign w:val="center"/>
                </w:tcPr>
                <w:p w14:paraId="0396FC65">
                  <w:pPr>
                    <w:pStyle w:val="85"/>
                    <w:rPr>
                      <w:rFonts w:cs="Times New Roman"/>
                      <w:color w:val="000000" w:themeColor="text1"/>
                      <w:shd w:val="clear" w:color="auto" w:fill="FFFFFF"/>
                      <w14:textFill>
                        <w14:solidFill>
                          <w14:schemeClr w14:val="tx1"/>
                        </w14:solidFill>
                      </w14:textFill>
                    </w:rPr>
                  </w:pPr>
                </w:p>
              </w:tc>
            </w:tr>
            <w:tr w14:paraId="48F7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9" w:type="dxa"/>
                  <w:vAlign w:val="center"/>
                </w:tcPr>
                <w:p w14:paraId="3502270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875" w:type="pct"/>
                  <w:vAlign w:val="center"/>
                </w:tcPr>
                <w:p w14:paraId="39D55542">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清洗</w:t>
                  </w:r>
                </w:p>
              </w:tc>
              <w:tc>
                <w:tcPr>
                  <w:tcW w:w="977" w:type="pct"/>
                  <w:vAlign w:val="center"/>
                </w:tcPr>
                <w:p w14:paraId="413892C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清洗机</w:t>
                  </w:r>
                </w:p>
              </w:tc>
              <w:tc>
                <w:tcPr>
                  <w:tcW w:w="566" w:type="pct"/>
                  <w:vAlign w:val="center"/>
                </w:tcPr>
                <w:p w14:paraId="235C872C">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770" w:type="dxa"/>
                  <w:vAlign w:val="center"/>
                </w:tcPr>
                <w:p w14:paraId="5DA452A1">
                  <w:pPr>
                    <w:pStyle w:val="85"/>
                    <w:rPr>
                      <w:rFonts w:cs="Times New Roman"/>
                      <w:color w:val="000000" w:themeColor="text1"/>
                      <w:sz w:val="20"/>
                      <w:szCs w:val="20"/>
                      <w:highlight w:val="none"/>
                      <w14:textFill>
                        <w14:solidFill>
                          <w14:schemeClr w14:val="tx1"/>
                        </w14:solidFill>
                      </w14:textFill>
                    </w:rPr>
                  </w:pPr>
                  <w:r>
                    <w:rPr>
                      <w:rFonts w:hint="eastAsia" w:cs="Times New Roman"/>
                      <w:color w:val="000000" w:themeColor="text1"/>
                      <w:sz w:val="20"/>
                      <w:szCs w:val="20"/>
                      <w:highlight w:val="none"/>
                      <w14:textFill>
                        <w14:solidFill>
                          <w14:schemeClr w14:val="tx1"/>
                        </w14:solidFill>
                      </w14:textFill>
                    </w:rPr>
                    <w:t>水槽容积0.1m</w:t>
                  </w:r>
                  <w:r>
                    <w:rPr>
                      <w:rFonts w:hint="eastAsia" w:cs="Times New Roman"/>
                      <w:color w:val="000000" w:themeColor="text1"/>
                      <w:sz w:val="20"/>
                      <w:szCs w:val="20"/>
                      <w:highlight w:val="none"/>
                      <w:vertAlign w:val="superscript"/>
                      <w14:textFill>
                        <w14:solidFill>
                          <w14:schemeClr w14:val="tx1"/>
                        </w14:solidFill>
                      </w14:textFill>
                    </w:rPr>
                    <w:t>3</w:t>
                  </w:r>
                </w:p>
              </w:tc>
              <w:tc>
                <w:tcPr>
                  <w:tcW w:w="1187" w:type="pct"/>
                  <w:vAlign w:val="center"/>
                </w:tcPr>
                <w:p w14:paraId="7A96F42F">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清洗</w:t>
                  </w:r>
                </w:p>
              </w:tc>
            </w:tr>
            <w:tr w14:paraId="0762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439" w:type="dxa"/>
                  <w:vMerge w:val="restart"/>
                  <w:vAlign w:val="center"/>
                </w:tcPr>
                <w:p w14:paraId="25A3717E">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14:textFill>
                        <w14:solidFill>
                          <w14:schemeClr w14:val="tx1"/>
                        </w14:solidFill>
                      </w14:textFill>
                    </w:rPr>
                    <w:t>5</w:t>
                  </w:r>
                </w:p>
              </w:tc>
              <w:tc>
                <w:tcPr>
                  <w:tcW w:w="875" w:type="pct"/>
                  <w:vMerge w:val="restart"/>
                  <w:vAlign w:val="center"/>
                </w:tcPr>
                <w:p w14:paraId="16B67FD3">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焊接</w:t>
                  </w:r>
                </w:p>
              </w:tc>
              <w:tc>
                <w:tcPr>
                  <w:tcW w:w="977" w:type="pct"/>
                  <w:vAlign w:val="center"/>
                </w:tcPr>
                <w:p w14:paraId="4077F233">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等离子焊机</w:t>
                  </w:r>
                </w:p>
              </w:tc>
              <w:tc>
                <w:tcPr>
                  <w:tcW w:w="566" w:type="pct"/>
                  <w:vAlign w:val="center"/>
                </w:tcPr>
                <w:p w14:paraId="6F0D3DB2">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770" w:type="dxa"/>
                  <w:vAlign w:val="center"/>
                </w:tcPr>
                <w:p w14:paraId="70F2DB58">
                  <w:pPr>
                    <w:pStyle w:val="85"/>
                    <w:rPr>
                      <w:rFonts w:cs="Times New Roman"/>
                      <w:color w:val="000000" w:themeColor="text1"/>
                      <w:highlight w:val="none"/>
                      <w:shd w:val="clear" w:color="auto" w:fill="FFFFFF"/>
                      <w14:textFill>
                        <w14:solidFill>
                          <w14:schemeClr w14:val="tx1"/>
                        </w14:solidFill>
                      </w14:textFill>
                    </w:rPr>
                  </w:pPr>
                  <w:r>
                    <w:rPr>
                      <w:rFonts w:cs="Times New Roman"/>
                      <w:color w:val="000000" w:themeColor="text1"/>
                      <w:sz w:val="20"/>
                      <w:szCs w:val="20"/>
                      <w:highlight w:val="none"/>
                      <w14:textFill>
                        <w14:solidFill>
                          <w14:schemeClr w14:val="tx1"/>
                        </w14:solidFill>
                      </w14:textFill>
                    </w:rPr>
                    <w:t>DML-V038D</w:t>
                  </w:r>
                </w:p>
              </w:tc>
              <w:tc>
                <w:tcPr>
                  <w:tcW w:w="1187" w:type="pct"/>
                  <w:vMerge w:val="restart"/>
                  <w:vAlign w:val="center"/>
                </w:tcPr>
                <w:p w14:paraId="641F9143">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焊接</w:t>
                  </w:r>
                </w:p>
              </w:tc>
            </w:tr>
            <w:tr w14:paraId="2BBE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705DAEF2">
                  <w:pPr>
                    <w:pStyle w:val="85"/>
                    <w:rPr>
                      <w:rFonts w:cs="Times New Roman"/>
                      <w:color w:val="000000" w:themeColor="text1"/>
                      <w14:textFill>
                        <w14:solidFill>
                          <w14:schemeClr w14:val="tx1"/>
                        </w14:solidFill>
                      </w14:textFill>
                    </w:rPr>
                  </w:pPr>
                </w:p>
              </w:tc>
              <w:tc>
                <w:tcPr>
                  <w:tcW w:w="875" w:type="pct"/>
                  <w:vMerge w:val="continue"/>
                  <w:vAlign w:val="center"/>
                </w:tcPr>
                <w:p w14:paraId="6DA6B5AD">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4D4FC1B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zCs w:val="21"/>
                      <w14:textFill>
                        <w14:solidFill>
                          <w14:schemeClr w14:val="tx1"/>
                        </w14:solidFill>
                      </w14:textFill>
                    </w:rPr>
                    <w:t>氩弧焊机</w:t>
                  </w:r>
                </w:p>
              </w:tc>
              <w:tc>
                <w:tcPr>
                  <w:tcW w:w="566" w:type="pct"/>
                  <w:vAlign w:val="center"/>
                </w:tcPr>
                <w:p w14:paraId="4E543401">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770" w:type="dxa"/>
                  <w:vAlign w:val="center"/>
                </w:tcPr>
                <w:p w14:paraId="5D69956D">
                  <w:pPr>
                    <w:pStyle w:val="85"/>
                    <w:rPr>
                      <w:rFonts w:cs="Times New Roman"/>
                      <w:color w:val="000000" w:themeColor="text1"/>
                      <w:highlight w:val="none"/>
                      <w:shd w:val="clear" w:color="auto" w:fill="FFFFFF"/>
                      <w14:textFill>
                        <w14:solidFill>
                          <w14:schemeClr w14:val="tx1"/>
                        </w14:solidFill>
                      </w14:textFill>
                    </w:rPr>
                  </w:pPr>
                  <w:r>
                    <w:rPr>
                      <w:rFonts w:cs="Times New Roman"/>
                      <w:color w:val="000000" w:themeColor="text1"/>
                      <w:highlight w:val="none"/>
                      <w:shd w:val="clear" w:color="auto" w:fill="FFFFFF"/>
                      <w14:textFill>
                        <w14:solidFill>
                          <w14:schemeClr w14:val="tx1"/>
                        </w14:solidFill>
                      </w14:textFill>
                    </w:rPr>
                    <w:t>WSM-400S</w:t>
                  </w:r>
                </w:p>
              </w:tc>
              <w:tc>
                <w:tcPr>
                  <w:tcW w:w="1187" w:type="pct"/>
                  <w:vMerge w:val="continue"/>
                  <w:vAlign w:val="center"/>
                </w:tcPr>
                <w:p w14:paraId="1F20914D">
                  <w:pPr>
                    <w:pStyle w:val="85"/>
                    <w:rPr>
                      <w:rFonts w:cs="Times New Roman"/>
                      <w:color w:val="000000" w:themeColor="text1"/>
                      <w:shd w:val="clear" w:color="auto" w:fill="FFFFFF"/>
                      <w14:textFill>
                        <w14:solidFill>
                          <w14:schemeClr w14:val="tx1"/>
                        </w14:solidFill>
                      </w14:textFill>
                    </w:rPr>
                  </w:pPr>
                </w:p>
              </w:tc>
            </w:tr>
            <w:tr w14:paraId="2864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 w:type="dxa"/>
                  <w:vAlign w:val="center"/>
                </w:tcPr>
                <w:p w14:paraId="2E72AE4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875" w:type="pct"/>
                  <w:vAlign w:val="center"/>
                </w:tcPr>
                <w:p w14:paraId="038838B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测试</w:t>
                  </w:r>
                </w:p>
              </w:tc>
              <w:tc>
                <w:tcPr>
                  <w:tcW w:w="977" w:type="pct"/>
                  <w:vAlign w:val="center"/>
                </w:tcPr>
                <w:p w14:paraId="30FC327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试压机</w:t>
                  </w:r>
                </w:p>
              </w:tc>
              <w:tc>
                <w:tcPr>
                  <w:tcW w:w="566" w:type="pct"/>
                  <w:vAlign w:val="center"/>
                </w:tcPr>
                <w:p w14:paraId="04D25C89">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kern w:val="0"/>
                      <w:lang w:bidi="ar"/>
                      <w14:textFill>
                        <w14:solidFill>
                          <w14:schemeClr w14:val="tx1"/>
                        </w14:solidFill>
                      </w14:textFill>
                    </w:rPr>
                    <w:t>4</w:t>
                  </w:r>
                </w:p>
              </w:tc>
              <w:tc>
                <w:tcPr>
                  <w:tcW w:w="1095" w:type="pct"/>
                  <w:vAlign w:val="center"/>
                </w:tcPr>
                <w:p w14:paraId="48E4A8BB">
                  <w:pPr>
                    <w:pStyle w:val="85"/>
                    <w:tabs>
                      <w:tab w:val="left" w:pos="497"/>
                    </w:tabs>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w:t>
                  </w:r>
                </w:p>
              </w:tc>
              <w:tc>
                <w:tcPr>
                  <w:tcW w:w="1187" w:type="pct"/>
                  <w:vAlign w:val="center"/>
                </w:tcPr>
                <w:p w14:paraId="299C17C2">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试压</w:t>
                  </w:r>
                </w:p>
              </w:tc>
            </w:tr>
            <w:tr w14:paraId="7BD1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 w:type="dxa"/>
                  <w:vMerge w:val="restart"/>
                  <w:vAlign w:val="center"/>
                </w:tcPr>
                <w:p w14:paraId="4455328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875" w:type="pct"/>
                  <w:vMerge w:val="restart"/>
                  <w:vAlign w:val="center"/>
                </w:tcPr>
                <w:p w14:paraId="50AF9D8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zCs w:val="21"/>
                      <w14:textFill>
                        <w14:solidFill>
                          <w14:schemeClr w14:val="tx1"/>
                        </w14:solidFill>
                      </w14:textFill>
                    </w:rPr>
                    <w:t>低温处理</w:t>
                  </w:r>
                </w:p>
              </w:tc>
              <w:tc>
                <w:tcPr>
                  <w:tcW w:w="977" w:type="pct"/>
                  <w:vAlign w:val="center"/>
                </w:tcPr>
                <w:p w14:paraId="788312F5">
                  <w:pPr>
                    <w:pStyle w:val="85"/>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低温槽</w:t>
                  </w:r>
                </w:p>
              </w:tc>
              <w:tc>
                <w:tcPr>
                  <w:tcW w:w="566" w:type="pct"/>
                  <w:vAlign w:val="center"/>
                </w:tcPr>
                <w:p w14:paraId="016078B6">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72FF27A8">
                  <w:pPr>
                    <w:pStyle w:val="85"/>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定制机</w:t>
                  </w:r>
                </w:p>
              </w:tc>
              <w:tc>
                <w:tcPr>
                  <w:tcW w:w="1187" w:type="pct"/>
                  <w:vMerge w:val="restart"/>
                  <w:vAlign w:val="center"/>
                </w:tcPr>
                <w:p w14:paraId="475EB2FB">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低温处理</w:t>
                  </w:r>
                </w:p>
              </w:tc>
            </w:tr>
            <w:tr w14:paraId="0BF2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5FA6D920">
                  <w:pPr>
                    <w:pStyle w:val="85"/>
                    <w:rPr>
                      <w:rFonts w:cs="Times New Roman"/>
                      <w:color w:val="000000" w:themeColor="text1"/>
                      <w14:textFill>
                        <w14:solidFill>
                          <w14:schemeClr w14:val="tx1"/>
                        </w14:solidFill>
                      </w14:textFill>
                    </w:rPr>
                  </w:pPr>
                </w:p>
              </w:tc>
              <w:tc>
                <w:tcPr>
                  <w:tcW w:w="875" w:type="pct"/>
                  <w:vMerge w:val="continue"/>
                  <w:vAlign w:val="center"/>
                </w:tcPr>
                <w:p w14:paraId="3F63BBDD">
                  <w:pPr>
                    <w:pStyle w:val="85"/>
                    <w:rPr>
                      <w:rFonts w:cs="Times New Roman"/>
                      <w:color w:val="000000" w:themeColor="text1"/>
                      <w:szCs w:val="21"/>
                      <w14:textFill>
                        <w14:solidFill>
                          <w14:schemeClr w14:val="tx1"/>
                        </w14:solidFill>
                      </w14:textFill>
                    </w:rPr>
                  </w:pPr>
                </w:p>
              </w:tc>
              <w:tc>
                <w:tcPr>
                  <w:tcW w:w="977" w:type="pct"/>
                  <w:vAlign w:val="center"/>
                </w:tcPr>
                <w:p w14:paraId="68134607">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控制器</w:t>
                  </w:r>
                </w:p>
              </w:tc>
              <w:tc>
                <w:tcPr>
                  <w:tcW w:w="566" w:type="pct"/>
                  <w:vAlign w:val="center"/>
                </w:tcPr>
                <w:p w14:paraId="45B12D1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6B8266A0">
                  <w:pPr>
                    <w:pStyle w:val="85"/>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定制机</w:t>
                  </w:r>
                </w:p>
              </w:tc>
              <w:tc>
                <w:tcPr>
                  <w:tcW w:w="1187" w:type="pct"/>
                  <w:vMerge w:val="continue"/>
                  <w:vAlign w:val="center"/>
                </w:tcPr>
                <w:p w14:paraId="7BEFDBD4">
                  <w:pPr>
                    <w:pStyle w:val="85"/>
                    <w:rPr>
                      <w:rFonts w:cs="Times New Roman"/>
                      <w:color w:val="000000" w:themeColor="text1"/>
                      <w:shd w:val="clear" w:color="auto" w:fill="FFFFFF"/>
                      <w14:textFill>
                        <w14:solidFill>
                          <w14:schemeClr w14:val="tx1"/>
                        </w14:solidFill>
                      </w14:textFill>
                    </w:rPr>
                  </w:pPr>
                </w:p>
              </w:tc>
            </w:tr>
            <w:tr w14:paraId="4707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18177019">
                  <w:pPr>
                    <w:pStyle w:val="85"/>
                    <w:rPr>
                      <w:rFonts w:cs="Times New Roman"/>
                      <w:color w:val="000000" w:themeColor="text1"/>
                      <w14:textFill>
                        <w14:solidFill>
                          <w14:schemeClr w14:val="tx1"/>
                        </w14:solidFill>
                      </w14:textFill>
                    </w:rPr>
                  </w:pPr>
                </w:p>
              </w:tc>
              <w:tc>
                <w:tcPr>
                  <w:tcW w:w="875" w:type="pct"/>
                  <w:vMerge w:val="continue"/>
                  <w:vAlign w:val="center"/>
                </w:tcPr>
                <w:p w14:paraId="46FC8027">
                  <w:pPr>
                    <w:pStyle w:val="85"/>
                    <w:rPr>
                      <w:rFonts w:cs="Times New Roman"/>
                      <w:color w:val="000000" w:themeColor="text1"/>
                      <w:szCs w:val="21"/>
                      <w14:textFill>
                        <w14:solidFill>
                          <w14:schemeClr w14:val="tx1"/>
                        </w14:solidFill>
                      </w14:textFill>
                    </w:rPr>
                  </w:pPr>
                </w:p>
              </w:tc>
              <w:tc>
                <w:tcPr>
                  <w:tcW w:w="977" w:type="pct"/>
                  <w:vAlign w:val="center"/>
                </w:tcPr>
                <w:p w14:paraId="66F24227">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杜瓦罐</w:t>
                  </w:r>
                </w:p>
              </w:tc>
              <w:tc>
                <w:tcPr>
                  <w:tcW w:w="566" w:type="pct"/>
                  <w:vAlign w:val="center"/>
                </w:tcPr>
                <w:p w14:paraId="0780FB30">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0C54F67A">
                  <w:pPr>
                    <w:pStyle w:val="85"/>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定制机</w:t>
                  </w:r>
                </w:p>
              </w:tc>
              <w:tc>
                <w:tcPr>
                  <w:tcW w:w="1187" w:type="pct"/>
                  <w:vMerge w:val="continue"/>
                  <w:vAlign w:val="center"/>
                </w:tcPr>
                <w:p w14:paraId="4FD405B0">
                  <w:pPr>
                    <w:pStyle w:val="85"/>
                    <w:rPr>
                      <w:rFonts w:cs="Times New Roman"/>
                      <w:color w:val="000000" w:themeColor="text1"/>
                      <w:shd w:val="clear" w:color="auto" w:fill="FFFFFF"/>
                      <w14:textFill>
                        <w14:solidFill>
                          <w14:schemeClr w14:val="tx1"/>
                        </w14:solidFill>
                      </w14:textFill>
                    </w:rPr>
                  </w:pPr>
                </w:p>
              </w:tc>
            </w:tr>
            <w:tr w14:paraId="4D0B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 w:type="dxa"/>
                  <w:vAlign w:val="center"/>
                </w:tcPr>
                <w:p w14:paraId="40E5C7B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875" w:type="pct"/>
                  <w:vAlign w:val="center"/>
                </w:tcPr>
                <w:p w14:paraId="6B12D72D">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zCs w:val="21"/>
                      <w14:textFill>
                        <w14:solidFill>
                          <w14:schemeClr w14:val="tx1"/>
                        </w14:solidFill>
                      </w14:textFill>
                    </w:rPr>
                    <w:t>辅助工序</w:t>
                  </w:r>
                </w:p>
              </w:tc>
              <w:tc>
                <w:tcPr>
                  <w:tcW w:w="977" w:type="pct"/>
                  <w:vAlign w:val="center"/>
                </w:tcPr>
                <w:p w14:paraId="057305F1">
                  <w:pPr>
                    <w:pStyle w:val="85"/>
                    <w:rPr>
                      <w:rFonts w:cs="Times New Roman"/>
                      <w:color w:val="000000" w:themeColor="text1"/>
                      <w:lang w:bidi="ar"/>
                      <w14:textFill>
                        <w14:solidFill>
                          <w14:schemeClr w14:val="tx1"/>
                        </w14:solidFill>
                      </w14:textFill>
                    </w:rPr>
                  </w:pPr>
                  <w:r>
                    <w:rPr>
                      <w:rFonts w:cs="Times New Roman"/>
                      <w:color w:val="000000" w:themeColor="text1"/>
                      <w:szCs w:val="21"/>
                      <w14:textFill>
                        <w14:solidFill>
                          <w14:schemeClr w14:val="tx1"/>
                        </w14:solidFill>
                      </w14:textFill>
                    </w:rPr>
                    <w:t>螺杆式空压机</w:t>
                  </w:r>
                </w:p>
              </w:tc>
              <w:tc>
                <w:tcPr>
                  <w:tcW w:w="566" w:type="pct"/>
                  <w:vAlign w:val="center"/>
                </w:tcPr>
                <w:p w14:paraId="2FE561F8">
                  <w:pPr>
                    <w:pStyle w:val="85"/>
                    <w:rPr>
                      <w:rFonts w:hint="eastAsia" w:eastAsia="宋体" w:cs="Times New Roman"/>
                      <w:color w:val="000000" w:themeColor="text1"/>
                      <w:shd w:val="clear" w:color="auto" w:fill="FFFFFF"/>
                      <w:lang w:eastAsia="zh-CN"/>
                      <w14:textFill>
                        <w14:solidFill>
                          <w14:schemeClr w14:val="tx1"/>
                        </w14:solidFill>
                      </w14:textFill>
                    </w:rPr>
                  </w:pPr>
                  <w:r>
                    <w:rPr>
                      <w:rFonts w:hint="eastAsia" w:cs="Times New Roman"/>
                      <w:color w:val="000000" w:themeColor="text1"/>
                      <w:shd w:val="clear" w:color="auto" w:fill="FFFFFF"/>
                      <w:lang w:val="en-US" w:eastAsia="zh-CN"/>
                      <w14:textFill>
                        <w14:solidFill>
                          <w14:schemeClr w14:val="tx1"/>
                        </w14:solidFill>
                      </w14:textFill>
                    </w:rPr>
                    <w:t>2</w:t>
                  </w:r>
                </w:p>
              </w:tc>
              <w:tc>
                <w:tcPr>
                  <w:tcW w:w="1095" w:type="pct"/>
                  <w:vAlign w:val="center"/>
                </w:tcPr>
                <w:p w14:paraId="044C1396">
                  <w:pPr>
                    <w:pStyle w:val="85"/>
                    <w:rPr>
                      <w:rFonts w:cs="Times New Roman"/>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HP-50E</w:t>
                  </w:r>
                  <w:r>
                    <w:rPr>
                      <w:rFonts w:cs="Times New Roman"/>
                      <w:color w:val="000000" w:themeColor="text1"/>
                      <w:szCs w:val="21"/>
                      <w14:textFill>
                        <w14:solidFill>
                          <w14:schemeClr w14:val="tx1"/>
                        </w14:solidFill>
                      </w14:textFill>
                    </w:rPr>
                    <w:t>、单台配套1m</w:t>
                  </w:r>
                  <w:r>
                    <w:rPr>
                      <w:rFonts w:cs="Times New Roman"/>
                      <w:color w:val="000000" w:themeColor="text1"/>
                      <w:szCs w:val="21"/>
                      <w:vertAlign w:val="superscript"/>
                      <w14:textFill>
                        <w14:solidFill>
                          <w14:schemeClr w14:val="tx1"/>
                        </w14:solidFill>
                      </w14:textFill>
                    </w:rPr>
                    <w:t>3</w:t>
                  </w:r>
                  <w:r>
                    <w:rPr>
                      <w:rFonts w:cs="Times New Roman"/>
                      <w:color w:val="000000" w:themeColor="text1"/>
                      <w:szCs w:val="21"/>
                      <w14:textFill>
                        <w14:solidFill>
                          <w14:schemeClr w14:val="tx1"/>
                        </w14:solidFill>
                      </w14:textFill>
                    </w:rPr>
                    <w:t>气罐、单台排气量1.7~6.5m</w:t>
                  </w:r>
                  <w:r>
                    <w:rPr>
                      <w:rFonts w:cs="Times New Roman"/>
                      <w:color w:val="000000" w:themeColor="text1"/>
                      <w:szCs w:val="21"/>
                      <w:vertAlign w:val="superscript"/>
                      <w14:textFill>
                        <w14:solidFill>
                          <w14:schemeClr w14:val="tx1"/>
                        </w14:solidFill>
                      </w14:textFill>
                    </w:rPr>
                    <w:t>3</w:t>
                  </w:r>
                  <w:r>
                    <w:rPr>
                      <w:rFonts w:cs="Times New Roman"/>
                      <w:color w:val="000000" w:themeColor="text1"/>
                      <w:szCs w:val="21"/>
                      <w14:textFill>
                        <w14:solidFill>
                          <w14:schemeClr w14:val="tx1"/>
                        </w14:solidFill>
                      </w14:textFill>
                    </w:rPr>
                    <w:t>/min、0.7</w:t>
                  </w:r>
                  <w:r>
                    <w:rPr>
                      <w:rFonts w:hint="eastAsia" w:cs="Times New Roman"/>
                      <w:color w:val="000000" w:themeColor="text1"/>
                      <w:szCs w:val="21"/>
                      <w:lang w:val="en-US" w:eastAsia="zh-CN"/>
                      <w14:textFill>
                        <w14:solidFill>
                          <w14:schemeClr w14:val="tx1"/>
                        </w14:solidFill>
                      </w14:textFill>
                    </w:rPr>
                    <w:t>8</w:t>
                  </w:r>
                  <w:r>
                    <w:rPr>
                      <w:rFonts w:cs="Times New Roman"/>
                      <w:color w:val="000000" w:themeColor="text1"/>
                      <w:szCs w:val="21"/>
                      <w14:textFill>
                        <w14:solidFill>
                          <w14:schemeClr w14:val="tx1"/>
                        </w14:solidFill>
                      </w14:textFill>
                    </w:rPr>
                    <w:t>MPa</w:t>
                  </w:r>
                </w:p>
              </w:tc>
              <w:tc>
                <w:tcPr>
                  <w:tcW w:w="1187" w:type="pct"/>
                  <w:vAlign w:val="center"/>
                </w:tcPr>
                <w:p w14:paraId="07A0947B">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压缩空气</w:t>
                  </w:r>
                </w:p>
              </w:tc>
            </w:tr>
            <w:tr w14:paraId="2FDE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restart"/>
                  <w:vAlign w:val="center"/>
                </w:tcPr>
                <w:p w14:paraId="6D5387C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875" w:type="pct"/>
                  <w:vMerge w:val="restart"/>
                  <w:vAlign w:val="center"/>
                </w:tcPr>
                <w:p w14:paraId="20C42142">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环保设备</w:t>
                  </w:r>
                </w:p>
              </w:tc>
              <w:tc>
                <w:tcPr>
                  <w:tcW w:w="977" w:type="pct"/>
                  <w:vAlign w:val="center"/>
                </w:tcPr>
                <w:p w14:paraId="78BC87E8">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隔油沉淀池</w:t>
                  </w:r>
                </w:p>
              </w:tc>
              <w:tc>
                <w:tcPr>
                  <w:tcW w:w="566" w:type="pct"/>
                  <w:vAlign w:val="center"/>
                </w:tcPr>
                <w:p w14:paraId="5DFFB1E7">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1</w:t>
                  </w:r>
                </w:p>
              </w:tc>
              <w:tc>
                <w:tcPr>
                  <w:tcW w:w="1095" w:type="pct"/>
                  <w:vAlign w:val="center"/>
                </w:tcPr>
                <w:p w14:paraId="16230E3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处理能力</w:t>
                  </w:r>
                  <w:r>
                    <w:rPr>
                      <w:rFonts w:hint="eastAsia" w:cs="Times New Roman"/>
                      <w:color w:val="000000" w:themeColor="text1"/>
                      <w:lang w:val="en-US" w:eastAsia="zh-CN"/>
                      <w14:textFill>
                        <w14:solidFill>
                          <w14:schemeClr w14:val="tx1"/>
                        </w14:solidFill>
                      </w14:textFill>
                    </w:rPr>
                    <w:t>1</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p>
              </w:tc>
              <w:tc>
                <w:tcPr>
                  <w:tcW w:w="1187" w:type="pct"/>
                  <w:vAlign w:val="center"/>
                </w:tcPr>
                <w:p w14:paraId="32C3C1C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废水预处理</w:t>
                  </w:r>
                </w:p>
              </w:tc>
            </w:tr>
            <w:tr w14:paraId="183B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7" w:type="pct"/>
                  <w:vMerge w:val="continue"/>
                  <w:vAlign w:val="center"/>
                </w:tcPr>
                <w:p w14:paraId="2E55200D">
                  <w:pPr>
                    <w:pStyle w:val="85"/>
                    <w:rPr>
                      <w:rFonts w:cs="Times New Roman"/>
                      <w:color w:val="000000" w:themeColor="text1"/>
                      <w14:textFill>
                        <w14:solidFill>
                          <w14:schemeClr w14:val="tx1"/>
                        </w14:solidFill>
                      </w14:textFill>
                    </w:rPr>
                  </w:pPr>
                </w:p>
              </w:tc>
              <w:tc>
                <w:tcPr>
                  <w:tcW w:w="875" w:type="pct"/>
                  <w:vMerge w:val="continue"/>
                  <w:vAlign w:val="center"/>
                </w:tcPr>
                <w:p w14:paraId="0EEA5CC8">
                  <w:pPr>
                    <w:pStyle w:val="85"/>
                    <w:rPr>
                      <w:rFonts w:cs="Times New Roman"/>
                      <w:color w:val="000000" w:themeColor="text1"/>
                      <w:shd w:val="clear" w:color="auto" w:fill="FFFFFF"/>
                      <w14:textFill>
                        <w14:solidFill>
                          <w14:schemeClr w14:val="tx1"/>
                        </w14:solidFill>
                      </w14:textFill>
                    </w:rPr>
                  </w:pPr>
                </w:p>
              </w:tc>
              <w:tc>
                <w:tcPr>
                  <w:tcW w:w="977" w:type="pct"/>
                  <w:vAlign w:val="center"/>
                </w:tcPr>
                <w:p w14:paraId="21BB8EB2">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废气治理风机</w:t>
                  </w:r>
                </w:p>
              </w:tc>
              <w:tc>
                <w:tcPr>
                  <w:tcW w:w="566" w:type="pct"/>
                  <w:vAlign w:val="center"/>
                </w:tcPr>
                <w:p w14:paraId="040891C1">
                  <w:pPr>
                    <w:pStyle w:val="85"/>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2</w:t>
                  </w:r>
                </w:p>
              </w:tc>
              <w:tc>
                <w:tcPr>
                  <w:tcW w:w="1095" w:type="pct"/>
                  <w:vAlign w:val="center"/>
                </w:tcPr>
                <w:p w14:paraId="26F9A46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非标定制</w:t>
                  </w:r>
                </w:p>
              </w:tc>
              <w:tc>
                <w:tcPr>
                  <w:tcW w:w="1187" w:type="pct"/>
                  <w:vAlign w:val="center"/>
                </w:tcPr>
                <w:p w14:paraId="483185C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废气治理</w:t>
                  </w:r>
                </w:p>
              </w:tc>
            </w:tr>
          </w:tbl>
          <w:p w14:paraId="6446C3D4">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eastAsia="宋体" w:cs="宋体"/>
                <w:b/>
                <w:bCs/>
                <w:snapToGrid w:val="0"/>
                <w:color w:val="000000" w:themeColor="text1"/>
                <w:kern w:val="0"/>
                <w:sz w:val="24"/>
                <w:szCs w:val="24"/>
                <w:highlight w:val="none"/>
                <w:lang w:eastAsia="zh-CN" w:bidi="ar"/>
                <w14:textFill>
                  <w14:solidFill>
                    <w14:schemeClr w14:val="tx1"/>
                  </w14:solidFill>
                </w14:textFill>
              </w:rPr>
            </w:pPr>
            <w:r>
              <w:rPr>
                <w:rFonts w:ascii="Times New Roman" w:hAnsi="Times New Roman"/>
                <w:color w:val="000000" w:themeColor="text1"/>
                <w:sz w:val="24"/>
                <w14:textFill>
                  <w14:solidFill>
                    <w14:schemeClr w14:val="tx1"/>
                  </w14:solidFill>
                </w14:textFill>
              </w:rPr>
              <w:t>通过核查《产业结构调整指导目录（20</w:t>
            </w:r>
            <w:r>
              <w:rPr>
                <w:rFonts w:hint="eastAsia" w:ascii="Times New Roman" w:hAnsi="Times New Roman"/>
                <w:color w:val="000000" w:themeColor="text1"/>
                <w:sz w:val="24"/>
                <w:lang w:val="en-US" w:eastAsia="zh-CN"/>
                <w14:textFill>
                  <w14:solidFill>
                    <w14:schemeClr w14:val="tx1"/>
                  </w14:solidFill>
                </w14:textFill>
              </w:rPr>
              <w:t>24</w:t>
            </w:r>
            <w:r>
              <w:rPr>
                <w:rFonts w:ascii="Times New Roman" w:hAnsi="Times New Roman"/>
                <w:color w:val="000000" w:themeColor="text1"/>
                <w:sz w:val="24"/>
                <w14:textFill>
                  <w14:solidFill>
                    <w14:schemeClr w14:val="tx1"/>
                  </w14:solidFill>
                </w14:textFill>
              </w:rPr>
              <w:t>年版）》、</w:t>
            </w:r>
            <w:r>
              <w:rPr>
                <w:rFonts w:ascii="Times New Roman" w:hAnsi="Times New Roman"/>
                <w:bCs/>
                <w:color w:val="000000" w:themeColor="text1"/>
                <w:sz w:val="24"/>
                <w14:textFill>
                  <w14:solidFill>
                    <w14:schemeClr w14:val="tx1"/>
                  </w14:solidFill>
                </w14:textFill>
              </w:rPr>
              <w:t>工信部《高耗能落后机电设备（产品）淘汰目录》（第一批~第四批）及工信部工产业[2010]第122号《部分工业行业淘汰落后生产工艺装备和产品指导目录（2010年本）》</w:t>
            </w:r>
            <w:r>
              <w:rPr>
                <w:rFonts w:ascii="Times New Roman" w:hAnsi="Times New Roman"/>
                <w:color w:val="000000" w:themeColor="text1"/>
                <w:sz w:val="24"/>
                <w14:textFill>
                  <w14:solidFill>
                    <w14:schemeClr w14:val="tx1"/>
                  </w14:solidFill>
                </w14:textFill>
              </w:rPr>
              <w:t>可知，项目设备均不属于国家禁止或明令淘汰的设备</w:t>
            </w:r>
            <w:r>
              <w:rPr>
                <w:rFonts w:hint="eastAsia" w:ascii="Times New Roman" w:hAnsi="Times New Roman"/>
                <w:color w:val="000000" w:themeColor="text1"/>
                <w:sz w:val="24"/>
                <w:lang w:eastAsia="zh-CN"/>
                <w14:textFill>
                  <w14:solidFill>
                    <w14:schemeClr w14:val="tx1"/>
                  </w14:solidFill>
                </w14:textFill>
              </w:rPr>
              <w:t>。</w:t>
            </w:r>
          </w:p>
          <w:p w14:paraId="632B1646">
            <w:pPr>
              <w:pStyle w:val="40"/>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ascii="Times New Roman" w:hAnsi="Times New Roman" w:cs="Times New Roman"/>
                <w:color w:val="000000" w:themeColor="text1"/>
                <w:lang w:val="en-US" w:eastAsia="zh-CN"/>
                <w14:textFill>
                  <w14:solidFill>
                    <w14:schemeClr w14:val="tx1"/>
                  </w14:solidFill>
                </w14:textFill>
              </w:rPr>
              <w:t>使用</w:t>
            </w:r>
            <w:r>
              <w:rPr>
                <w:rFonts w:hint="eastAsia" w:ascii="Times New Roman" w:hAnsi="Times New Roman" w:eastAsia="宋体" w:cs="Times New Roman"/>
                <w:color w:val="000000" w:themeColor="text1"/>
                <w:lang w:val="en-US" w:eastAsia="zh-CN"/>
                <w14:textFill>
                  <w14:solidFill>
                    <w14:schemeClr w14:val="tx1"/>
                  </w14:solidFill>
                </w14:textFill>
              </w:rPr>
              <w:t>电阻炉，不属于高频感应加热设备</w:t>
            </w:r>
            <w:r>
              <w:rPr>
                <w:rFonts w:hint="default" w:ascii="Times New Roman" w:hAnsi="Times New Roman" w:eastAsia="宋体" w:cs="Times New Roman"/>
                <w:color w:val="000000" w:themeColor="text1"/>
                <w:lang w:val="en-US" w:eastAsia="zh-CN"/>
                <w14:textFill>
                  <w14:solidFill>
                    <w14:schemeClr w14:val="tx1"/>
                  </w14:solidFill>
                </w14:textFill>
              </w:rPr>
              <w:t>，根据《电磁环境控制限值》（GB8702-2014）</w:t>
            </w:r>
            <w:r>
              <w:rPr>
                <w:rFonts w:hint="eastAsia" w:ascii="Times New Roman" w:hAnsi="Times New Roman" w:eastAsia="宋体" w:cs="Times New Roman"/>
                <w:color w:val="000000" w:themeColor="text1"/>
                <w:lang w:val="en-US" w:eastAsia="zh-CN"/>
                <w14:textFill>
                  <w14:solidFill>
                    <w14:schemeClr w14:val="tx1"/>
                  </w14:solidFill>
                </w14:textFill>
              </w:rPr>
              <w:t>、《重庆市生态环境局关于印发《重庆市不纳入环境影响评价管理的建设项目名录（2023年版）的通知》（渝环规〔2023〕8号）</w:t>
            </w:r>
            <w:r>
              <w:rPr>
                <w:rFonts w:hint="default" w:ascii="Times New Roman" w:hAnsi="Times New Roman" w:eastAsia="宋体" w:cs="Times New Roman"/>
                <w:color w:val="000000" w:themeColor="text1"/>
                <w:lang w:val="en-US" w:eastAsia="zh-CN"/>
                <w14:textFill>
                  <w14:solidFill>
                    <w14:schemeClr w14:val="tx1"/>
                  </w14:solidFill>
                </w14:textFill>
              </w:rPr>
              <w:t>规定，本项目使用</w:t>
            </w:r>
            <w:r>
              <w:rPr>
                <w:rFonts w:hint="eastAsia" w:ascii="Times New Roman" w:hAnsi="Times New Roman" w:eastAsia="宋体" w:cs="Times New Roman"/>
                <w:color w:val="000000" w:themeColor="text1"/>
                <w:lang w:val="en-US" w:eastAsia="zh-CN"/>
                <w14:textFill>
                  <w14:solidFill>
                    <w14:schemeClr w14:val="tx1"/>
                  </w14:solidFill>
                </w14:textFill>
              </w:rPr>
              <w:t>电阻炉</w:t>
            </w:r>
            <w:r>
              <w:rPr>
                <w:rFonts w:hint="default" w:ascii="Times New Roman" w:hAnsi="Times New Roman" w:eastAsia="宋体" w:cs="Times New Roman"/>
                <w:color w:val="000000" w:themeColor="text1"/>
                <w:lang w:val="en-US" w:eastAsia="zh-CN"/>
                <w14:textFill>
                  <w14:solidFill>
                    <w14:schemeClr w14:val="tx1"/>
                  </w14:solidFill>
                </w14:textFill>
              </w:rPr>
              <w:t>工作频率</w:t>
            </w:r>
            <w:r>
              <w:rPr>
                <w:rFonts w:hint="eastAsia" w:ascii="Times New Roman" w:hAnsi="Times New Roman" w:eastAsia="宋体" w:cs="Times New Roman"/>
                <w:color w:val="000000" w:themeColor="text1"/>
                <w:lang w:val="en-US" w:eastAsia="zh-CN"/>
                <w14:textFill>
                  <w14:solidFill>
                    <w14:schemeClr w14:val="tx1"/>
                  </w14:solidFill>
                </w14:textFill>
              </w:rPr>
              <w:t>低于</w:t>
            </w:r>
            <w:r>
              <w:rPr>
                <w:rFonts w:hint="default" w:ascii="Times New Roman" w:hAnsi="Times New Roman" w:eastAsia="宋体" w:cs="Times New Roman"/>
                <w:color w:val="000000" w:themeColor="text1"/>
                <w:lang w:val="en-US" w:eastAsia="zh-CN"/>
                <w14:textFill>
                  <w14:solidFill>
                    <w14:schemeClr w14:val="tx1"/>
                  </w14:solidFill>
                </w14:textFill>
              </w:rPr>
              <w:t>100</w:t>
            </w:r>
            <w:bookmarkStart w:id="1" w:name="OLE_LINK3"/>
            <w:r>
              <w:rPr>
                <w:rFonts w:hint="default" w:ascii="Times New Roman" w:hAnsi="Times New Roman" w:eastAsia="宋体" w:cs="Times New Roman"/>
                <w:color w:val="000000" w:themeColor="text1"/>
                <w:lang w:val="en-US" w:eastAsia="zh-CN"/>
                <w14:textFill>
                  <w14:solidFill>
                    <w14:schemeClr w14:val="tx1"/>
                  </w14:solidFill>
                </w14:textFill>
              </w:rPr>
              <w:t>kHz</w:t>
            </w:r>
            <w:bookmarkEnd w:id="1"/>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不</w:t>
            </w:r>
            <w:r>
              <w:rPr>
                <w:rFonts w:hint="default" w:ascii="Times New Roman" w:hAnsi="Times New Roman" w:eastAsia="宋体" w:cs="Times New Roman"/>
                <w:color w:val="000000" w:themeColor="text1"/>
                <w:lang w:val="en-US" w:eastAsia="zh-CN"/>
                <w14:textFill>
                  <w14:solidFill>
                    <w14:schemeClr w14:val="tx1"/>
                  </w14:solidFill>
                </w14:textFill>
              </w:rPr>
              <w:t>属于电磁辐射管理设备</w:t>
            </w:r>
            <w:r>
              <w:rPr>
                <w:rFonts w:hint="eastAsia" w:ascii="Times New Roman" w:hAnsi="Times New Roman" w:eastAsia="宋体" w:cs="Times New Roman"/>
                <w:color w:val="000000" w:themeColor="text1"/>
                <w:lang w:val="en-US" w:eastAsia="zh-CN"/>
                <w14:textFill>
                  <w14:solidFill>
                    <w14:schemeClr w14:val="tx1"/>
                  </w14:solidFill>
                </w14:textFill>
              </w:rPr>
              <w:t>，无需进行辐射环境影响评价</w:t>
            </w:r>
            <w:r>
              <w:rPr>
                <w:rFonts w:hint="default" w:ascii="Times New Roman" w:hAnsi="Times New Roman" w:eastAsia="宋体" w:cs="Times New Roman"/>
                <w:color w:val="000000" w:themeColor="text1"/>
                <w:lang w:val="en-US" w:eastAsia="zh-CN"/>
                <w14:textFill>
                  <w14:solidFill>
                    <w14:schemeClr w14:val="tx1"/>
                  </w14:solidFill>
                </w14:textFill>
              </w:rPr>
              <w:t>。</w:t>
            </w:r>
          </w:p>
          <w:p w14:paraId="04445937">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热处理设备产能匹配性分析</w:t>
            </w:r>
            <w:r>
              <w:rPr>
                <w:rFonts w:hint="eastAsia" w:eastAsia="宋体"/>
                <w:b/>
                <w:color w:val="000000" w:themeColor="text1"/>
                <w14:textFill>
                  <w14:solidFill>
                    <w14:schemeClr w14:val="tx1"/>
                  </w14:solidFill>
                </w14:textFill>
              </w:rPr>
              <w:t>：</w:t>
            </w:r>
          </w:p>
          <w:p w14:paraId="07EAB8DE">
            <w:pPr>
              <w:pStyle w:val="137"/>
              <w:rPr>
                <w:rFonts w:eastAsia="宋体"/>
                <w:b/>
                <w:color w:val="000000" w:themeColor="text1"/>
                <w14:textFill>
                  <w14:solidFill>
                    <w14:schemeClr w14:val="tx1"/>
                  </w14:solidFill>
                </w14:textFill>
              </w:rPr>
            </w:pPr>
            <w:r>
              <w:rPr>
                <w:rFonts w:eastAsia="宋体"/>
                <w:bCs/>
                <w:color w:val="000000" w:themeColor="text1"/>
                <w14:textFill>
                  <w14:solidFill>
                    <w14:schemeClr w14:val="tx1"/>
                  </w14:solidFill>
                </w14:textFill>
              </w:rPr>
              <w:t>正火炉产能匹配性：根据建设单位提供资料，仅碳钢原料需进行热处理，项目年产能</w:t>
            </w:r>
            <w:r>
              <w:rPr>
                <w:rFonts w:hint="eastAsia" w:eastAsia="宋体"/>
                <w:bCs/>
                <w:color w:val="000000" w:themeColor="text1"/>
                <w:lang w:val="en-US" w:eastAsia="zh-CN"/>
                <w14:textFill>
                  <w14:solidFill>
                    <w14:schemeClr w14:val="tx1"/>
                  </w14:solidFill>
                </w14:textFill>
              </w:rPr>
              <w:t>1万件</w:t>
            </w:r>
            <w:r>
              <w:rPr>
                <w:rFonts w:eastAsia="宋体"/>
                <w:bCs/>
                <w:color w:val="000000" w:themeColor="text1"/>
                <w14:textFill>
                  <w14:solidFill>
                    <w14:schemeClr w14:val="tx1"/>
                  </w14:solidFill>
                </w14:textFill>
              </w:rPr>
              <w:t>，其中碳钢产品10%（</w:t>
            </w:r>
            <w:r>
              <w:rPr>
                <w:rFonts w:hint="eastAsia" w:eastAsia="宋体"/>
                <w:bCs/>
                <w:color w:val="000000" w:themeColor="text1"/>
                <w:lang w:val="en-US" w:eastAsia="zh-CN"/>
                <w14:textFill>
                  <w14:solidFill>
                    <w14:schemeClr w14:val="tx1"/>
                  </w14:solidFill>
                </w14:textFill>
              </w:rPr>
              <w:t>1000件</w:t>
            </w:r>
            <w:r>
              <w:rPr>
                <w:rFonts w:eastAsia="宋体"/>
                <w:bCs/>
                <w:color w:val="000000" w:themeColor="text1"/>
                <w14:textFill>
                  <w14:solidFill>
                    <w14:schemeClr w14:val="tx1"/>
                  </w14:solidFill>
                </w14:textFill>
              </w:rPr>
              <w:t>），项目单个正火炉单批次最大作业能力约</w:t>
            </w:r>
            <w:r>
              <w:rPr>
                <w:rFonts w:hint="eastAsia" w:eastAsia="宋体"/>
                <w:bCs/>
                <w:color w:val="000000" w:themeColor="text1"/>
                <w:lang w:val="en-US" w:eastAsia="zh-CN"/>
                <w14:textFill>
                  <w14:solidFill>
                    <w14:schemeClr w14:val="tx1"/>
                  </w14:solidFill>
                </w14:textFill>
              </w:rPr>
              <w:t>1个产品的</w:t>
            </w:r>
            <w:r>
              <w:rPr>
                <w:rFonts w:eastAsia="宋体"/>
                <w:bCs/>
                <w:color w:val="000000" w:themeColor="text1"/>
                <w14:textFill>
                  <w14:solidFill>
                    <w14:schemeClr w14:val="tx1"/>
                  </w14:solidFill>
                </w14:textFill>
              </w:rPr>
              <w:t>钢材</w:t>
            </w:r>
            <w:r>
              <w:rPr>
                <w:rFonts w:hint="eastAsia" w:eastAsia="宋体"/>
                <w:bCs/>
                <w:color w:val="000000" w:themeColor="text1"/>
                <w:lang w:val="en-US" w:eastAsia="zh-CN"/>
                <w14:textFill>
                  <w14:solidFill>
                    <w14:schemeClr w14:val="tx1"/>
                  </w14:solidFill>
                </w14:textFill>
              </w:rPr>
              <w:t>坯料（即为1个件/批次）</w:t>
            </w:r>
            <w:r>
              <w:rPr>
                <w:rFonts w:eastAsia="宋体"/>
                <w:bCs/>
                <w:color w:val="000000" w:themeColor="text1"/>
                <w14:textFill>
                  <w14:solidFill>
                    <w14:schemeClr w14:val="tx1"/>
                  </w14:solidFill>
                </w14:textFill>
              </w:rPr>
              <w:t>，单批次作业时长约</w:t>
            </w:r>
            <w:r>
              <w:rPr>
                <w:rFonts w:hint="eastAsia" w:eastAsia="宋体"/>
                <w:bCs/>
                <w:color w:val="000000" w:themeColor="text1"/>
                <w:lang w:val="en-US" w:eastAsia="zh-CN"/>
                <w14:textFill>
                  <w14:solidFill>
                    <w14:schemeClr w14:val="tx1"/>
                  </w14:solidFill>
                </w14:textFill>
              </w:rPr>
              <w:t>3.0</w:t>
            </w:r>
            <w:r>
              <w:rPr>
                <w:rFonts w:eastAsia="宋体"/>
                <w:bCs/>
                <w:color w:val="000000" w:themeColor="text1"/>
                <w14:textFill>
                  <w14:solidFill>
                    <w14:schemeClr w14:val="tx1"/>
                  </w14:solidFill>
                </w14:textFill>
              </w:rPr>
              <w:t>h，则2台正火炉小时作业量为</w:t>
            </w:r>
            <w:r>
              <w:rPr>
                <w:rFonts w:hint="eastAsia" w:eastAsia="宋体"/>
                <w:bCs/>
                <w:color w:val="000000" w:themeColor="text1"/>
                <w:lang w:val="en-US" w:eastAsia="zh-CN"/>
                <w14:textFill>
                  <w14:solidFill>
                    <w14:schemeClr w14:val="tx1"/>
                  </w14:solidFill>
                </w14:textFill>
              </w:rPr>
              <w:t>2个件</w:t>
            </w:r>
            <w:r>
              <w:rPr>
                <w:rFonts w:eastAsia="宋体"/>
                <w:bCs/>
                <w:color w:val="000000" w:themeColor="text1"/>
                <w14:textFill>
                  <w14:solidFill>
                    <w14:schemeClr w14:val="tx1"/>
                  </w14:solidFill>
                </w14:textFill>
              </w:rPr>
              <w:t>/</w:t>
            </w:r>
            <w:r>
              <w:rPr>
                <w:rFonts w:hint="eastAsia" w:eastAsia="宋体"/>
                <w:bCs/>
                <w:color w:val="000000" w:themeColor="text1"/>
                <w:lang w:val="en-US" w:eastAsia="zh-CN"/>
                <w14:textFill>
                  <w14:solidFill>
                    <w14:schemeClr w14:val="tx1"/>
                  </w14:solidFill>
                </w14:textFill>
              </w:rPr>
              <w:t>3</w:t>
            </w:r>
            <w:r>
              <w:rPr>
                <w:rFonts w:eastAsia="宋体"/>
                <w:bCs/>
                <w:color w:val="000000" w:themeColor="text1"/>
                <w14:textFill>
                  <w14:solidFill>
                    <w14:schemeClr w14:val="tx1"/>
                  </w14:solidFill>
                </w14:textFill>
              </w:rPr>
              <w:t>h，项目年作业时长2400h，其中除去准备时长，每年有效生产2100h，则正火炉年处理能力为</w:t>
            </w:r>
            <w:r>
              <w:rPr>
                <w:rFonts w:hint="eastAsia" w:eastAsia="宋体"/>
                <w:bCs/>
                <w:color w:val="000000" w:themeColor="text1"/>
                <w:lang w:val="en-US" w:eastAsia="zh-CN"/>
                <w14:textFill>
                  <w14:solidFill>
                    <w14:schemeClr w14:val="tx1"/>
                  </w14:solidFill>
                </w14:textFill>
              </w:rPr>
              <w:t>1400</w:t>
            </w:r>
            <w:r>
              <w:rPr>
                <w:rFonts w:eastAsia="宋体"/>
                <w:bCs/>
                <w:color w:val="000000" w:themeColor="text1"/>
                <w14:textFill>
                  <w14:solidFill>
                    <w14:schemeClr w14:val="tx1"/>
                  </w14:solidFill>
                </w14:textFill>
              </w:rPr>
              <w:t>t/a，可满足项目年均</w:t>
            </w:r>
            <w:r>
              <w:rPr>
                <w:rFonts w:hint="eastAsia" w:eastAsia="宋体"/>
                <w:bCs/>
                <w:color w:val="000000" w:themeColor="text1"/>
                <w:lang w:eastAsia="zh-CN"/>
                <w14:textFill>
                  <w14:solidFill>
                    <w14:schemeClr w14:val="tx1"/>
                  </w14:solidFill>
                </w14:textFill>
              </w:rPr>
              <w:t>正火</w:t>
            </w:r>
            <w:r>
              <w:rPr>
                <w:rFonts w:hint="eastAsia" w:eastAsia="宋体"/>
                <w:bCs/>
                <w:color w:val="000000" w:themeColor="text1"/>
                <w:lang w:val="en-US" w:eastAsia="zh-CN"/>
                <w14:textFill>
                  <w14:solidFill>
                    <w14:schemeClr w14:val="tx1"/>
                  </w14:solidFill>
                </w14:textFill>
              </w:rPr>
              <w:t>1000件</w:t>
            </w:r>
            <w:r>
              <w:rPr>
                <w:rFonts w:eastAsia="宋体"/>
                <w:bCs/>
                <w:color w:val="000000" w:themeColor="text1"/>
                <w14:textFill>
                  <w14:solidFill>
                    <w14:schemeClr w14:val="tx1"/>
                  </w14:solidFill>
                </w14:textFill>
              </w:rPr>
              <w:t>的处理需求。</w:t>
            </w:r>
          </w:p>
          <w:p w14:paraId="760F0C33">
            <w:pPr>
              <w:pStyle w:val="137"/>
              <w:rPr>
                <w:rFonts w:eastAsia="宋体"/>
                <w:b/>
                <w:color w:val="000000" w:themeColor="text1"/>
                <w14:textFill>
                  <w14:solidFill>
                    <w14:schemeClr w14:val="tx1"/>
                  </w14:solidFill>
                </w14:textFill>
              </w:rPr>
            </w:pPr>
            <w:r>
              <w:rPr>
                <w:rFonts w:eastAsia="宋体"/>
                <w:bCs/>
                <w:color w:val="000000" w:themeColor="text1"/>
                <w14:textFill>
                  <w14:solidFill>
                    <w14:schemeClr w14:val="tx1"/>
                  </w14:solidFill>
                </w14:textFill>
              </w:rPr>
              <w:t>淬火槽产能匹配性：根据建设单位提供资料，仅碳钢原料需进行热处理，项目年产能</w:t>
            </w:r>
            <w:r>
              <w:rPr>
                <w:rFonts w:hint="eastAsia" w:eastAsia="宋体"/>
                <w:bCs/>
                <w:color w:val="000000" w:themeColor="text1"/>
                <w:lang w:val="en-US" w:eastAsia="zh-CN"/>
                <w14:textFill>
                  <w14:solidFill>
                    <w14:schemeClr w14:val="tx1"/>
                  </w14:solidFill>
                </w14:textFill>
              </w:rPr>
              <w:t>1万件</w:t>
            </w:r>
            <w:r>
              <w:rPr>
                <w:rFonts w:eastAsia="宋体"/>
                <w:bCs/>
                <w:color w:val="000000" w:themeColor="text1"/>
                <w14:textFill>
                  <w14:solidFill>
                    <w14:schemeClr w14:val="tx1"/>
                  </w14:solidFill>
                </w14:textFill>
              </w:rPr>
              <w:t>，其中碳钢产品10%（</w:t>
            </w:r>
            <w:r>
              <w:rPr>
                <w:rFonts w:hint="eastAsia" w:eastAsia="宋体"/>
                <w:bCs/>
                <w:color w:val="000000" w:themeColor="text1"/>
                <w:lang w:val="en-US" w:eastAsia="zh-CN"/>
                <w14:textFill>
                  <w14:solidFill>
                    <w14:schemeClr w14:val="tx1"/>
                  </w14:solidFill>
                </w14:textFill>
              </w:rPr>
              <w:t>1000件</w:t>
            </w:r>
            <w:r>
              <w:rPr>
                <w:rFonts w:eastAsia="宋体"/>
                <w:bCs/>
                <w:color w:val="000000" w:themeColor="text1"/>
                <w14:textFill>
                  <w14:solidFill>
                    <w14:schemeClr w14:val="tx1"/>
                  </w14:solidFill>
                </w14:textFill>
              </w:rPr>
              <w:t>），项目淬火槽单批次最大作业能力约</w:t>
            </w:r>
            <w:r>
              <w:rPr>
                <w:rFonts w:hint="eastAsia" w:eastAsia="宋体"/>
                <w:bCs/>
                <w:color w:val="000000" w:themeColor="text1"/>
                <w:lang w:val="en-US" w:eastAsia="zh-CN"/>
                <w14:textFill>
                  <w14:solidFill>
                    <w14:schemeClr w14:val="tx1"/>
                  </w14:solidFill>
                </w14:textFill>
              </w:rPr>
              <w:t>1个产品的</w:t>
            </w:r>
            <w:r>
              <w:rPr>
                <w:rFonts w:eastAsia="宋体"/>
                <w:bCs/>
                <w:color w:val="000000" w:themeColor="text1"/>
                <w14:textFill>
                  <w14:solidFill>
                    <w14:schemeClr w14:val="tx1"/>
                  </w14:solidFill>
                </w14:textFill>
              </w:rPr>
              <w:t>钢材</w:t>
            </w:r>
            <w:r>
              <w:rPr>
                <w:rFonts w:hint="eastAsia" w:eastAsia="宋体"/>
                <w:bCs/>
                <w:color w:val="000000" w:themeColor="text1"/>
                <w:lang w:val="en-US" w:eastAsia="zh-CN"/>
                <w14:textFill>
                  <w14:solidFill>
                    <w14:schemeClr w14:val="tx1"/>
                  </w14:solidFill>
                </w14:textFill>
              </w:rPr>
              <w:t>坯料（即为1件/批次）</w:t>
            </w:r>
            <w:r>
              <w:rPr>
                <w:rFonts w:eastAsia="宋体"/>
                <w:bCs/>
                <w:color w:val="000000" w:themeColor="text1"/>
                <w14:textFill>
                  <w14:solidFill>
                    <w14:schemeClr w14:val="tx1"/>
                  </w14:solidFill>
                </w14:textFill>
              </w:rPr>
              <w:t>，单批次作业时长约</w:t>
            </w:r>
            <w:r>
              <w:rPr>
                <w:rFonts w:hint="eastAsia" w:eastAsia="宋体"/>
                <w:bCs/>
                <w:color w:val="000000" w:themeColor="text1"/>
                <w:lang w:val="en-US" w:eastAsia="zh-CN"/>
                <w14:textFill>
                  <w14:solidFill>
                    <w14:schemeClr w14:val="tx1"/>
                  </w14:solidFill>
                </w14:textFill>
              </w:rPr>
              <w:t>30</w:t>
            </w:r>
            <w:r>
              <w:rPr>
                <w:rFonts w:eastAsia="宋体"/>
                <w:bCs/>
                <w:color w:val="000000" w:themeColor="text1"/>
                <w14:textFill>
                  <w14:solidFill>
                    <w14:schemeClr w14:val="tx1"/>
                  </w14:solidFill>
                </w14:textFill>
              </w:rPr>
              <w:t>min，则1个油槽小时作业量为</w:t>
            </w:r>
            <w:r>
              <w:rPr>
                <w:rFonts w:hint="eastAsia" w:eastAsia="宋体"/>
                <w:bCs/>
                <w:color w:val="000000" w:themeColor="text1"/>
                <w:lang w:val="en-US" w:eastAsia="zh-CN"/>
                <w14:textFill>
                  <w14:solidFill>
                    <w14:schemeClr w14:val="tx1"/>
                  </w14:solidFill>
                </w14:textFill>
              </w:rPr>
              <w:t>2件</w:t>
            </w:r>
            <w:r>
              <w:rPr>
                <w:rFonts w:eastAsia="宋体"/>
                <w:bCs/>
                <w:color w:val="000000" w:themeColor="text1"/>
                <w14:textFill>
                  <w14:solidFill>
                    <w14:schemeClr w14:val="tx1"/>
                  </w14:solidFill>
                </w14:textFill>
              </w:rPr>
              <w:t>t，项目年作业时长2400h，其中除去准备时长，每年有效生产2100h，则淬火槽年处理能力为</w:t>
            </w:r>
            <w:r>
              <w:rPr>
                <w:rFonts w:hint="eastAsia" w:eastAsia="宋体"/>
                <w:bCs/>
                <w:color w:val="000000" w:themeColor="text1"/>
                <w:lang w:val="en-US" w:eastAsia="zh-CN"/>
                <w14:textFill>
                  <w14:solidFill>
                    <w14:schemeClr w14:val="tx1"/>
                  </w14:solidFill>
                </w14:textFill>
              </w:rPr>
              <w:t>4200</w:t>
            </w:r>
            <w:r>
              <w:rPr>
                <w:rFonts w:hint="eastAsia" w:eastAsia="宋体"/>
                <w:bCs/>
                <w:color w:val="000000" w:themeColor="text1"/>
                <w:lang w:eastAsia="zh-CN"/>
                <w14:textFill>
                  <w14:solidFill>
                    <w14:schemeClr w14:val="tx1"/>
                  </w14:solidFill>
                </w14:textFill>
              </w:rPr>
              <w:t>件</w:t>
            </w:r>
            <w:r>
              <w:rPr>
                <w:rFonts w:eastAsia="宋体"/>
                <w:bCs/>
                <w:color w:val="000000" w:themeColor="text1"/>
                <w14:textFill>
                  <w14:solidFill>
                    <w14:schemeClr w14:val="tx1"/>
                  </w14:solidFill>
                </w14:textFill>
              </w:rPr>
              <w:t>/a，可满足项目年均产能</w:t>
            </w:r>
            <w:r>
              <w:rPr>
                <w:rFonts w:hint="eastAsia" w:eastAsia="宋体"/>
                <w:bCs/>
                <w:color w:val="000000" w:themeColor="text1"/>
                <w:lang w:val="en-US" w:eastAsia="zh-CN"/>
                <w14:textFill>
                  <w14:solidFill>
                    <w14:schemeClr w14:val="tx1"/>
                  </w14:solidFill>
                </w14:textFill>
              </w:rPr>
              <w:t>1000件</w:t>
            </w:r>
            <w:r>
              <w:rPr>
                <w:rFonts w:eastAsia="宋体"/>
                <w:bCs/>
                <w:color w:val="000000" w:themeColor="text1"/>
                <w14:textFill>
                  <w14:solidFill>
                    <w14:schemeClr w14:val="tx1"/>
                  </w14:solidFill>
                </w14:textFill>
              </w:rPr>
              <w:t>的处理需求。</w:t>
            </w:r>
          </w:p>
          <w:p w14:paraId="5B0880DA">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2.1.7主要原辅材料</w:t>
            </w:r>
          </w:p>
          <w:p w14:paraId="289452FC">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（1）产品的主要原辅材料及用量</w:t>
            </w:r>
          </w:p>
          <w:p w14:paraId="4677161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根据项目建设规模及性质，各类原辅料在厂内储存约30天用量，拟建项目主要原辅材料、能源介质消耗见表2-5。</w:t>
            </w:r>
          </w:p>
          <w:p w14:paraId="03386AED">
            <w:pPr>
              <w:adjustRightInd w:val="0"/>
              <w:snapToGrid w:val="0"/>
              <w:ind w:firstLine="482"/>
              <w:jc w:val="center"/>
              <w:rPr>
                <w:b/>
                <w:color w:val="000000" w:themeColor="text1"/>
                <w:sz w:val="24"/>
                <w14:textFill>
                  <w14:solidFill>
                    <w14:schemeClr w14:val="tx1"/>
                  </w14:solidFill>
                </w14:textFill>
              </w:rPr>
            </w:pPr>
          </w:p>
          <w:p w14:paraId="60C2B285">
            <w:pPr>
              <w:adjustRightInd w:val="0"/>
              <w:snapToGrid w:val="0"/>
              <w:ind w:firstLine="482"/>
              <w:jc w:val="center"/>
              <w:rPr>
                <w:b/>
                <w:color w:val="000000" w:themeColor="text1"/>
                <w:sz w:val="24"/>
                <w14:textFill>
                  <w14:solidFill>
                    <w14:schemeClr w14:val="tx1"/>
                  </w14:solidFill>
                </w14:textFill>
              </w:rPr>
            </w:pPr>
          </w:p>
          <w:p w14:paraId="0D8D6BC1">
            <w:pPr>
              <w:pStyle w:val="2"/>
              <w:rPr>
                <w:b/>
                <w:color w:val="000000" w:themeColor="text1"/>
                <w:sz w:val="24"/>
                <w14:textFill>
                  <w14:solidFill>
                    <w14:schemeClr w14:val="tx1"/>
                  </w14:solidFill>
                </w14:textFill>
              </w:rPr>
            </w:pPr>
          </w:p>
          <w:p w14:paraId="6419D25F">
            <w:pPr>
              <w:adjustRightInd w:val="0"/>
              <w:snapToGrid w:val="0"/>
              <w:ind w:firstLine="4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表2-5主要原辅材料名称及年消耗数量</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692"/>
              <w:gridCol w:w="735"/>
              <w:gridCol w:w="880"/>
              <w:gridCol w:w="1200"/>
              <w:gridCol w:w="992"/>
              <w:gridCol w:w="2594"/>
            </w:tblGrid>
            <w:tr w14:paraId="6B9B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8" w:type="pct"/>
                  <w:vAlign w:val="center"/>
                </w:tcPr>
                <w:p w14:paraId="6E53763B">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981" w:type="pct"/>
                  <w:vAlign w:val="center"/>
                </w:tcPr>
                <w:p w14:paraId="2F2DE26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材料名称</w:t>
                  </w:r>
                </w:p>
              </w:tc>
              <w:tc>
                <w:tcPr>
                  <w:tcW w:w="426" w:type="pct"/>
                  <w:vAlign w:val="center"/>
                </w:tcPr>
                <w:p w14:paraId="526DCD6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510" w:type="pct"/>
                  <w:vAlign w:val="center"/>
                </w:tcPr>
                <w:p w14:paraId="019C2E22">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年均用量</w:t>
                  </w:r>
                </w:p>
              </w:tc>
              <w:tc>
                <w:tcPr>
                  <w:tcW w:w="696" w:type="pct"/>
                  <w:vAlign w:val="center"/>
                </w:tcPr>
                <w:p w14:paraId="4D31F6EC">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储存规格</w:t>
                  </w:r>
                </w:p>
              </w:tc>
              <w:tc>
                <w:tcPr>
                  <w:tcW w:w="575" w:type="pct"/>
                  <w:vAlign w:val="center"/>
                </w:tcPr>
                <w:p w14:paraId="60BA2A9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最大储存量</w:t>
                  </w:r>
                </w:p>
              </w:tc>
              <w:tc>
                <w:tcPr>
                  <w:tcW w:w="1500" w:type="pct"/>
                  <w:vAlign w:val="center"/>
                </w:tcPr>
                <w:p w14:paraId="0D601AAE">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备注</w:t>
                  </w:r>
                </w:p>
              </w:tc>
            </w:tr>
            <w:tr w14:paraId="7736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34503748">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原材料消耗</w:t>
                  </w:r>
                </w:p>
              </w:tc>
            </w:tr>
            <w:tr w14:paraId="5C21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66D90A8B">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p>
              </w:tc>
              <w:tc>
                <w:tcPr>
                  <w:tcW w:w="981" w:type="pct"/>
                  <w:vAlign w:val="center"/>
                </w:tcPr>
                <w:p w14:paraId="1DA830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不锈钢棒材</w:t>
                  </w:r>
                </w:p>
              </w:tc>
              <w:tc>
                <w:tcPr>
                  <w:tcW w:w="426" w:type="pct"/>
                  <w:vAlign w:val="center"/>
                </w:tcPr>
                <w:p w14:paraId="02C7E440">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p>
              </w:tc>
              <w:tc>
                <w:tcPr>
                  <w:tcW w:w="510" w:type="pct"/>
                  <w:vAlign w:val="center"/>
                </w:tcPr>
                <w:p w14:paraId="7F199950">
                  <w:pPr>
                    <w:widowControl/>
                    <w:adjustRightInd w:val="0"/>
                    <w:snapToGrid w:val="0"/>
                    <w:jc w:val="center"/>
                    <w:rPr>
                      <w:rFonts w:hint="eastAsia" w:eastAsia="宋体"/>
                      <w:color w:val="000000" w:themeColor="text1"/>
                      <w:kern w:val="0"/>
                      <w:szCs w:val="21"/>
                      <w:lang w:eastAsia="zh-CN"/>
                      <w14:textFill>
                        <w14:solidFill>
                          <w14:schemeClr w14:val="tx1"/>
                        </w14:solidFill>
                      </w14:textFill>
                    </w:rPr>
                  </w:pPr>
                  <w:r>
                    <w:rPr>
                      <w:color w:val="000000" w:themeColor="text1"/>
                      <w:kern w:val="0"/>
                      <w:szCs w:val="21"/>
                      <w14:textFill>
                        <w14:solidFill>
                          <w14:schemeClr w14:val="tx1"/>
                        </w14:solidFill>
                      </w14:textFill>
                    </w:rPr>
                    <w:t>1046.9</w:t>
                  </w:r>
                </w:p>
              </w:tc>
              <w:tc>
                <w:tcPr>
                  <w:tcW w:w="696" w:type="pct"/>
                  <w:vAlign w:val="center"/>
                </w:tcPr>
                <w:p w14:paraId="4DE72969">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75" w:type="pct"/>
                  <w:vAlign w:val="center"/>
                </w:tcPr>
                <w:p w14:paraId="33A0E28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105</w:t>
                  </w:r>
                </w:p>
              </w:tc>
              <w:tc>
                <w:tcPr>
                  <w:tcW w:w="1500" w:type="pct"/>
                  <w:vMerge w:val="restart"/>
                  <w:vAlign w:val="center"/>
                </w:tcPr>
                <w:p w14:paraId="21363D94">
                  <w:pPr>
                    <w:pStyle w:val="45"/>
                    <w:kinsoku w:val="0"/>
                    <w:autoSpaceDE/>
                    <w:autoSpaceDN/>
                    <w:spacing w:line="276" w:lineRule="exact"/>
                    <w:ind w:left="51" w:firstLine="0" w:firstLineChars="0"/>
                    <w:jc w:val="center"/>
                    <w:rPr>
                      <w:color w:val="000000" w:themeColor="text1"/>
                      <w:spacing w:val="-4"/>
                      <w:sz w:val="21"/>
                      <w:szCs w:val="21"/>
                      <w14:textFill>
                        <w14:solidFill>
                          <w14:schemeClr w14:val="tx1"/>
                        </w14:solidFill>
                      </w14:textFill>
                    </w:rPr>
                  </w:pPr>
                  <w:r>
                    <w:rPr>
                      <w:color w:val="000000" w:themeColor="text1"/>
                      <w:spacing w:val="-4"/>
                      <w:sz w:val="21"/>
                      <w:szCs w:val="21"/>
                      <w14:textFill>
                        <w14:solidFill>
                          <w14:schemeClr w14:val="tx1"/>
                        </w14:solidFill>
                      </w14:textFill>
                    </w:rPr>
                    <w:t>外购成品，用于成品生产</w:t>
                  </w:r>
                </w:p>
              </w:tc>
            </w:tr>
            <w:tr w14:paraId="02CA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6BA2FEE4">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2</w:t>
                  </w:r>
                </w:p>
              </w:tc>
              <w:tc>
                <w:tcPr>
                  <w:tcW w:w="981" w:type="pct"/>
                  <w:vAlign w:val="center"/>
                </w:tcPr>
                <w:p w14:paraId="48A283A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碳钢棒材</w:t>
                  </w:r>
                </w:p>
              </w:tc>
              <w:tc>
                <w:tcPr>
                  <w:tcW w:w="426" w:type="pct"/>
                  <w:vAlign w:val="center"/>
                </w:tcPr>
                <w:p w14:paraId="50FCB8F8">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p>
              </w:tc>
              <w:tc>
                <w:tcPr>
                  <w:tcW w:w="510" w:type="pct"/>
                  <w:vAlign w:val="center"/>
                </w:tcPr>
                <w:p w14:paraId="3A8DB1D9">
                  <w:pPr>
                    <w:widowControl/>
                    <w:adjustRightInd w:val="0"/>
                    <w:snapToGrid w:val="0"/>
                    <w:jc w:val="center"/>
                    <w:rPr>
                      <w:rFonts w:hint="eastAsia" w:eastAsia="宋体"/>
                      <w:color w:val="000000" w:themeColor="text1"/>
                      <w:kern w:val="0"/>
                      <w:szCs w:val="21"/>
                      <w:lang w:eastAsia="zh-CN"/>
                      <w14:textFill>
                        <w14:solidFill>
                          <w14:schemeClr w14:val="tx1"/>
                        </w14:solidFill>
                      </w14:textFill>
                    </w:rPr>
                  </w:pPr>
                  <w:r>
                    <w:rPr>
                      <w:color w:val="000000" w:themeColor="text1"/>
                      <w:kern w:val="0"/>
                      <w:szCs w:val="21"/>
                      <w14:textFill>
                        <w14:solidFill>
                          <w14:schemeClr w14:val="tx1"/>
                        </w14:solidFill>
                      </w14:textFill>
                    </w:rPr>
                    <w:t>104.7</w:t>
                  </w:r>
                </w:p>
              </w:tc>
              <w:tc>
                <w:tcPr>
                  <w:tcW w:w="696" w:type="pct"/>
                  <w:vAlign w:val="center"/>
                </w:tcPr>
                <w:p w14:paraId="220ED305">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75" w:type="pct"/>
                  <w:vAlign w:val="center"/>
                </w:tcPr>
                <w:p w14:paraId="5BDA1B02">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10.5</w:t>
                  </w:r>
                </w:p>
              </w:tc>
              <w:tc>
                <w:tcPr>
                  <w:tcW w:w="1500" w:type="pct"/>
                  <w:vMerge w:val="continue"/>
                  <w:vAlign w:val="center"/>
                </w:tcPr>
                <w:p w14:paraId="07CDD49D">
                  <w:pPr>
                    <w:pStyle w:val="45"/>
                    <w:kinsoku w:val="0"/>
                    <w:autoSpaceDE/>
                    <w:autoSpaceDN/>
                    <w:spacing w:line="276" w:lineRule="exact"/>
                    <w:ind w:left="51" w:firstLine="0" w:firstLineChars="0"/>
                    <w:jc w:val="center"/>
                    <w:rPr>
                      <w:color w:val="000000" w:themeColor="text1"/>
                      <w:sz w:val="21"/>
                      <w:szCs w:val="21"/>
                      <w14:textFill>
                        <w14:solidFill>
                          <w14:schemeClr w14:val="tx1"/>
                        </w14:solidFill>
                      </w14:textFill>
                    </w:rPr>
                  </w:pPr>
                </w:p>
              </w:tc>
            </w:tr>
            <w:tr w14:paraId="1506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40930F7D">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81" w:type="pct"/>
                  <w:vAlign w:val="center"/>
                </w:tcPr>
                <w:p w14:paraId="6F14E2B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不锈钢板材</w:t>
                  </w:r>
                </w:p>
                <w:p w14:paraId="0938A4A6">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（已</w:t>
                  </w:r>
                  <w:r>
                    <w:rPr>
                      <w:rFonts w:hint="eastAsia"/>
                      <w:color w:val="000000" w:themeColor="text1"/>
                      <w:szCs w:val="21"/>
                      <w:lang w:val="en-US" w:eastAsia="zh-CN"/>
                      <w14:textFill>
                        <w14:solidFill>
                          <w14:schemeClr w14:val="tx1"/>
                        </w14:solidFill>
                      </w14:textFill>
                    </w:rPr>
                    <w:t>下料成品</w:t>
                  </w:r>
                  <w:r>
                    <w:rPr>
                      <w:rFonts w:hint="eastAsia"/>
                      <w:color w:val="000000" w:themeColor="text1"/>
                      <w:szCs w:val="21"/>
                      <w:lang w:eastAsia="zh-CN"/>
                      <w14:textFill>
                        <w14:solidFill>
                          <w14:schemeClr w14:val="tx1"/>
                        </w14:solidFill>
                      </w14:textFill>
                    </w:rPr>
                    <w:t>）</w:t>
                  </w:r>
                </w:p>
              </w:tc>
              <w:tc>
                <w:tcPr>
                  <w:tcW w:w="426" w:type="pct"/>
                  <w:vAlign w:val="center"/>
                </w:tcPr>
                <w:p w14:paraId="32A972E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p>
              </w:tc>
              <w:tc>
                <w:tcPr>
                  <w:tcW w:w="510" w:type="pct"/>
                  <w:vAlign w:val="center"/>
                </w:tcPr>
                <w:p w14:paraId="2430476D">
                  <w:pPr>
                    <w:widowControl/>
                    <w:adjustRightInd w:val="0"/>
                    <w:snapToGrid w:val="0"/>
                    <w:jc w:val="center"/>
                    <w:rPr>
                      <w:rFonts w:hint="eastAsia" w:eastAsia="宋体"/>
                      <w:color w:val="000000" w:themeColor="text1"/>
                      <w:kern w:val="0"/>
                      <w:szCs w:val="21"/>
                      <w:lang w:eastAsia="zh-CN"/>
                      <w14:textFill>
                        <w14:solidFill>
                          <w14:schemeClr w14:val="tx1"/>
                        </w14:solidFill>
                      </w14:textFill>
                    </w:rPr>
                  </w:pPr>
                  <w:r>
                    <w:rPr>
                      <w:color w:val="000000" w:themeColor="text1"/>
                      <w:kern w:val="0"/>
                      <w:szCs w:val="21"/>
                      <w14:textFill>
                        <w14:solidFill>
                          <w14:schemeClr w14:val="tx1"/>
                        </w14:solidFill>
                      </w14:textFill>
                    </w:rPr>
                    <w:t>55.1</w:t>
                  </w:r>
                </w:p>
              </w:tc>
              <w:tc>
                <w:tcPr>
                  <w:tcW w:w="696" w:type="pct"/>
                  <w:vAlign w:val="center"/>
                </w:tcPr>
                <w:p w14:paraId="7AD1574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75" w:type="pct"/>
                  <w:vAlign w:val="center"/>
                </w:tcPr>
                <w:p w14:paraId="7EAB74A1">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c>
                <w:tcPr>
                  <w:tcW w:w="1500" w:type="pct"/>
                  <w:vMerge w:val="continue"/>
                  <w:vAlign w:val="center"/>
                </w:tcPr>
                <w:p w14:paraId="3AD19DAC">
                  <w:pPr>
                    <w:pStyle w:val="45"/>
                    <w:kinsoku w:val="0"/>
                    <w:autoSpaceDE/>
                    <w:autoSpaceDN/>
                    <w:spacing w:line="276" w:lineRule="exact"/>
                    <w:ind w:left="51" w:firstLine="0" w:firstLineChars="0"/>
                    <w:jc w:val="center"/>
                    <w:rPr>
                      <w:color w:val="000000" w:themeColor="text1"/>
                      <w:sz w:val="21"/>
                      <w:szCs w:val="21"/>
                      <w14:textFill>
                        <w14:solidFill>
                          <w14:schemeClr w14:val="tx1"/>
                        </w14:solidFill>
                      </w14:textFill>
                    </w:rPr>
                  </w:pPr>
                </w:p>
              </w:tc>
            </w:tr>
            <w:tr w14:paraId="4CBD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7E12BD87">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81" w:type="pct"/>
                  <w:vAlign w:val="center"/>
                </w:tcPr>
                <w:p w14:paraId="2CDAD24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碳钢板材</w:t>
                  </w:r>
                </w:p>
                <w:p w14:paraId="2414AC41">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（已</w:t>
                  </w:r>
                  <w:r>
                    <w:rPr>
                      <w:rFonts w:hint="eastAsia"/>
                      <w:color w:val="000000" w:themeColor="text1"/>
                      <w:szCs w:val="21"/>
                      <w:lang w:val="en-US" w:eastAsia="zh-CN"/>
                      <w14:textFill>
                        <w14:solidFill>
                          <w14:schemeClr w14:val="tx1"/>
                        </w14:solidFill>
                      </w14:textFill>
                    </w:rPr>
                    <w:t>下料成品</w:t>
                  </w:r>
                  <w:r>
                    <w:rPr>
                      <w:rFonts w:hint="eastAsia"/>
                      <w:color w:val="000000" w:themeColor="text1"/>
                      <w:szCs w:val="21"/>
                      <w:lang w:eastAsia="zh-CN"/>
                      <w14:textFill>
                        <w14:solidFill>
                          <w14:schemeClr w14:val="tx1"/>
                        </w14:solidFill>
                      </w14:textFill>
                    </w:rPr>
                    <w:t>）</w:t>
                  </w:r>
                </w:p>
              </w:tc>
              <w:tc>
                <w:tcPr>
                  <w:tcW w:w="426" w:type="pct"/>
                  <w:vAlign w:val="center"/>
                </w:tcPr>
                <w:p w14:paraId="6540CEA3">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p>
              </w:tc>
              <w:tc>
                <w:tcPr>
                  <w:tcW w:w="510" w:type="pct"/>
                  <w:vAlign w:val="center"/>
                </w:tcPr>
                <w:p w14:paraId="11EB2C30">
                  <w:pPr>
                    <w:widowControl/>
                    <w:adjustRightInd w:val="0"/>
                    <w:snapToGrid w:val="0"/>
                    <w:jc w:val="center"/>
                    <w:rPr>
                      <w:rFonts w:hint="eastAsia" w:eastAsia="宋体"/>
                      <w:color w:val="000000" w:themeColor="text1"/>
                      <w:kern w:val="0"/>
                      <w:szCs w:val="21"/>
                      <w:lang w:eastAsia="zh-CN"/>
                      <w14:textFill>
                        <w14:solidFill>
                          <w14:schemeClr w14:val="tx1"/>
                        </w14:solidFill>
                      </w14:textFill>
                    </w:rPr>
                  </w:pPr>
                  <w:r>
                    <w:rPr>
                      <w:color w:val="000000" w:themeColor="text1"/>
                      <w:kern w:val="0"/>
                      <w:szCs w:val="21"/>
                      <w14:textFill>
                        <w14:solidFill>
                          <w14:schemeClr w14:val="tx1"/>
                        </w14:solidFill>
                      </w14:textFill>
                    </w:rPr>
                    <w:t>5.5</w:t>
                  </w:r>
                </w:p>
              </w:tc>
              <w:tc>
                <w:tcPr>
                  <w:tcW w:w="696" w:type="pct"/>
                  <w:vAlign w:val="center"/>
                </w:tcPr>
                <w:p w14:paraId="1EC9BCFE">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75" w:type="pct"/>
                  <w:vAlign w:val="center"/>
                </w:tcPr>
                <w:p w14:paraId="2204278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500" w:type="pct"/>
                  <w:vMerge w:val="continue"/>
                  <w:vAlign w:val="center"/>
                </w:tcPr>
                <w:p w14:paraId="3E77E144">
                  <w:pPr>
                    <w:pStyle w:val="45"/>
                    <w:kinsoku w:val="0"/>
                    <w:autoSpaceDE/>
                    <w:autoSpaceDN/>
                    <w:spacing w:line="276" w:lineRule="exact"/>
                    <w:ind w:left="51" w:firstLine="0" w:firstLineChars="0"/>
                    <w:jc w:val="center"/>
                    <w:rPr>
                      <w:color w:val="000000" w:themeColor="text1"/>
                      <w:sz w:val="21"/>
                      <w:szCs w:val="21"/>
                      <w14:textFill>
                        <w14:solidFill>
                          <w14:schemeClr w14:val="tx1"/>
                        </w14:solidFill>
                      </w14:textFill>
                    </w:rPr>
                  </w:pPr>
                </w:p>
              </w:tc>
            </w:tr>
            <w:tr w14:paraId="698B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5FA796A6">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81" w:type="pct"/>
                  <w:vAlign w:val="center"/>
                </w:tcPr>
                <w:p w14:paraId="4F10469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不锈钢焊丝</w:t>
                  </w:r>
                </w:p>
              </w:tc>
              <w:tc>
                <w:tcPr>
                  <w:tcW w:w="426" w:type="pct"/>
                  <w:vAlign w:val="center"/>
                </w:tcPr>
                <w:p w14:paraId="67E40C7F">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t</w:t>
                  </w:r>
                </w:p>
              </w:tc>
              <w:tc>
                <w:tcPr>
                  <w:tcW w:w="510" w:type="pct"/>
                  <w:vAlign w:val="center"/>
                </w:tcPr>
                <w:p w14:paraId="4F4C9215">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10</w:t>
                  </w:r>
                </w:p>
              </w:tc>
              <w:tc>
                <w:tcPr>
                  <w:tcW w:w="696" w:type="pct"/>
                  <w:vAlign w:val="center"/>
                </w:tcPr>
                <w:p w14:paraId="4D7C5CE9">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50kg/卷</w:t>
                  </w:r>
                </w:p>
              </w:tc>
              <w:tc>
                <w:tcPr>
                  <w:tcW w:w="575" w:type="pct"/>
                  <w:vAlign w:val="center"/>
                </w:tcPr>
                <w:p w14:paraId="3456A119">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2</w:t>
                  </w:r>
                </w:p>
              </w:tc>
              <w:tc>
                <w:tcPr>
                  <w:tcW w:w="1500" w:type="pct"/>
                  <w:vAlign w:val="center"/>
                </w:tcPr>
                <w:p w14:paraId="75431B45">
                  <w:pPr>
                    <w:pStyle w:val="45"/>
                    <w:kinsoku w:val="0"/>
                    <w:autoSpaceDE/>
                    <w:autoSpaceDN/>
                    <w:spacing w:line="276" w:lineRule="exact"/>
                    <w:ind w:left="51"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外购成品，用于焊接</w:t>
                  </w:r>
                </w:p>
              </w:tc>
            </w:tr>
            <w:tr w14:paraId="6F72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44F379BE">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981" w:type="pct"/>
                  <w:vAlign w:val="center"/>
                </w:tcPr>
                <w:p w14:paraId="41ABF9F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氩气</w:t>
                  </w:r>
                </w:p>
              </w:tc>
              <w:tc>
                <w:tcPr>
                  <w:tcW w:w="426" w:type="pct"/>
                  <w:vAlign w:val="center"/>
                </w:tcPr>
                <w:p w14:paraId="38B2283B">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t</w:t>
                  </w:r>
                </w:p>
              </w:tc>
              <w:tc>
                <w:tcPr>
                  <w:tcW w:w="510" w:type="pct"/>
                  <w:vAlign w:val="center"/>
                </w:tcPr>
                <w:p w14:paraId="47731E43">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0.9</w:t>
                  </w:r>
                </w:p>
              </w:tc>
              <w:tc>
                <w:tcPr>
                  <w:tcW w:w="696" w:type="pct"/>
                  <w:vAlign w:val="center"/>
                </w:tcPr>
                <w:p w14:paraId="43ED4F74">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18kg/瓶</w:t>
                  </w:r>
                </w:p>
              </w:tc>
              <w:tc>
                <w:tcPr>
                  <w:tcW w:w="575" w:type="pct"/>
                  <w:vAlign w:val="center"/>
                </w:tcPr>
                <w:p w14:paraId="0804F2BF">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0.072</w:t>
                  </w:r>
                </w:p>
              </w:tc>
              <w:tc>
                <w:tcPr>
                  <w:tcW w:w="1500" w:type="pct"/>
                  <w:vAlign w:val="center"/>
                </w:tcPr>
                <w:p w14:paraId="102D9B79">
                  <w:pPr>
                    <w:pStyle w:val="45"/>
                    <w:kinsoku w:val="0"/>
                    <w:autoSpaceDE/>
                    <w:autoSpaceDN/>
                    <w:spacing w:line="276" w:lineRule="exact"/>
                    <w:ind w:left="51"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外购成品，用于焊接</w:t>
                  </w:r>
                </w:p>
              </w:tc>
            </w:tr>
            <w:tr w14:paraId="62AE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15C1D6B6">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981" w:type="pct"/>
                  <w:vAlign w:val="center"/>
                </w:tcPr>
                <w:p w14:paraId="3BE580A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液氮</w:t>
                  </w:r>
                </w:p>
              </w:tc>
              <w:tc>
                <w:tcPr>
                  <w:tcW w:w="426" w:type="pct"/>
                  <w:vAlign w:val="center"/>
                </w:tcPr>
                <w:p w14:paraId="1B82368B">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L</w:t>
                  </w:r>
                </w:p>
              </w:tc>
              <w:tc>
                <w:tcPr>
                  <w:tcW w:w="510" w:type="pct"/>
                  <w:vAlign w:val="center"/>
                </w:tcPr>
                <w:p w14:paraId="5BB115F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5000</w:t>
                  </w:r>
                </w:p>
              </w:tc>
              <w:tc>
                <w:tcPr>
                  <w:tcW w:w="696" w:type="pct"/>
                  <w:vAlign w:val="center"/>
                </w:tcPr>
                <w:p w14:paraId="0F86F1E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100L/罐</w:t>
                  </w:r>
                </w:p>
              </w:tc>
              <w:tc>
                <w:tcPr>
                  <w:tcW w:w="575" w:type="pct"/>
                  <w:vAlign w:val="center"/>
                </w:tcPr>
                <w:p w14:paraId="1465C8AF">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w:t>
                  </w:r>
                </w:p>
              </w:tc>
              <w:tc>
                <w:tcPr>
                  <w:tcW w:w="1500" w:type="pct"/>
                  <w:vAlign w:val="center"/>
                </w:tcPr>
                <w:p w14:paraId="5A9DE3CA">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外购成品，用于低温处理</w:t>
                  </w:r>
                </w:p>
              </w:tc>
            </w:tr>
            <w:tr w14:paraId="3040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75D75B7A">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8</w:t>
                  </w:r>
                </w:p>
              </w:tc>
              <w:tc>
                <w:tcPr>
                  <w:tcW w:w="981" w:type="pct"/>
                  <w:vAlign w:val="center"/>
                </w:tcPr>
                <w:p w14:paraId="34D8AE21">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液压油</w:t>
                  </w:r>
                </w:p>
              </w:tc>
              <w:tc>
                <w:tcPr>
                  <w:tcW w:w="426" w:type="pct"/>
                  <w:vAlign w:val="center"/>
                </w:tcPr>
                <w:p w14:paraId="0B894997">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t</w:t>
                  </w:r>
                </w:p>
              </w:tc>
              <w:tc>
                <w:tcPr>
                  <w:tcW w:w="510" w:type="pct"/>
                  <w:vAlign w:val="center"/>
                </w:tcPr>
                <w:p w14:paraId="67511C01">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2</w:t>
                  </w:r>
                </w:p>
              </w:tc>
              <w:tc>
                <w:tcPr>
                  <w:tcW w:w="696" w:type="pct"/>
                  <w:vAlign w:val="center"/>
                </w:tcPr>
                <w:p w14:paraId="6118BB7A">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180kg/桶</w:t>
                  </w:r>
                </w:p>
              </w:tc>
              <w:tc>
                <w:tcPr>
                  <w:tcW w:w="575" w:type="pct"/>
                  <w:vAlign w:val="center"/>
                </w:tcPr>
                <w:p w14:paraId="20D5CC7E">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0.36</w:t>
                  </w:r>
                </w:p>
              </w:tc>
              <w:tc>
                <w:tcPr>
                  <w:tcW w:w="1500" w:type="pct"/>
                  <w:vAlign w:val="center"/>
                </w:tcPr>
                <w:p w14:paraId="214AB091">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外购成品。</w:t>
                  </w:r>
                </w:p>
              </w:tc>
            </w:tr>
            <w:tr w14:paraId="619A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3358B895">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9</w:t>
                  </w:r>
                </w:p>
              </w:tc>
              <w:tc>
                <w:tcPr>
                  <w:tcW w:w="981" w:type="pct"/>
                  <w:vAlign w:val="center"/>
                </w:tcPr>
                <w:p w14:paraId="5AE7257F">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切削液</w:t>
                  </w:r>
                </w:p>
              </w:tc>
              <w:tc>
                <w:tcPr>
                  <w:tcW w:w="426" w:type="pct"/>
                  <w:vAlign w:val="center"/>
                </w:tcPr>
                <w:p w14:paraId="305C735E">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t</w:t>
                  </w:r>
                </w:p>
              </w:tc>
              <w:tc>
                <w:tcPr>
                  <w:tcW w:w="510" w:type="pct"/>
                  <w:vAlign w:val="center"/>
                </w:tcPr>
                <w:p w14:paraId="27DC15BD">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1.5</w:t>
                  </w:r>
                </w:p>
              </w:tc>
              <w:tc>
                <w:tcPr>
                  <w:tcW w:w="696" w:type="pct"/>
                  <w:vAlign w:val="center"/>
                </w:tcPr>
                <w:p w14:paraId="26FFB023">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150kg/桶</w:t>
                  </w:r>
                </w:p>
              </w:tc>
              <w:tc>
                <w:tcPr>
                  <w:tcW w:w="575" w:type="pct"/>
                  <w:vAlign w:val="center"/>
                </w:tcPr>
                <w:p w14:paraId="53F384B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w:t>
                  </w:r>
                </w:p>
              </w:tc>
              <w:tc>
                <w:tcPr>
                  <w:tcW w:w="1500" w:type="pct"/>
                  <w:vAlign w:val="center"/>
                </w:tcPr>
                <w:p w14:paraId="44598DF2">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外购成品，</w:t>
                  </w:r>
                  <w:r>
                    <w:rPr>
                      <w:color w:val="000000" w:themeColor="text1"/>
                      <w:kern w:val="0"/>
                      <w:szCs w:val="21"/>
                      <w14:textFill>
                        <w14:solidFill>
                          <w14:schemeClr w14:val="tx1"/>
                        </w14:solidFill>
                      </w14:textFill>
                    </w:rPr>
                    <w:t>兑水比例为1:10。</w:t>
                  </w:r>
                </w:p>
              </w:tc>
            </w:tr>
            <w:tr w14:paraId="3102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46EA259D">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10</w:t>
                  </w:r>
                </w:p>
              </w:tc>
              <w:tc>
                <w:tcPr>
                  <w:tcW w:w="981" w:type="pct"/>
                  <w:vAlign w:val="center"/>
                </w:tcPr>
                <w:p w14:paraId="1C1360B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淬火油</w:t>
                  </w:r>
                </w:p>
              </w:tc>
              <w:tc>
                <w:tcPr>
                  <w:tcW w:w="426" w:type="pct"/>
                  <w:vAlign w:val="center"/>
                </w:tcPr>
                <w:p w14:paraId="1E9AE11E">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p>
              </w:tc>
              <w:tc>
                <w:tcPr>
                  <w:tcW w:w="510" w:type="pct"/>
                  <w:vAlign w:val="center"/>
                </w:tcPr>
                <w:p w14:paraId="2B02916C">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696" w:type="pct"/>
                  <w:vAlign w:val="center"/>
                </w:tcPr>
                <w:p w14:paraId="79122A9A">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50kg/桶</w:t>
                  </w:r>
                </w:p>
              </w:tc>
              <w:tc>
                <w:tcPr>
                  <w:tcW w:w="575" w:type="pct"/>
                  <w:vAlign w:val="center"/>
                </w:tcPr>
                <w:p w14:paraId="32DB9219">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w:t>
                  </w:r>
                </w:p>
              </w:tc>
              <w:tc>
                <w:tcPr>
                  <w:tcW w:w="1500" w:type="pct"/>
                  <w:vAlign w:val="center"/>
                </w:tcPr>
                <w:p w14:paraId="3CEC1D62">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外购，10kg/桶。</w:t>
                  </w:r>
                </w:p>
              </w:tc>
            </w:tr>
            <w:tr w14:paraId="5D3C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592D25DF">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11</w:t>
                  </w:r>
                </w:p>
              </w:tc>
              <w:tc>
                <w:tcPr>
                  <w:tcW w:w="981" w:type="pct"/>
                  <w:vAlign w:val="center"/>
                </w:tcPr>
                <w:p w14:paraId="4E0A4D10">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劳保手套</w:t>
                  </w:r>
                </w:p>
              </w:tc>
              <w:tc>
                <w:tcPr>
                  <w:tcW w:w="426" w:type="pct"/>
                  <w:vAlign w:val="center"/>
                </w:tcPr>
                <w:p w14:paraId="53C029F3">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双</w:t>
                  </w:r>
                </w:p>
              </w:tc>
              <w:tc>
                <w:tcPr>
                  <w:tcW w:w="510" w:type="pct"/>
                  <w:vAlign w:val="center"/>
                </w:tcPr>
                <w:p w14:paraId="1F2211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696" w:type="pct"/>
                  <w:vAlign w:val="center"/>
                </w:tcPr>
                <w:p w14:paraId="5719A24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75" w:type="pct"/>
                  <w:vAlign w:val="center"/>
                </w:tcPr>
                <w:p w14:paraId="0B0A7CC3">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1500" w:type="pct"/>
                  <w:vAlign w:val="center"/>
                </w:tcPr>
                <w:p w14:paraId="46A236A9">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871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404151EC">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12</w:t>
                  </w:r>
                </w:p>
              </w:tc>
              <w:tc>
                <w:tcPr>
                  <w:tcW w:w="981" w:type="pct"/>
                  <w:vAlign w:val="center"/>
                </w:tcPr>
                <w:p w14:paraId="7135F941">
                  <w:pPr>
                    <w:pStyle w:val="46"/>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包装材料</w:t>
                  </w:r>
                </w:p>
              </w:tc>
              <w:tc>
                <w:tcPr>
                  <w:tcW w:w="426" w:type="pct"/>
                  <w:vAlign w:val="center"/>
                </w:tcPr>
                <w:p w14:paraId="156008AD">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t</w:t>
                  </w:r>
                </w:p>
              </w:tc>
              <w:tc>
                <w:tcPr>
                  <w:tcW w:w="510" w:type="pct"/>
                  <w:vAlign w:val="center"/>
                </w:tcPr>
                <w:p w14:paraId="3F653AD0">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p>
              </w:tc>
              <w:tc>
                <w:tcPr>
                  <w:tcW w:w="696" w:type="pct"/>
                  <w:vAlign w:val="center"/>
                </w:tcPr>
                <w:p w14:paraId="4C9DAAB3">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75" w:type="pct"/>
                  <w:vAlign w:val="center"/>
                </w:tcPr>
                <w:p w14:paraId="4D0643EC">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w:t>
                  </w:r>
                </w:p>
              </w:tc>
              <w:tc>
                <w:tcPr>
                  <w:tcW w:w="1500" w:type="pct"/>
                  <w:vAlign w:val="center"/>
                </w:tcPr>
                <w:p w14:paraId="356310EE">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642D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010A76C5">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981" w:type="pct"/>
                  <w:vAlign w:val="center"/>
                </w:tcPr>
                <w:p w14:paraId="0435EF4A">
                  <w:pPr>
                    <w:pStyle w:val="46"/>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螺栓、螺母</w:t>
                  </w:r>
                  <w:r>
                    <w:rPr>
                      <w:rFonts w:hint="eastAsia"/>
                      <w:color w:val="000000" w:themeColor="text1"/>
                      <w:szCs w:val="21"/>
                      <w:lang w:eastAsia="zh-CN"/>
                      <w14:textFill>
                        <w14:solidFill>
                          <w14:schemeClr w14:val="tx1"/>
                        </w14:solidFill>
                      </w14:textFill>
                    </w:rPr>
                    <w:t>等</w:t>
                  </w:r>
                  <w:r>
                    <w:rPr>
                      <w:color w:val="000000" w:themeColor="text1"/>
                      <w:szCs w:val="21"/>
                      <w14:textFill>
                        <w14:solidFill>
                          <w14:schemeClr w14:val="tx1"/>
                        </w14:solidFill>
                      </w14:textFill>
                    </w:rPr>
                    <w:t>配件</w:t>
                  </w:r>
                </w:p>
              </w:tc>
              <w:tc>
                <w:tcPr>
                  <w:tcW w:w="426" w:type="pct"/>
                  <w:vAlign w:val="center"/>
                </w:tcPr>
                <w:p w14:paraId="0ABB96A8">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510" w:type="pct"/>
                  <w:vAlign w:val="center"/>
                </w:tcPr>
                <w:p w14:paraId="2DA42B1C">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696" w:type="pct"/>
                  <w:vAlign w:val="center"/>
                </w:tcPr>
                <w:p w14:paraId="47169DB5">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75" w:type="pct"/>
                  <w:vAlign w:val="center"/>
                </w:tcPr>
                <w:p w14:paraId="02C2E383">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w:t>
                  </w:r>
                </w:p>
              </w:tc>
              <w:tc>
                <w:tcPr>
                  <w:tcW w:w="1500" w:type="pct"/>
                  <w:vAlign w:val="center"/>
                </w:tcPr>
                <w:p w14:paraId="3005F4D7">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外购成品</w:t>
                  </w:r>
                </w:p>
              </w:tc>
            </w:tr>
            <w:tr w14:paraId="1EBF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6BC3D7A4">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p>
              </w:tc>
              <w:tc>
                <w:tcPr>
                  <w:tcW w:w="981" w:type="pct"/>
                  <w:vAlign w:val="center"/>
                </w:tcPr>
                <w:p w14:paraId="1C11D70C">
                  <w:pPr>
                    <w:pStyle w:val="46"/>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PAC</w:t>
                  </w:r>
                </w:p>
              </w:tc>
              <w:tc>
                <w:tcPr>
                  <w:tcW w:w="426" w:type="pct"/>
                  <w:vAlign w:val="center"/>
                </w:tcPr>
                <w:p w14:paraId="189BFF69">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t</w:t>
                  </w:r>
                </w:p>
              </w:tc>
              <w:tc>
                <w:tcPr>
                  <w:tcW w:w="510" w:type="pct"/>
                  <w:vAlign w:val="center"/>
                </w:tcPr>
                <w:p w14:paraId="5860BEDA">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696" w:type="pct"/>
                  <w:vAlign w:val="center"/>
                </w:tcPr>
                <w:p w14:paraId="4FEA7EE7">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50kg/</w:t>
                  </w:r>
                  <w:r>
                    <w:rPr>
                      <w:rFonts w:hint="eastAsia"/>
                      <w:color w:val="000000" w:themeColor="text1"/>
                      <w:szCs w:val="21"/>
                      <w:lang w:val="en-US" w:eastAsia="zh-CN"/>
                      <w14:textFill>
                        <w14:solidFill>
                          <w14:schemeClr w14:val="tx1"/>
                        </w14:solidFill>
                      </w14:textFill>
                    </w:rPr>
                    <w:t>袋</w:t>
                  </w:r>
                </w:p>
              </w:tc>
              <w:tc>
                <w:tcPr>
                  <w:tcW w:w="575" w:type="pct"/>
                  <w:vAlign w:val="center"/>
                </w:tcPr>
                <w:p w14:paraId="15F24EF8">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1500" w:type="pct"/>
                  <w:vMerge w:val="restart"/>
                  <w:vAlign w:val="center"/>
                </w:tcPr>
                <w:p w14:paraId="34B5BACE">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外购成品</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用于废水沉淀池</w:t>
                  </w:r>
                </w:p>
              </w:tc>
            </w:tr>
            <w:tr w14:paraId="3A51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5867645F">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981" w:type="pct"/>
                  <w:vAlign w:val="center"/>
                </w:tcPr>
                <w:p w14:paraId="54D0466A">
                  <w:pPr>
                    <w:pStyle w:val="46"/>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PAM</w:t>
                  </w:r>
                </w:p>
              </w:tc>
              <w:tc>
                <w:tcPr>
                  <w:tcW w:w="426" w:type="pct"/>
                  <w:vAlign w:val="center"/>
                </w:tcPr>
                <w:p w14:paraId="23C8ABCB">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t</w:t>
                  </w:r>
                </w:p>
              </w:tc>
              <w:tc>
                <w:tcPr>
                  <w:tcW w:w="510" w:type="pct"/>
                  <w:vAlign w:val="center"/>
                </w:tcPr>
                <w:p w14:paraId="447E8D96">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696" w:type="pct"/>
                  <w:vAlign w:val="center"/>
                </w:tcPr>
                <w:p w14:paraId="15EE507A">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50kg/</w:t>
                  </w:r>
                  <w:r>
                    <w:rPr>
                      <w:rFonts w:hint="eastAsia"/>
                      <w:color w:val="000000" w:themeColor="text1"/>
                      <w:szCs w:val="21"/>
                      <w:lang w:val="en-US" w:eastAsia="zh-CN"/>
                      <w14:textFill>
                        <w14:solidFill>
                          <w14:schemeClr w14:val="tx1"/>
                        </w14:solidFill>
                      </w14:textFill>
                    </w:rPr>
                    <w:t>袋</w:t>
                  </w:r>
                </w:p>
              </w:tc>
              <w:tc>
                <w:tcPr>
                  <w:tcW w:w="575" w:type="pct"/>
                  <w:vAlign w:val="center"/>
                </w:tcPr>
                <w:p w14:paraId="59C9D6D3">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1500" w:type="pct"/>
                  <w:vMerge w:val="continue"/>
                  <w:vAlign w:val="center"/>
                </w:tcPr>
                <w:p w14:paraId="37C66241">
                  <w:pPr>
                    <w:widowControl/>
                    <w:adjustRightInd w:val="0"/>
                    <w:snapToGrid w:val="0"/>
                    <w:jc w:val="center"/>
                    <w:rPr>
                      <w:color w:val="000000" w:themeColor="text1"/>
                      <w:kern w:val="0"/>
                      <w:szCs w:val="21"/>
                      <w14:textFill>
                        <w14:solidFill>
                          <w14:schemeClr w14:val="tx1"/>
                        </w14:solidFill>
                      </w14:textFill>
                    </w:rPr>
                  </w:pPr>
                </w:p>
              </w:tc>
            </w:tr>
            <w:tr w14:paraId="458F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7A8B9D7A">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能源消耗</w:t>
                  </w:r>
                </w:p>
              </w:tc>
            </w:tr>
            <w:tr w14:paraId="2986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00FF74FD">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w:t>
                  </w:r>
                </w:p>
              </w:tc>
              <w:tc>
                <w:tcPr>
                  <w:tcW w:w="981" w:type="pct"/>
                  <w:vAlign w:val="center"/>
                </w:tcPr>
                <w:p w14:paraId="701D9828">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426" w:type="pct"/>
                  <w:vAlign w:val="center"/>
                </w:tcPr>
                <w:p w14:paraId="59BDE76A">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510" w:type="pct"/>
                  <w:vAlign w:val="center"/>
                </w:tcPr>
                <w:p w14:paraId="748FDB00">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498</w:t>
                  </w:r>
                </w:p>
              </w:tc>
              <w:tc>
                <w:tcPr>
                  <w:tcW w:w="696" w:type="pct"/>
                  <w:vAlign w:val="center"/>
                </w:tcPr>
                <w:p w14:paraId="14203D99">
                  <w:pPr>
                    <w:widowControl/>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575" w:type="pct"/>
                  <w:vAlign w:val="center"/>
                </w:tcPr>
                <w:p w14:paraId="3BE221D6">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500" w:type="pct"/>
                  <w:vAlign w:val="center"/>
                </w:tcPr>
                <w:p w14:paraId="10DB2D42">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市政给水管网</w:t>
                  </w:r>
                </w:p>
              </w:tc>
            </w:tr>
            <w:tr w14:paraId="7ADB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vAlign w:val="center"/>
                </w:tcPr>
                <w:p w14:paraId="36BB1DF4">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w:t>
                  </w:r>
                </w:p>
              </w:tc>
              <w:tc>
                <w:tcPr>
                  <w:tcW w:w="981" w:type="pct"/>
                  <w:vAlign w:val="center"/>
                </w:tcPr>
                <w:p w14:paraId="32488CC7">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426" w:type="pct"/>
                  <w:vAlign w:val="center"/>
                </w:tcPr>
                <w:p w14:paraId="1C07825A">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万度</w:t>
                  </w:r>
                </w:p>
              </w:tc>
              <w:tc>
                <w:tcPr>
                  <w:tcW w:w="510" w:type="pct"/>
                  <w:vAlign w:val="center"/>
                </w:tcPr>
                <w:p w14:paraId="1CFC79F0">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696" w:type="pct"/>
                  <w:vAlign w:val="center"/>
                </w:tcPr>
                <w:p w14:paraId="6D6FAAFF">
                  <w:pPr>
                    <w:widowControl/>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575" w:type="pct"/>
                  <w:vAlign w:val="center"/>
                </w:tcPr>
                <w:p w14:paraId="660E67CC">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500" w:type="pct"/>
                  <w:vAlign w:val="center"/>
                </w:tcPr>
                <w:p w14:paraId="6F53470A">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园区供电网络</w:t>
                  </w:r>
                </w:p>
              </w:tc>
            </w:tr>
          </w:tbl>
          <w:p w14:paraId="49438B3C">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（2）原辅材料理化性质</w:t>
            </w:r>
          </w:p>
          <w:p w14:paraId="3E20308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其原辅料成分及理化性质见下表2-6。</w:t>
            </w:r>
          </w:p>
          <w:p w14:paraId="47E2DCB6">
            <w:pPr>
              <w:adjustRightInd w:val="0"/>
              <w:snapToGrid w:val="0"/>
              <w:ind w:firstLine="48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表2-6原辅料成分理化性质一览表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270"/>
              <w:gridCol w:w="6829"/>
            </w:tblGrid>
            <w:tr w14:paraId="2152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49A5019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736" w:type="pct"/>
                  <w:vAlign w:val="center"/>
                </w:tcPr>
                <w:p w14:paraId="1119E31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原辅料名称</w:t>
                  </w:r>
                </w:p>
              </w:tc>
              <w:tc>
                <w:tcPr>
                  <w:tcW w:w="3957" w:type="pct"/>
                  <w:vAlign w:val="center"/>
                </w:tcPr>
                <w:p w14:paraId="1E7711D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主要成分及性质</w:t>
                  </w:r>
                </w:p>
              </w:tc>
            </w:tr>
            <w:tr w14:paraId="2D5C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2DBDD7E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736" w:type="pct"/>
                  <w:vAlign w:val="center"/>
                </w:tcPr>
                <w:p w14:paraId="4DD2D83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淬火油</w:t>
                  </w:r>
                </w:p>
              </w:tc>
              <w:tc>
                <w:tcPr>
                  <w:tcW w:w="3957" w:type="pct"/>
                  <w:vAlign w:val="center"/>
                </w:tcPr>
                <w:p w14:paraId="791AD3AC">
                  <w:pPr>
                    <w:widowControl/>
                    <w:jc w:val="left"/>
                    <w:rPr>
                      <w:color w:val="000000" w:themeColor="text1"/>
                      <w14:textFill>
                        <w14:solidFill>
                          <w14:schemeClr w14:val="tx1"/>
                        </w14:solidFill>
                      </w14:textFill>
                    </w:rPr>
                  </w:pPr>
                  <w:r>
                    <w:rPr>
                      <w:color w:val="000000" w:themeColor="text1"/>
                      <w:kern w:val="0"/>
                      <w:szCs w:val="21"/>
                      <w:lang w:bidi="ar"/>
                      <w14:textFill>
                        <w14:solidFill>
                          <w14:schemeClr w14:val="tx1"/>
                        </w14:solidFill>
                      </w14:textFill>
                    </w:rPr>
                    <w:t>为混合物，主要成分包括高度精炼的矿物油和石油添加剂。</w:t>
                  </w:r>
                  <w:r>
                    <w:rPr>
                      <w:color w:val="000000" w:themeColor="text1"/>
                      <w14:textFill>
                        <w14:solidFill>
                          <w14:schemeClr w14:val="tx1"/>
                        </w14:solidFill>
                      </w14:textFill>
                    </w:rPr>
                    <w:t>基础油90%~100%，添加剂＜10%，</w:t>
                  </w:r>
                  <w:r>
                    <w:rPr>
                      <w:color w:val="000000" w:themeColor="text1"/>
                      <w:kern w:val="0"/>
                      <w:szCs w:val="21"/>
                      <w:lang w:bidi="ar"/>
                      <w14:textFill>
                        <w14:solidFill>
                          <w14:schemeClr w14:val="tx1"/>
                        </w14:solidFill>
                      </w14:textFill>
                    </w:rPr>
                    <w:t>产品闪点大于180℃，不属危险品。遇高热、明火及强氧化剂，易引起燃烧。透明油状液体，黄色至褐色；无气味，闪点195℃，不溶于水，预期毒性低。LD50：&gt;5g/kg</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兔经皮</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，&gt;5g/kg</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鼠经口</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w:t>
                  </w:r>
                </w:p>
              </w:tc>
            </w:tr>
            <w:tr w14:paraId="05A2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4CF34E7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736" w:type="pct"/>
                  <w:vAlign w:val="center"/>
                </w:tcPr>
                <w:p w14:paraId="0ACAF3D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液压油</w:t>
                  </w:r>
                </w:p>
              </w:tc>
              <w:tc>
                <w:tcPr>
                  <w:tcW w:w="3957" w:type="pct"/>
                  <w:vAlign w:val="center"/>
                </w:tcPr>
                <w:p w14:paraId="3FA84DAA">
                  <w:pPr>
                    <w:pStyle w:val="85"/>
                    <w:ind w:firstLine="420" w:firstLineChars="200"/>
                    <w:jc w:val="both"/>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淡黄色液体；引燃温度220~500℃；闪点224℃；成分含矿物油、添加剂、抗磨剂等。淡黄色到褐色油状液体，无气味或略带异味，不溶于水，遇明火、高热可燃。急性吸入，可出现乏力、头晕、头痛、恶心，严重者可引起油脂性肺炎。慢接触者，暴露部位可发生油性痤疮和接触性皮炎。可引起神经衰弱综合症，呼吸道和眼刺激症状及慢性油脂性肺炎。</w:t>
                  </w:r>
                </w:p>
              </w:tc>
            </w:tr>
            <w:tr w14:paraId="35DE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365E01F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736" w:type="pct"/>
                  <w:vAlign w:val="center"/>
                </w:tcPr>
                <w:p w14:paraId="01787C2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切削液</w:t>
                  </w:r>
                </w:p>
              </w:tc>
              <w:tc>
                <w:tcPr>
                  <w:tcW w:w="3957" w:type="pct"/>
                  <w:vAlign w:val="center"/>
                </w:tcPr>
                <w:p w14:paraId="289F9C14">
                  <w:pPr>
                    <w:pStyle w:val="85"/>
                    <w:ind w:firstLine="420" w:firstLineChars="200"/>
                    <w:jc w:val="both"/>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切削液（cuttingfluid,coolant）是一种用在金属切削、磨加工过程中，用来冷却和润滑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"https://baike.baidu.com/item/%E5%88%80%E5%85%B7/495981" \t "_blank" </w:instrText>
                  </w:r>
                  <w:r>
                    <w:rPr>
                      <w:color w:val="000000" w:themeColor="text1"/>
                      <w14:textFill>
                        <w14:solidFill>
                          <w14:schemeClr w14:val="tx1"/>
                        </w14:solidFill>
                      </w14:textFill>
                    </w:rPr>
                    <w:fldChar w:fldCharType="separate"/>
                  </w:r>
                  <w:r>
                    <w:rPr>
                      <w:rStyle w:val="29"/>
                      <w:rFonts w:cs="Times New Roman"/>
                      <w:color w:val="000000" w:themeColor="text1"/>
                      <w:szCs w:val="21"/>
                      <w:u w:val="none"/>
                      <w:shd w:val="clear" w:color="auto" w:fill="FFFFFF"/>
                      <w14:textFill>
                        <w14:solidFill>
                          <w14:schemeClr w14:val="tx1"/>
                        </w14:solidFill>
                      </w14:textFill>
                    </w:rPr>
                    <w:t>刀具</w:t>
                  </w:r>
                  <w:r>
                    <w:rPr>
                      <w:rStyle w:val="29"/>
                      <w:rFonts w:cs="Times New Roman"/>
                      <w:color w:val="000000" w:themeColor="text1"/>
                      <w:szCs w:val="21"/>
                      <w:u w:val="none"/>
                      <w:shd w:val="clear" w:color="auto" w:fill="FFFFFF"/>
                      <w14:textFill>
                        <w14:solidFill>
                          <w14:schemeClr w14:val="tx1"/>
                        </w14:solidFill>
                      </w14:textFill>
                    </w:rPr>
                    <w:fldChar w:fldCharType="end"/>
                  </w:r>
                  <w:r>
                    <w:rPr>
                      <w:rFonts w:cs="Times New Roman"/>
                      <w:color w:val="000000" w:themeColor="text1"/>
                      <w:shd w:val="clear" w:color="auto" w:fill="FFFFFF"/>
                      <w14:textFill>
                        <w14:solidFill>
                          <w14:schemeClr w14:val="tx1"/>
                        </w14:solidFill>
                      </w14:textFill>
                    </w:rPr>
                    <w:t>和加工件的工业用液体，切削液由多种超强功能助剂经科学复合配合而成，同时具备良好的冷却性能、润滑性能、防锈性能、除油清洗功能、防腐功能、易稀释特点。克服了传统皂基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"https://baike.baidu.com/item/%E4%B9%B3%E5%8C%96%E6%B6%B2/5397485" \t "_blank" </w:instrText>
                  </w:r>
                  <w:r>
                    <w:rPr>
                      <w:color w:val="000000" w:themeColor="text1"/>
                      <w14:textFill>
                        <w14:solidFill>
                          <w14:schemeClr w14:val="tx1"/>
                        </w14:solidFill>
                      </w14:textFill>
                    </w:rPr>
                    <w:fldChar w:fldCharType="separate"/>
                  </w:r>
                  <w:r>
                    <w:rPr>
                      <w:rStyle w:val="29"/>
                      <w:rFonts w:cs="Times New Roman"/>
                      <w:color w:val="000000" w:themeColor="text1"/>
                      <w:szCs w:val="21"/>
                      <w:u w:val="none"/>
                      <w:shd w:val="clear" w:color="auto" w:fill="FFFFFF"/>
                      <w14:textFill>
                        <w14:solidFill>
                          <w14:schemeClr w14:val="tx1"/>
                        </w14:solidFill>
                      </w14:textFill>
                    </w:rPr>
                    <w:t>乳化液</w:t>
                  </w:r>
                  <w:r>
                    <w:rPr>
                      <w:rStyle w:val="29"/>
                      <w:rFonts w:cs="Times New Roman"/>
                      <w:color w:val="000000" w:themeColor="text1"/>
                      <w:szCs w:val="21"/>
                      <w:u w:val="none"/>
                      <w:shd w:val="clear" w:color="auto" w:fill="FFFFFF"/>
                      <w14:textFill>
                        <w14:solidFill>
                          <w14:schemeClr w14:val="tx1"/>
                        </w14:solidFill>
                      </w14:textFill>
                    </w:rPr>
                    <w:fldChar w:fldCharType="end"/>
                  </w:r>
                  <w:r>
                    <w:rPr>
                      <w:rFonts w:cs="Times New Roman"/>
                      <w:color w:val="000000" w:themeColor="text1"/>
                      <w:shd w:val="clear" w:color="auto" w:fill="FFFFFF"/>
                      <w14:textFill>
                        <w14:solidFill>
                          <w14:schemeClr w14:val="tx1"/>
                        </w14:solidFill>
                      </w14:textFill>
                    </w:rPr>
                    <w:t>夏天易臭、冬天难稀释、防锈效果差</w:t>
                  </w:r>
                  <w:r>
                    <w:rPr>
                      <w:rFonts w:hint="eastAsia" w:cs="Times New Roman"/>
                      <w:color w:val="000000" w:themeColor="text1"/>
                      <w:shd w:val="clear" w:color="auto" w:fill="FFFFFF"/>
                      <w14:textFill>
                        <w14:solidFill>
                          <w14:schemeClr w14:val="tx1"/>
                        </w14:solidFill>
                      </w14:textFill>
                    </w:rPr>
                    <w:t>的</w:t>
                  </w:r>
                  <w:r>
                    <w:rPr>
                      <w:rFonts w:cs="Times New Roman"/>
                      <w:color w:val="000000" w:themeColor="text1"/>
                      <w:shd w:val="clear" w:color="auto" w:fill="FFFFFF"/>
                      <w14:textFill>
                        <w14:solidFill>
                          <w14:schemeClr w14:val="tx1"/>
                        </w14:solidFill>
                      </w14:textFill>
                    </w:rPr>
                    <w:t>毛病，对车床漆也无不良影响，适用于黑色金属的切削及磨加工，属当前最领先的磨削产品。切削液各项指标均优于皂化油，它具有良好的冷却、清洗、防锈等特点，并且具备无毒、无味、对人体无侵蚀、对设备不腐蚀、对环境不污染等特点。</w:t>
                  </w:r>
                </w:p>
              </w:tc>
            </w:tr>
            <w:tr w14:paraId="413F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3096ED9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736" w:type="pct"/>
                  <w:vAlign w:val="center"/>
                </w:tcPr>
                <w:p w14:paraId="7ED0AB85">
                  <w:pPr>
                    <w:pStyle w:val="85"/>
                    <w:ind w:firstLine="210" w:firstLineChars="100"/>
                    <w:jc w:val="both"/>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液氮</w:t>
                  </w:r>
                </w:p>
              </w:tc>
              <w:tc>
                <w:tcPr>
                  <w:tcW w:w="3957" w:type="pct"/>
                  <w:vAlign w:val="center"/>
                </w:tcPr>
                <w:p w14:paraId="028D8F14">
                  <w:pPr>
                    <w:pStyle w:val="85"/>
                    <w:ind w:firstLine="420" w:firstLineChars="200"/>
                    <w:jc w:val="both"/>
                    <w:rPr>
                      <w:rFonts w:cs="Times New Roman"/>
                      <w:color w:val="000000" w:themeColor="text1"/>
                      <w:shd w:val="clear" w:color="auto" w:fill="FFFFFF"/>
                      <w14:textFill>
                        <w14:solidFill>
                          <w14:schemeClr w14:val="tx1"/>
                        </w14:solidFill>
                      </w14:textFill>
                    </w:rPr>
                  </w:pPr>
                  <w:r>
                    <w:rPr>
                      <w:rFonts w:cs="Times New Roman"/>
                      <w:color w:val="000000" w:themeColor="text1"/>
                      <w:shd w:val="clear" w:color="auto" w:fill="FFFFFF"/>
                      <w14:textFill>
                        <w14:solidFill>
                          <w14:schemeClr w14:val="tx1"/>
                        </w14:solidFill>
                      </w14:textFill>
                    </w:rPr>
                    <w:t>液态的氮气。是惰性的，无色，无臭，无</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"https://baike.so.com/doc/6094923-6308031.html" \t "https://baike.so.com/doc/_blank" </w:instrText>
                  </w:r>
                  <w:r>
                    <w:rPr>
                      <w:color w:val="000000" w:themeColor="text1"/>
                      <w14:textFill>
                        <w14:solidFill>
                          <w14:schemeClr w14:val="tx1"/>
                        </w14:solidFill>
                      </w14:textFill>
                    </w:rPr>
                    <w:fldChar w:fldCharType="separate"/>
                  </w:r>
                  <w:r>
                    <w:rPr>
                      <w:rFonts w:cs="Times New Roman"/>
                      <w:color w:val="000000" w:themeColor="text1"/>
                      <w:shd w:val="clear" w:color="auto" w:fill="FFFFFF"/>
                      <w14:textFill>
                        <w14:solidFill>
                          <w14:schemeClr w14:val="tx1"/>
                        </w14:solidFill>
                      </w14:textFill>
                    </w:rPr>
                    <w:t>腐蚀性</w:t>
                  </w:r>
                  <w:r>
                    <w:rPr>
                      <w:rFonts w:cs="Times New Roman"/>
                      <w:color w:val="000000" w:themeColor="text1"/>
                      <w:shd w:val="clear" w:color="auto" w:fill="FFFFFF"/>
                      <w14:textFill>
                        <w14:solidFill>
                          <w14:schemeClr w14:val="tx1"/>
                        </w14:solidFill>
                      </w14:textFill>
                    </w:rPr>
                    <w:fldChar w:fldCharType="end"/>
                  </w:r>
                  <w:r>
                    <w:rPr>
                      <w:rFonts w:cs="Times New Roman"/>
                      <w:color w:val="000000" w:themeColor="text1"/>
                      <w:shd w:val="clear" w:color="auto" w:fill="FFFFFF"/>
                      <w14:textFill>
                        <w14:solidFill>
                          <w14:schemeClr w14:val="tx1"/>
                        </w14:solidFill>
                      </w14:textFill>
                    </w:rPr>
                    <w:t>，不可燃，温度极低。氮构成了大气的大部分</w:t>
                  </w:r>
                  <w:r>
                    <w:rPr>
                      <w:rFonts w:hint="eastAsia" w:cs="Times New Roman"/>
                      <w:color w:val="000000" w:themeColor="text1"/>
                      <w:shd w:val="clear" w:color="auto" w:fill="FFFFFF"/>
                      <w14:textFill>
                        <w14:solidFill>
                          <w14:schemeClr w14:val="tx1"/>
                        </w14:solidFill>
                      </w14:textFill>
                    </w:rPr>
                    <w:t>（</w:t>
                  </w:r>
                  <w:r>
                    <w:rPr>
                      <w:rFonts w:cs="Times New Roman"/>
                      <w:color w:val="000000" w:themeColor="text1"/>
                      <w:shd w:val="clear" w:color="auto" w:fill="FFFFFF"/>
                      <w14:textFill>
                        <w14:solidFill>
                          <w14:schemeClr w14:val="tx1"/>
                        </w14:solidFill>
                      </w14:textFill>
                    </w:rPr>
                    <w:t>体积比78.03%，重量比75.5%)。氮是不活泼的，不支持燃烧。汽化时大量吸热接触造成冻伤。在常压下，液氮温度为-196℃;1立方米的液氮可以膨胀至696立方米21°C的纯气态氮。分子量28，熔点-209.8℃，沸点-196.56℃，微溶于水，</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"https://baike.so.com/doc/2751462-2903816.html" \t "https://baike.so.com/doc/_blank" </w:instrText>
                  </w:r>
                  <w:r>
                    <w:rPr>
                      <w:color w:val="000000" w:themeColor="text1"/>
                      <w14:textFill>
                        <w14:solidFill>
                          <w14:schemeClr w14:val="tx1"/>
                        </w14:solidFill>
                      </w14:textFill>
                    </w:rPr>
                    <w:fldChar w:fldCharType="separate"/>
                  </w:r>
                  <w:r>
                    <w:rPr>
                      <w:rFonts w:cs="Times New Roman"/>
                      <w:color w:val="000000" w:themeColor="text1"/>
                      <w:shd w:val="clear" w:color="auto" w:fill="FFFFFF"/>
                      <w14:textFill>
                        <w14:solidFill>
                          <w14:schemeClr w14:val="tx1"/>
                        </w14:solidFill>
                      </w14:textFill>
                    </w:rPr>
                    <w:t>相对密度</w:t>
                  </w:r>
                  <w:r>
                    <w:rPr>
                      <w:rFonts w:cs="Times New Roman"/>
                      <w:color w:val="000000" w:themeColor="text1"/>
                      <w:shd w:val="clear" w:color="auto" w:fill="FFFFFF"/>
                      <w14:textFill>
                        <w14:solidFill>
                          <w14:schemeClr w14:val="tx1"/>
                        </w14:solidFill>
                      </w14:textFill>
                    </w:rPr>
                    <w:fldChar w:fldCharType="end"/>
                  </w:r>
                  <w:r>
                    <w:rPr>
                      <w:rFonts w:cs="Times New Roman"/>
                      <w:color w:val="000000" w:themeColor="text1"/>
                      <w:shd w:val="clear" w:color="auto" w:fill="FFFFFF"/>
                      <w14:textFill>
                        <w14:solidFill>
                          <w14:schemeClr w14:val="tx1"/>
                        </w14:solidFill>
                      </w14:textFill>
                    </w:rPr>
                    <w:t>(水=1):0.808(-196℃)，饱和蒸气压(kPa):1026.42(-173℃)。</w:t>
                  </w:r>
                </w:p>
              </w:tc>
            </w:tr>
            <w:tr w14:paraId="00C8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6467406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736" w:type="pct"/>
                  <w:vAlign w:val="center"/>
                </w:tcPr>
                <w:p w14:paraId="4C110F6E">
                  <w:pPr>
                    <w:adjustRightInd w:val="0"/>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氩气</w:t>
                  </w:r>
                </w:p>
              </w:tc>
              <w:tc>
                <w:tcPr>
                  <w:tcW w:w="3957" w:type="pct"/>
                  <w:vAlign w:val="center"/>
                </w:tcPr>
                <w:p w14:paraId="1CC3009B">
                  <w:pPr>
                    <w:adjustRightInd w:val="0"/>
                    <w:snapToGrid w:val="0"/>
                    <w:jc w:val="center"/>
                    <w:rPr>
                      <w:color w:val="000000" w:themeColor="text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CAS号7440-37-1，分子式Ar，分子量39.95，无色无臭的惰性气体；蒸汽压202.64kPa(-179℃)；熔点-189.2℃；沸点-185.7℃溶解性：微溶于水；密度：</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"https://baike.so.com/doc/2751462-2903816.html" \t "https://baike.so.com/doc/_blank" </w:instrText>
                  </w:r>
                  <w:r>
                    <w:rPr>
                      <w:color w:val="000000" w:themeColor="text1"/>
                      <w14:textFill>
                        <w14:solidFill>
                          <w14:schemeClr w14:val="tx1"/>
                        </w14:solidFill>
                      </w14:textFill>
                    </w:rPr>
                    <w:fldChar w:fldCharType="separate"/>
                  </w:r>
                  <w:r>
                    <w:rPr>
                      <w:rStyle w:val="29"/>
                      <w:color w:val="000000" w:themeColor="text1"/>
                      <w:szCs w:val="21"/>
                      <w:u w:val="none"/>
                      <w:shd w:val="clear" w:color="auto" w:fill="FFFFFF"/>
                      <w14:textFill>
                        <w14:solidFill>
                          <w14:schemeClr w14:val="tx1"/>
                        </w14:solidFill>
                      </w14:textFill>
                    </w:rPr>
                    <w:t>相对密度</w:t>
                  </w:r>
                  <w:r>
                    <w:rPr>
                      <w:rStyle w:val="29"/>
                      <w:color w:val="000000" w:themeColor="text1"/>
                      <w:szCs w:val="21"/>
                      <w:u w:val="none"/>
                      <w:shd w:val="clear" w:color="auto" w:fill="FFFFFF"/>
                      <w14:textFill>
                        <w14:solidFill>
                          <w14:schemeClr w14:val="tx1"/>
                        </w14:solidFill>
                      </w14:textFill>
                    </w:rPr>
                    <w:fldChar w:fldCharType="end"/>
                  </w:r>
                  <w:r>
                    <w:rPr>
                      <w:color w:val="000000" w:themeColor="text1"/>
                      <w:szCs w:val="21"/>
                      <w:shd w:val="clear" w:color="auto" w:fill="FFFFFF"/>
                      <w14:textFill>
                        <w14:solidFill>
                          <w14:schemeClr w14:val="tx1"/>
                        </w14:solidFill>
                      </w14:textFill>
                    </w:rPr>
                    <w:t>(水=1)1.40(-186℃)；相对密度(空气=1)1.38；稳定性：稳定；危险标记5(不燃气体)；主要用途：用于灯泡充气和对不锈钢、镁、铝等的电弧焊接。</w:t>
                  </w:r>
                </w:p>
              </w:tc>
            </w:tr>
            <w:tr w14:paraId="39D2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37B2B59B">
                  <w:pPr>
                    <w:pStyle w:val="85"/>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1190" w:type="dxa"/>
                  <w:vAlign w:val="center"/>
                </w:tcPr>
                <w:p w14:paraId="7A7888E3">
                  <w:pPr>
                    <w:pStyle w:val="46"/>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PAC</w:t>
                  </w:r>
                </w:p>
              </w:tc>
              <w:tc>
                <w:tcPr>
                  <w:tcW w:w="6398" w:type="dxa"/>
                  <w:vAlign w:val="center"/>
                </w:tcPr>
                <w:p w14:paraId="67BA3AC9">
                  <w:pPr>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化学式Al2Cln(OH)6-n，一种净水材料，无机高分子混凝剂，又被简称为聚铝，英文缩写为</w:t>
                  </w:r>
                  <w:r>
                    <w:rPr>
                      <w:color w:val="000000" w:themeColor="text1"/>
                      <w:szCs w:val="21"/>
                      <w:shd w:val="clear" w:color="auto" w:fill="FFFFFF"/>
                      <w14:textFill>
                        <w14:solidFill>
                          <w14:schemeClr w14:val="tx1"/>
                        </w14:solidFill>
                      </w14:textFill>
                    </w:rPr>
                    <w:fldChar w:fldCharType="begin"/>
                  </w:r>
                  <w:r>
                    <w:rPr>
                      <w:color w:val="000000" w:themeColor="text1"/>
                      <w:szCs w:val="21"/>
                      <w:shd w:val="clear" w:color="auto" w:fill="FFFFFF"/>
                      <w14:textFill>
                        <w14:solidFill>
                          <w14:schemeClr w14:val="tx1"/>
                        </w14:solidFill>
                      </w14:textFill>
                    </w:rPr>
                    <w:instrText xml:space="preserve"> HYPERLINK "https://baike.so.com/doc/2090402-2211374.html" \t "https://baike.so.com/doc/_blank" </w:instrText>
                  </w:r>
                  <w:r>
                    <w:rPr>
                      <w:color w:val="000000" w:themeColor="text1"/>
                      <w:szCs w:val="21"/>
                      <w:shd w:val="clear" w:color="auto" w:fill="FFFFFF"/>
                      <w14:textFill>
                        <w14:solidFill>
                          <w14:schemeClr w14:val="tx1"/>
                        </w14:solidFill>
                      </w14:textFill>
                    </w:rPr>
                    <w:fldChar w:fldCharType="separate"/>
                  </w:r>
                  <w:r>
                    <w:rPr>
                      <w:rStyle w:val="29"/>
                      <w:color w:val="000000" w:themeColor="text1"/>
                      <w:szCs w:val="21"/>
                      <w:u w:val="none"/>
                      <w:shd w:val="clear" w:color="auto" w:fill="FFFFFF"/>
                      <w14:textFill>
                        <w14:solidFill>
                          <w14:schemeClr w14:val="tx1"/>
                        </w14:solidFill>
                      </w14:textFill>
                    </w:rPr>
                    <w:t>PAC</w:t>
                  </w:r>
                  <w:r>
                    <w:rPr>
                      <w:color w:val="000000" w:themeColor="text1"/>
                      <w:szCs w:val="21"/>
                      <w:shd w:val="clear" w:color="auto" w:fill="FFFFFF"/>
                      <w14:textFill>
                        <w14:solidFill>
                          <w14:schemeClr w14:val="tx1"/>
                        </w14:solidFill>
                      </w14:textFill>
                    </w:rPr>
                    <w:fldChar w:fldCharType="end"/>
                  </w:r>
                  <w:r>
                    <w:rPr>
                      <w:color w:val="000000" w:themeColor="text1"/>
                      <w:szCs w:val="21"/>
                      <w:shd w:val="clear" w:color="auto" w:fill="FFFFFF"/>
                      <w14:textFill>
                        <w14:solidFill>
                          <w14:schemeClr w14:val="tx1"/>
                        </w14:solidFill>
                      </w14:textFill>
                    </w:rPr>
                    <w:t>，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CAS号1327-41-9，熔点190摄氏度，密度约1.12，pH值：3-9，分子量：133.3405</w:t>
                  </w:r>
                  <w:r>
                    <w:rPr>
                      <w:bCs/>
                      <w:color w:val="000000" w:themeColor="text1"/>
                      <w:szCs w:val="21"/>
                      <w14:textFill>
                        <w14:solidFill>
                          <w14:schemeClr w14:val="tx1"/>
                        </w14:solidFill>
                      </w14:textFill>
                    </w:rPr>
                    <w:t>。</w:t>
                  </w:r>
                </w:p>
              </w:tc>
            </w:tr>
            <w:tr w14:paraId="061E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Align w:val="center"/>
                </w:tcPr>
                <w:p w14:paraId="5E856428">
                  <w:pPr>
                    <w:pStyle w:val="85"/>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w:t>
                  </w:r>
                </w:p>
              </w:tc>
              <w:tc>
                <w:tcPr>
                  <w:tcW w:w="1190" w:type="dxa"/>
                  <w:vAlign w:val="center"/>
                </w:tcPr>
                <w:p w14:paraId="21846C07">
                  <w:pPr>
                    <w:pStyle w:val="46"/>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PAM</w:t>
                  </w:r>
                </w:p>
              </w:tc>
              <w:tc>
                <w:tcPr>
                  <w:tcW w:w="6398" w:type="dxa"/>
                  <w:vAlign w:val="center"/>
                </w:tcPr>
                <w:p w14:paraId="40995D14">
                  <w:pPr>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聚丙烯酰胺，英文名称为Poly(acrylamide)，CAS号为9003-05-8，分子式为（C3H5NO）n，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CAS号9003-05-8，分子量71，易溶于水。</w:t>
                  </w:r>
                </w:p>
              </w:tc>
            </w:tr>
          </w:tbl>
          <w:p w14:paraId="6FE1776F">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2.1.8给排水及水平衡</w:t>
            </w:r>
          </w:p>
          <w:p w14:paraId="61615FCB">
            <w:pPr>
              <w:pStyle w:val="137"/>
              <w:rPr>
                <w:rFonts w:eastAsia="宋体"/>
                <w:b/>
                <w:bCs/>
                <w:color w:val="000000" w:themeColor="text1"/>
                <w14:textFill>
                  <w14:solidFill>
                    <w14:schemeClr w14:val="tx1"/>
                  </w14:solidFill>
                </w14:textFill>
              </w:rPr>
            </w:pPr>
            <w:r>
              <w:rPr>
                <w:rFonts w:eastAsia="宋体"/>
                <w:b/>
                <w:color w:val="000000" w:themeColor="text1"/>
                <w14:textFill>
                  <w14:solidFill>
                    <w14:schemeClr w14:val="tx1"/>
                  </w14:solidFill>
                </w14:textFill>
              </w:rPr>
              <w:t>（1）</w:t>
            </w:r>
            <w:r>
              <w:rPr>
                <w:rFonts w:eastAsia="宋体"/>
                <w:b/>
                <w:bCs/>
                <w:color w:val="000000" w:themeColor="text1"/>
                <w14:textFill>
                  <w14:solidFill>
                    <w14:schemeClr w14:val="tx1"/>
                  </w14:solidFill>
                </w14:textFill>
              </w:rPr>
              <w:t>员工生活用水</w:t>
            </w:r>
          </w:p>
          <w:p w14:paraId="66DDD68B">
            <w:pPr>
              <w:pStyle w:val="137"/>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项目劳动定员20人，年生产300天，厂区内不包食宿，员工生活用水主要是车间生活用水。</w:t>
            </w:r>
            <w:r>
              <w:rPr>
                <w:rFonts w:eastAsia="宋体"/>
                <w:color w:val="000000" w:themeColor="text1"/>
                <w14:textFill>
                  <w14:solidFill>
                    <w14:schemeClr w14:val="tx1"/>
                  </w14:solidFill>
                </w14:textFill>
              </w:rPr>
              <w:t>项目用水定额参照《建筑给水排水设计标准》（GB50015-2019）、《重庆市城市生活用水定额》（2017年修订版）中规定。生活用水按50L/（人×班）计，用水量约1.0m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/d（300m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/a），生活污水折污系数为0.9，则项目生活污水产生量为0.9m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/d（270m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w:t>
            </w:r>
          </w:p>
          <w:p w14:paraId="531ACEAA">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w:t>
            </w:r>
            <w:r>
              <w:rPr>
                <w:rFonts w:eastAsia="宋体"/>
                <w:b/>
                <w:bCs/>
                <w:color w:val="000000" w:themeColor="text1"/>
                <w14:textFill>
                  <w14:solidFill>
                    <w14:schemeClr w14:val="tx1"/>
                  </w14:solidFill>
                </w14:textFill>
              </w:rPr>
              <w:t>生产用水</w:t>
            </w:r>
          </w:p>
          <w:p w14:paraId="2850658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①地面清洁用水</w:t>
            </w:r>
          </w:p>
          <w:p w14:paraId="3821210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本项目每5天采用拖把对地面进行清洁1次（60次/a），需清洁的地坪主要为办公区、部分生产区域，面积合计约1200m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，地面清洁用水按0.5L/m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·d，则地面清洁用水为0.6m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/d（36m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/a），排污系数按0.9计，则地面清洁废水产生量为0.54m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/d（32.4m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p>
          <w:p w14:paraId="7633627B">
            <w:pPr>
              <w:pStyle w:val="16"/>
              <w:spacing w:after="0" w:line="360" w:lineRule="auto"/>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2 \* GB3 </w:instrText>
            </w:r>
            <w:r>
              <w:rPr>
                <w:color w:val="000000" w:themeColor="text1"/>
                <w:kern w:val="0"/>
                <w:sz w:val="24"/>
                <w14:textFill>
                  <w14:solidFill>
                    <w14:schemeClr w14:val="tx1"/>
                  </w14:solidFill>
                </w14:textFill>
              </w:rPr>
              <w:fldChar w:fldCharType="separate"/>
            </w:r>
            <w:r>
              <w:rPr>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fldChar w:fldCharType="end"/>
            </w:r>
            <w:r>
              <w:rPr>
                <w:color w:val="000000" w:themeColor="text1"/>
                <w:sz w:val="24"/>
                <w14:textFill>
                  <w14:solidFill>
                    <w14:schemeClr w14:val="tx1"/>
                  </w14:solidFill>
                </w14:textFill>
              </w:rPr>
              <w:t>切削液用水</w:t>
            </w:r>
          </w:p>
          <w:p w14:paraId="08AA3691">
            <w:pPr>
              <w:pStyle w:val="16"/>
              <w:spacing w:after="0" w:line="360" w:lineRule="auto"/>
              <w:ind w:left="0" w:leftChars="0"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项目切削液年使用量为1.5t/a，切削液与水配比为1:10，则拟建项目切削液年用水量为15t/a，配置好的切削液总量约16.5t/a。</w:t>
            </w:r>
            <w:r>
              <w:rPr>
                <w:color w:val="000000" w:themeColor="text1"/>
                <w:sz w:val="24"/>
                <w14:textFill>
                  <w14:solidFill>
                    <w14:schemeClr w14:val="tx1"/>
                  </w14:solidFill>
                </w14:textFill>
              </w:rPr>
              <w:t>由建设单位提供资料，涉及切削液使用的模具加工设备下方设置有液体回收利用装置，切削液循环使用，使用时工作液中的水分会逐渐损耗，产品或金属屑也可能带走部分，需定期补加调配后的新鲜工作液</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平均每3d补充一次，单次补充0.15t切削液（含切削液0.0135t，水0.1365t）</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废切削液平均每</w:t>
            </w:r>
            <w:r>
              <w:rPr>
                <w:rFonts w:hint="eastAsia"/>
                <w:bCs/>
                <w:color w:val="000000" w:themeColor="text1"/>
                <w:sz w:val="24"/>
                <w:lang w:val="en-US" w:eastAsia="zh-CN"/>
                <w14:textFill>
                  <w14:solidFill>
                    <w14:schemeClr w14:val="tx1"/>
                  </w14:solidFill>
                </w14:textFill>
              </w:rPr>
              <w:t>3</w:t>
            </w:r>
            <w:r>
              <w:rPr>
                <w:bCs/>
                <w:color w:val="000000" w:themeColor="text1"/>
                <w:sz w:val="24"/>
                <w14:textFill>
                  <w14:solidFill>
                    <w14:schemeClr w14:val="tx1"/>
                  </w14:solidFill>
                </w14:textFill>
              </w:rPr>
              <w:t>月更换1次（年更换</w:t>
            </w:r>
            <w:r>
              <w:rPr>
                <w:rFonts w:hint="eastAsia"/>
                <w:bCs/>
                <w:color w:val="000000" w:themeColor="text1"/>
                <w:sz w:val="24"/>
                <w:lang w:val="en-US" w:eastAsia="zh-CN"/>
                <w14:textFill>
                  <w14:solidFill>
                    <w14:schemeClr w14:val="tx1"/>
                  </w14:solidFill>
                </w14:textFill>
              </w:rPr>
              <w:t>4</w:t>
            </w:r>
            <w:r>
              <w:rPr>
                <w:bCs/>
                <w:color w:val="000000" w:themeColor="text1"/>
                <w:sz w:val="24"/>
                <w14:textFill>
                  <w14:solidFill>
                    <w14:schemeClr w14:val="tx1"/>
                  </w14:solidFill>
                </w14:textFill>
              </w:rPr>
              <w:t>次），用专用容器收集，设备内切削液总容量约为</w:t>
            </w:r>
            <w:r>
              <w:rPr>
                <w:rFonts w:hint="eastAsia"/>
                <w:bCs/>
                <w:color w:val="000000" w:themeColor="text1"/>
                <w:sz w:val="24"/>
                <w:lang w:val="en-US" w:eastAsia="zh-CN"/>
                <w14:textFill>
                  <w14:solidFill>
                    <w14:schemeClr w14:val="tx1"/>
                  </w14:solidFill>
                </w14:textFill>
              </w:rPr>
              <w:t>0.375</w:t>
            </w:r>
            <w:r>
              <w:rPr>
                <w:bCs/>
                <w:color w:val="000000" w:themeColor="text1"/>
                <w:sz w:val="24"/>
                <w14:textFill>
                  <w14:solidFill>
                    <w14:schemeClr w14:val="tx1"/>
                  </w14:solidFill>
                </w14:textFill>
              </w:rPr>
              <w:t>t</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0.038t切削液，0.337t水</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切削废液产生量为0.</w:t>
            </w:r>
            <w:r>
              <w:rPr>
                <w:rFonts w:hint="eastAsia"/>
                <w:color w:val="000000" w:themeColor="text1"/>
                <w:sz w:val="24"/>
                <w:lang w:val="en-US" w:eastAsia="zh-CN"/>
                <w14:textFill>
                  <w14:solidFill>
                    <w14:schemeClr w14:val="tx1"/>
                  </w14:solidFill>
                </w14:textFill>
              </w:rPr>
              <w:t>375</w:t>
            </w:r>
            <w:r>
              <w:rPr>
                <w:color w:val="000000" w:themeColor="text1"/>
                <w:sz w:val="24"/>
                <w14:textFill>
                  <w14:solidFill>
                    <w14:schemeClr w14:val="tx1"/>
                  </w14:solidFill>
                </w14:textFill>
              </w:rPr>
              <w:t>t/次，</w:t>
            </w:r>
            <w:r>
              <w:rPr>
                <w:rFonts w:hint="eastAsia"/>
                <w:color w:val="000000" w:themeColor="text1"/>
                <w:sz w:val="24"/>
                <w:lang w:val="en-US" w:eastAsia="zh-CN"/>
                <w14:textFill>
                  <w14:solidFill>
                    <w14:schemeClr w14:val="tx1"/>
                  </w14:solidFill>
                </w14:textFill>
              </w:rPr>
              <w:t>1.5</w:t>
            </w:r>
            <w:r>
              <w:rPr>
                <w:color w:val="000000" w:themeColor="text1"/>
                <w:sz w:val="24"/>
                <w14:textFill>
                  <w14:solidFill>
                    <w14:schemeClr w14:val="tx1"/>
                  </w14:solidFill>
                </w14:textFill>
              </w:rPr>
              <w:t>t/a</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0.15t切削液，1.35t水</w:t>
            </w:r>
            <w:r>
              <w:rPr>
                <w:rFonts w:hint="eastAsia"/>
                <w:bCs/>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作为危废交由具有危废处理资质的单位处理，不外排。</w:t>
            </w:r>
          </w:p>
          <w:p w14:paraId="7E448C8C">
            <w:pPr>
              <w:pStyle w:val="137"/>
              <w:rPr>
                <w:rFonts w:eastAsia="宋体"/>
                <w:bCs/>
                <w:color w:val="000000" w:themeColor="text1"/>
                <w14:textFill>
                  <w14:solidFill>
                    <w14:schemeClr w14:val="tx1"/>
                  </w14:solidFill>
                </w14:textFill>
              </w:rPr>
            </w:pPr>
            <w:r>
              <w:rPr>
                <w:rFonts w:eastAsia="宋体"/>
                <w:color w:val="000000" w:themeColor="text1"/>
                <w14:textFill>
                  <w14:solidFill>
                    <w14:schemeClr w14:val="tx1"/>
                  </w14:solidFill>
                </w14:textFill>
              </w:rPr>
              <w:t>③</w:t>
            </w:r>
            <w:r>
              <w:rPr>
                <w:rFonts w:eastAsia="宋体"/>
                <w:bCs/>
                <w:color w:val="000000" w:themeColor="text1"/>
                <w14:textFill>
                  <w14:solidFill>
                    <w14:schemeClr w14:val="tx1"/>
                  </w14:solidFill>
                </w14:textFill>
              </w:rPr>
              <w:t>项目车间操作工人人数为20人，洗手用水量按10L/d•人计，新鲜水用量为0.2m</w:t>
            </w:r>
            <w:r>
              <w:rPr>
                <w:rFonts w:eastAsia="宋体"/>
                <w:bCs/>
                <w:color w:val="000000" w:themeColor="text1"/>
                <w:vertAlign w:val="superscript"/>
                <w14:textFill>
                  <w14:solidFill>
                    <w14:schemeClr w14:val="tx1"/>
                  </w14:solidFill>
                </w14:textFill>
              </w:rPr>
              <w:t>3</w:t>
            </w:r>
            <w:r>
              <w:rPr>
                <w:rFonts w:eastAsia="宋体"/>
                <w:bCs/>
                <w:color w:val="000000" w:themeColor="text1"/>
                <w14:textFill>
                  <w14:solidFill>
                    <w14:schemeClr w14:val="tx1"/>
                  </w14:solidFill>
                </w14:textFill>
              </w:rPr>
              <w:t>/d（60m</w:t>
            </w:r>
            <w:r>
              <w:rPr>
                <w:rFonts w:eastAsia="宋体"/>
                <w:bCs/>
                <w:color w:val="000000" w:themeColor="text1"/>
                <w:vertAlign w:val="superscript"/>
                <w14:textFill>
                  <w14:solidFill>
                    <w14:schemeClr w14:val="tx1"/>
                  </w14:solidFill>
                </w14:textFill>
              </w:rPr>
              <w:t>3</w:t>
            </w:r>
            <w:r>
              <w:rPr>
                <w:rFonts w:eastAsia="宋体"/>
                <w:bCs/>
                <w:color w:val="000000" w:themeColor="text1"/>
                <w14:textFill>
                  <w14:solidFill>
                    <w14:schemeClr w14:val="tx1"/>
                  </w14:solidFill>
                </w14:textFill>
              </w:rPr>
              <w:t>/a）。洗手排水系数以90%计，则洗手废水产生量为0.18m</w:t>
            </w:r>
            <w:r>
              <w:rPr>
                <w:rFonts w:eastAsia="宋体"/>
                <w:bCs/>
                <w:color w:val="000000" w:themeColor="text1"/>
                <w:vertAlign w:val="superscript"/>
                <w14:textFill>
                  <w14:solidFill>
                    <w14:schemeClr w14:val="tx1"/>
                  </w14:solidFill>
                </w14:textFill>
              </w:rPr>
              <w:t>3</w:t>
            </w:r>
            <w:r>
              <w:rPr>
                <w:rFonts w:eastAsia="宋体"/>
                <w:bCs/>
                <w:color w:val="000000" w:themeColor="text1"/>
                <w14:textFill>
                  <w14:solidFill>
                    <w14:schemeClr w14:val="tx1"/>
                  </w14:solidFill>
                </w14:textFill>
              </w:rPr>
              <w:t>/d（54m</w:t>
            </w:r>
            <w:r>
              <w:rPr>
                <w:rFonts w:eastAsia="宋体"/>
                <w:bCs/>
                <w:color w:val="000000" w:themeColor="text1"/>
                <w:vertAlign w:val="superscript"/>
                <w14:textFill>
                  <w14:solidFill>
                    <w14:schemeClr w14:val="tx1"/>
                  </w14:solidFill>
                </w14:textFill>
              </w:rPr>
              <w:t>3</w:t>
            </w:r>
            <w:r>
              <w:rPr>
                <w:rFonts w:eastAsia="宋体"/>
                <w:bCs/>
                <w:color w:val="000000" w:themeColor="text1"/>
                <w14:textFill>
                  <w14:solidFill>
                    <w14:schemeClr w14:val="tx1"/>
                  </w14:solidFill>
                </w14:textFill>
              </w:rPr>
              <w:t>/a）。</w:t>
            </w:r>
          </w:p>
          <w:p w14:paraId="64D8461A">
            <w:pPr>
              <w:pStyle w:val="137"/>
              <w:rPr>
                <w:rFonts w:eastAsia="宋体"/>
                <w:color w:val="000000" w:themeColor="text1"/>
                <w:szCs w:val="21"/>
                <w14:textFill>
                  <w14:solidFill>
                    <w14:schemeClr w14:val="tx1"/>
                  </w14:solidFill>
                </w14:textFill>
              </w:rPr>
            </w:pPr>
            <w:r>
              <w:rPr>
                <w:rFonts w:eastAsia="宋体"/>
                <w:bCs/>
                <w:color w:val="000000" w:themeColor="text1"/>
                <w14:textFill>
                  <w14:solidFill>
                    <w14:schemeClr w14:val="tx1"/>
                  </w14:solidFill>
                </w14:textFill>
              </w:rPr>
              <w:t>④热处理冷却用水：厂区设1个冷却水槽，水槽规格为</w:t>
            </w:r>
            <w:r>
              <w:rPr>
                <w:rFonts w:hint="eastAsia" w:eastAsia="宋体"/>
                <w:color w:val="000000" w:themeColor="text1"/>
                <w:szCs w:val="21"/>
                <w:lang w:val="en-US" w:eastAsia="zh-CN"/>
                <w14:textFill>
                  <w14:solidFill>
                    <w14:schemeClr w14:val="tx1"/>
                  </w14:solidFill>
                </w14:textFill>
              </w:rPr>
              <w:t>2.0</w:t>
            </w:r>
            <w:r>
              <w:rPr>
                <w:rFonts w:eastAsia="宋体"/>
                <w:color w:val="000000" w:themeColor="text1"/>
                <w:szCs w:val="21"/>
                <w14:textFill>
                  <w14:solidFill>
                    <w14:schemeClr w14:val="tx1"/>
                  </w14:solidFill>
                </w14:textFill>
              </w:rPr>
              <w:t>m*</w:t>
            </w:r>
            <w:r>
              <w:rPr>
                <w:rFonts w:hint="eastAsia" w:eastAsia="宋体"/>
                <w:color w:val="000000" w:themeColor="text1"/>
                <w:szCs w:val="21"/>
                <w:lang w:val="en-US" w:eastAsia="zh-CN"/>
                <w14:textFill>
                  <w14:solidFill>
                    <w14:schemeClr w14:val="tx1"/>
                  </w14:solidFill>
                </w14:textFill>
              </w:rPr>
              <w:t>1.2</w:t>
            </w:r>
            <w:r>
              <w:rPr>
                <w:rFonts w:eastAsia="宋体"/>
                <w:color w:val="000000" w:themeColor="text1"/>
                <w:szCs w:val="21"/>
                <w14:textFill>
                  <w14:solidFill>
                    <w14:schemeClr w14:val="tx1"/>
                  </w14:solidFill>
                </w14:textFill>
              </w:rPr>
              <w:t>m*1m，有效容积</w:t>
            </w:r>
            <w:r>
              <w:rPr>
                <w:rFonts w:hint="eastAsia" w:eastAsia="宋体"/>
                <w:color w:val="000000" w:themeColor="text1"/>
                <w:szCs w:val="21"/>
                <w:lang w:val="en-US" w:eastAsia="zh-CN"/>
                <w14:textFill>
                  <w14:solidFill>
                    <w14:schemeClr w14:val="tx1"/>
                  </w14:solidFill>
                </w14:textFill>
              </w:rPr>
              <w:t>2.4</w:t>
            </w:r>
            <w:r>
              <w:rPr>
                <w:rFonts w:eastAsia="宋体"/>
                <w:color w:val="000000" w:themeColor="text1"/>
                <w:szCs w:val="21"/>
                <w14:textFill>
                  <w14:solidFill>
                    <w14:schemeClr w14:val="tx1"/>
                  </w14:solidFill>
                </w14:textFill>
              </w:rPr>
              <w:t>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，日常蓄水</w:t>
            </w:r>
            <w:r>
              <w:rPr>
                <w:rFonts w:hint="eastAsia" w:eastAsia="宋体"/>
                <w:color w:val="000000" w:themeColor="text1"/>
                <w:szCs w:val="21"/>
                <w:lang w:val="en-US" w:eastAsia="zh-CN"/>
                <w14:textFill>
                  <w14:solidFill>
                    <w14:schemeClr w14:val="tx1"/>
                  </w14:solidFill>
                </w14:textFill>
              </w:rPr>
              <w:t>1.2</w:t>
            </w:r>
            <w:r>
              <w:rPr>
                <w:rFonts w:eastAsia="宋体"/>
                <w:color w:val="000000" w:themeColor="text1"/>
                <w:szCs w:val="21"/>
                <w14:textFill>
                  <w14:solidFill>
                    <w14:schemeClr w14:val="tx1"/>
                  </w14:solidFill>
                </w14:textFill>
              </w:rPr>
              <w:t>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，根据建设单位提供资料，冷却水槽由于工件表面温度较高，日常耗水量较大，平均每日补水量约为蓄水量的</w:t>
            </w:r>
            <w:r>
              <w:rPr>
                <w:rFonts w:hint="eastAsia" w:eastAsia="宋体"/>
                <w:color w:val="000000" w:themeColor="text1"/>
                <w:szCs w:val="21"/>
                <w:lang w:val="en-US" w:eastAsia="zh-CN"/>
                <w14:textFill>
                  <w14:solidFill>
                    <w14:schemeClr w14:val="tx1"/>
                  </w14:solidFill>
                </w14:textFill>
              </w:rPr>
              <w:t>2</w:t>
            </w:r>
            <w:r>
              <w:rPr>
                <w:rFonts w:eastAsia="宋体"/>
                <w:color w:val="000000" w:themeColor="text1"/>
                <w:szCs w:val="21"/>
                <w14:textFill>
                  <w14:solidFill>
                    <w14:schemeClr w14:val="tx1"/>
                  </w14:solidFill>
                </w14:textFill>
              </w:rPr>
              <w:t>0%，水槽内冷却水循环使用，仅需日常补充，不更换，则补充用水量为0.</w:t>
            </w:r>
            <w:r>
              <w:rPr>
                <w:rFonts w:hint="eastAsia" w:eastAsia="宋体"/>
                <w:color w:val="000000" w:themeColor="text1"/>
                <w:szCs w:val="21"/>
                <w:lang w:val="en-US" w:eastAsia="zh-CN"/>
                <w14:textFill>
                  <w14:solidFill>
                    <w14:schemeClr w14:val="tx1"/>
                  </w14:solidFill>
                </w14:textFill>
              </w:rPr>
              <w:t>24</w:t>
            </w:r>
            <w:r>
              <w:rPr>
                <w:rFonts w:eastAsia="宋体"/>
                <w:color w:val="000000" w:themeColor="text1"/>
                <w:szCs w:val="21"/>
                <w14:textFill>
                  <w14:solidFill>
                    <w14:schemeClr w14:val="tx1"/>
                  </w14:solidFill>
                </w14:textFill>
              </w:rPr>
              <w:t>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/d（</w:t>
            </w:r>
            <w:r>
              <w:rPr>
                <w:rFonts w:hint="eastAsia" w:eastAsia="宋体"/>
                <w:color w:val="000000" w:themeColor="text1"/>
                <w:szCs w:val="21"/>
                <w:lang w:val="en-US" w:eastAsia="zh-CN"/>
                <w14:textFill>
                  <w14:solidFill>
                    <w14:schemeClr w14:val="tx1"/>
                  </w14:solidFill>
                </w14:textFill>
              </w:rPr>
              <w:t>72</w:t>
            </w:r>
            <w:r>
              <w:rPr>
                <w:rFonts w:eastAsia="宋体"/>
                <w:color w:val="000000" w:themeColor="text1"/>
                <w:szCs w:val="21"/>
                <w14:textFill>
                  <w14:solidFill>
                    <w14:schemeClr w14:val="tx1"/>
                  </w14:solidFill>
                </w14:textFill>
              </w:rPr>
              <w:t>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/a）。</w:t>
            </w:r>
          </w:p>
          <w:p w14:paraId="07F00B2A">
            <w:pPr>
              <w:pStyle w:val="137"/>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⑤清洗机用水：厂区仅设置1台清洗机，清洗过程仅使用清水，无需添加除油剂（清洗剂），清洗机水槽容积0.1m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，日常蓄水0.05m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，每日更换一次废水，则清洗机用水量为0.05m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/d（15m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/a），废水量按照0.9考虑，则废水量0.045m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/d（13.5m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/a）。</w:t>
            </w:r>
          </w:p>
          <w:p w14:paraId="7A262736">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（3）排水系统</w:t>
            </w:r>
          </w:p>
          <w:p w14:paraId="31C8D2A3">
            <w:pPr>
              <w:pStyle w:val="137"/>
              <w:rPr>
                <w:rFonts w:eastAsia="宋体"/>
                <w:color w:val="000000" w:themeColor="text1"/>
                <w14:textFill>
                  <w14:solidFill>
                    <w14:schemeClr w14:val="tx1"/>
                  </w14:solidFill>
                </w14:textFill>
              </w:rPr>
            </w:pPr>
            <w:r>
              <w:rPr>
                <w:rFonts w:eastAsia="宋体"/>
                <w:bCs/>
                <w:color w:val="000000" w:themeColor="text1"/>
                <w14:textFill>
                  <w14:solidFill>
                    <w14:schemeClr w14:val="tx1"/>
                  </w14:solidFill>
                </w14:textFill>
              </w:rPr>
              <w:t>生产废水经隔油沉淀池（1m</w:t>
            </w:r>
            <w:r>
              <w:rPr>
                <w:rFonts w:eastAsia="宋体"/>
                <w:bCs/>
                <w:color w:val="000000" w:themeColor="text1"/>
                <w:vertAlign w:val="superscript"/>
                <w14:textFill>
                  <w14:solidFill>
                    <w14:schemeClr w14:val="tx1"/>
                  </w14:solidFill>
                </w14:textFill>
              </w:rPr>
              <w:t>3</w:t>
            </w:r>
            <w:r>
              <w:rPr>
                <w:rFonts w:eastAsia="宋体"/>
                <w:bCs/>
                <w:color w:val="000000" w:themeColor="text1"/>
                <w14:textFill>
                  <w14:solidFill>
                    <w14:schemeClr w14:val="tx1"/>
                  </w14:solidFill>
                </w14:textFill>
              </w:rPr>
              <w:t>/d</w:t>
            </w:r>
            <w:r>
              <w:rPr>
                <w:rFonts w:hint="eastAsia" w:eastAsia="宋体"/>
                <w:bCs/>
                <w:color w:val="000000" w:themeColor="text1"/>
                <w:lang w:eastAsia="zh-CN"/>
                <w14:textFill>
                  <w14:solidFill>
                    <w14:schemeClr w14:val="tx1"/>
                  </w14:solidFill>
                </w14:textFill>
              </w:rPr>
              <w:t>，</w:t>
            </w:r>
            <w:r>
              <w:rPr>
                <w:rFonts w:hint="eastAsia" w:eastAsia="宋体"/>
                <w:bCs/>
                <w:color w:val="000000" w:themeColor="text1"/>
                <w:lang w:val="en-US" w:eastAsia="zh-CN"/>
                <w14:textFill>
                  <w14:solidFill>
                    <w14:schemeClr w14:val="tx1"/>
                  </w14:solidFill>
                </w14:textFill>
              </w:rPr>
              <w:t>隔油+絮凝沉淀</w:t>
            </w:r>
            <w:r>
              <w:rPr>
                <w:rFonts w:eastAsia="宋体"/>
                <w:bCs/>
                <w:color w:val="000000" w:themeColor="text1"/>
                <w14:textFill>
                  <w14:solidFill>
                    <w14:schemeClr w14:val="tx1"/>
                  </w14:solidFill>
                </w14:textFill>
              </w:rPr>
              <w:t>）预处理后与</w:t>
            </w:r>
            <w:r>
              <w:rPr>
                <w:rFonts w:eastAsia="宋体"/>
                <w:color w:val="000000" w:themeColor="text1"/>
                <w:szCs w:val="21"/>
                <w14:textFill>
                  <w14:solidFill>
                    <w14:schemeClr w14:val="tx1"/>
                  </w14:solidFill>
                </w14:textFill>
              </w:rPr>
              <w:t>员工生活污水一起经园区内污水管道排至小米智能制造产业园400m</w:t>
            </w:r>
            <w:r>
              <w:rPr>
                <w:rFonts w:eastAsia="宋体"/>
                <w:color w:val="000000" w:themeColor="text1"/>
                <w:szCs w:val="21"/>
                <w:vertAlign w:val="superscript"/>
                <w14:textFill>
                  <w14:solidFill>
                    <w14:schemeClr w14:val="tx1"/>
                  </w14:solidFill>
                </w14:textFill>
              </w:rPr>
              <w:t>3</w:t>
            </w:r>
            <w:r>
              <w:rPr>
                <w:rFonts w:eastAsia="宋体"/>
                <w:color w:val="000000" w:themeColor="text1"/>
                <w:szCs w:val="21"/>
                <w14:textFill>
                  <w14:solidFill>
                    <w14:schemeClr w14:val="tx1"/>
                  </w14:solidFill>
                </w14:textFill>
              </w:rPr>
              <w:t>生化池内进行处理后再排入市政污水管网，最终进入蒲吕污水处理厂深度处理后排入小安溪</w:t>
            </w:r>
            <w:r>
              <w:rPr>
                <w:rFonts w:eastAsia="宋体"/>
                <w:bCs/>
                <w:color w:val="000000" w:themeColor="text1"/>
                <w14:textFill>
                  <w14:solidFill>
                    <w14:schemeClr w14:val="tx1"/>
                  </w14:solidFill>
                </w14:textFill>
              </w:rPr>
              <w:t>。</w:t>
            </w:r>
          </w:p>
          <w:p w14:paraId="7D98D7AF">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结合拟建项目生产过程中实际用水情况，其用水量核算见表2-4，拟建项目水平衡见图2-1。</w:t>
            </w:r>
          </w:p>
          <w:p w14:paraId="2BE9DACB">
            <w:pPr>
              <w:adjustRightInd w:val="0"/>
              <w:snapToGrid w:val="0"/>
              <w:jc w:val="center"/>
              <w:rPr>
                <w:b/>
                <w:color w:val="000000" w:themeColor="text1"/>
                <w:sz w:val="24"/>
                <w14:textFill>
                  <w14:solidFill>
                    <w14:schemeClr w14:val="tx1"/>
                  </w14:solidFill>
                </w14:textFill>
              </w:rPr>
            </w:pPr>
          </w:p>
          <w:p w14:paraId="4EB811C7">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表2-4拟建项目用水量核算表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70"/>
              <w:gridCol w:w="680"/>
              <w:gridCol w:w="920"/>
              <w:gridCol w:w="1179"/>
              <w:gridCol w:w="825"/>
              <w:gridCol w:w="930"/>
              <w:gridCol w:w="758"/>
              <w:gridCol w:w="985"/>
              <w:gridCol w:w="915"/>
            </w:tblGrid>
            <w:tr w14:paraId="6EDE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0" w:type="pct"/>
                  <w:vMerge w:val="restart"/>
                  <w:vAlign w:val="center"/>
                </w:tcPr>
                <w:p w14:paraId="73A2ACE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56" w:type="pct"/>
                  <w:gridSpan w:val="2"/>
                  <w:vMerge w:val="restart"/>
                  <w:vAlign w:val="center"/>
                </w:tcPr>
                <w:p w14:paraId="797292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用水项目</w:t>
                  </w:r>
                </w:p>
              </w:tc>
              <w:tc>
                <w:tcPr>
                  <w:tcW w:w="533" w:type="pct"/>
                  <w:vMerge w:val="restart"/>
                  <w:vAlign w:val="center"/>
                </w:tcPr>
                <w:p w14:paraId="1933F30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681" w:type="pct"/>
                  <w:vMerge w:val="restart"/>
                  <w:vAlign w:val="center"/>
                </w:tcPr>
                <w:p w14:paraId="6C8E1FA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用水标准</w:t>
                  </w:r>
                </w:p>
              </w:tc>
              <w:tc>
                <w:tcPr>
                  <w:tcW w:w="1017" w:type="pct"/>
                  <w:gridSpan w:val="2"/>
                  <w:vAlign w:val="center"/>
                </w:tcPr>
                <w:p w14:paraId="60739D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用水量</w:t>
                  </w:r>
                </w:p>
              </w:tc>
              <w:tc>
                <w:tcPr>
                  <w:tcW w:w="439" w:type="pct"/>
                  <w:vMerge w:val="restart"/>
                  <w:vAlign w:val="center"/>
                </w:tcPr>
                <w:p w14:paraId="56F514E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排污系数</w:t>
                  </w:r>
                </w:p>
              </w:tc>
              <w:tc>
                <w:tcPr>
                  <w:tcW w:w="1101" w:type="pct"/>
                  <w:gridSpan w:val="2"/>
                  <w:vAlign w:val="center"/>
                </w:tcPr>
                <w:p w14:paraId="2AF677D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污水量</w:t>
                  </w:r>
                </w:p>
              </w:tc>
            </w:tr>
            <w:tr w14:paraId="5737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70" w:type="pct"/>
                  <w:vMerge w:val="continue"/>
                  <w:vAlign w:val="center"/>
                </w:tcPr>
                <w:p w14:paraId="68F42B15">
                  <w:pPr>
                    <w:adjustRightInd w:val="0"/>
                    <w:snapToGrid w:val="0"/>
                    <w:jc w:val="center"/>
                    <w:rPr>
                      <w:color w:val="000000" w:themeColor="text1"/>
                      <w:szCs w:val="21"/>
                      <w14:textFill>
                        <w14:solidFill>
                          <w14:schemeClr w14:val="tx1"/>
                        </w14:solidFill>
                      </w14:textFill>
                    </w:rPr>
                  </w:pPr>
                </w:p>
              </w:tc>
              <w:tc>
                <w:tcPr>
                  <w:tcW w:w="956" w:type="pct"/>
                  <w:gridSpan w:val="2"/>
                  <w:vMerge w:val="continue"/>
                  <w:vAlign w:val="center"/>
                </w:tcPr>
                <w:p w14:paraId="61FE7BBE">
                  <w:pPr>
                    <w:adjustRightInd w:val="0"/>
                    <w:snapToGrid w:val="0"/>
                    <w:jc w:val="center"/>
                    <w:rPr>
                      <w:color w:val="000000" w:themeColor="text1"/>
                      <w:szCs w:val="21"/>
                      <w14:textFill>
                        <w14:solidFill>
                          <w14:schemeClr w14:val="tx1"/>
                        </w14:solidFill>
                      </w14:textFill>
                    </w:rPr>
                  </w:pPr>
                </w:p>
              </w:tc>
              <w:tc>
                <w:tcPr>
                  <w:tcW w:w="533" w:type="pct"/>
                  <w:vMerge w:val="continue"/>
                  <w:vAlign w:val="center"/>
                </w:tcPr>
                <w:p w14:paraId="10F22D7F">
                  <w:pPr>
                    <w:adjustRightInd w:val="0"/>
                    <w:snapToGrid w:val="0"/>
                    <w:jc w:val="center"/>
                    <w:rPr>
                      <w:color w:val="000000" w:themeColor="text1"/>
                      <w:szCs w:val="21"/>
                      <w14:textFill>
                        <w14:solidFill>
                          <w14:schemeClr w14:val="tx1"/>
                        </w14:solidFill>
                      </w14:textFill>
                    </w:rPr>
                  </w:pPr>
                </w:p>
              </w:tc>
              <w:tc>
                <w:tcPr>
                  <w:tcW w:w="681" w:type="pct"/>
                  <w:vMerge w:val="continue"/>
                  <w:vAlign w:val="center"/>
                </w:tcPr>
                <w:p w14:paraId="4C63979B">
                  <w:pPr>
                    <w:adjustRightInd w:val="0"/>
                    <w:snapToGrid w:val="0"/>
                    <w:jc w:val="center"/>
                    <w:rPr>
                      <w:color w:val="000000" w:themeColor="text1"/>
                      <w:szCs w:val="21"/>
                      <w14:textFill>
                        <w14:solidFill>
                          <w14:schemeClr w14:val="tx1"/>
                        </w14:solidFill>
                      </w14:textFill>
                    </w:rPr>
                  </w:pPr>
                </w:p>
              </w:tc>
              <w:tc>
                <w:tcPr>
                  <w:tcW w:w="478" w:type="pct"/>
                  <w:vAlign w:val="center"/>
                </w:tcPr>
                <w:p w14:paraId="7CB8E12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c>
                <w:tcPr>
                  <w:tcW w:w="538" w:type="pct"/>
                  <w:vAlign w:val="center"/>
                </w:tcPr>
                <w:p w14:paraId="59363C5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439" w:type="pct"/>
                  <w:vMerge w:val="continue"/>
                  <w:vAlign w:val="center"/>
                </w:tcPr>
                <w:p w14:paraId="390271EE">
                  <w:pPr>
                    <w:adjustRightInd w:val="0"/>
                    <w:snapToGrid w:val="0"/>
                    <w:jc w:val="center"/>
                    <w:rPr>
                      <w:color w:val="000000" w:themeColor="text1"/>
                      <w:szCs w:val="21"/>
                      <w14:textFill>
                        <w14:solidFill>
                          <w14:schemeClr w14:val="tx1"/>
                        </w14:solidFill>
                      </w14:textFill>
                    </w:rPr>
                  </w:pPr>
                </w:p>
              </w:tc>
              <w:tc>
                <w:tcPr>
                  <w:tcW w:w="571" w:type="pct"/>
                  <w:vAlign w:val="center"/>
                </w:tcPr>
                <w:p w14:paraId="56B2301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c>
                <w:tcPr>
                  <w:tcW w:w="529" w:type="pct"/>
                  <w:vAlign w:val="center"/>
                </w:tcPr>
                <w:p w14:paraId="5FC687B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r>
            <w:tr w14:paraId="1547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70" w:type="pct"/>
                  <w:vAlign w:val="center"/>
                </w:tcPr>
                <w:p w14:paraId="01F3A08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56" w:type="pct"/>
                  <w:gridSpan w:val="2"/>
                  <w:vAlign w:val="center"/>
                </w:tcPr>
                <w:p w14:paraId="2BCA15B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员工生活用水</w:t>
                  </w:r>
                </w:p>
              </w:tc>
              <w:tc>
                <w:tcPr>
                  <w:tcW w:w="533" w:type="pct"/>
                  <w:vAlign w:val="center"/>
                </w:tcPr>
                <w:p w14:paraId="330CA1B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20人</w:t>
                  </w:r>
                </w:p>
              </w:tc>
              <w:tc>
                <w:tcPr>
                  <w:tcW w:w="681" w:type="pct"/>
                  <w:vAlign w:val="center"/>
                </w:tcPr>
                <w:p w14:paraId="26171B0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50L/人·d</w:t>
                  </w:r>
                </w:p>
              </w:tc>
              <w:tc>
                <w:tcPr>
                  <w:tcW w:w="478" w:type="pct"/>
                  <w:vAlign w:val="center"/>
                </w:tcPr>
                <w:p w14:paraId="766BE72D">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1.0</w:t>
                  </w:r>
                </w:p>
              </w:tc>
              <w:tc>
                <w:tcPr>
                  <w:tcW w:w="538" w:type="pct"/>
                  <w:vAlign w:val="center"/>
                </w:tcPr>
                <w:p w14:paraId="154392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439" w:type="pct"/>
                  <w:vAlign w:val="center"/>
                </w:tcPr>
                <w:p w14:paraId="5572217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571" w:type="pct"/>
                  <w:vAlign w:val="center"/>
                </w:tcPr>
                <w:p w14:paraId="10C2E7C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529" w:type="pct"/>
                  <w:vAlign w:val="center"/>
                </w:tcPr>
                <w:p w14:paraId="755AE26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270</w:t>
                  </w:r>
                </w:p>
              </w:tc>
            </w:tr>
            <w:tr w14:paraId="7AA5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70" w:type="pct"/>
                  <w:vAlign w:val="center"/>
                </w:tcPr>
                <w:p w14:paraId="3CBC52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56" w:type="pct"/>
                  <w:gridSpan w:val="2"/>
                  <w:vAlign w:val="center"/>
                </w:tcPr>
                <w:p w14:paraId="2441E67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员工洗手用水</w:t>
                  </w:r>
                </w:p>
              </w:tc>
              <w:tc>
                <w:tcPr>
                  <w:tcW w:w="533" w:type="pct"/>
                  <w:vAlign w:val="center"/>
                </w:tcPr>
                <w:p w14:paraId="7F8A14D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20人</w:t>
                  </w:r>
                </w:p>
              </w:tc>
              <w:tc>
                <w:tcPr>
                  <w:tcW w:w="681" w:type="pct"/>
                  <w:vAlign w:val="center"/>
                </w:tcPr>
                <w:p w14:paraId="3399A2D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10L/人·d</w:t>
                  </w:r>
                </w:p>
              </w:tc>
              <w:tc>
                <w:tcPr>
                  <w:tcW w:w="478" w:type="pct"/>
                  <w:vAlign w:val="center"/>
                </w:tcPr>
                <w:p w14:paraId="272A0F6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w:t>
                  </w:r>
                </w:p>
              </w:tc>
              <w:tc>
                <w:tcPr>
                  <w:tcW w:w="538" w:type="pct"/>
                  <w:vAlign w:val="center"/>
                </w:tcPr>
                <w:p w14:paraId="2A79E0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439" w:type="pct"/>
                  <w:vAlign w:val="center"/>
                </w:tcPr>
                <w:p w14:paraId="4354036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571" w:type="pct"/>
                  <w:vAlign w:val="center"/>
                </w:tcPr>
                <w:p w14:paraId="0D0438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0.18</w:t>
                  </w:r>
                </w:p>
              </w:tc>
              <w:tc>
                <w:tcPr>
                  <w:tcW w:w="529" w:type="pct"/>
                  <w:vAlign w:val="center"/>
                </w:tcPr>
                <w:p w14:paraId="0DABCB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r>
            <w:tr w14:paraId="69A0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 w:type="pct"/>
                  <w:vAlign w:val="center"/>
                </w:tcPr>
                <w:p w14:paraId="51575ED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56" w:type="pct"/>
                  <w:gridSpan w:val="2"/>
                  <w:vAlign w:val="center"/>
                </w:tcPr>
                <w:p w14:paraId="436DF35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地坪清洁用水</w:t>
                  </w:r>
                </w:p>
              </w:tc>
              <w:tc>
                <w:tcPr>
                  <w:tcW w:w="533" w:type="pct"/>
                  <w:vAlign w:val="center"/>
                </w:tcPr>
                <w:p w14:paraId="2F1518F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1200m</w:t>
                  </w:r>
                  <w:r>
                    <w:rPr>
                      <w:color w:val="000000" w:themeColor="text1"/>
                      <w:szCs w:val="21"/>
                      <w:vertAlign w:val="superscript"/>
                      <w14:textFill>
                        <w14:solidFill>
                          <w14:schemeClr w14:val="tx1"/>
                        </w14:solidFill>
                      </w14:textFill>
                    </w:rPr>
                    <w:t>2</w:t>
                  </w:r>
                </w:p>
              </w:tc>
              <w:tc>
                <w:tcPr>
                  <w:tcW w:w="681" w:type="pct"/>
                  <w:vAlign w:val="center"/>
                </w:tcPr>
                <w:p w14:paraId="2B39B85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0.5L/m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，5d/次</w:t>
                  </w:r>
                </w:p>
              </w:tc>
              <w:tc>
                <w:tcPr>
                  <w:tcW w:w="478" w:type="pct"/>
                  <w:vAlign w:val="center"/>
                </w:tcPr>
                <w:p w14:paraId="566E219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0.6</w:t>
                  </w:r>
                </w:p>
              </w:tc>
              <w:tc>
                <w:tcPr>
                  <w:tcW w:w="538" w:type="pct"/>
                  <w:vAlign w:val="center"/>
                </w:tcPr>
                <w:p w14:paraId="7464A3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439" w:type="pct"/>
                  <w:vAlign w:val="center"/>
                </w:tcPr>
                <w:p w14:paraId="2A5B2A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571" w:type="pct"/>
                  <w:vAlign w:val="center"/>
                </w:tcPr>
                <w:p w14:paraId="75C87FA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0.54</w:t>
                  </w:r>
                </w:p>
              </w:tc>
              <w:tc>
                <w:tcPr>
                  <w:tcW w:w="529" w:type="pct"/>
                  <w:vAlign w:val="center"/>
                </w:tcPr>
                <w:p w14:paraId="4F472CF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33.6</w:t>
                  </w:r>
                </w:p>
              </w:tc>
            </w:tr>
            <w:tr w14:paraId="3C96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 w:type="pct"/>
                  <w:vAlign w:val="center"/>
                </w:tcPr>
                <w:p w14:paraId="1D1CE6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56" w:type="pct"/>
                  <w:gridSpan w:val="2"/>
                  <w:vAlign w:val="center"/>
                </w:tcPr>
                <w:p w14:paraId="215365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清洗机用水</w:t>
                  </w:r>
                </w:p>
              </w:tc>
              <w:tc>
                <w:tcPr>
                  <w:tcW w:w="533" w:type="pct"/>
                  <w:vAlign w:val="center"/>
                </w:tcPr>
                <w:p w14:paraId="16803F6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681" w:type="pct"/>
                  <w:vAlign w:val="center"/>
                </w:tcPr>
                <w:p w14:paraId="75BA7D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0.05L</w:t>
                  </w:r>
                </w:p>
              </w:tc>
              <w:tc>
                <w:tcPr>
                  <w:tcW w:w="478" w:type="pct"/>
                  <w:vAlign w:val="center"/>
                </w:tcPr>
                <w:p w14:paraId="6FBCA9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0.05</w:t>
                  </w:r>
                </w:p>
              </w:tc>
              <w:tc>
                <w:tcPr>
                  <w:tcW w:w="538" w:type="pct"/>
                  <w:vAlign w:val="center"/>
                </w:tcPr>
                <w:p w14:paraId="5AB88C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439" w:type="pct"/>
                  <w:vAlign w:val="center"/>
                </w:tcPr>
                <w:p w14:paraId="21C959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571" w:type="pct"/>
                  <w:vAlign w:val="center"/>
                </w:tcPr>
                <w:p w14:paraId="1E7DDED1">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0.045</w:t>
                  </w:r>
                </w:p>
              </w:tc>
              <w:tc>
                <w:tcPr>
                  <w:tcW w:w="529" w:type="pct"/>
                  <w:vAlign w:val="center"/>
                </w:tcPr>
                <w:p w14:paraId="394B53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13.5</w:t>
                  </w:r>
                </w:p>
              </w:tc>
            </w:tr>
            <w:tr w14:paraId="10B6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 w:type="pct"/>
                  <w:vMerge w:val="restart"/>
                  <w:vAlign w:val="center"/>
                </w:tcPr>
                <w:p w14:paraId="1A2C08C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562" w:type="pct"/>
                  <w:vMerge w:val="restart"/>
                  <w:vAlign w:val="center"/>
                </w:tcPr>
                <w:p w14:paraId="4C04FA6A">
                  <w:pPr>
                    <w:adjustRightInd w:val="0"/>
                    <w:snapToGrid w:val="0"/>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切削液</w:t>
                  </w:r>
                  <w:r>
                    <w:rPr>
                      <w:color w:val="000000" w:themeColor="text1"/>
                      <w14:textFill>
                        <w14:solidFill>
                          <w14:schemeClr w14:val="tx1"/>
                        </w14:solidFill>
                      </w14:textFill>
                    </w:rPr>
                    <w:t>制备</w:t>
                  </w:r>
                  <w:r>
                    <w:rPr>
                      <w:rFonts w:hint="eastAsia"/>
                      <w:color w:val="000000" w:themeColor="text1"/>
                      <w:lang w:val="en-US" w:eastAsia="zh-CN"/>
                      <w14:textFill>
                        <w14:solidFill>
                          <w14:schemeClr w14:val="tx1"/>
                        </w14:solidFill>
                      </w14:textFill>
                    </w:rPr>
                    <w:t>用水</w:t>
                  </w:r>
                </w:p>
              </w:tc>
              <w:tc>
                <w:tcPr>
                  <w:tcW w:w="394" w:type="pct"/>
                  <w:vAlign w:val="center"/>
                </w:tcPr>
                <w:p w14:paraId="1A80EC9F">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补充</w:t>
                  </w:r>
                </w:p>
              </w:tc>
              <w:tc>
                <w:tcPr>
                  <w:tcW w:w="1214" w:type="pct"/>
                  <w:gridSpan w:val="2"/>
                  <w:vMerge w:val="restart"/>
                  <w:vAlign w:val="center"/>
                </w:tcPr>
                <w:p w14:paraId="72DE1134">
                  <w:pPr>
                    <w:adjustRightInd w:val="0"/>
                    <w:snapToGrid w:val="0"/>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1.5t</w:t>
                  </w:r>
                  <w:r>
                    <w:rPr>
                      <w:rFonts w:hint="eastAsia"/>
                      <w:color w:val="000000" w:themeColor="text1"/>
                      <w:szCs w:val="21"/>
                      <w:lang w:val="en-US" w:eastAsia="zh-CN"/>
                      <w14:textFill>
                        <w14:solidFill>
                          <w14:schemeClr w14:val="tx1"/>
                        </w14:solidFill>
                      </w14:textFill>
                    </w:rPr>
                    <w:t>切削液，</w:t>
                  </w:r>
                </w:p>
                <w:p w14:paraId="14795AB5">
                  <w:pPr>
                    <w:adjustRightInd w:val="0"/>
                    <w:snapToGri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1：10</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每3d补充1次，3月更换1次</w:t>
                  </w:r>
                </w:p>
              </w:tc>
              <w:tc>
                <w:tcPr>
                  <w:tcW w:w="478" w:type="pct"/>
                  <w:vAlign w:val="center"/>
                </w:tcPr>
                <w:p w14:paraId="69C5534B">
                  <w:pPr>
                    <w:widowControl/>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0.1365</w:t>
                  </w:r>
                </w:p>
              </w:tc>
              <w:tc>
                <w:tcPr>
                  <w:tcW w:w="538" w:type="pct"/>
                  <w:vAlign w:val="center"/>
                </w:tcPr>
                <w:p w14:paraId="1719EC40">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13.65</w:t>
                  </w:r>
                </w:p>
              </w:tc>
              <w:tc>
                <w:tcPr>
                  <w:tcW w:w="439" w:type="pct"/>
                  <w:vMerge w:val="restart"/>
                  <w:vAlign w:val="center"/>
                </w:tcPr>
                <w:p w14:paraId="65819B2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71" w:type="pct"/>
                  <w:vAlign w:val="center"/>
                </w:tcPr>
                <w:p w14:paraId="6BA33340">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529" w:type="pct"/>
                  <w:vAlign w:val="center"/>
                </w:tcPr>
                <w:p w14:paraId="67B29098">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14:paraId="7B50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 w:type="pct"/>
                  <w:vMerge w:val="continue"/>
                  <w:vAlign w:val="center"/>
                </w:tcPr>
                <w:p w14:paraId="645FC543">
                  <w:pPr>
                    <w:adjustRightInd w:val="0"/>
                    <w:snapToGrid w:val="0"/>
                    <w:jc w:val="center"/>
                    <w:rPr>
                      <w:color w:val="000000" w:themeColor="text1"/>
                      <w:szCs w:val="21"/>
                      <w14:textFill>
                        <w14:solidFill>
                          <w14:schemeClr w14:val="tx1"/>
                        </w14:solidFill>
                      </w14:textFill>
                    </w:rPr>
                  </w:pPr>
                </w:p>
              </w:tc>
              <w:tc>
                <w:tcPr>
                  <w:tcW w:w="562" w:type="pct"/>
                  <w:vMerge w:val="continue"/>
                  <w:vAlign w:val="center"/>
                </w:tcPr>
                <w:p w14:paraId="6EFBFF80">
                  <w:pPr>
                    <w:adjustRightInd w:val="0"/>
                    <w:snapToGrid w:val="0"/>
                    <w:jc w:val="center"/>
                    <w:rPr>
                      <w:color w:val="000000" w:themeColor="text1"/>
                      <w:szCs w:val="21"/>
                      <w14:textFill>
                        <w14:solidFill>
                          <w14:schemeClr w14:val="tx1"/>
                        </w14:solidFill>
                      </w14:textFill>
                    </w:rPr>
                  </w:pPr>
                </w:p>
              </w:tc>
              <w:tc>
                <w:tcPr>
                  <w:tcW w:w="394" w:type="pct"/>
                  <w:vAlign w:val="center"/>
                </w:tcPr>
                <w:p w14:paraId="040B967A">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更换</w:t>
                  </w:r>
                </w:p>
              </w:tc>
              <w:tc>
                <w:tcPr>
                  <w:tcW w:w="1214" w:type="pct"/>
                  <w:gridSpan w:val="2"/>
                  <w:vMerge w:val="continue"/>
                  <w:vAlign w:val="center"/>
                </w:tcPr>
                <w:p w14:paraId="6F5711FE">
                  <w:pPr>
                    <w:adjustRightInd w:val="0"/>
                    <w:snapToGrid w:val="0"/>
                    <w:jc w:val="center"/>
                    <w:rPr>
                      <w:color w:val="000000" w:themeColor="text1"/>
                      <w:szCs w:val="21"/>
                      <w14:textFill>
                        <w14:solidFill>
                          <w14:schemeClr w14:val="tx1"/>
                        </w14:solidFill>
                      </w14:textFill>
                    </w:rPr>
                  </w:pPr>
                </w:p>
              </w:tc>
              <w:tc>
                <w:tcPr>
                  <w:tcW w:w="478" w:type="pct"/>
                  <w:vAlign w:val="center"/>
                </w:tcPr>
                <w:p w14:paraId="41828316">
                  <w:pPr>
                    <w:widowControl/>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0.337</w:t>
                  </w:r>
                </w:p>
              </w:tc>
              <w:tc>
                <w:tcPr>
                  <w:tcW w:w="538" w:type="pct"/>
                  <w:vAlign w:val="center"/>
                </w:tcPr>
                <w:p w14:paraId="7A6EB94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1.35</w:t>
                  </w:r>
                </w:p>
              </w:tc>
              <w:tc>
                <w:tcPr>
                  <w:tcW w:w="439" w:type="pct"/>
                  <w:vMerge w:val="continue"/>
                  <w:vAlign w:val="center"/>
                </w:tcPr>
                <w:p w14:paraId="22387ECB">
                  <w:pPr>
                    <w:adjustRightInd w:val="0"/>
                    <w:snapToGrid w:val="0"/>
                    <w:jc w:val="center"/>
                    <w:rPr>
                      <w:color w:val="000000" w:themeColor="text1"/>
                      <w:szCs w:val="21"/>
                      <w14:textFill>
                        <w14:solidFill>
                          <w14:schemeClr w14:val="tx1"/>
                        </w14:solidFill>
                      </w14:textFill>
                    </w:rPr>
                  </w:pPr>
                </w:p>
              </w:tc>
              <w:tc>
                <w:tcPr>
                  <w:tcW w:w="571" w:type="pct"/>
                  <w:vAlign w:val="center"/>
                </w:tcPr>
                <w:p w14:paraId="47BACA93">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0（0.337危废）</w:t>
                  </w:r>
                </w:p>
              </w:tc>
              <w:tc>
                <w:tcPr>
                  <w:tcW w:w="529" w:type="pct"/>
                  <w:vAlign w:val="center"/>
                </w:tcPr>
                <w:p w14:paraId="59117E4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0（1.35危废）</w:t>
                  </w:r>
                </w:p>
              </w:tc>
            </w:tr>
            <w:tr w14:paraId="4730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 w:type="pct"/>
                  <w:vAlign w:val="center"/>
                </w:tcPr>
                <w:p w14:paraId="1ABEC2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956" w:type="pct"/>
                  <w:gridSpan w:val="2"/>
                  <w:vAlign w:val="center"/>
                </w:tcPr>
                <w:p w14:paraId="73E6CD53">
                  <w:pPr>
                    <w:adjustRightInd w:val="0"/>
                    <w:snapToGrid w:val="0"/>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热处理冷却用水（补水）</w:t>
                  </w:r>
                </w:p>
              </w:tc>
              <w:tc>
                <w:tcPr>
                  <w:tcW w:w="533" w:type="pct"/>
                  <w:vAlign w:val="center"/>
                </w:tcPr>
                <w:p w14:paraId="36E2EC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1个</w:t>
                  </w:r>
                </w:p>
              </w:tc>
              <w:tc>
                <w:tcPr>
                  <w:tcW w:w="681" w:type="pct"/>
                  <w:vAlign w:val="center"/>
                </w:tcPr>
                <w:p w14:paraId="28F5E07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蓄水</w:t>
                  </w:r>
                  <w:r>
                    <w:rPr>
                      <w:rFonts w:hint="eastAsia"/>
                      <w:color w:val="000000" w:themeColor="text1"/>
                      <w:szCs w:val="21"/>
                      <w:lang w:val="en-US" w:eastAsia="zh-CN"/>
                      <w14:textFill>
                        <w14:solidFill>
                          <w14:schemeClr w14:val="tx1"/>
                        </w14:solidFill>
                      </w14:textFill>
                    </w:rPr>
                    <w:t>1.2</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，补充</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0%</w:t>
                  </w:r>
                </w:p>
              </w:tc>
              <w:tc>
                <w:tcPr>
                  <w:tcW w:w="478" w:type="pct"/>
                  <w:vAlign w:val="center"/>
                </w:tcPr>
                <w:p w14:paraId="0A144288">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0.24</w:t>
                  </w:r>
                </w:p>
              </w:tc>
              <w:tc>
                <w:tcPr>
                  <w:tcW w:w="538" w:type="pct"/>
                  <w:vAlign w:val="center"/>
                </w:tcPr>
                <w:p w14:paraId="7575985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72</w:t>
                  </w:r>
                </w:p>
              </w:tc>
              <w:tc>
                <w:tcPr>
                  <w:tcW w:w="439" w:type="pct"/>
                  <w:vAlign w:val="center"/>
                </w:tcPr>
                <w:p w14:paraId="7DC702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71" w:type="pct"/>
                  <w:vAlign w:val="center"/>
                </w:tcPr>
                <w:p w14:paraId="7993AFE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29" w:type="pct"/>
                  <w:vAlign w:val="center"/>
                </w:tcPr>
                <w:p w14:paraId="52BCF5F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14:paraId="1B52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70" w:type="pct"/>
                  <w:vAlign w:val="center"/>
                </w:tcPr>
                <w:p w14:paraId="5A766B1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956" w:type="pct"/>
                  <w:gridSpan w:val="2"/>
                  <w:vAlign w:val="center"/>
                </w:tcPr>
                <w:p w14:paraId="5B5CBCE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空压机冷凝废液</w:t>
                  </w:r>
                </w:p>
              </w:tc>
              <w:tc>
                <w:tcPr>
                  <w:tcW w:w="533" w:type="pct"/>
                  <w:vAlign w:val="center"/>
                </w:tcPr>
                <w:p w14:paraId="5C69C8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681" w:type="pct"/>
                  <w:vAlign w:val="center"/>
                </w:tcPr>
                <w:p w14:paraId="1207971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330d</w:t>
                  </w:r>
                </w:p>
              </w:tc>
              <w:tc>
                <w:tcPr>
                  <w:tcW w:w="478" w:type="pct"/>
                  <w:vAlign w:val="center"/>
                </w:tcPr>
                <w:p w14:paraId="69F250B5">
                  <w:pPr>
                    <w:widowControl/>
                    <w:jc w:val="center"/>
                    <w:rPr>
                      <w:color w:val="000000" w:themeColor="text1"/>
                      <w:szCs w:val="21"/>
                      <w:highlight w:val="green"/>
                      <w14:textFill>
                        <w14:solidFill>
                          <w14:schemeClr w14:val="tx1"/>
                        </w14:solidFill>
                      </w14:textFill>
                    </w:rPr>
                  </w:pPr>
                  <w:r>
                    <w:rPr>
                      <w:color w:val="000000" w:themeColor="text1"/>
                      <w:szCs w:val="21"/>
                      <w14:textFill>
                        <w14:solidFill>
                          <w14:schemeClr w14:val="tx1"/>
                        </w14:solidFill>
                      </w14:textFill>
                    </w:rPr>
                    <w:t>/</w:t>
                  </w:r>
                </w:p>
              </w:tc>
              <w:tc>
                <w:tcPr>
                  <w:tcW w:w="538" w:type="pct"/>
                  <w:vAlign w:val="center"/>
                </w:tcPr>
                <w:p w14:paraId="74D9AF71">
                  <w:pPr>
                    <w:jc w:val="center"/>
                    <w:rPr>
                      <w:color w:val="000000" w:themeColor="text1"/>
                      <w:szCs w:val="21"/>
                      <w:highlight w:val="green"/>
                      <w14:textFill>
                        <w14:solidFill>
                          <w14:schemeClr w14:val="tx1"/>
                        </w14:solidFill>
                      </w14:textFill>
                    </w:rPr>
                  </w:pPr>
                  <w:r>
                    <w:rPr>
                      <w:color w:val="000000" w:themeColor="text1"/>
                      <w:szCs w:val="21"/>
                      <w14:textFill>
                        <w14:solidFill>
                          <w14:schemeClr w14:val="tx1"/>
                        </w14:solidFill>
                      </w14:textFill>
                    </w:rPr>
                    <w:t>/</w:t>
                  </w:r>
                </w:p>
              </w:tc>
              <w:tc>
                <w:tcPr>
                  <w:tcW w:w="439" w:type="pct"/>
                  <w:vAlign w:val="center"/>
                </w:tcPr>
                <w:p w14:paraId="21649ED6">
                  <w:pPr>
                    <w:adjustRightInd w:val="0"/>
                    <w:snapToGrid w:val="0"/>
                    <w:jc w:val="center"/>
                    <w:rPr>
                      <w:color w:val="000000" w:themeColor="text1"/>
                      <w:szCs w:val="21"/>
                      <w:highlight w:val="green"/>
                      <w14:textFill>
                        <w14:solidFill>
                          <w14:schemeClr w14:val="tx1"/>
                        </w14:solidFill>
                      </w14:textFill>
                    </w:rPr>
                  </w:pPr>
                  <w:r>
                    <w:rPr>
                      <w:color w:val="000000" w:themeColor="text1"/>
                      <w:szCs w:val="21"/>
                      <w14:textFill>
                        <w14:solidFill>
                          <w14:schemeClr w14:val="tx1"/>
                        </w14:solidFill>
                      </w14:textFill>
                    </w:rPr>
                    <w:t>/</w:t>
                  </w:r>
                </w:p>
              </w:tc>
              <w:tc>
                <w:tcPr>
                  <w:tcW w:w="571" w:type="pct"/>
                  <w:vAlign w:val="center"/>
                </w:tcPr>
                <w:p w14:paraId="71165BAE">
                  <w:pPr>
                    <w:adjustRightInd w:val="0"/>
                    <w:snapToGrid w:val="0"/>
                    <w:jc w:val="center"/>
                    <w:rPr>
                      <w:color w:val="000000" w:themeColor="text1"/>
                      <w:szCs w:val="21"/>
                      <w:highlight w:val="green"/>
                      <w14:textFill>
                        <w14:solidFill>
                          <w14:schemeClr w14:val="tx1"/>
                        </w14:solidFill>
                      </w14:textFill>
                    </w:rPr>
                  </w:pPr>
                  <w:r>
                    <w:rPr>
                      <w:color w:val="000000" w:themeColor="text1"/>
                      <w:szCs w:val="21"/>
                      <w14:textFill>
                        <w14:solidFill>
                          <w14:schemeClr w14:val="tx1"/>
                        </w14:solidFill>
                      </w14:textFill>
                    </w:rPr>
                    <w:t>0.05</w:t>
                  </w:r>
                </w:p>
              </w:tc>
              <w:tc>
                <w:tcPr>
                  <w:tcW w:w="529" w:type="pct"/>
                  <w:vAlign w:val="center"/>
                </w:tcPr>
                <w:p w14:paraId="3F76AB4F">
                  <w:pPr>
                    <w:adjustRightInd w:val="0"/>
                    <w:snapToGrid w:val="0"/>
                    <w:jc w:val="center"/>
                    <w:rPr>
                      <w:color w:val="000000" w:themeColor="text1"/>
                      <w:szCs w:val="21"/>
                      <w:highlight w:val="green"/>
                      <w14:textFill>
                        <w14:solidFill>
                          <w14:schemeClr w14:val="tx1"/>
                        </w14:solidFill>
                      </w14:textFill>
                    </w:rPr>
                  </w:pPr>
                  <w:r>
                    <w:rPr>
                      <w:color w:val="000000" w:themeColor="text1"/>
                      <w:szCs w:val="21"/>
                      <w14:textFill>
                        <w14:solidFill>
                          <w14:schemeClr w14:val="tx1"/>
                        </w14:solidFill>
                      </w14:textFill>
                    </w:rPr>
                    <w:t>0.05</w:t>
                  </w:r>
                </w:p>
              </w:tc>
            </w:tr>
            <w:tr w14:paraId="3256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442" w:type="pct"/>
                  <w:gridSpan w:val="5"/>
                  <w:vAlign w:val="center"/>
                </w:tcPr>
                <w:p w14:paraId="3FD9092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478" w:type="pct"/>
                  <w:vAlign w:val="center"/>
                </w:tcPr>
                <w:p w14:paraId="3EA540ED">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2.5635</w:t>
                  </w:r>
                </w:p>
              </w:tc>
              <w:tc>
                <w:tcPr>
                  <w:tcW w:w="538" w:type="pct"/>
                  <w:vAlign w:val="center"/>
                </w:tcPr>
                <w:p w14:paraId="765DB888">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498</w:t>
                  </w:r>
                </w:p>
              </w:tc>
              <w:tc>
                <w:tcPr>
                  <w:tcW w:w="439" w:type="pct"/>
                  <w:vAlign w:val="center"/>
                </w:tcPr>
                <w:p w14:paraId="5B603BD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71" w:type="pct"/>
                  <w:vAlign w:val="center"/>
                </w:tcPr>
                <w:p w14:paraId="2E171292">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1.715</w:t>
                  </w:r>
                </w:p>
              </w:tc>
              <w:tc>
                <w:tcPr>
                  <w:tcW w:w="529" w:type="pct"/>
                  <w:vAlign w:val="center"/>
                </w:tcPr>
                <w:p w14:paraId="1163C5C9">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371.15</w:t>
                  </w:r>
                </w:p>
              </w:tc>
            </w:tr>
          </w:tbl>
          <w:p w14:paraId="03749A56">
            <w:pPr>
              <w:pStyle w:val="137"/>
              <w:spacing w:line="240" w:lineRule="auto"/>
              <w:rPr>
                <w:rFonts w:eastAsia="宋体"/>
                <w:color w:val="000000" w:themeColor="text1"/>
                <w14:textFill>
                  <w14:solidFill>
                    <w14:schemeClr w14:val="tx1"/>
                  </w14:solidFill>
                </w14:textFill>
              </w:rPr>
            </w:pPr>
            <w:r>
              <w:rPr>
                <w:rFonts w:eastAsia="宋体"/>
                <w:color w:val="000000" w:themeColor="text1"/>
                <w:sz w:val="21"/>
                <w:szCs w:val="21"/>
                <w14:textFill>
                  <w14:solidFill>
                    <w14:schemeClr w14:val="tx1"/>
                  </w14:solidFill>
                </w14:textFill>
              </w:rPr>
              <w:t>注：切削废液作为危废处置，不计入废水排放量；厂区共设置1台空压机，空压机在压缩空气作业过程冷凝空气中水蒸气形成含油废液，平均每台空压机废液量为0.05m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/a，平均每年排放一次，计入废水排放量</w:t>
            </w:r>
            <w:r>
              <w:rPr>
                <w:rFonts w:hint="eastAsia" w:eastAsia="宋体"/>
                <w:color w:val="000000" w:themeColor="text1"/>
                <w:sz w:val="21"/>
                <w:szCs w:val="21"/>
                <w14:textFill>
                  <w14:solidFill>
                    <w14:schemeClr w14:val="tx1"/>
                  </w14:solidFill>
                </w14:textFill>
              </w:rPr>
              <w:t>。</w:t>
            </w:r>
          </w:p>
          <w:p w14:paraId="0298C51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25" o:spt="75" type="#_x0000_t75" style="height:284.6pt;width:420.8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14:paraId="52D023BF">
            <w:pPr>
              <w:adjustRightInd w:val="0"/>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图2-1项目用水平衡单位m</w:t>
            </w:r>
            <w:r>
              <w:rPr>
                <w:b/>
                <w:bCs/>
                <w:color w:val="000000" w:themeColor="text1"/>
                <w:sz w:val="24"/>
                <w:vertAlign w:val="superscript"/>
                <w14:textFill>
                  <w14:solidFill>
                    <w14:schemeClr w14:val="tx1"/>
                  </w14:solidFill>
                </w14:textFill>
              </w:rPr>
              <w:t>3</w:t>
            </w:r>
            <w:r>
              <w:rPr>
                <w:b/>
                <w:bCs/>
                <w:color w:val="000000" w:themeColor="text1"/>
                <w:sz w:val="24"/>
                <w14:textFill>
                  <w14:solidFill>
                    <w14:schemeClr w14:val="tx1"/>
                  </w14:solidFill>
                </w14:textFill>
              </w:rPr>
              <w:t>/d</w:t>
            </w:r>
          </w:p>
          <w:p w14:paraId="3AAAB384">
            <w:pPr>
              <w:adjustRightInd w:val="0"/>
              <w:rPr>
                <w:b/>
                <w:bCs/>
                <w:color w:val="000000" w:themeColor="text1"/>
                <w:sz w:val="24"/>
                <w14:textFill>
                  <w14:solidFill>
                    <w14:schemeClr w14:val="tx1"/>
                  </w14:solidFill>
                </w14:textFill>
              </w:rPr>
            </w:pPr>
          </w:p>
        </w:tc>
      </w:tr>
      <w:tr w14:paraId="39AD4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470" w:type="dxa"/>
            <w:vAlign w:val="center"/>
          </w:tcPr>
          <w:p w14:paraId="01EA9309">
            <w:pPr>
              <w:pStyle w:val="22"/>
              <w:adjustRightInd w:val="0"/>
              <w:snapToGrid w:val="0"/>
              <w:spacing w:before="0" w:beforeAutospacing="0" w:after="0" w:afterAutospacing="0"/>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工艺流程和产排污环节</w:t>
            </w:r>
          </w:p>
        </w:tc>
        <w:tc>
          <w:tcPr>
            <w:tcW w:w="8309" w:type="dxa"/>
          </w:tcPr>
          <w:p w14:paraId="7BC7F1CE">
            <w:pPr>
              <w:pStyle w:val="137"/>
              <w:rPr>
                <w:rFonts w:eastAsia="宋体"/>
                <w:b/>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2.2工艺流程和产排污环节</w:t>
            </w:r>
          </w:p>
          <w:p w14:paraId="23085783">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2.2.1施工期工艺流程及产污环节</w:t>
            </w:r>
          </w:p>
          <w:p w14:paraId="245F744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租用铜梁区蒲吕街道产业大道38号1-1小米智能制造产业园内现有标准厂房4A栋1楼进行生产经营活动。经现场调查，厂房及其配套的给水、排水、供电等辅助设施均已齐备且能正常使用。项目施工期主要是进行厂房内部装修以及设备的安装调试。施工期施工人员不在场地内食宿，施工期环境影响主要是</w:t>
            </w:r>
            <w:r>
              <w:rPr>
                <w:rFonts w:hint="eastAsia" w:eastAsia="宋体"/>
                <w:color w:val="000000" w:themeColor="text1"/>
                <w14:textFill>
                  <w14:solidFill>
                    <w14:schemeClr w14:val="tx1"/>
                  </w14:solidFill>
                </w14:textFill>
              </w:rPr>
              <w:t>装修、</w:t>
            </w:r>
            <w:r>
              <w:rPr>
                <w:rFonts w:eastAsia="宋体"/>
                <w:color w:val="000000" w:themeColor="text1"/>
                <w14:textFill>
                  <w14:solidFill>
                    <w14:schemeClr w14:val="tx1"/>
                  </w14:solidFill>
                </w14:textFill>
              </w:rPr>
              <w:t>设备安装过程中产生的</w:t>
            </w:r>
            <w:r>
              <w:rPr>
                <w:rFonts w:hint="eastAsia" w:eastAsia="宋体"/>
                <w:color w:val="000000" w:themeColor="text1"/>
                <w14:textFill>
                  <w14:solidFill>
                    <w14:schemeClr w14:val="tx1"/>
                  </w14:solidFill>
                </w14:textFill>
              </w:rPr>
              <w:t>废气</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装修粉尘、有机废气</w:t>
            </w:r>
            <w:r>
              <w:rPr>
                <w:rFonts w:hint="eastAsia" w:eastAsia="宋体"/>
                <w:color w:val="000000" w:themeColor="text1"/>
                <w:lang w:eastAsia="zh-CN"/>
                <w14:textFill>
                  <w14:solidFill>
                    <w14:schemeClr w14:val="tx1"/>
                  </w14:solidFill>
                </w14:textFill>
              </w:rPr>
              <w:t>）</w:t>
            </w:r>
            <w:r>
              <w:rPr>
                <w:rFonts w:hint="eastAsia" w:eastAsia="宋体"/>
                <w:color w:val="000000" w:themeColor="text1"/>
                <w14:textFill>
                  <w14:solidFill>
                    <w14:schemeClr w14:val="tx1"/>
                  </w14:solidFill>
                </w14:textFill>
              </w:rPr>
              <w:t>、施工</w:t>
            </w:r>
            <w:r>
              <w:rPr>
                <w:rFonts w:hint="eastAsia" w:eastAsia="宋体"/>
                <w:color w:val="000000" w:themeColor="text1"/>
                <w:lang w:val="en-US" w:eastAsia="zh-CN"/>
                <w14:textFill>
                  <w14:solidFill>
                    <w14:schemeClr w14:val="tx1"/>
                  </w14:solidFill>
                </w14:textFill>
              </w:rPr>
              <w:t>人员生活污水</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噪声</w:t>
            </w:r>
            <w:r>
              <w:rPr>
                <w:rFonts w:hint="eastAsia" w:eastAsia="宋体"/>
                <w:color w:val="000000" w:themeColor="text1"/>
                <w14:textFill>
                  <w14:solidFill>
                    <w14:schemeClr w14:val="tx1"/>
                  </w14:solidFill>
                </w14:textFill>
              </w:rPr>
              <w:t>及</w:t>
            </w:r>
            <w:r>
              <w:rPr>
                <w:rFonts w:eastAsia="宋体"/>
                <w:color w:val="000000" w:themeColor="text1"/>
                <w14:textFill>
                  <w14:solidFill>
                    <w14:schemeClr w14:val="tx1"/>
                  </w14:solidFill>
                </w14:textFill>
              </w:rPr>
              <w:t>废弃的设备包装材料等。项目施工期对环境的影响小而且是短暂的，随着工程竣工环境影响也随之消除。因此，本次评价仅对项目施工期环境影响作简要分析。</w:t>
            </w:r>
          </w:p>
          <w:p w14:paraId="0A25EDD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项目施工期工艺流程及产污环节见图2-2。</w:t>
            </w:r>
          </w:p>
          <w:p w14:paraId="1A541597">
            <w:pPr>
              <w:pStyle w:val="137"/>
              <w:ind w:firstLine="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5156200" cy="125476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80802" cy="1260638"/>
                          </a:xfrm>
                          <a:prstGeom prst="rect">
                            <a:avLst/>
                          </a:prstGeom>
                        </pic:spPr>
                      </pic:pic>
                    </a:graphicData>
                  </a:graphic>
                </wp:inline>
              </w:drawing>
            </w:r>
          </w:p>
          <w:p w14:paraId="7F734C83">
            <w:pPr>
              <w:pStyle w:val="137"/>
              <w:ind w:firstLine="0"/>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图</w:t>
            </w:r>
            <w:r>
              <w:rPr>
                <w:rFonts w:eastAsia="宋体"/>
                <w:b/>
                <w:bCs/>
                <w:color w:val="000000" w:themeColor="text1"/>
                <w14:textFill>
                  <w14:solidFill>
                    <w14:schemeClr w14:val="tx1"/>
                  </w14:solidFill>
                </w14:textFill>
              </w:rPr>
              <w:t>2-2</w:t>
            </w:r>
            <w:r>
              <w:rPr>
                <w:rFonts w:eastAsia="宋体"/>
                <w:b/>
                <w:color w:val="000000" w:themeColor="text1"/>
                <w14:textFill>
                  <w14:solidFill>
                    <w14:schemeClr w14:val="tx1"/>
                  </w14:solidFill>
                </w14:textFill>
              </w:rPr>
              <w:t>项目施工期工艺流程及产污环节图</w:t>
            </w:r>
          </w:p>
          <w:p w14:paraId="0D88A7D0">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施工期会产生少量生活垃圾和生活污水，环境影响主要是设备安装过程中产生的噪声和废弃的设备包装材料等，主要污染源及污染物分析如下：</w:t>
            </w:r>
          </w:p>
          <w:p w14:paraId="3F3EC1FF">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（1）废气：项目因不涉及土建工作，只需在室内进行装修，进行设备安装，不涉及大型施工机械，且项目在室内施工，</w:t>
            </w:r>
            <w:r>
              <w:rPr>
                <w:rFonts w:hint="eastAsia" w:eastAsia="宋体"/>
                <w:color w:val="000000" w:themeColor="text1"/>
                <w14:textFill>
                  <w14:solidFill>
                    <w14:schemeClr w14:val="tx1"/>
                  </w14:solidFill>
                </w14:textFill>
              </w:rPr>
              <w:t>产生少量粉尘及装修废气对环境影响极小</w:t>
            </w:r>
            <w:r>
              <w:rPr>
                <w:rFonts w:eastAsia="宋体"/>
                <w:color w:val="000000" w:themeColor="text1"/>
                <w14:textFill>
                  <w14:solidFill>
                    <w14:schemeClr w14:val="tx1"/>
                  </w14:solidFill>
                </w14:textFill>
              </w:rPr>
              <w:t>。</w:t>
            </w:r>
          </w:p>
          <w:p w14:paraId="0C8BC6AC">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（2）废水：项目因不涉及土建工作，基本不存在施工废水；施工人员最多4人，均为周边居民，不在场地内食宿</w:t>
            </w:r>
            <w:r>
              <w:rPr>
                <w:rFonts w:hint="eastAsia" w:eastAsia="宋体"/>
                <w:color w:val="000000" w:themeColor="text1"/>
                <w14:textFill>
                  <w14:solidFill>
                    <w14:schemeClr w14:val="tx1"/>
                  </w14:solidFill>
                </w14:textFill>
              </w:rPr>
              <w:t>，少量的施工人员生活污水依托园区生化池处理</w:t>
            </w:r>
            <w:r>
              <w:rPr>
                <w:rFonts w:eastAsia="宋体"/>
                <w:color w:val="000000" w:themeColor="text1"/>
                <w14:textFill>
                  <w14:solidFill>
                    <w14:schemeClr w14:val="tx1"/>
                  </w14:solidFill>
                </w14:textFill>
              </w:rPr>
              <w:t>。</w:t>
            </w:r>
          </w:p>
          <w:p w14:paraId="3BB1521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噪声：项目因不涉及土建工作，施工过程中无需动用大量噪声强度较大的车辆和施工机械，施工期的噪声主要来源于部分设备的运输和安装。在实际施工过程中，噪声在传播途径中由于各种建筑隔声、空气的吸收作用及地面效应引起的声能衰减，而且设备安装产生的影响是暂时的，随施工的结束而消失。</w:t>
            </w:r>
          </w:p>
          <w:p w14:paraId="77833204">
            <w:pPr>
              <w:pStyle w:val="137"/>
              <w:rPr>
                <w:rFonts w:eastAsia="宋体"/>
                <w:bCs/>
                <w:color w:val="000000" w:themeColor="text1"/>
                <w14:textFill>
                  <w14:solidFill>
                    <w14:schemeClr w14:val="tx1"/>
                  </w14:solidFill>
                </w14:textFill>
              </w:rPr>
            </w:pPr>
            <w:r>
              <w:rPr>
                <w:rFonts w:eastAsia="宋体"/>
                <w:color w:val="000000" w:themeColor="text1"/>
                <w14:textFill>
                  <w14:solidFill>
                    <w14:schemeClr w14:val="tx1"/>
                  </w14:solidFill>
                </w14:textFill>
              </w:rPr>
              <w:t>（4）固体废物：施工期的固体废弃物主要为装修过程产生的建筑垃圾、施工人员产生的生活垃圾。装修废弃材料主要包括废瓷砖、装修时废木料、石材、塑料包装、金属材料等，采用分类收集，可回用的统一收集回用，不能回用的收集后由施工方统一清运处理。现场作业的施工人员将产生一定的生活垃圾，交环卫部门清运。施工危废（废漆桶等）交由危废单位处置。</w:t>
            </w:r>
          </w:p>
          <w:p w14:paraId="3F5C502F">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2.2.2运营期工艺流程及产污环节</w:t>
            </w:r>
          </w:p>
          <w:p w14:paraId="62C8D21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拟建项目生产的三种阀门（球阀、蝶阀、调节阀）生产工艺</w:t>
            </w:r>
            <w:r>
              <w:rPr>
                <w:rFonts w:hint="eastAsia" w:eastAsia="宋体"/>
                <w:color w:val="000000" w:themeColor="text1"/>
                <w14:textFill>
                  <w14:solidFill>
                    <w14:schemeClr w14:val="tx1"/>
                  </w14:solidFill>
                </w14:textFill>
              </w:rPr>
              <w:t>大体</w:t>
            </w:r>
            <w:r>
              <w:rPr>
                <w:rFonts w:eastAsia="宋体"/>
                <w:color w:val="000000" w:themeColor="text1"/>
                <w14:textFill>
                  <w14:solidFill>
                    <w14:schemeClr w14:val="tx1"/>
                  </w14:solidFill>
                </w14:textFill>
              </w:rPr>
              <w:t>一致，仅由于部分阀门所用原料及用途不同，生产工艺有细微差距，本次评价将三类产品工艺流程一并统计，同时表述部分具有差异的工艺，工艺及产污环节见图2-3。</w:t>
            </w:r>
          </w:p>
          <w:p w14:paraId="7483023D">
            <w:pPr>
              <w:tabs>
                <w:tab w:val="left" w:pos="330"/>
              </w:tabs>
              <w:adjustRightInd w:val="0"/>
              <w:snapToGrid w:val="0"/>
              <w:spacing w:line="360" w:lineRule="auto"/>
              <w:jc w:val="center"/>
              <w:rPr>
                <w:b/>
                <w:snapToGrid w:val="0"/>
                <w:color w:val="000000" w:themeColor="text1"/>
                <w:kern w:val="0"/>
                <w:sz w:val="24"/>
                <w14:textFill>
                  <w14:solidFill>
                    <w14:schemeClr w14:val="tx1"/>
                  </w14:solidFill>
                </w14:textFill>
              </w:rPr>
            </w:pPr>
          </w:p>
          <w:p w14:paraId="6DF86559">
            <w:pPr>
              <w:tabs>
                <w:tab w:val="left" w:pos="330"/>
              </w:tabs>
              <w:adjustRightInd w:val="0"/>
              <w:snapToGrid w:val="0"/>
              <w:spacing w:line="360" w:lineRule="auto"/>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object>
                <v:shape id="_x0000_i1026" o:spt="75" type="#_x0000_t75" style="height:313.45pt;width:422.6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r>
              <w:rPr>
                <w:b/>
                <w:snapToGrid w:val="0"/>
                <w:color w:val="000000" w:themeColor="text1"/>
                <w:kern w:val="0"/>
                <w:sz w:val="24"/>
                <w14:textFill>
                  <w14:solidFill>
                    <w14:schemeClr w14:val="tx1"/>
                  </w14:solidFill>
                </w14:textFill>
              </w:rPr>
              <w:t>图2-3项目生产工艺流程及产污环节图</w:t>
            </w:r>
          </w:p>
          <w:p w14:paraId="49C54C51">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工艺流程简述：</w:t>
            </w:r>
          </w:p>
          <w:p w14:paraId="2E8A2504">
            <w:pPr>
              <w:spacing w:before="120" w:beforeLines="50"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b/>
                <w:bCs/>
                <w:color w:val="000000" w:themeColor="text1"/>
                <w:sz w:val="24"/>
                <w14:textFill>
                  <w14:solidFill>
                    <w14:schemeClr w14:val="tx1"/>
                  </w14:solidFill>
                </w14:textFill>
              </w:rPr>
              <w:t>下料</w:t>
            </w:r>
            <w:r>
              <w:rPr>
                <w:color w:val="000000" w:themeColor="text1"/>
                <w:sz w:val="24"/>
                <w14:textFill>
                  <w14:solidFill>
                    <w14:schemeClr w14:val="tx1"/>
                  </w14:solidFill>
                </w14:textFill>
              </w:rPr>
              <w:t>：拟建项目将外购的成品不锈钢（占比约90%）、碳钢（占比约10%）棒材原材料使用锯床进行下料，将原材料加工成工件需要的尺寸和形状，锯床作业过程采用湿式下料，无粉尘逸散，作业过程需使用切削液进行设备冷却、抑尘和润滑，切削液与水以1:10比例配比后加入设备，循环使用，定期补充，定期更换</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板材均外购下料好的成品直接加工，厂区无需下料</w:t>
            </w:r>
            <w:r>
              <w:rPr>
                <w:color w:val="000000" w:themeColor="text1"/>
                <w:sz w:val="24"/>
                <w:lang w:val="zh-CN"/>
                <w14:textFill>
                  <w14:solidFill>
                    <w14:schemeClr w14:val="tx1"/>
                  </w14:solidFill>
                </w14:textFill>
              </w:rPr>
              <w:t>。机加工</w:t>
            </w:r>
            <w:r>
              <w:rPr>
                <w:color w:val="000000" w:themeColor="text1"/>
                <w:sz w:val="24"/>
                <w14:textFill>
                  <w14:solidFill>
                    <w14:schemeClr w14:val="tx1"/>
                  </w14:solidFill>
                </w14:textFill>
              </w:rPr>
              <w:t>过程</w:t>
            </w:r>
            <w:r>
              <w:rPr>
                <w:color w:val="000000" w:themeColor="text1"/>
                <w:sz w:val="24"/>
                <w:lang w:val="zh-CN"/>
                <w14:textFill>
                  <w14:solidFill>
                    <w14:schemeClr w14:val="tx1"/>
                  </w14:solidFill>
                </w14:textFill>
              </w:rPr>
              <w:t>会产生</w:t>
            </w:r>
            <w:r>
              <w:rPr>
                <w:color w:val="000000" w:themeColor="text1"/>
                <w:sz w:val="24"/>
                <w14:textFill>
                  <w14:solidFill>
                    <w14:schemeClr w14:val="tx1"/>
                  </w14:solidFill>
                </w14:textFill>
              </w:rPr>
              <w:t>N噪声、S1废边角料（含油）、S2废油桶、S3废切削液。</w:t>
            </w:r>
          </w:p>
          <w:p w14:paraId="13F3369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下料后的棒材根据原料及用途不同，后续表面处理工序有所差异，其中碳钢</w:t>
            </w:r>
            <w:r>
              <w:rPr>
                <w:rFonts w:hint="eastAsia" w:eastAsia="宋体"/>
                <w:b/>
                <w:color w:val="000000" w:themeColor="text1"/>
                <w14:textFill>
                  <w14:solidFill>
                    <w14:schemeClr w14:val="tx1"/>
                  </w14:solidFill>
                </w14:textFill>
              </w:rPr>
              <w:t>均</w:t>
            </w:r>
            <w:r>
              <w:rPr>
                <w:rFonts w:eastAsia="宋体"/>
                <w:b/>
                <w:color w:val="000000" w:themeColor="text1"/>
                <w14:textFill>
                  <w14:solidFill>
                    <w14:schemeClr w14:val="tx1"/>
                  </w14:solidFill>
                </w14:textFill>
              </w:rPr>
              <w:t>需进行热处理</w:t>
            </w:r>
            <w:r>
              <w:rPr>
                <w:rFonts w:hint="eastAsia" w:eastAsia="宋体"/>
                <w:b/>
                <w:color w:val="000000" w:themeColor="text1"/>
                <w14:textFill>
                  <w14:solidFill>
                    <w14:schemeClr w14:val="tx1"/>
                  </w14:solidFill>
                </w14:textFill>
              </w:rPr>
              <w:t>；</w:t>
            </w:r>
            <w:r>
              <w:rPr>
                <w:rFonts w:eastAsia="宋体"/>
                <w:b/>
                <w:color w:val="000000" w:themeColor="text1"/>
                <w14:textFill>
                  <w14:solidFill>
                    <w14:schemeClr w14:val="tx1"/>
                  </w14:solidFill>
                </w14:textFill>
              </w:rPr>
              <w:t>5%的不锈钢由于产品需在低温作业，工件需进行耐低温处理，其余95%的不锈钢对表面清洗除尘后直接进行焊接处理，具体工艺如下：</w:t>
            </w:r>
          </w:p>
          <w:p w14:paraId="4E7EE34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（2-1）碳钢热处理工艺：</w:t>
            </w:r>
          </w:p>
          <w:p w14:paraId="06C6BC97">
            <w:pPr>
              <w:pStyle w:val="40"/>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①正火：</w:t>
            </w:r>
            <w:r>
              <w:rPr>
                <w:rFonts w:ascii="Times New Roman" w:hAnsi="Times New Roman" w:cs="Times New Roman"/>
                <w:color w:val="000000" w:themeColor="text1"/>
                <w:kern w:val="0"/>
                <w:szCs w:val="20"/>
                <w14:textFill>
                  <w14:solidFill>
                    <w14:schemeClr w14:val="tx1"/>
                  </w14:solidFill>
                </w14:textFill>
              </w:rPr>
              <w:t>将下料后的工件进入正火炉进行正火处理，正火炉以电为能源，采用电阻丝加热，正火温度约750~900摄氏度℃，单批次正火时间约2h，厂区共设置2台正火炉；正火用于减小或消除钢件中的内应力，或者降低其硬度和强度，以提高其延性或韧性</w:t>
            </w:r>
            <w:r>
              <w:rPr>
                <w:rFonts w:hint="eastAsia" w:ascii="Times New Roman" w:hAnsi="Times New Roman" w:cs="Times New Roman"/>
                <w:color w:val="000000" w:themeColor="text1"/>
                <w:kern w:val="0"/>
                <w:szCs w:val="20"/>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项目正火工序不添加油料，仅下料过程工件表面附着有少量的切削液（切削液与水配比后），正火过程仅有少量切削液所含矿物油挥发，锯床所用切削液量较少，油料挥发量较少，故油雾排放量较小，排放浓度较低，厂区无组织排放对周边环境影响较小</w:t>
            </w:r>
            <w:r>
              <w:rPr>
                <w:rFonts w:ascii="Times New Roman" w:hAnsi="Times New Roman" w:cs="Times New Roman"/>
                <w:color w:val="000000" w:themeColor="text1"/>
                <w:kern w:val="0"/>
                <w:szCs w:val="20"/>
                <w14:textFill>
                  <w14:solidFill>
                    <w14:schemeClr w14:val="tx1"/>
                  </w14:solidFill>
                </w14:textFill>
              </w:rPr>
              <w:t>；该过程产生设备运行噪声</w:t>
            </w:r>
            <w:r>
              <w:rPr>
                <w:rFonts w:ascii="Times New Roman" w:hAnsi="Times New Roman" w:cs="Times New Roman"/>
                <w:color w:val="000000" w:themeColor="text1"/>
                <w14:textFill>
                  <w14:solidFill>
                    <w14:schemeClr w14:val="tx1"/>
                  </w14:solidFill>
                </w14:textFill>
              </w:rPr>
              <w:t>N和极少量工件表面油雾G1。</w:t>
            </w:r>
          </w:p>
          <w:p w14:paraId="203BEE54">
            <w:pPr>
              <w:pStyle w:val="137"/>
              <w:rPr>
                <w:rFonts w:eastAsia="宋体"/>
                <w:color w:val="000000" w:themeColor="text1"/>
                <w:kern w:val="0"/>
                <w:szCs w:val="20"/>
                <w14:textFill>
                  <w14:solidFill>
                    <w14:schemeClr w14:val="tx1"/>
                  </w14:solidFill>
                </w14:textFill>
              </w:rPr>
            </w:pPr>
            <w:r>
              <w:rPr>
                <w:rFonts w:eastAsia="宋体"/>
                <w:b/>
                <w:color w:val="000000" w:themeColor="text1"/>
                <w14:textFill>
                  <w14:solidFill>
                    <w14:schemeClr w14:val="tx1"/>
                  </w14:solidFill>
                </w14:textFill>
              </w:rPr>
              <w:t>②油淬：</w:t>
            </w:r>
            <w:r>
              <w:rPr>
                <w:rFonts w:eastAsia="宋体"/>
                <w:color w:val="000000" w:themeColor="text1"/>
                <w:kern w:val="0"/>
                <w:szCs w:val="20"/>
                <w14:textFill>
                  <w14:solidFill>
                    <w14:schemeClr w14:val="tx1"/>
                  </w14:solidFill>
                </w14:textFill>
              </w:rPr>
              <w:t>工件从正火炉下落浸入下方油槽内（有效容积</w:t>
            </w:r>
            <w:r>
              <w:rPr>
                <w:rFonts w:hint="eastAsia" w:eastAsia="宋体"/>
                <w:color w:val="000000" w:themeColor="text1"/>
                <w:kern w:val="0"/>
                <w:szCs w:val="20"/>
                <w:lang w:val="en-US" w:eastAsia="zh-CN"/>
                <w14:textFill>
                  <w14:solidFill>
                    <w14:schemeClr w14:val="tx1"/>
                  </w14:solidFill>
                </w14:textFill>
              </w:rPr>
              <w:t>2.4</w:t>
            </w:r>
            <w:r>
              <w:rPr>
                <w:rFonts w:eastAsia="宋体"/>
                <w:color w:val="000000" w:themeColor="text1"/>
                <w:kern w:val="0"/>
                <w:szCs w:val="20"/>
                <w14:textFill>
                  <w14:solidFill>
                    <w14:schemeClr w14:val="tx1"/>
                  </w14:solidFill>
                </w14:textFill>
              </w:rPr>
              <w:t>m</w:t>
            </w:r>
            <w:r>
              <w:rPr>
                <w:rFonts w:eastAsia="宋体"/>
                <w:color w:val="000000" w:themeColor="text1"/>
                <w:kern w:val="0"/>
                <w:szCs w:val="20"/>
                <w:vertAlign w:val="superscript"/>
                <w14:textFill>
                  <w14:solidFill>
                    <w14:schemeClr w14:val="tx1"/>
                  </w14:solidFill>
                </w14:textFill>
              </w:rPr>
              <w:t>3</w:t>
            </w:r>
            <w:r>
              <w:rPr>
                <w:rFonts w:hint="eastAsia" w:eastAsia="宋体"/>
                <w:color w:val="000000" w:themeColor="text1"/>
                <w:kern w:val="0"/>
                <w:szCs w:val="20"/>
                <w:vertAlign w:val="baseline"/>
                <w:lang w:eastAsia="zh-CN"/>
                <w14:textFill>
                  <w14:solidFill>
                    <w14:schemeClr w14:val="tx1"/>
                  </w14:solidFill>
                </w14:textFill>
              </w:rPr>
              <w:t>，</w:t>
            </w:r>
            <w:r>
              <w:rPr>
                <w:rFonts w:hint="eastAsia" w:eastAsia="宋体"/>
                <w:color w:val="000000" w:themeColor="text1"/>
                <w:kern w:val="0"/>
                <w:szCs w:val="20"/>
                <w:vertAlign w:val="baseline"/>
                <w:lang w:val="en-US" w:eastAsia="zh-CN"/>
                <w14:textFill>
                  <w14:solidFill>
                    <w14:schemeClr w14:val="tx1"/>
                  </w14:solidFill>
                </w14:textFill>
              </w:rPr>
              <w:t>日常油液量1.2t</w:t>
            </w:r>
            <w:r>
              <w:rPr>
                <w:rFonts w:eastAsia="宋体"/>
                <w:color w:val="000000" w:themeColor="text1"/>
                <w:kern w:val="0"/>
                <w:szCs w:val="20"/>
                <w14:textFill>
                  <w14:solidFill>
                    <w14:schemeClr w14:val="tx1"/>
                  </w14:solidFill>
                </w14:textFill>
              </w:rPr>
              <w:t>）进行油淬，油冷时间约</w:t>
            </w:r>
            <w:r>
              <w:rPr>
                <w:rFonts w:hint="eastAsia" w:eastAsia="宋体"/>
                <w:color w:val="000000" w:themeColor="text1"/>
                <w:kern w:val="0"/>
                <w:szCs w:val="20"/>
                <w:lang w:val="en-US" w:eastAsia="zh-CN"/>
                <w14:textFill>
                  <w14:solidFill>
                    <w14:schemeClr w14:val="tx1"/>
                  </w14:solidFill>
                </w14:textFill>
              </w:rPr>
              <w:t>30</w:t>
            </w:r>
            <w:r>
              <w:rPr>
                <w:rFonts w:eastAsia="宋体"/>
                <w:color w:val="000000" w:themeColor="text1"/>
                <w:kern w:val="0"/>
                <w:szCs w:val="20"/>
                <w14:textFill>
                  <w14:solidFill>
                    <w14:schemeClr w14:val="tx1"/>
                  </w14:solidFill>
                </w14:textFill>
              </w:rPr>
              <w:t>min，单批次淬火</w:t>
            </w:r>
            <w:r>
              <w:rPr>
                <w:rFonts w:hint="eastAsia" w:eastAsia="宋体"/>
                <w:color w:val="000000" w:themeColor="text1"/>
                <w:kern w:val="0"/>
                <w:szCs w:val="20"/>
                <w:lang w:val="en-US" w:eastAsia="zh-CN"/>
                <w14:textFill>
                  <w14:solidFill>
                    <w14:schemeClr w14:val="tx1"/>
                  </w14:solidFill>
                </w14:textFill>
              </w:rPr>
              <w:t>1个工件坯料</w:t>
            </w:r>
            <w:r>
              <w:rPr>
                <w:rFonts w:eastAsia="宋体"/>
                <w:color w:val="000000" w:themeColor="text1"/>
                <w:kern w:val="0"/>
                <w:szCs w:val="20"/>
                <w14:textFill>
                  <w14:solidFill>
                    <w14:schemeClr w14:val="tx1"/>
                  </w14:solidFill>
                </w14:textFill>
              </w:rPr>
              <w:t>，油冷槽使用淬火油对工件进行淬火冷却，再经传送带镂空沥干。油冷槽定期清渣，循环使用；油冷过程产生油淬油雾G1、废油渣S4、S2废油桶、N噪声。</w:t>
            </w:r>
          </w:p>
          <w:p w14:paraId="5E604542">
            <w:pPr>
              <w:pStyle w:val="137"/>
              <w:rPr>
                <w:rFonts w:hint="default" w:eastAsia="宋体"/>
                <w:color w:val="000000" w:themeColor="text1"/>
                <w:kern w:val="0"/>
                <w:szCs w:val="20"/>
                <w:lang w:val="en-US" w:eastAsia="zh-CN"/>
                <w14:textFill>
                  <w14:solidFill>
                    <w14:schemeClr w14:val="tx1"/>
                  </w14:solidFill>
                </w14:textFill>
              </w:rPr>
            </w:pPr>
            <w:r>
              <w:rPr>
                <w:rFonts w:hint="eastAsia" w:eastAsia="宋体"/>
                <w:color w:val="000000" w:themeColor="text1"/>
                <w:kern w:val="0"/>
                <w:szCs w:val="20"/>
                <w:lang w:val="en-US" w:eastAsia="zh-CN"/>
                <w14:textFill>
                  <w14:solidFill>
                    <w14:schemeClr w14:val="tx1"/>
                  </w14:solidFill>
                </w14:textFill>
              </w:rPr>
              <w:t>拟建项目于淬火油槽上方设置集气罩收集挥发的油雾，进入1套高效油烟净化器处理后引25m排气筒高有组织排放。</w:t>
            </w:r>
          </w:p>
          <w:p w14:paraId="53A43E03">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③水冷：</w:t>
            </w:r>
            <w:r>
              <w:rPr>
                <w:rFonts w:eastAsia="宋体"/>
                <w:color w:val="000000" w:themeColor="text1"/>
                <w:kern w:val="0"/>
                <w:szCs w:val="20"/>
                <w14:textFill>
                  <w14:solidFill>
                    <w14:schemeClr w14:val="tx1"/>
                  </w14:solidFill>
                </w14:textFill>
              </w:rPr>
              <w:t>淬火后的工件浸入水冷槽（有效容积0.2m</w:t>
            </w:r>
            <w:r>
              <w:rPr>
                <w:rFonts w:eastAsia="宋体"/>
                <w:color w:val="000000" w:themeColor="text1"/>
                <w:kern w:val="0"/>
                <w:szCs w:val="20"/>
                <w:vertAlign w:val="superscript"/>
                <w14:textFill>
                  <w14:solidFill>
                    <w14:schemeClr w14:val="tx1"/>
                  </w14:solidFill>
                </w14:textFill>
              </w:rPr>
              <w:t>3</w:t>
            </w:r>
            <w:r>
              <w:rPr>
                <w:rFonts w:eastAsia="宋体"/>
                <w:color w:val="000000" w:themeColor="text1"/>
                <w:kern w:val="0"/>
                <w:szCs w:val="20"/>
                <w14:textFill>
                  <w14:solidFill>
                    <w14:schemeClr w14:val="tx1"/>
                  </w14:solidFill>
                </w14:textFill>
              </w:rPr>
              <w:t>）内进行二次冷却，水冷冷时间约3min，水冷槽使用水对工件进行淬火冷却，再经传送带镂空沥干。水冷槽冷却水循环使用。</w:t>
            </w:r>
          </w:p>
          <w:p w14:paraId="61EEB76E">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（2-2）</w:t>
            </w:r>
            <w:r>
              <w:rPr>
                <w:rFonts w:hint="eastAsia" w:eastAsia="宋体"/>
                <w:b/>
                <w:color w:val="000000" w:themeColor="text1"/>
                <w14:textFill>
                  <w14:solidFill>
                    <w14:schemeClr w14:val="tx1"/>
                  </w14:solidFill>
                </w14:textFill>
              </w:rPr>
              <w:t>低温处理工艺：</w:t>
            </w:r>
          </w:p>
          <w:p w14:paraId="59EEB709">
            <w:pPr>
              <w:pStyle w:val="137"/>
              <w:rPr>
                <w:rFonts w:eastAsia="宋体"/>
                <w:b/>
                <w:color w:val="000000" w:themeColor="text1"/>
                <w14:textFill>
                  <w14:solidFill>
                    <w14:schemeClr w14:val="tx1"/>
                  </w14:solidFill>
                </w14:textFill>
              </w:rPr>
            </w:pPr>
            <w:r>
              <w:rPr>
                <w:rFonts w:eastAsia="宋体"/>
                <w:color w:val="000000" w:themeColor="text1"/>
                <w:kern w:val="0"/>
                <w:szCs w:val="20"/>
                <w14:textFill>
                  <w14:solidFill>
                    <w14:schemeClr w14:val="tx1"/>
                  </w14:solidFill>
                </w14:textFill>
              </w:rPr>
              <w:t>5%的不锈钢</w:t>
            </w:r>
            <w:r>
              <w:rPr>
                <w:rFonts w:hint="eastAsia" w:eastAsia="宋体"/>
                <w:color w:val="000000" w:themeColor="text1"/>
                <w:kern w:val="0"/>
                <w:szCs w:val="20"/>
                <w14:textFill>
                  <w14:solidFill>
                    <w14:schemeClr w14:val="tx1"/>
                  </w14:solidFill>
                </w14:textFill>
              </w:rPr>
              <w:t>需进行</w:t>
            </w:r>
            <w:r>
              <w:rPr>
                <w:rFonts w:eastAsia="宋体"/>
                <w:color w:val="000000" w:themeColor="text1"/>
                <w:kern w:val="0"/>
                <w:szCs w:val="20"/>
                <w14:textFill>
                  <w14:solidFill>
                    <w14:schemeClr w14:val="tx1"/>
                  </w14:solidFill>
                </w14:textFill>
              </w:rPr>
              <w:t>低温处理</w:t>
            </w:r>
            <w:r>
              <w:rPr>
                <w:rFonts w:hint="eastAsia" w:eastAsia="宋体"/>
                <w:color w:val="000000" w:themeColor="text1"/>
                <w:kern w:val="0"/>
                <w:szCs w:val="20"/>
                <w14:textFill>
                  <w14:solidFill>
                    <w14:schemeClr w14:val="tx1"/>
                  </w14:solidFill>
                </w14:textFill>
              </w:rPr>
              <w:t>工艺，</w:t>
            </w:r>
            <w:r>
              <w:rPr>
                <w:rFonts w:eastAsia="宋体"/>
                <w:color w:val="000000" w:themeColor="text1"/>
                <w:kern w:val="0"/>
                <w:szCs w:val="20"/>
                <w14:textFill>
                  <w14:solidFill>
                    <w14:schemeClr w14:val="tx1"/>
                  </w14:solidFill>
                </w14:textFill>
              </w:rPr>
              <w:t>由于产品需在低温作业，工件需进行耐低温处理，使用1套液氮低温冷却设备对钢材进行低温处理，</w:t>
            </w:r>
            <w:r>
              <w:rPr>
                <w:rFonts w:hint="eastAsia" w:eastAsia="宋体"/>
                <w:color w:val="000000" w:themeColor="text1"/>
                <w:kern w:val="0"/>
                <w:szCs w:val="20"/>
                <w:lang w:val="en-US" w:eastAsia="zh-CN"/>
                <w14:textFill>
                  <w14:solidFill>
                    <w14:schemeClr w14:val="tx1"/>
                  </w14:solidFill>
                </w14:textFill>
              </w:rPr>
              <w:t>将工件置入低温槽内，密闭槽体设备，再通过控制器将罐体内的液氮通入密闭罐体内，经液氨急速降温至约-170℃并保持5min左右，释压排气后开槽取出工件，工件</w:t>
            </w:r>
            <w:r>
              <w:rPr>
                <w:rFonts w:eastAsia="宋体"/>
                <w:color w:val="000000" w:themeColor="text1"/>
                <w:kern w:val="0"/>
                <w:szCs w:val="20"/>
                <w14:textFill>
                  <w14:solidFill>
                    <w14:schemeClr w14:val="tx1"/>
                  </w14:solidFill>
                </w14:textFill>
              </w:rPr>
              <w:t>经液氮低温处理可降低金属表面松散度，减少金属粗糙度，提升金属抗压强度和耐低温能力。此过程产生N噪声和S5废气瓶。</w:t>
            </w:r>
          </w:p>
          <w:p w14:paraId="75AA4A9C">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（2-3）</w:t>
            </w:r>
            <w:r>
              <w:rPr>
                <w:rFonts w:hint="eastAsia" w:eastAsia="宋体"/>
                <w:b/>
                <w:color w:val="000000" w:themeColor="text1"/>
                <w14:textFill>
                  <w14:solidFill>
                    <w14:schemeClr w14:val="tx1"/>
                  </w14:solidFill>
                </w14:textFill>
              </w:rPr>
              <w:t>清洗</w:t>
            </w:r>
          </w:p>
          <w:p w14:paraId="25C804CE">
            <w:pPr>
              <w:pStyle w:val="40"/>
              <w:snapToGrid w:val="0"/>
              <w:spacing w:line="360" w:lineRule="auto"/>
              <w:ind w:firstLine="480" w:firstLineChars="200"/>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其余95%的不锈钢</w:t>
            </w:r>
            <w:r>
              <w:rPr>
                <w:rFonts w:hint="eastAsia" w:ascii="Times New Roman" w:hAnsi="Times New Roman" w:cs="Times New Roman"/>
                <w:bCs/>
                <w:color w:val="000000" w:themeColor="text1"/>
                <w14:textFill>
                  <w14:solidFill>
                    <w14:schemeClr w14:val="tx1"/>
                  </w14:solidFill>
                </w14:textFill>
              </w:rPr>
              <w:t>直接</w:t>
            </w:r>
            <w:r>
              <w:rPr>
                <w:rFonts w:ascii="Times New Roman" w:hAnsi="Times New Roman" w:cs="Times New Roman"/>
                <w:bCs/>
                <w:color w:val="000000" w:themeColor="text1"/>
                <w14:textFill>
                  <w14:solidFill>
                    <w14:schemeClr w14:val="tx1"/>
                  </w14:solidFill>
                </w14:textFill>
              </w:rPr>
              <w:t>清洗除尘后进行焊接处理，采用1台清洗机对下料后的钢材进行清洗，清洗机</w:t>
            </w:r>
            <w:r>
              <w:rPr>
                <w:rFonts w:hint="eastAsia" w:ascii="Times New Roman" w:hAnsi="Times New Roman" w:cs="Times New Roman"/>
                <w:bCs/>
                <w:color w:val="000000" w:themeColor="text1"/>
                <w:lang w:val="en-US" w:eastAsia="zh-CN"/>
                <w14:textFill>
                  <w14:solidFill>
                    <w14:schemeClr w14:val="tx1"/>
                  </w14:solidFill>
                </w14:textFill>
              </w:rPr>
              <w:t>使用自来水进行清洗，无需使用除油剂（脱脂剂），工件在密闭清洗机内通过超声波流水对工件表面进行清洁，</w:t>
            </w:r>
            <w:r>
              <w:rPr>
                <w:rFonts w:ascii="Times New Roman" w:hAnsi="Times New Roman" w:cs="Times New Roman"/>
                <w:bCs/>
                <w:color w:val="000000" w:themeColor="text1"/>
                <w14:textFill>
                  <w14:solidFill>
                    <w14:schemeClr w14:val="tx1"/>
                  </w14:solidFill>
                </w14:textFill>
              </w:rPr>
              <w:t>单批次清洗时长仅为30s，每日排放一次废水；此工序产生N噪声和W1清洗废水。</w:t>
            </w:r>
          </w:p>
          <w:p w14:paraId="5F92457E">
            <w:pPr>
              <w:pStyle w:val="40"/>
              <w:snapToGrid w:val="0"/>
              <w:spacing w:line="360" w:lineRule="auto"/>
              <w:ind w:firstLine="482" w:firstLineChars="200"/>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（3）焊接：</w:t>
            </w:r>
            <w:r>
              <w:rPr>
                <w:rFonts w:hint="eastAsia" w:ascii="Times New Roman" w:hAnsi="Times New Roman" w:cs="Times New Roman"/>
                <w:color w:val="000000" w:themeColor="text1"/>
                <w:lang w:val="en-US" w:eastAsia="zh-CN"/>
                <w14:textFill>
                  <w14:solidFill>
                    <w14:schemeClr w14:val="tx1"/>
                  </w14:solidFill>
                </w14:textFill>
              </w:rPr>
              <w:t>上述</w:t>
            </w:r>
            <w:r>
              <w:rPr>
                <w:rFonts w:hint="eastAsia" w:ascii="Times New Roman" w:hAnsi="Times New Roman" w:cs="Times New Roman"/>
                <w:color w:val="000000" w:themeColor="text1"/>
                <w14:textFill>
                  <w14:solidFill>
                    <w14:schemeClr w14:val="tx1"/>
                  </w14:solidFill>
                </w14:textFill>
              </w:rPr>
              <w:t>处理</w:t>
            </w:r>
            <w:r>
              <w:rPr>
                <w:rFonts w:ascii="Times New Roman" w:hAnsi="Times New Roman" w:cs="Times New Roman"/>
                <w:color w:val="000000" w:themeColor="text1"/>
                <w14:textFill>
                  <w14:solidFill>
                    <w14:schemeClr w14:val="tx1"/>
                  </w14:solidFill>
                </w14:textFill>
              </w:rPr>
              <w:t>后的钢材按照要求转移至焊接区进行焊接，采用氩弧焊进行焊接。焊接区采用固定点位进行焊接，焊接过程采用氩气作为焊接介质，使用不锈钢焊丝作为焊接材料；厂区废气瓶交由厂家回收。该过程产生噪声N、焊接烟尘G2、废焊渣S6、废气瓶S5。</w:t>
            </w:r>
          </w:p>
          <w:p w14:paraId="73529E08">
            <w:pPr>
              <w:pStyle w:val="40"/>
              <w:snapToGrid w:val="0"/>
              <w:spacing w:line="360" w:lineRule="auto"/>
              <w:ind w:firstLine="482" w:firstLineChars="200"/>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（4）机加工：</w:t>
            </w:r>
            <w:r>
              <w:rPr>
                <w:rFonts w:ascii="Times New Roman" w:hAnsi="Times New Roman" w:cs="Times New Roman"/>
                <w:color w:val="000000" w:themeColor="text1"/>
                <w14:textFill>
                  <w14:solidFill>
                    <w14:schemeClr w14:val="tx1"/>
                  </w14:solidFill>
                </w14:textFill>
              </w:rPr>
              <w:t>先采用数控车床和加工中心对焊接后的工件进行形状、端面、割槽等粗加工作业，从而形成毛坯件，再经车床、钻床设备进行车锥度、钻孔、铰孔等精密车削加工作业，从而获得理想的工件外形。钻床、部分车床设备作业过程加入适量液压油起润滑作用，液压油定期补充，</w:t>
            </w:r>
            <w:r>
              <w:rPr>
                <w:rFonts w:hint="eastAsia" w:ascii="Times New Roman" w:hAnsi="Times New Roman" w:cs="Times New Roman"/>
                <w:color w:val="000000" w:themeColor="text1"/>
                <w:lang w:val="en-US" w:eastAsia="zh-CN"/>
                <w14:textFill>
                  <w14:solidFill>
                    <w14:schemeClr w14:val="tx1"/>
                  </w14:solidFill>
                </w14:textFill>
              </w:rPr>
              <w:t>无需更换</w:t>
            </w:r>
            <w:r>
              <w:rPr>
                <w:rFonts w:ascii="Times New Roman" w:hAnsi="Times New Roman" w:cs="Times New Roman"/>
                <w:color w:val="000000" w:themeColor="text1"/>
                <w14:textFill>
                  <w14:solidFill>
                    <w14:schemeClr w14:val="tx1"/>
                  </w14:solidFill>
                </w14:textFill>
              </w:rPr>
              <w:t>。加工中心和部分数控车床作业过程采用湿式作业，需使用切削液进行设备冷却、抑尘和润滑，切削液与水以1:10比例配比后加入设备，循环使用，定期补充，定期更换。该工序产生的污染物主要为：噪声N，废边角料S1、S3废切削液、S2废桶。</w:t>
            </w:r>
          </w:p>
          <w:p w14:paraId="42E3C817">
            <w:pPr>
              <w:pStyle w:val="137"/>
              <w:rPr>
                <w:rFonts w:eastAsia="宋体"/>
                <w:color w:val="000000" w:themeColor="text1"/>
                <w14:textFill>
                  <w14:solidFill>
                    <w14:schemeClr w14:val="tx1"/>
                  </w14:solidFill>
                </w14:textFill>
              </w:rPr>
            </w:pPr>
            <w:r>
              <w:rPr>
                <w:rFonts w:eastAsia="宋体"/>
                <w:b/>
                <w:color w:val="000000" w:themeColor="text1"/>
                <w14:textFill>
                  <w14:solidFill>
                    <w14:schemeClr w14:val="tx1"/>
                  </w14:solidFill>
                </w14:textFill>
              </w:rPr>
              <w:t>（6）人工装配：</w:t>
            </w:r>
            <w:r>
              <w:rPr>
                <w:rFonts w:eastAsia="宋体"/>
                <w:color w:val="000000" w:themeColor="text1"/>
                <w14:textFill>
                  <w14:solidFill>
                    <w14:schemeClr w14:val="tx1"/>
                  </w14:solidFill>
                </w14:textFill>
              </w:rPr>
              <w:t>将机加工的半成品工件和外购的</w:t>
            </w:r>
            <w:bookmarkStart w:id="2" w:name="OLE_LINK1"/>
            <w:r>
              <w:rPr>
                <w:rFonts w:eastAsia="宋体"/>
                <w:color w:val="000000" w:themeColor="text1"/>
                <w14:textFill>
                  <w14:solidFill>
                    <w14:schemeClr w14:val="tx1"/>
                  </w14:solidFill>
                </w14:textFill>
              </w:rPr>
              <w:t>配件螺栓、螺母</w:t>
            </w:r>
            <w:bookmarkEnd w:id="2"/>
            <w:r>
              <w:rPr>
                <w:rFonts w:eastAsia="宋体"/>
                <w:color w:val="000000" w:themeColor="text1"/>
                <w14:textFill>
                  <w14:solidFill>
                    <w14:schemeClr w14:val="tx1"/>
                  </w14:solidFill>
                </w14:textFill>
              </w:rPr>
              <w:t>进行人工装配；此过程产生N噪声。</w:t>
            </w:r>
          </w:p>
          <w:p w14:paraId="75DBD700">
            <w:pPr>
              <w:pStyle w:val="137"/>
              <w:rPr>
                <w:rFonts w:eastAsia="宋体"/>
                <w:color w:val="000000" w:themeColor="text1"/>
                <w14:textFill>
                  <w14:solidFill>
                    <w14:schemeClr w14:val="tx1"/>
                  </w14:solidFill>
                </w14:textFill>
              </w:rPr>
            </w:pPr>
            <w:r>
              <w:rPr>
                <w:rFonts w:eastAsia="宋体"/>
                <w:b/>
                <w:color w:val="000000" w:themeColor="text1"/>
                <w14:textFill>
                  <w14:solidFill>
                    <w14:schemeClr w14:val="tx1"/>
                  </w14:solidFill>
                </w14:textFill>
              </w:rPr>
              <w:t>（7）人工检验</w:t>
            </w:r>
            <w:r>
              <w:rPr>
                <w:rFonts w:eastAsia="宋体"/>
                <w:color w:val="000000" w:themeColor="text1"/>
                <w14:textFill>
                  <w14:solidFill>
                    <w14:schemeClr w14:val="tx1"/>
                  </w14:solidFill>
                </w14:textFill>
              </w:rPr>
              <w:t>：由公司质控人员通过观察检验产品外观是否合格，该过程</w:t>
            </w:r>
            <w:r>
              <w:rPr>
                <w:rFonts w:eastAsia="宋体"/>
                <w:bCs/>
                <w:color w:val="000000" w:themeColor="text1"/>
                <w14:textFill>
                  <w14:solidFill>
                    <w14:schemeClr w14:val="tx1"/>
                  </w14:solidFill>
                </w14:textFill>
              </w:rPr>
              <w:t>会</w:t>
            </w:r>
            <w:r>
              <w:rPr>
                <w:rFonts w:eastAsia="宋体"/>
                <w:color w:val="000000" w:themeColor="text1"/>
                <w14:textFill>
                  <w14:solidFill>
                    <w14:schemeClr w14:val="tx1"/>
                  </w14:solidFill>
                </w14:textFill>
              </w:rPr>
              <w:t>产生一定量的不合格产品（S</w:t>
            </w:r>
            <w:r>
              <w:rPr>
                <w:rFonts w:hint="eastAsia" w:eastAsia="宋体"/>
                <w:color w:val="000000" w:themeColor="text1"/>
                <w:lang w:val="en-US" w:eastAsia="zh-CN"/>
                <w14:textFill>
                  <w14:solidFill>
                    <w14:schemeClr w14:val="tx1"/>
                  </w14:solidFill>
                </w14:textFill>
              </w:rPr>
              <w:t>7</w:t>
            </w:r>
            <w:r>
              <w:rPr>
                <w:rFonts w:eastAsia="宋体"/>
                <w:color w:val="000000" w:themeColor="text1"/>
                <w14:textFill>
                  <w14:solidFill>
                    <w14:schemeClr w14:val="tx1"/>
                  </w14:solidFill>
                </w14:textFill>
              </w:rPr>
              <w:t>），检验合格的产品全部运至成品区暂存。</w:t>
            </w:r>
          </w:p>
          <w:p w14:paraId="335F6BA8">
            <w:pPr>
              <w:pStyle w:val="137"/>
              <w:rPr>
                <w:rFonts w:eastAsia="宋体"/>
                <w:color w:val="000000" w:themeColor="text1"/>
                <w14:textFill>
                  <w14:solidFill>
                    <w14:schemeClr w14:val="tx1"/>
                  </w14:solidFill>
                </w14:textFill>
              </w:rPr>
            </w:pPr>
            <w:r>
              <w:rPr>
                <w:rFonts w:eastAsia="宋体"/>
                <w:b/>
                <w:color w:val="000000" w:themeColor="text1"/>
                <w14:textFill>
                  <w14:solidFill>
                    <w14:schemeClr w14:val="tx1"/>
                  </w14:solidFill>
                </w14:textFill>
              </w:rPr>
              <w:t>（8）试压：</w:t>
            </w:r>
            <w:r>
              <w:rPr>
                <w:rFonts w:eastAsia="宋体"/>
                <w:color w:val="000000" w:themeColor="text1"/>
                <w14:textFill>
                  <w14:solidFill>
                    <w14:schemeClr w14:val="tx1"/>
                  </w14:solidFill>
                </w14:textFill>
              </w:rPr>
              <w:t>利用试压机对产品内部压力进行测试，保障产品使用过程耐压程度，此过程产生N噪声和S</w:t>
            </w:r>
            <w:r>
              <w:rPr>
                <w:rFonts w:hint="eastAsia" w:eastAsia="宋体"/>
                <w:color w:val="000000" w:themeColor="text1"/>
                <w:lang w:val="en-US" w:eastAsia="zh-CN"/>
                <w14:textFill>
                  <w14:solidFill>
                    <w14:schemeClr w14:val="tx1"/>
                  </w14:solidFill>
                </w14:textFill>
              </w:rPr>
              <w:t>7</w:t>
            </w:r>
            <w:r>
              <w:rPr>
                <w:rFonts w:eastAsia="宋体"/>
                <w:color w:val="000000" w:themeColor="text1"/>
                <w14:textFill>
                  <w14:solidFill>
                    <w14:schemeClr w14:val="tx1"/>
                  </w14:solidFill>
                </w14:textFill>
              </w:rPr>
              <w:t>不合格产品。</w:t>
            </w:r>
          </w:p>
          <w:p w14:paraId="3F6DCA0B">
            <w:pPr>
              <w:pStyle w:val="137"/>
              <w:rPr>
                <w:rFonts w:eastAsia="宋体"/>
                <w:color w:val="000000" w:themeColor="text1"/>
                <w14:textFill>
                  <w14:solidFill>
                    <w14:schemeClr w14:val="tx1"/>
                  </w14:solidFill>
                </w14:textFill>
              </w:rPr>
            </w:pPr>
            <w:r>
              <w:rPr>
                <w:rFonts w:eastAsia="宋体"/>
                <w:b/>
                <w:color w:val="000000" w:themeColor="text1"/>
                <w14:textFill>
                  <w14:solidFill>
                    <w14:schemeClr w14:val="tx1"/>
                  </w14:solidFill>
                </w14:textFill>
              </w:rPr>
              <w:t>（9）包装入库：</w:t>
            </w:r>
            <w:r>
              <w:rPr>
                <w:rFonts w:eastAsia="宋体"/>
                <w:color w:val="000000" w:themeColor="text1"/>
                <w14:textFill>
                  <w14:solidFill>
                    <w14:schemeClr w14:val="tx1"/>
                  </w14:solidFill>
                </w14:textFill>
              </w:rPr>
              <w:t>对成品包装入库，待售。该过程会产生少量废包装材料（S</w:t>
            </w:r>
            <w:r>
              <w:rPr>
                <w:rFonts w:hint="eastAsia" w:eastAsia="宋体"/>
                <w:color w:val="000000" w:themeColor="text1"/>
                <w:lang w:val="en-US" w:eastAsia="zh-CN"/>
                <w14:textFill>
                  <w14:solidFill>
                    <w14:schemeClr w14:val="tx1"/>
                  </w14:solidFill>
                </w14:textFill>
              </w:rPr>
              <w:t>8</w:t>
            </w:r>
            <w:r>
              <w:rPr>
                <w:rFonts w:eastAsia="宋体"/>
                <w:color w:val="000000" w:themeColor="text1"/>
                <w14:textFill>
                  <w14:solidFill>
                    <w14:schemeClr w14:val="tx1"/>
                  </w14:solidFill>
                </w14:textFill>
              </w:rPr>
              <w:t>）。</w:t>
            </w:r>
          </w:p>
          <w:p w14:paraId="1576EE26">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2.2.5运营期产排污情况统计</w:t>
            </w:r>
          </w:p>
          <w:p w14:paraId="52DDBF1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根据上述工程分析，拟建项目运营期五金压铸配件、五金冲压配件、塑料配件生产过程产污环节及污染因子详见表2-5。</w:t>
            </w:r>
          </w:p>
          <w:p w14:paraId="2492D4CC">
            <w:pPr>
              <w:pStyle w:val="137"/>
              <w:spacing w:line="240" w:lineRule="auto"/>
              <w:ind w:firstLine="0"/>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表2-5项目运营期产污环节及污染因子一览表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32"/>
              <w:gridCol w:w="1236"/>
              <w:gridCol w:w="945"/>
              <w:gridCol w:w="1394"/>
              <w:gridCol w:w="1297"/>
              <w:gridCol w:w="2271"/>
            </w:tblGrid>
            <w:tr w14:paraId="5F8F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Align w:val="center"/>
                </w:tcPr>
                <w:p w14:paraId="1F3E006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类别</w:t>
                  </w:r>
                </w:p>
              </w:tc>
              <w:tc>
                <w:tcPr>
                  <w:tcW w:w="482" w:type="pct"/>
                  <w:vAlign w:val="center"/>
                </w:tcPr>
                <w:p w14:paraId="227118A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污染类型</w:t>
                  </w:r>
                </w:p>
              </w:tc>
              <w:tc>
                <w:tcPr>
                  <w:tcW w:w="716" w:type="pct"/>
                  <w:vAlign w:val="center"/>
                </w:tcPr>
                <w:p w14:paraId="5BAEFE3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生产单元</w:t>
                  </w:r>
                </w:p>
              </w:tc>
              <w:tc>
                <w:tcPr>
                  <w:tcW w:w="547" w:type="pct"/>
                  <w:vAlign w:val="center"/>
                </w:tcPr>
                <w:p w14:paraId="43E790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编号</w:t>
                  </w:r>
                </w:p>
              </w:tc>
              <w:tc>
                <w:tcPr>
                  <w:tcW w:w="807" w:type="pct"/>
                  <w:vAlign w:val="center"/>
                </w:tcPr>
                <w:p w14:paraId="7AC976D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排放源</w:t>
                  </w:r>
                </w:p>
              </w:tc>
              <w:tc>
                <w:tcPr>
                  <w:tcW w:w="751" w:type="pct"/>
                  <w:vAlign w:val="center"/>
                </w:tcPr>
                <w:p w14:paraId="0759F8D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tc>
                <w:tcPr>
                  <w:tcW w:w="1315" w:type="pct"/>
                  <w:vAlign w:val="center"/>
                </w:tcPr>
                <w:p w14:paraId="6FC16BB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w:t>
                  </w:r>
                </w:p>
              </w:tc>
            </w:tr>
            <w:tr w14:paraId="3AE0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restart"/>
                  <w:vAlign w:val="center"/>
                </w:tcPr>
                <w:p w14:paraId="2A53CDD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w:t>
                  </w:r>
                </w:p>
              </w:tc>
              <w:tc>
                <w:tcPr>
                  <w:tcW w:w="482" w:type="pct"/>
                  <w:vMerge w:val="restart"/>
                  <w:vAlign w:val="center"/>
                </w:tcPr>
                <w:p w14:paraId="3C4ED4D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716" w:type="pct"/>
                  <w:vAlign w:val="center"/>
                </w:tcPr>
                <w:p w14:paraId="1433C85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正火、油淬</w:t>
                  </w:r>
                </w:p>
              </w:tc>
              <w:tc>
                <w:tcPr>
                  <w:tcW w:w="547" w:type="pct"/>
                  <w:vAlign w:val="center"/>
                </w:tcPr>
                <w:p w14:paraId="1A341D2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G1</w:t>
                  </w:r>
                </w:p>
              </w:tc>
              <w:tc>
                <w:tcPr>
                  <w:tcW w:w="807" w:type="pct"/>
                  <w:vAlign w:val="center"/>
                </w:tcPr>
                <w:p w14:paraId="3ED4824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正火炉、淬火槽</w:t>
                  </w:r>
                </w:p>
              </w:tc>
              <w:tc>
                <w:tcPr>
                  <w:tcW w:w="751" w:type="pct"/>
                  <w:vAlign w:val="center"/>
                </w:tcPr>
                <w:p w14:paraId="6F22EDE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油雾</w:t>
                  </w:r>
                </w:p>
              </w:tc>
              <w:tc>
                <w:tcPr>
                  <w:tcW w:w="1315" w:type="pct"/>
                  <w:vAlign w:val="center"/>
                </w:tcPr>
                <w:p w14:paraId="06FE32A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颗粒物、非甲烷总烃</w:t>
                  </w:r>
                </w:p>
              </w:tc>
            </w:tr>
            <w:tr w14:paraId="5B41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730821F8">
                  <w:pPr>
                    <w:pStyle w:val="85"/>
                    <w:rPr>
                      <w:rFonts w:cs="Times New Roman"/>
                      <w:color w:val="000000" w:themeColor="text1"/>
                      <w14:textFill>
                        <w14:solidFill>
                          <w14:schemeClr w14:val="tx1"/>
                        </w14:solidFill>
                      </w14:textFill>
                    </w:rPr>
                  </w:pPr>
                </w:p>
              </w:tc>
              <w:tc>
                <w:tcPr>
                  <w:tcW w:w="482" w:type="pct"/>
                  <w:vMerge w:val="continue"/>
                  <w:vAlign w:val="center"/>
                </w:tcPr>
                <w:p w14:paraId="688E5B3F">
                  <w:pPr>
                    <w:pStyle w:val="85"/>
                    <w:rPr>
                      <w:rFonts w:cs="Times New Roman"/>
                      <w:color w:val="000000" w:themeColor="text1"/>
                      <w14:textFill>
                        <w14:solidFill>
                          <w14:schemeClr w14:val="tx1"/>
                        </w14:solidFill>
                      </w14:textFill>
                    </w:rPr>
                  </w:pPr>
                </w:p>
              </w:tc>
              <w:tc>
                <w:tcPr>
                  <w:tcW w:w="716" w:type="pct"/>
                  <w:vAlign w:val="center"/>
                </w:tcPr>
                <w:p w14:paraId="1C6B65E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焊接</w:t>
                  </w:r>
                </w:p>
              </w:tc>
              <w:tc>
                <w:tcPr>
                  <w:tcW w:w="547" w:type="pct"/>
                  <w:vAlign w:val="center"/>
                </w:tcPr>
                <w:p w14:paraId="3948A05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G2</w:t>
                  </w:r>
                </w:p>
              </w:tc>
              <w:tc>
                <w:tcPr>
                  <w:tcW w:w="807" w:type="pct"/>
                  <w:vAlign w:val="center"/>
                </w:tcPr>
                <w:p w14:paraId="249B673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焊机</w:t>
                  </w:r>
                </w:p>
              </w:tc>
              <w:tc>
                <w:tcPr>
                  <w:tcW w:w="751" w:type="pct"/>
                  <w:vAlign w:val="center"/>
                </w:tcPr>
                <w:p w14:paraId="2609D92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烟尘</w:t>
                  </w:r>
                </w:p>
              </w:tc>
              <w:tc>
                <w:tcPr>
                  <w:tcW w:w="1315" w:type="pct"/>
                  <w:vAlign w:val="center"/>
                </w:tcPr>
                <w:p w14:paraId="4FDBCD5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颗粒物</w:t>
                  </w:r>
                </w:p>
              </w:tc>
            </w:tr>
            <w:tr w14:paraId="5D56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3B8E55EB">
                  <w:pPr>
                    <w:pStyle w:val="85"/>
                    <w:rPr>
                      <w:rFonts w:cs="Times New Roman"/>
                      <w:color w:val="000000" w:themeColor="text1"/>
                      <w14:textFill>
                        <w14:solidFill>
                          <w14:schemeClr w14:val="tx1"/>
                        </w14:solidFill>
                      </w14:textFill>
                    </w:rPr>
                  </w:pPr>
                </w:p>
              </w:tc>
              <w:tc>
                <w:tcPr>
                  <w:tcW w:w="482" w:type="pct"/>
                  <w:vMerge w:val="restart"/>
                  <w:vAlign w:val="center"/>
                </w:tcPr>
                <w:p w14:paraId="2CF4B49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w:t>
                  </w:r>
                </w:p>
              </w:tc>
              <w:tc>
                <w:tcPr>
                  <w:tcW w:w="716" w:type="pct"/>
                  <w:vMerge w:val="restart"/>
                  <w:vAlign w:val="center"/>
                </w:tcPr>
                <w:p w14:paraId="01097AA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下料、机加工</w:t>
                  </w:r>
                </w:p>
              </w:tc>
              <w:tc>
                <w:tcPr>
                  <w:tcW w:w="547" w:type="pct"/>
                  <w:vAlign w:val="center"/>
                </w:tcPr>
                <w:p w14:paraId="28764D6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S1</w:t>
                  </w:r>
                </w:p>
              </w:tc>
              <w:tc>
                <w:tcPr>
                  <w:tcW w:w="807" w:type="pct"/>
                  <w:vMerge w:val="restart"/>
                  <w:vAlign w:val="center"/>
                </w:tcPr>
                <w:p w14:paraId="004F7C7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锯床、车床、钻床、加工中心、油淬</w:t>
                  </w:r>
                </w:p>
              </w:tc>
              <w:tc>
                <w:tcPr>
                  <w:tcW w:w="751" w:type="pct"/>
                  <w:vAlign w:val="center"/>
                </w:tcPr>
                <w:p w14:paraId="1FB6B49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废边角料</w:t>
                  </w:r>
                </w:p>
              </w:tc>
              <w:tc>
                <w:tcPr>
                  <w:tcW w:w="1315" w:type="pct"/>
                  <w:vAlign w:val="center"/>
                </w:tcPr>
                <w:p w14:paraId="6954009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废钢材</w:t>
                  </w:r>
                </w:p>
              </w:tc>
            </w:tr>
            <w:tr w14:paraId="3169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5547D42A">
                  <w:pPr>
                    <w:pStyle w:val="85"/>
                    <w:rPr>
                      <w:rFonts w:cs="Times New Roman"/>
                      <w:color w:val="000000" w:themeColor="text1"/>
                      <w14:textFill>
                        <w14:solidFill>
                          <w14:schemeClr w14:val="tx1"/>
                        </w14:solidFill>
                      </w14:textFill>
                    </w:rPr>
                  </w:pPr>
                </w:p>
              </w:tc>
              <w:tc>
                <w:tcPr>
                  <w:tcW w:w="482" w:type="pct"/>
                  <w:vMerge w:val="continue"/>
                  <w:vAlign w:val="center"/>
                </w:tcPr>
                <w:p w14:paraId="6E6CB45E">
                  <w:pPr>
                    <w:pStyle w:val="85"/>
                    <w:rPr>
                      <w:rFonts w:cs="Times New Roman"/>
                      <w:color w:val="000000" w:themeColor="text1"/>
                      <w14:textFill>
                        <w14:solidFill>
                          <w14:schemeClr w14:val="tx1"/>
                        </w14:solidFill>
                      </w14:textFill>
                    </w:rPr>
                  </w:pPr>
                </w:p>
              </w:tc>
              <w:tc>
                <w:tcPr>
                  <w:tcW w:w="716" w:type="pct"/>
                  <w:vMerge w:val="continue"/>
                  <w:vAlign w:val="center"/>
                </w:tcPr>
                <w:p w14:paraId="13702DE2">
                  <w:pPr>
                    <w:pStyle w:val="85"/>
                    <w:rPr>
                      <w:rFonts w:cs="Times New Roman"/>
                      <w:color w:val="000000" w:themeColor="text1"/>
                      <w14:textFill>
                        <w14:solidFill>
                          <w14:schemeClr w14:val="tx1"/>
                        </w14:solidFill>
                      </w14:textFill>
                    </w:rPr>
                  </w:pPr>
                </w:p>
              </w:tc>
              <w:tc>
                <w:tcPr>
                  <w:tcW w:w="547" w:type="pct"/>
                  <w:vAlign w:val="center"/>
                </w:tcPr>
                <w:p w14:paraId="1003D4E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S2</w:t>
                  </w:r>
                </w:p>
              </w:tc>
              <w:tc>
                <w:tcPr>
                  <w:tcW w:w="807" w:type="pct"/>
                  <w:vMerge w:val="continue"/>
                  <w:vAlign w:val="center"/>
                </w:tcPr>
                <w:p w14:paraId="2C41F957">
                  <w:pPr>
                    <w:pStyle w:val="85"/>
                    <w:rPr>
                      <w:rFonts w:cs="Times New Roman"/>
                      <w:color w:val="000000" w:themeColor="text1"/>
                      <w14:textFill>
                        <w14:solidFill>
                          <w14:schemeClr w14:val="tx1"/>
                        </w14:solidFill>
                      </w14:textFill>
                    </w:rPr>
                  </w:pPr>
                </w:p>
              </w:tc>
              <w:tc>
                <w:tcPr>
                  <w:tcW w:w="751" w:type="pct"/>
                  <w:vAlign w:val="center"/>
                </w:tcPr>
                <w:p w14:paraId="0C71353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废油桶</w:t>
                  </w:r>
                </w:p>
              </w:tc>
              <w:tc>
                <w:tcPr>
                  <w:tcW w:w="1315" w:type="pct"/>
                  <w:vAlign w:val="center"/>
                </w:tcPr>
                <w:p w14:paraId="0735ABF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废铁桶</w:t>
                  </w:r>
                </w:p>
              </w:tc>
            </w:tr>
            <w:tr w14:paraId="5BC2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0C880209">
                  <w:pPr>
                    <w:pStyle w:val="85"/>
                    <w:rPr>
                      <w:rFonts w:cs="Times New Roman"/>
                      <w:color w:val="000000" w:themeColor="text1"/>
                      <w14:textFill>
                        <w14:solidFill>
                          <w14:schemeClr w14:val="tx1"/>
                        </w14:solidFill>
                      </w14:textFill>
                    </w:rPr>
                  </w:pPr>
                </w:p>
              </w:tc>
              <w:tc>
                <w:tcPr>
                  <w:tcW w:w="482" w:type="pct"/>
                  <w:vMerge w:val="continue"/>
                  <w:vAlign w:val="center"/>
                </w:tcPr>
                <w:p w14:paraId="29EC33CA">
                  <w:pPr>
                    <w:pStyle w:val="85"/>
                    <w:rPr>
                      <w:rFonts w:cs="Times New Roman"/>
                      <w:color w:val="000000" w:themeColor="text1"/>
                      <w14:textFill>
                        <w14:solidFill>
                          <w14:schemeClr w14:val="tx1"/>
                        </w14:solidFill>
                      </w14:textFill>
                    </w:rPr>
                  </w:pPr>
                </w:p>
              </w:tc>
              <w:tc>
                <w:tcPr>
                  <w:tcW w:w="716" w:type="pct"/>
                  <w:vMerge w:val="continue"/>
                  <w:vAlign w:val="center"/>
                </w:tcPr>
                <w:p w14:paraId="27DC12C8">
                  <w:pPr>
                    <w:pStyle w:val="85"/>
                    <w:rPr>
                      <w:rFonts w:cs="Times New Roman"/>
                      <w:color w:val="000000" w:themeColor="text1"/>
                      <w14:textFill>
                        <w14:solidFill>
                          <w14:schemeClr w14:val="tx1"/>
                        </w14:solidFill>
                      </w14:textFill>
                    </w:rPr>
                  </w:pPr>
                </w:p>
              </w:tc>
              <w:tc>
                <w:tcPr>
                  <w:tcW w:w="547" w:type="pct"/>
                  <w:vAlign w:val="center"/>
                </w:tcPr>
                <w:p w14:paraId="1AC3283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S3</w:t>
                  </w:r>
                </w:p>
              </w:tc>
              <w:tc>
                <w:tcPr>
                  <w:tcW w:w="807" w:type="pct"/>
                  <w:vMerge w:val="continue"/>
                  <w:vAlign w:val="center"/>
                </w:tcPr>
                <w:p w14:paraId="55863B77">
                  <w:pPr>
                    <w:pStyle w:val="85"/>
                    <w:rPr>
                      <w:rFonts w:cs="Times New Roman"/>
                      <w:color w:val="000000" w:themeColor="text1"/>
                      <w14:textFill>
                        <w14:solidFill>
                          <w14:schemeClr w14:val="tx1"/>
                        </w14:solidFill>
                      </w14:textFill>
                    </w:rPr>
                  </w:pPr>
                </w:p>
              </w:tc>
              <w:tc>
                <w:tcPr>
                  <w:tcW w:w="751" w:type="pct"/>
                  <w:vAlign w:val="center"/>
                </w:tcPr>
                <w:p w14:paraId="494C5AD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废切削液</w:t>
                  </w:r>
                </w:p>
              </w:tc>
              <w:tc>
                <w:tcPr>
                  <w:tcW w:w="1315" w:type="pct"/>
                  <w:vAlign w:val="center"/>
                </w:tcPr>
                <w:p w14:paraId="63DD9B1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废切削液</w:t>
                  </w:r>
                </w:p>
              </w:tc>
            </w:tr>
            <w:tr w14:paraId="4657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22EF4FBE">
                  <w:pPr>
                    <w:pStyle w:val="85"/>
                    <w:rPr>
                      <w:rFonts w:cs="Times New Roman"/>
                      <w:color w:val="000000" w:themeColor="text1"/>
                      <w14:textFill>
                        <w14:solidFill>
                          <w14:schemeClr w14:val="tx1"/>
                        </w14:solidFill>
                      </w14:textFill>
                    </w:rPr>
                  </w:pPr>
                </w:p>
              </w:tc>
              <w:tc>
                <w:tcPr>
                  <w:tcW w:w="482" w:type="pct"/>
                  <w:vMerge w:val="continue"/>
                  <w:vAlign w:val="center"/>
                </w:tcPr>
                <w:p w14:paraId="6151DDF4">
                  <w:pPr>
                    <w:pStyle w:val="85"/>
                    <w:rPr>
                      <w:rFonts w:cs="Times New Roman"/>
                      <w:color w:val="000000" w:themeColor="text1"/>
                      <w14:textFill>
                        <w14:solidFill>
                          <w14:schemeClr w14:val="tx1"/>
                        </w14:solidFill>
                      </w14:textFill>
                    </w:rPr>
                  </w:pPr>
                </w:p>
              </w:tc>
              <w:tc>
                <w:tcPr>
                  <w:tcW w:w="716" w:type="pct"/>
                  <w:vAlign w:val="center"/>
                </w:tcPr>
                <w:p w14:paraId="149ADB4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焊接</w:t>
                  </w:r>
                </w:p>
              </w:tc>
              <w:tc>
                <w:tcPr>
                  <w:tcW w:w="547" w:type="pct"/>
                  <w:vAlign w:val="center"/>
                </w:tcPr>
                <w:p w14:paraId="6D83459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S6</w:t>
                  </w:r>
                </w:p>
              </w:tc>
              <w:tc>
                <w:tcPr>
                  <w:tcW w:w="807" w:type="pct"/>
                  <w:vAlign w:val="center"/>
                </w:tcPr>
                <w:p w14:paraId="59CA630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焊机</w:t>
                  </w:r>
                </w:p>
              </w:tc>
              <w:tc>
                <w:tcPr>
                  <w:tcW w:w="751" w:type="pct"/>
                  <w:vAlign w:val="center"/>
                </w:tcPr>
                <w:p w14:paraId="3F2938B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焊渣</w:t>
                  </w:r>
                </w:p>
              </w:tc>
              <w:tc>
                <w:tcPr>
                  <w:tcW w:w="1315" w:type="pct"/>
                  <w:vAlign w:val="center"/>
                </w:tcPr>
                <w:p w14:paraId="08F4434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废钢材</w:t>
                  </w:r>
                </w:p>
              </w:tc>
            </w:tr>
            <w:tr w14:paraId="33A5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29B390B4">
                  <w:pPr>
                    <w:pStyle w:val="85"/>
                    <w:rPr>
                      <w:rFonts w:cs="Times New Roman"/>
                      <w:color w:val="000000" w:themeColor="text1"/>
                      <w14:textFill>
                        <w14:solidFill>
                          <w14:schemeClr w14:val="tx1"/>
                        </w14:solidFill>
                      </w14:textFill>
                    </w:rPr>
                  </w:pPr>
                </w:p>
              </w:tc>
              <w:tc>
                <w:tcPr>
                  <w:tcW w:w="482" w:type="pct"/>
                  <w:vMerge w:val="continue"/>
                  <w:vAlign w:val="center"/>
                </w:tcPr>
                <w:p w14:paraId="1D798844">
                  <w:pPr>
                    <w:pStyle w:val="85"/>
                    <w:rPr>
                      <w:rFonts w:cs="Times New Roman"/>
                      <w:color w:val="000000" w:themeColor="text1"/>
                      <w14:textFill>
                        <w14:solidFill>
                          <w14:schemeClr w14:val="tx1"/>
                        </w14:solidFill>
                      </w14:textFill>
                    </w:rPr>
                  </w:pPr>
                </w:p>
              </w:tc>
              <w:tc>
                <w:tcPr>
                  <w:tcW w:w="716" w:type="pct"/>
                  <w:vAlign w:val="center"/>
                </w:tcPr>
                <w:p w14:paraId="41CB49C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焊接、低温处理</w:t>
                  </w:r>
                </w:p>
              </w:tc>
              <w:tc>
                <w:tcPr>
                  <w:tcW w:w="547" w:type="pct"/>
                  <w:vAlign w:val="center"/>
                </w:tcPr>
                <w:p w14:paraId="0111411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S5</w:t>
                  </w:r>
                </w:p>
              </w:tc>
              <w:tc>
                <w:tcPr>
                  <w:tcW w:w="807" w:type="pct"/>
                  <w:vAlign w:val="center"/>
                </w:tcPr>
                <w:p w14:paraId="66FD33E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焊机、低温处理系统</w:t>
                  </w:r>
                </w:p>
              </w:tc>
              <w:tc>
                <w:tcPr>
                  <w:tcW w:w="751" w:type="pct"/>
                  <w:vAlign w:val="center"/>
                </w:tcPr>
                <w:p w14:paraId="27A22B7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废气瓶</w:t>
                  </w:r>
                </w:p>
              </w:tc>
              <w:tc>
                <w:tcPr>
                  <w:tcW w:w="1315" w:type="pct"/>
                  <w:vAlign w:val="center"/>
                </w:tcPr>
                <w:p w14:paraId="317E571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钢瓶</w:t>
                  </w:r>
                </w:p>
              </w:tc>
            </w:tr>
            <w:tr w14:paraId="7C40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086B3C14">
                  <w:pPr>
                    <w:pStyle w:val="85"/>
                    <w:rPr>
                      <w:rFonts w:cs="Times New Roman"/>
                      <w:color w:val="000000" w:themeColor="text1"/>
                      <w14:textFill>
                        <w14:solidFill>
                          <w14:schemeClr w14:val="tx1"/>
                        </w14:solidFill>
                      </w14:textFill>
                    </w:rPr>
                  </w:pPr>
                </w:p>
              </w:tc>
              <w:tc>
                <w:tcPr>
                  <w:tcW w:w="482" w:type="pct"/>
                  <w:vMerge w:val="continue"/>
                  <w:vAlign w:val="center"/>
                </w:tcPr>
                <w:p w14:paraId="4A191E30">
                  <w:pPr>
                    <w:pStyle w:val="85"/>
                    <w:rPr>
                      <w:rFonts w:cs="Times New Roman"/>
                      <w:color w:val="000000" w:themeColor="text1"/>
                      <w14:textFill>
                        <w14:solidFill>
                          <w14:schemeClr w14:val="tx1"/>
                        </w14:solidFill>
                      </w14:textFill>
                    </w:rPr>
                  </w:pPr>
                </w:p>
              </w:tc>
              <w:tc>
                <w:tcPr>
                  <w:tcW w:w="716" w:type="pct"/>
                  <w:vAlign w:val="center"/>
                </w:tcPr>
                <w:p w14:paraId="5A23EE4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油淬</w:t>
                  </w:r>
                </w:p>
              </w:tc>
              <w:tc>
                <w:tcPr>
                  <w:tcW w:w="547" w:type="pct"/>
                  <w:vAlign w:val="center"/>
                </w:tcPr>
                <w:p w14:paraId="4FD4A4E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S4</w:t>
                  </w:r>
                </w:p>
              </w:tc>
              <w:tc>
                <w:tcPr>
                  <w:tcW w:w="807" w:type="pct"/>
                  <w:vAlign w:val="center"/>
                </w:tcPr>
                <w:p w14:paraId="7A10998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淬火槽</w:t>
                  </w:r>
                </w:p>
              </w:tc>
              <w:tc>
                <w:tcPr>
                  <w:tcW w:w="751" w:type="pct"/>
                  <w:vAlign w:val="center"/>
                </w:tcPr>
                <w:p w14:paraId="1D9934A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油渣</w:t>
                  </w:r>
                </w:p>
              </w:tc>
              <w:tc>
                <w:tcPr>
                  <w:tcW w:w="1315" w:type="pct"/>
                  <w:vAlign w:val="center"/>
                </w:tcPr>
                <w:p w14:paraId="6A03EF8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油渣</w:t>
                  </w:r>
                </w:p>
              </w:tc>
            </w:tr>
            <w:tr w14:paraId="23D2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4DE07B88">
                  <w:pPr>
                    <w:pStyle w:val="85"/>
                    <w:rPr>
                      <w:rFonts w:cs="Times New Roman"/>
                      <w:color w:val="000000" w:themeColor="text1"/>
                      <w14:textFill>
                        <w14:solidFill>
                          <w14:schemeClr w14:val="tx1"/>
                        </w14:solidFill>
                      </w14:textFill>
                    </w:rPr>
                  </w:pPr>
                </w:p>
              </w:tc>
              <w:tc>
                <w:tcPr>
                  <w:tcW w:w="482" w:type="pct"/>
                  <w:vMerge w:val="continue"/>
                  <w:vAlign w:val="center"/>
                </w:tcPr>
                <w:p w14:paraId="35529D07">
                  <w:pPr>
                    <w:pStyle w:val="85"/>
                    <w:rPr>
                      <w:rFonts w:cs="Times New Roman"/>
                      <w:color w:val="000000" w:themeColor="text1"/>
                      <w14:textFill>
                        <w14:solidFill>
                          <w14:schemeClr w14:val="tx1"/>
                        </w14:solidFill>
                      </w14:textFill>
                    </w:rPr>
                  </w:pPr>
                </w:p>
              </w:tc>
              <w:tc>
                <w:tcPr>
                  <w:tcW w:w="716" w:type="pct"/>
                  <w:vAlign w:val="center"/>
                </w:tcPr>
                <w:p w14:paraId="39745F8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检验、试压</w:t>
                  </w:r>
                </w:p>
              </w:tc>
              <w:tc>
                <w:tcPr>
                  <w:tcW w:w="547" w:type="pct"/>
                  <w:vAlign w:val="center"/>
                </w:tcPr>
                <w:p w14:paraId="6963E22A">
                  <w:pPr>
                    <w:pStyle w:val="85"/>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S</w:t>
                  </w:r>
                  <w:r>
                    <w:rPr>
                      <w:rFonts w:hint="eastAsia" w:cs="Times New Roman"/>
                      <w:color w:val="000000" w:themeColor="text1"/>
                      <w:lang w:val="en-US" w:eastAsia="zh-CN"/>
                      <w14:textFill>
                        <w14:solidFill>
                          <w14:schemeClr w14:val="tx1"/>
                        </w14:solidFill>
                      </w14:textFill>
                    </w:rPr>
                    <w:t>7</w:t>
                  </w:r>
                </w:p>
              </w:tc>
              <w:tc>
                <w:tcPr>
                  <w:tcW w:w="807" w:type="pct"/>
                  <w:vAlign w:val="center"/>
                </w:tcPr>
                <w:p w14:paraId="0682265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检验、试压</w:t>
                  </w:r>
                </w:p>
              </w:tc>
              <w:tc>
                <w:tcPr>
                  <w:tcW w:w="751" w:type="pct"/>
                  <w:vAlign w:val="center"/>
                </w:tcPr>
                <w:p w14:paraId="2916BE4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不合格品</w:t>
                  </w:r>
                </w:p>
              </w:tc>
              <w:tc>
                <w:tcPr>
                  <w:tcW w:w="1315" w:type="pct"/>
                  <w:vAlign w:val="center"/>
                </w:tcPr>
                <w:p w14:paraId="393AA46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废金属</w:t>
                  </w:r>
                </w:p>
              </w:tc>
            </w:tr>
            <w:tr w14:paraId="5FD9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6D2FE33E">
                  <w:pPr>
                    <w:pStyle w:val="85"/>
                    <w:rPr>
                      <w:rFonts w:cs="Times New Roman"/>
                      <w:color w:val="000000" w:themeColor="text1"/>
                      <w14:textFill>
                        <w14:solidFill>
                          <w14:schemeClr w14:val="tx1"/>
                        </w14:solidFill>
                      </w14:textFill>
                    </w:rPr>
                  </w:pPr>
                </w:p>
              </w:tc>
              <w:tc>
                <w:tcPr>
                  <w:tcW w:w="482" w:type="pct"/>
                  <w:vMerge w:val="continue"/>
                  <w:vAlign w:val="center"/>
                </w:tcPr>
                <w:p w14:paraId="66A21ED4">
                  <w:pPr>
                    <w:pStyle w:val="85"/>
                    <w:rPr>
                      <w:rFonts w:cs="Times New Roman"/>
                      <w:color w:val="000000" w:themeColor="text1"/>
                      <w14:textFill>
                        <w14:solidFill>
                          <w14:schemeClr w14:val="tx1"/>
                        </w14:solidFill>
                      </w14:textFill>
                    </w:rPr>
                  </w:pPr>
                </w:p>
              </w:tc>
              <w:tc>
                <w:tcPr>
                  <w:tcW w:w="716" w:type="pct"/>
                  <w:vAlign w:val="center"/>
                </w:tcPr>
                <w:p w14:paraId="4DDC461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包装</w:t>
                  </w:r>
                </w:p>
              </w:tc>
              <w:tc>
                <w:tcPr>
                  <w:tcW w:w="547" w:type="pct"/>
                  <w:vAlign w:val="center"/>
                </w:tcPr>
                <w:p w14:paraId="38590CD6">
                  <w:pPr>
                    <w:pStyle w:val="85"/>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S</w:t>
                  </w:r>
                  <w:r>
                    <w:rPr>
                      <w:rFonts w:hint="eastAsia" w:cs="Times New Roman"/>
                      <w:color w:val="000000" w:themeColor="text1"/>
                      <w:lang w:val="en-US" w:eastAsia="zh-CN"/>
                      <w14:textFill>
                        <w14:solidFill>
                          <w14:schemeClr w14:val="tx1"/>
                        </w14:solidFill>
                      </w14:textFill>
                    </w:rPr>
                    <w:t>8</w:t>
                  </w:r>
                </w:p>
              </w:tc>
              <w:tc>
                <w:tcPr>
                  <w:tcW w:w="807" w:type="pct"/>
                  <w:vAlign w:val="center"/>
                </w:tcPr>
                <w:p w14:paraId="13428D4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包装</w:t>
                  </w:r>
                </w:p>
              </w:tc>
              <w:tc>
                <w:tcPr>
                  <w:tcW w:w="751" w:type="pct"/>
                  <w:vAlign w:val="center"/>
                </w:tcPr>
                <w:p w14:paraId="2EC55D2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废包材</w:t>
                  </w:r>
                </w:p>
              </w:tc>
              <w:tc>
                <w:tcPr>
                  <w:tcW w:w="1315" w:type="pct"/>
                  <w:vAlign w:val="center"/>
                </w:tcPr>
                <w:p w14:paraId="6811D000">
                  <w:pPr>
                    <w:pStyle w:val="85"/>
                    <w:rPr>
                      <w:rFonts w:cs="Times New Roman"/>
                      <w:color w:val="000000" w:themeColor="text1"/>
                      <w14:textFill>
                        <w14:solidFill>
                          <w14:schemeClr w14:val="tx1"/>
                        </w14:solidFill>
                      </w14:textFill>
                    </w:rPr>
                  </w:pPr>
                  <w:r>
                    <w:rPr>
                      <w:rFonts w:cs="Times New Roman"/>
                      <w:color w:val="000000" w:themeColor="text1"/>
                      <w:kern w:val="0"/>
                      <w:szCs w:val="21"/>
                      <w14:textFill>
                        <w14:solidFill>
                          <w14:schemeClr w14:val="tx1"/>
                        </w14:solidFill>
                      </w14:textFill>
                    </w:rPr>
                    <w:t>废纸板</w:t>
                  </w:r>
                </w:p>
              </w:tc>
            </w:tr>
            <w:tr w14:paraId="76CB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233A572D">
                  <w:pPr>
                    <w:pStyle w:val="85"/>
                    <w:rPr>
                      <w:rFonts w:cs="Times New Roman"/>
                      <w:color w:val="000000" w:themeColor="text1"/>
                      <w14:textFill>
                        <w14:solidFill>
                          <w14:schemeClr w14:val="tx1"/>
                        </w14:solidFill>
                      </w14:textFill>
                    </w:rPr>
                  </w:pPr>
                </w:p>
              </w:tc>
              <w:tc>
                <w:tcPr>
                  <w:tcW w:w="482" w:type="pct"/>
                  <w:vMerge w:val="continue"/>
                  <w:vAlign w:val="center"/>
                </w:tcPr>
                <w:p w14:paraId="78DC8804">
                  <w:pPr>
                    <w:pStyle w:val="85"/>
                    <w:rPr>
                      <w:rFonts w:cs="Times New Roman"/>
                      <w:color w:val="000000" w:themeColor="text1"/>
                      <w14:textFill>
                        <w14:solidFill>
                          <w14:schemeClr w14:val="tx1"/>
                        </w14:solidFill>
                      </w14:textFill>
                    </w:rPr>
                  </w:pPr>
                </w:p>
              </w:tc>
              <w:tc>
                <w:tcPr>
                  <w:tcW w:w="716" w:type="pct"/>
                  <w:vAlign w:val="center"/>
                </w:tcPr>
                <w:p w14:paraId="144F150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废气处理设施</w:t>
                  </w:r>
                </w:p>
              </w:tc>
              <w:tc>
                <w:tcPr>
                  <w:tcW w:w="547" w:type="pct"/>
                  <w:vAlign w:val="center"/>
                </w:tcPr>
                <w:p w14:paraId="271B262F">
                  <w:pPr>
                    <w:pStyle w:val="85"/>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S</w:t>
                  </w:r>
                  <w:r>
                    <w:rPr>
                      <w:rFonts w:hint="eastAsia" w:cs="Times New Roman"/>
                      <w:color w:val="000000" w:themeColor="text1"/>
                      <w:lang w:val="en-US" w:eastAsia="zh-CN"/>
                      <w14:textFill>
                        <w14:solidFill>
                          <w14:schemeClr w14:val="tx1"/>
                        </w14:solidFill>
                      </w14:textFill>
                    </w:rPr>
                    <w:t>9</w:t>
                  </w:r>
                </w:p>
              </w:tc>
              <w:tc>
                <w:tcPr>
                  <w:tcW w:w="807" w:type="pct"/>
                  <w:vAlign w:val="center"/>
                </w:tcPr>
                <w:p w14:paraId="0919EB7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布袋除尘器</w:t>
                  </w:r>
                </w:p>
              </w:tc>
              <w:tc>
                <w:tcPr>
                  <w:tcW w:w="751" w:type="pct"/>
                  <w:vAlign w:val="center"/>
                </w:tcPr>
                <w:p w14:paraId="51124A8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除尘颗粒</w:t>
                  </w:r>
                </w:p>
              </w:tc>
              <w:tc>
                <w:tcPr>
                  <w:tcW w:w="1315" w:type="pct"/>
                  <w:vAlign w:val="center"/>
                </w:tcPr>
                <w:p w14:paraId="4A22722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尘渣</w:t>
                  </w:r>
                </w:p>
              </w:tc>
            </w:tr>
            <w:tr w14:paraId="1AB1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00570731">
                  <w:pPr>
                    <w:pStyle w:val="85"/>
                    <w:rPr>
                      <w:rFonts w:cs="Times New Roman"/>
                      <w:color w:val="000000" w:themeColor="text1"/>
                      <w14:textFill>
                        <w14:solidFill>
                          <w14:schemeClr w14:val="tx1"/>
                        </w14:solidFill>
                      </w14:textFill>
                    </w:rPr>
                  </w:pPr>
                </w:p>
              </w:tc>
              <w:tc>
                <w:tcPr>
                  <w:tcW w:w="482" w:type="pct"/>
                  <w:vMerge w:val="continue"/>
                  <w:vAlign w:val="center"/>
                </w:tcPr>
                <w:p w14:paraId="5B0E7A67">
                  <w:pPr>
                    <w:pStyle w:val="85"/>
                    <w:rPr>
                      <w:rFonts w:cs="Times New Roman"/>
                      <w:color w:val="000000" w:themeColor="text1"/>
                      <w14:textFill>
                        <w14:solidFill>
                          <w14:schemeClr w14:val="tx1"/>
                        </w14:solidFill>
                      </w14:textFill>
                    </w:rPr>
                  </w:pPr>
                </w:p>
              </w:tc>
              <w:tc>
                <w:tcPr>
                  <w:tcW w:w="716" w:type="pct"/>
                  <w:vAlign w:val="center"/>
                </w:tcPr>
                <w:p w14:paraId="18A2902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隔油池</w:t>
                  </w:r>
                </w:p>
              </w:tc>
              <w:tc>
                <w:tcPr>
                  <w:tcW w:w="547" w:type="pct"/>
                  <w:vAlign w:val="center"/>
                </w:tcPr>
                <w:p w14:paraId="472714D8">
                  <w:pPr>
                    <w:pStyle w:val="85"/>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S1</w:t>
                  </w:r>
                  <w:r>
                    <w:rPr>
                      <w:rFonts w:hint="eastAsia" w:cs="Times New Roman"/>
                      <w:color w:val="000000" w:themeColor="text1"/>
                      <w:lang w:val="en-US" w:eastAsia="zh-CN"/>
                      <w14:textFill>
                        <w14:solidFill>
                          <w14:schemeClr w14:val="tx1"/>
                        </w14:solidFill>
                      </w14:textFill>
                    </w:rPr>
                    <w:t>0</w:t>
                  </w:r>
                </w:p>
              </w:tc>
              <w:tc>
                <w:tcPr>
                  <w:tcW w:w="807" w:type="pct"/>
                  <w:vAlign w:val="center"/>
                </w:tcPr>
                <w:p w14:paraId="7F5F97E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隔油池</w:t>
                  </w:r>
                </w:p>
              </w:tc>
              <w:tc>
                <w:tcPr>
                  <w:tcW w:w="751" w:type="pct"/>
                  <w:vAlign w:val="center"/>
                </w:tcPr>
                <w:p w14:paraId="6B628F4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油渣</w:t>
                  </w:r>
                </w:p>
              </w:tc>
              <w:tc>
                <w:tcPr>
                  <w:tcW w:w="1315" w:type="pct"/>
                  <w:vAlign w:val="center"/>
                </w:tcPr>
                <w:p w14:paraId="2969EAB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矿物油渣</w:t>
                  </w:r>
                </w:p>
              </w:tc>
            </w:tr>
            <w:tr w14:paraId="2A8D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760D9EC1">
                  <w:pPr>
                    <w:pStyle w:val="85"/>
                    <w:rPr>
                      <w:rFonts w:cs="Times New Roman"/>
                      <w:color w:val="000000" w:themeColor="text1"/>
                      <w14:textFill>
                        <w14:solidFill>
                          <w14:schemeClr w14:val="tx1"/>
                        </w14:solidFill>
                      </w14:textFill>
                    </w:rPr>
                  </w:pPr>
                </w:p>
              </w:tc>
              <w:tc>
                <w:tcPr>
                  <w:tcW w:w="482" w:type="pct"/>
                  <w:vMerge w:val="continue"/>
                  <w:vAlign w:val="center"/>
                </w:tcPr>
                <w:p w14:paraId="4AAEA6CC">
                  <w:pPr>
                    <w:pStyle w:val="85"/>
                    <w:rPr>
                      <w:rFonts w:cs="Times New Roman"/>
                      <w:color w:val="000000" w:themeColor="text1"/>
                      <w14:textFill>
                        <w14:solidFill>
                          <w14:schemeClr w14:val="tx1"/>
                        </w14:solidFill>
                      </w14:textFill>
                    </w:rPr>
                  </w:pPr>
                </w:p>
              </w:tc>
              <w:tc>
                <w:tcPr>
                  <w:tcW w:w="716" w:type="pct"/>
                  <w:vAlign w:val="center"/>
                </w:tcPr>
                <w:p w14:paraId="2271B6A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设备维护</w:t>
                  </w:r>
                </w:p>
              </w:tc>
              <w:tc>
                <w:tcPr>
                  <w:tcW w:w="547" w:type="pct"/>
                  <w:vAlign w:val="center"/>
                </w:tcPr>
                <w:p w14:paraId="44DB7808">
                  <w:pPr>
                    <w:pStyle w:val="85"/>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S1</w:t>
                  </w:r>
                  <w:r>
                    <w:rPr>
                      <w:rFonts w:hint="eastAsia" w:cs="Times New Roman"/>
                      <w:color w:val="000000" w:themeColor="text1"/>
                      <w:lang w:val="en-US" w:eastAsia="zh-CN"/>
                      <w14:textFill>
                        <w14:solidFill>
                          <w14:schemeClr w14:val="tx1"/>
                        </w14:solidFill>
                      </w14:textFill>
                    </w:rPr>
                    <w:t>1</w:t>
                  </w:r>
                </w:p>
              </w:tc>
              <w:tc>
                <w:tcPr>
                  <w:tcW w:w="807" w:type="pct"/>
                  <w:vAlign w:val="center"/>
                </w:tcPr>
                <w:p w14:paraId="0E5CFA5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设备维护</w:t>
                  </w:r>
                </w:p>
              </w:tc>
              <w:tc>
                <w:tcPr>
                  <w:tcW w:w="751" w:type="pct"/>
                  <w:vAlign w:val="center"/>
                </w:tcPr>
                <w:p w14:paraId="0CDB4EA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含油棉纱、手套</w:t>
                  </w:r>
                </w:p>
              </w:tc>
              <w:tc>
                <w:tcPr>
                  <w:tcW w:w="1315" w:type="pct"/>
                  <w:vAlign w:val="center"/>
                </w:tcPr>
                <w:p w14:paraId="63138DE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纤维、矿物油</w:t>
                  </w:r>
                </w:p>
              </w:tc>
            </w:tr>
            <w:tr w14:paraId="13F9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37B6C64C">
                  <w:pPr>
                    <w:pStyle w:val="85"/>
                    <w:rPr>
                      <w:rFonts w:cs="Times New Roman"/>
                      <w:color w:val="000000" w:themeColor="text1"/>
                      <w14:textFill>
                        <w14:solidFill>
                          <w14:schemeClr w14:val="tx1"/>
                        </w14:solidFill>
                      </w14:textFill>
                    </w:rPr>
                  </w:pPr>
                </w:p>
              </w:tc>
              <w:tc>
                <w:tcPr>
                  <w:tcW w:w="482" w:type="pct"/>
                  <w:vAlign w:val="center"/>
                </w:tcPr>
                <w:p w14:paraId="43DBB15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716" w:type="pct"/>
                  <w:vAlign w:val="center"/>
                </w:tcPr>
                <w:p w14:paraId="31EADBC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w:t>
                  </w:r>
                </w:p>
              </w:tc>
              <w:tc>
                <w:tcPr>
                  <w:tcW w:w="547" w:type="pct"/>
                  <w:vAlign w:val="center"/>
                </w:tcPr>
                <w:p w14:paraId="59DD63E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07" w:type="pct"/>
                  <w:vAlign w:val="center"/>
                </w:tcPr>
                <w:p w14:paraId="16C5367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各设备</w:t>
                  </w:r>
                </w:p>
              </w:tc>
              <w:tc>
                <w:tcPr>
                  <w:tcW w:w="751" w:type="pct"/>
                  <w:vAlign w:val="center"/>
                </w:tcPr>
                <w:p w14:paraId="0308AF6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1315" w:type="pct"/>
                  <w:vAlign w:val="center"/>
                </w:tcPr>
                <w:p w14:paraId="7665F10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等效连续A声级</w:t>
                  </w:r>
                </w:p>
              </w:tc>
            </w:tr>
            <w:tr w14:paraId="6DEA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restart"/>
                  <w:vAlign w:val="center"/>
                </w:tcPr>
                <w:p w14:paraId="5887CAA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w:t>
                  </w:r>
                </w:p>
              </w:tc>
              <w:tc>
                <w:tcPr>
                  <w:tcW w:w="482" w:type="pct"/>
                  <w:vMerge w:val="restart"/>
                  <w:vAlign w:val="center"/>
                </w:tcPr>
                <w:p w14:paraId="113A7C9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716" w:type="pct"/>
                  <w:vAlign w:val="center"/>
                </w:tcPr>
                <w:p w14:paraId="219801C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清洗机</w:t>
                  </w:r>
                </w:p>
              </w:tc>
              <w:tc>
                <w:tcPr>
                  <w:tcW w:w="547" w:type="pct"/>
                  <w:vAlign w:val="center"/>
                </w:tcPr>
                <w:p w14:paraId="04855A8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W1</w:t>
                  </w:r>
                </w:p>
              </w:tc>
              <w:tc>
                <w:tcPr>
                  <w:tcW w:w="807" w:type="pct"/>
                  <w:vAlign w:val="center"/>
                </w:tcPr>
                <w:p w14:paraId="1D6F1EC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51" w:type="pct"/>
                  <w:vAlign w:val="center"/>
                </w:tcPr>
                <w:p w14:paraId="49C4CC5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清洗废水</w:t>
                  </w:r>
                </w:p>
              </w:tc>
              <w:tc>
                <w:tcPr>
                  <w:tcW w:w="1315" w:type="pct"/>
                  <w:vAlign w:val="center"/>
                </w:tcPr>
                <w:p w14:paraId="74D272C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COD、SS、石油类等</w:t>
                  </w:r>
                </w:p>
              </w:tc>
            </w:tr>
            <w:tr w14:paraId="5F04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2EC98238">
                  <w:pPr>
                    <w:pStyle w:val="85"/>
                    <w:rPr>
                      <w:rFonts w:cs="Times New Roman"/>
                      <w:color w:val="000000" w:themeColor="text1"/>
                      <w14:textFill>
                        <w14:solidFill>
                          <w14:schemeClr w14:val="tx1"/>
                        </w14:solidFill>
                      </w14:textFill>
                    </w:rPr>
                  </w:pPr>
                </w:p>
              </w:tc>
              <w:tc>
                <w:tcPr>
                  <w:tcW w:w="482" w:type="pct"/>
                  <w:vMerge w:val="continue"/>
                  <w:vAlign w:val="center"/>
                </w:tcPr>
                <w:p w14:paraId="5487FB3E">
                  <w:pPr>
                    <w:pStyle w:val="85"/>
                    <w:rPr>
                      <w:rFonts w:cs="Times New Roman"/>
                      <w:color w:val="000000" w:themeColor="text1"/>
                      <w14:textFill>
                        <w14:solidFill>
                          <w14:schemeClr w14:val="tx1"/>
                        </w14:solidFill>
                      </w14:textFill>
                    </w:rPr>
                  </w:pPr>
                </w:p>
              </w:tc>
              <w:tc>
                <w:tcPr>
                  <w:tcW w:w="716" w:type="pct"/>
                  <w:vAlign w:val="center"/>
                </w:tcPr>
                <w:p w14:paraId="3AD03EA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员工生活</w:t>
                  </w:r>
                </w:p>
              </w:tc>
              <w:tc>
                <w:tcPr>
                  <w:tcW w:w="547" w:type="pct"/>
                  <w:vAlign w:val="center"/>
                </w:tcPr>
                <w:p w14:paraId="7ED920E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W2</w:t>
                  </w:r>
                </w:p>
              </w:tc>
              <w:tc>
                <w:tcPr>
                  <w:tcW w:w="807" w:type="pct"/>
                  <w:vAlign w:val="center"/>
                </w:tcPr>
                <w:p w14:paraId="0140193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51" w:type="pct"/>
                  <w:vAlign w:val="center"/>
                </w:tcPr>
                <w:p w14:paraId="31C1C03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生活污水</w:t>
                  </w:r>
                </w:p>
              </w:tc>
              <w:tc>
                <w:tcPr>
                  <w:tcW w:w="1315" w:type="pct"/>
                  <w:vAlign w:val="center"/>
                </w:tcPr>
                <w:p w14:paraId="13DDC8D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、SS、NH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-N等</w:t>
                  </w:r>
                </w:p>
              </w:tc>
            </w:tr>
            <w:tr w14:paraId="2956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17AE49B1">
                  <w:pPr>
                    <w:pStyle w:val="85"/>
                    <w:rPr>
                      <w:rFonts w:cs="Times New Roman"/>
                      <w:color w:val="000000" w:themeColor="text1"/>
                      <w14:textFill>
                        <w14:solidFill>
                          <w14:schemeClr w14:val="tx1"/>
                        </w14:solidFill>
                      </w14:textFill>
                    </w:rPr>
                  </w:pPr>
                </w:p>
              </w:tc>
              <w:tc>
                <w:tcPr>
                  <w:tcW w:w="482" w:type="pct"/>
                  <w:vMerge w:val="continue"/>
                  <w:vAlign w:val="center"/>
                </w:tcPr>
                <w:p w14:paraId="33D1E55D">
                  <w:pPr>
                    <w:pStyle w:val="85"/>
                    <w:rPr>
                      <w:rFonts w:cs="Times New Roman"/>
                      <w:color w:val="000000" w:themeColor="text1"/>
                      <w14:textFill>
                        <w14:solidFill>
                          <w14:schemeClr w14:val="tx1"/>
                        </w14:solidFill>
                      </w14:textFill>
                    </w:rPr>
                  </w:pPr>
                </w:p>
              </w:tc>
              <w:tc>
                <w:tcPr>
                  <w:tcW w:w="716" w:type="pct"/>
                  <w:vAlign w:val="center"/>
                </w:tcPr>
                <w:p w14:paraId="323CE05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员工洗手</w:t>
                  </w:r>
                </w:p>
              </w:tc>
              <w:tc>
                <w:tcPr>
                  <w:tcW w:w="547" w:type="pct"/>
                  <w:vAlign w:val="center"/>
                </w:tcPr>
                <w:p w14:paraId="0AA605A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W3</w:t>
                  </w:r>
                </w:p>
              </w:tc>
              <w:tc>
                <w:tcPr>
                  <w:tcW w:w="807" w:type="pct"/>
                  <w:vAlign w:val="center"/>
                </w:tcPr>
                <w:p w14:paraId="1B805E2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51" w:type="pct"/>
                  <w:vAlign w:val="center"/>
                </w:tcPr>
                <w:p w14:paraId="08561CC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洗手废水</w:t>
                  </w:r>
                </w:p>
              </w:tc>
              <w:tc>
                <w:tcPr>
                  <w:tcW w:w="1315" w:type="pct"/>
                  <w:vAlign w:val="center"/>
                </w:tcPr>
                <w:p w14:paraId="40BD252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COD、SS、石油类等</w:t>
                  </w:r>
                </w:p>
              </w:tc>
            </w:tr>
            <w:tr w14:paraId="4022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6F56803B">
                  <w:pPr>
                    <w:pStyle w:val="85"/>
                    <w:rPr>
                      <w:rFonts w:cs="Times New Roman"/>
                      <w:color w:val="000000" w:themeColor="text1"/>
                      <w14:textFill>
                        <w14:solidFill>
                          <w14:schemeClr w14:val="tx1"/>
                        </w14:solidFill>
                      </w14:textFill>
                    </w:rPr>
                  </w:pPr>
                </w:p>
              </w:tc>
              <w:tc>
                <w:tcPr>
                  <w:tcW w:w="482" w:type="pct"/>
                  <w:vMerge w:val="continue"/>
                  <w:vAlign w:val="center"/>
                </w:tcPr>
                <w:p w14:paraId="25D4765C">
                  <w:pPr>
                    <w:pStyle w:val="85"/>
                    <w:rPr>
                      <w:rFonts w:cs="Times New Roman"/>
                      <w:color w:val="000000" w:themeColor="text1"/>
                      <w14:textFill>
                        <w14:solidFill>
                          <w14:schemeClr w14:val="tx1"/>
                        </w14:solidFill>
                      </w14:textFill>
                    </w:rPr>
                  </w:pPr>
                </w:p>
              </w:tc>
              <w:tc>
                <w:tcPr>
                  <w:tcW w:w="716" w:type="pct"/>
                  <w:vAlign w:val="center"/>
                </w:tcPr>
                <w:p w14:paraId="2CB0B51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地坪清洁</w:t>
                  </w:r>
                </w:p>
              </w:tc>
              <w:tc>
                <w:tcPr>
                  <w:tcW w:w="547" w:type="pct"/>
                  <w:vAlign w:val="center"/>
                </w:tcPr>
                <w:p w14:paraId="4DFAC64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W4</w:t>
                  </w:r>
                </w:p>
              </w:tc>
              <w:tc>
                <w:tcPr>
                  <w:tcW w:w="807" w:type="pct"/>
                  <w:vAlign w:val="center"/>
                </w:tcPr>
                <w:p w14:paraId="299693A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51" w:type="pct"/>
                  <w:vAlign w:val="center"/>
                </w:tcPr>
                <w:p w14:paraId="180B5CB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清洁废水</w:t>
                  </w:r>
                </w:p>
              </w:tc>
              <w:tc>
                <w:tcPr>
                  <w:tcW w:w="1315" w:type="pct"/>
                  <w:vAlign w:val="center"/>
                </w:tcPr>
                <w:p w14:paraId="52221BE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COD、SS、石油类等</w:t>
                  </w:r>
                </w:p>
              </w:tc>
            </w:tr>
            <w:tr w14:paraId="4F9E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67522698">
                  <w:pPr>
                    <w:pStyle w:val="85"/>
                    <w:rPr>
                      <w:rFonts w:cs="Times New Roman"/>
                      <w:color w:val="000000" w:themeColor="text1"/>
                      <w14:textFill>
                        <w14:solidFill>
                          <w14:schemeClr w14:val="tx1"/>
                        </w14:solidFill>
                      </w14:textFill>
                    </w:rPr>
                  </w:pPr>
                </w:p>
              </w:tc>
              <w:tc>
                <w:tcPr>
                  <w:tcW w:w="482" w:type="pct"/>
                  <w:vMerge w:val="continue"/>
                  <w:vAlign w:val="center"/>
                </w:tcPr>
                <w:p w14:paraId="118A6415">
                  <w:pPr>
                    <w:pStyle w:val="85"/>
                    <w:rPr>
                      <w:rFonts w:cs="Times New Roman"/>
                      <w:color w:val="000000" w:themeColor="text1"/>
                      <w14:textFill>
                        <w14:solidFill>
                          <w14:schemeClr w14:val="tx1"/>
                        </w14:solidFill>
                      </w14:textFill>
                    </w:rPr>
                  </w:pPr>
                </w:p>
              </w:tc>
              <w:tc>
                <w:tcPr>
                  <w:tcW w:w="716" w:type="pct"/>
                  <w:vAlign w:val="center"/>
                </w:tcPr>
                <w:p w14:paraId="5E2949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空压机</w:t>
                  </w:r>
                </w:p>
              </w:tc>
              <w:tc>
                <w:tcPr>
                  <w:tcW w:w="547" w:type="pct"/>
                  <w:vAlign w:val="center"/>
                </w:tcPr>
                <w:p w14:paraId="6888F4A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W5</w:t>
                  </w:r>
                </w:p>
              </w:tc>
              <w:tc>
                <w:tcPr>
                  <w:tcW w:w="807" w:type="pct"/>
                  <w:vAlign w:val="center"/>
                </w:tcPr>
                <w:p w14:paraId="0741730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51" w:type="pct"/>
                  <w:vAlign w:val="center"/>
                </w:tcPr>
                <w:p w14:paraId="58F097E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空压机冷凝废水</w:t>
                  </w:r>
                </w:p>
              </w:tc>
              <w:tc>
                <w:tcPr>
                  <w:tcW w:w="1315" w:type="pct"/>
                  <w:vAlign w:val="center"/>
                </w:tcPr>
                <w:p w14:paraId="7BA65A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COS、SS、石油类等</w:t>
                  </w:r>
                </w:p>
              </w:tc>
            </w:tr>
            <w:tr w14:paraId="6957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vMerge w:val="continue"/>
                  <w:vAlign w:val="center"/>
                </w:tcPr>
                <w:p w14:paraId="103A5749">
                  <w:pPr>
                    <w:pStyle w:val="85"/>
                    <w:rPr>
                      <w:rFonts w:cs="Times New Roman"/>
                      <w:color w:val="000000" w:themeColor="text1"/>
                      <w14:textFill>
                        <w14:solidFill>
                          <w14:schemeClr w14:val="tx1"/>
                        </w14:solidFill>
                      </w14:textFill>
                    </w:rPr>
                  </w:pPr>
                </w:p>
              </w:tc>
              <w:tc>
                <w:tcPr>
                  <w:tcW w:w="482" w:type="pct"/>
                  <w:vAlign w:val="center"/>
                </w:tcPr>
                <w:p w14:paraId="5E0B506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w:t>
                  </w:r>
                </w:p>
              </w:tc>
              <w:tc>
                <w:tcPr>
                  <w:tcW w:w="716" w:type="pct"/>
                  <w:vAlign w:val="center"/>
                </w:tcPr>
                <w:p w14:paraId="18DE99E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员工生活</w:t>
                  </w:r>
                </w:p>
              </w:tc>
              <w:tc>
                <w:tcPr>
                  <w:tcW w:w="547" w:type="pct"/>
                  <w:vAlign w:val="center"/>
                </w:tcPr>
                <w:p w14:paraId="3D1FE7B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S13</w:t>
                  </w:r>
                </w:p>
              </w:tc>
              <w:tc>
                <w:tcPr>
                  <w:tcW w:w="807" w:type="pct"/>
                  <w:vAlign w:val="center"/>
                </w:tcPr>
                <w:p w14:paraId="237362E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51" w:type="pct"/>
                  <w:vAlign w:val="center"/>
                </w:tcPr>
                <w:p w14:paraId="7BF8720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w:t>
                  </w:r>
                </w:p>
              </w:tc>
              <w:tc>
                <w:tcPr>
                  <w:tcW w:w="1315" w:type="pct"/>
                  <w:vAlign w:val="center"/>
                </w:tcPr>
                <w:p w14:paraId="0851659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w:t>
                  </w:r>
                </w:p>
              </w:tc>
            </w:tr>
          </w:tbl>
          <w:p w14:paraId="5865C2C1">
            <w:pPr>
              <w:pStyle w:val="137"/>
              <w:rPr>
                <w:rFonts w:eastAsia="宋体"/>
                <w:snapToGrid w:val="0"/>
                <w:color w:val="000000" w:themeColor="text1"/>
                <w14:textFill>
                  <w14:solidFill>
                    <w14:schemeClr w14:val="tx1"/>
                  </w14:solidFill>
                </w14:textFill>
              </w:rPr>
            </w:pPr>
          </w:p>
        </w:tc>
      </w:tr>
      <w:tr w14:paraId="22130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470" w:type="dxa"/>
            <w:vAlign w:val="center"/>
          </w:tcPr>
          <w:p w14:paraId="44DD0B18">
            <w:pPr>
              <w:pStyle w:val="22"/>
              <w:adjustRightInd w:val="0"/>
              <w:snapToGrid w:val="0"/>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与项目有关的原有环境污染问题</w:t>
            </w:r>
          </w:p>
        </w:tc>
        <w:tc>
          <w:tcPr>
            <w:tcW w:w="8309" w:type="dxa"/>
          </w:tcPr>
          <w:p w14:paraId="341DDE3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小米智能制造产业园为重庆绅鹏实业开发有限公司在铜梁区蒲吕街道产业大道38号1-1处建设的标准厂房，标准厂房占地均为工业用地，其包括11栋标准厂房、1栋服务中心、1栋倒班公寓，服务中心内设置不低于2000人就餐的生活食堂，倒班公寓设计工人容纳量不低于500人，产业园北部规划设置容积400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的生化池配套处理园内污水。其已于2020年3月开工建设，并于2022年初建成投运。</w:t>
            </w:r>
          </w:p>
          <w:p w14:paraId="4245CA5D">
            <w:pPr>
              <w:pStyle w:val="137"/>
              <w:ind w:firstLine="0"/>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2882265</wp:posOffset>
                      </wp:positionH>
                      <wp:positionV relativeFrom="paragraph">
                        <wp:posOffset>161290</wp:posOffset>
                      </wp:positionV>
                      <wp:extent cx="812165" cy="285750"/>
                      <wp:effectExtent l="299720" t="4445" r="5715" b="319405"/>
                      <wp:wrapNone/>
                      <wp:docPr id="23" name="圆角矩形标注 23"/>
                      <wp:cNvGraphicFramePr/>
                      <a:graphic xmlns:a="http://schemas.openxmlformats.org/drawingml/2006/main">
                        <a:graphicData uri="http://schemas.microsoft.com/office/word/2010/wordprocessingShape">
                          <wps:wsp>
                            <wps:cNvSpPr>
                              <a:spLocks noChangeArrowheads="1"/>
                            </wps:cNvSpPr>
                            <wps:spPr bwMode="auto">
                              <a:xfrm>
                                <a:off x="0" y="0"/>
                                <a:ext cx="812165" cy="285750"/>
                              </a:xfrm>
                              <a:prstGeom prst="wedgeRoundRectCallout">
                                <a:avLst>
                                  <a:gd name="adj1" fmla="val -82838"/>
                                  <a:gd name="adj2" fmla="val 153111"/>
                                  <a:gd name="adj3" fmla="val 16667"/>
                                </a:avLst>
                              </a:prstGeom>
                              <a:noFill/>
                              <a:ln w="9525">
                                <a:solidFill>
                                  <a:srgbClr val="FF0000"/>
                                </a:solidFill>
                                <a:miter lim="800000"/>
                              </a:ln>
                            </wps:spPr>
                            <wps:txbx>
                              <w:txbxContent>
                                <w:p w14:paraId="26C431AB">
                                  <w:pPr>
                                    <w:rPr>
                                      <w:rFonts w:hint="eastAsia" w:ascii="仿宋" w:hAnsi="仿宋" w:eastAsia="仿宋"/>
                                      <w:b/>
                                      <w:color w:val="FF0000"/>
                                    </w:rPr>
                                  </w:pPr>
                                  <w:r>
                                    <w:rPr>
                                      <w:rFonts w:hint="eastAsia" w:ascii="仿宋" w:hAnsi="仿宋" w:eastAsia="仿宋"/>
                                      <w:b/>
                                      <w:color w:val="FF0000"/>
                                    </w:rPr>
                                    <w:t>项目位置</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6.95pt;margin-top:12.7pt;height:22.5pt;width:63.95pt;z-index:251659264;mso-width-relative:page;mso-height-relative:page;" filled="f" stroked="t" coordsize="21600,21600" o:gfxdata="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tOyOHYAAAACQEAAA8A&#10;AAAAAAAAAQAgAAAAIgAAAGRycy9kb3ducmV2LnhtbFBLAQIUABQAAAAIAIdO4kCTw9bTiQIAAOYE&#10;AAAOAAAAAAAAAAEAIAAAACcBAABkcnMvZTJvRG9jLnhtbFBLBQYAAAAABgAGAFkBAAAiBgAAAAA=&#10;" adj="-7093,43872,14400">
                      <v:fill on="f" focussize="0,0"/>
                      <v:stroke color="#FF0000" miterlimit="8" joinstyle="miter"/>
                      <v:imagedata o:title=""/>
                      <o:lock v:ext="edit" aspectratio="f"/>
                      <v:textbox>
                        <w:txbxContent>
                          <w:p w14:paraId="26C431AB">
                            <w:pPr>
                              <w:rPr>
                                <w:rFonts w:hint="eastAsia" w:ascii="仿宋" w:hAnsi="仿宋" w:eastAsia="仿宋"/>
                                <w:b/>
                                <w:color w:val="FF0000"/>
                              </w:rPr>
                            </w:pPr>
                            <w:r>
                              <w:rPr>
                                <w:rFonts w:hint="eastAsia" w:ascii="仿宋" w:hAnsi="仿宋" w:eastAsia="仿宋"/>
                                <w:b/>
                                <w:color w:val="FF0000"/>
                              </w:rPr>
                              <w:t>项目位置</w:t>
                            </w:r>
                          </w:p>
                        </w:txbxContent>
                      </v:textbox>
                    </v:shape>
                  </w:pict>
                </mc:Fallback>
              </mc:AlternateContent>
            </w:r>
            <w:r>
              <w:rPr>
                <w:rFonts w:eastAsia="宋体"/>
                <w:color w:val="000000" w:themeColor="text1"/>
                <w14:textFill>
                  <w14:solidFill>
                    <w14:schemeClr w14:val="tx1"/>
                  </w14:solidFill>
                </w14:textFill>
              </w:rPr>
              <w:drawing>
                <wp:inline distT="0" distB="0" distL="0" distR="0">
                  <wp:extent cx="5092065" cy="2212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hqprint"/>
                          <a:stretch>
                            <a:fillRect/>
                          </a:stretch>
                        </pic:blipFill>
                        <pic:spPr>
                          <a:xfrm>
                            <a:off x="0" y="0"/>
                            <a:ext cx="5108207" cy="2219679"/>
                          </a:xfrm>
                          <a:prstGeom prst="rect">
                            <a:avLst/>
                          </a:prstGeom>
                        </pic:spPr>
                      </pic:pic>
                    </a:graphicData>
                  </a:graphic>
                </wp:inline>
              </w:drawing>
            </w:r>
          </w:p>
          <w:p w14:paraId="317D28B3">
            <w:pPr>
              <w:tabs>
                <w:tab w:val="left" w:pos="330"/>
              </w:tabs>
              <w:adjustRightInd w:val="0"/>
              <w:snapToGrid w:val="0"/>
              <w:spacing w:line="360" w:lineRule="auto"/>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图2-4小米智能制造产业园现状图</w:t>
            </w:r>
          </w:p>
          <w:p w14:paraId="3C7D7972">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拟建项目为新建项目，为租用小米智能制造产业园内现有空置标准厂房4A栋1楼。根据环评单位实地踏勘调查，拟建项目租用的4A栋1楼为小米智能制造产业园建成之后首次租赁，不存在原有污染情况和环境问题。</w:t>
            </w:r>
          </w:p>
          <w:p w14:paraId="02C160EB">
            <w:pPr>
              <w:pStyle w:val="137"/>
              <w:ind w:firstLine="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5112385" cy="2359660"/>
                  <wp:effectExtent l="0" t="0" r="0" b="2540"/>
                  <wp:docPr id="7" name="图片 7" descr="C:\Users\82307\AppData\Local\Temp\WeChat Files\ec97508919fba060a54d468d38ef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2307\AppData\Local\Temp\WeChat Files\ec97508919fba060a54d468d38ef89d.jpg"/>
                          <pic:cNvPicPr>
                            <a:picLocks noChangeAspect="1" noChangeArrowheads="1"/>
                          </pic:cNvPicPr>
                        </pic:nvPicPr>
                        <pic:blipFill>
                          <a:blip r:embed="rId12" cstate="hqprint"/>
                          <a:srcRect/>
                          <a:stretch>
                            <a:fillRect/>
                          </a:stretch>
                        </pic:blipFill>
                        <pic:spPr>
                          <a:xfrm>
                            <a:off x="0" y="0"/>
                            <a:ext cx="5138925" cy="2372113"/>
                          </a:xfrm>
                          <a:prstGeom prst="rect">
                            <a:avLst/>
                          </a:prstGeom>
                          <a:noFill/>
                          <a:ln>
                            <a:noFill/>
                          </a:ln>
                        </pic:spPr>
                      </pic:pic>
                    </a:graphicData>
                  </a:graphic>
                </wp:inline>
              </w:drawing>
            </w:r>
          </w:p>
          <w:p w14:paraId="4F6A6D45">
            <w:pPr>
              <w:tabs>
                <w:tab w:val="left" w:pos="330"/>
              </w:tabs>
              <w:adjustRightInd w:val="0"/>
              <w:snapToGrid w:val="0"/>
              <w:spacing w:line="360" w:lineRule="auto"/>
              <w:jc w:val="center"/>
              <w:rPr>
                <w:b/>
                <w:snapToGrid w:val="0"/>
                <w:color w:val="000000" w:themeColor="text1"/>
                <w:kern w:val="0"/>
                <w:sz w:val="24"/>
                <w14:textFill>
                  <w14:solidFill>
                    <w14:schemeClr w14:val="tx1"/>
                  </w14:solidFill>
                </w14:textFill>
              </w:rPr>
            </w:pPr>
            <w:r>
              <w:rPr>
                <w:b/>
                <w:snapToGrid w:val="0"/>
                <w:color w:val="000000" w:themeColor="text1"/>
                <w:kern w:val="0"/>
                <w:sz w:val="24"/>
                <w14:textFill>
                  <w14:solidFill>
                    <w14:schemeClr w14:val="tx1"/>
                  </w14:solidFill>
                </w14:textFill>
              </w:rPr>
              <w:t>图2-5租用厂房内部现状图</w:t>
            </w:r>
          </w:p>
          <w:p w14:paraId="7131DF2F">
            <w:pPr>
              <w:pStyle w:val="2"/>
              <w:rPr>
                <w:b/>
                <w:snapToGrid w:val="0"/>
                <w:color w:val="000000" w:themeColor="text1"/>
                <w:kern w:val="0"/>
                <w:sz w:val="24"/>
                <w14:textFill>
                  <w14:solidFill>
                    <w14:schemeClr w14:val="tx1"/>
                  </w14:solidFill>
                </w14:textFill>
              </w:rPr>
            </w:pPr>
          </w:p>
          <w:p w14:paraId="23F61367">
            <w:pPr>
              <w:pStyle w:val="2"/>
              <w:rPr>
                <w:b/>
                <w:snapToGrid w:val="0"/>
                <w:color w:val="000000" w:themeColor="text1"/>
                <w:kern w:val="0"/>
                <w:sz w:val="24"/>
                <w14:textFill>
                  <w14:solidFill>
                    <w14:schemeClr w14:val="tx1"/>
                  </w14:solidFill>
                </w14:textFill>
              </w:rPr>
            </w:pPr>
          </w:p>
          <w:p w14:paraId="2A71E02A">
            <w:pPr>
              <w:pStyle w:val="2"/>
              <w:rPr>
                <w:b/>
                <w:snapToGrid w:val="0"/>
                <w:color w:val="000000" w:themeColor="text1"/>
                <w:kern w:val="0"/>
                <w:sz w:val="24"/>
                <w14:textFill>
                  <w14:solidFill>
                    <w14:schemeClr w14:val="tx1"/>
                  </w14:solidFill>
                </w14:textFill>
              </w:rPr>
            </w:pPr>
          </w:p>
          <w:p w14:paraId="209FE1A6">
            <w:pPr>
              <w:pStyle w:val="2"/>
              <w:rPr>
                <w:b/>
                <w:snapToGrid w:val="0"/>
                <w:color w:val="000000" w:themeColor="text1"/>
                <w:kern w:val="0"/>
                <w:sz w:val="24"/>
                <w14:textFill>
                  <w14:solidFill>
                    <w14:schemeClr w14:val="tx1"/>
                  </w14:solidFill>
                </w14:textFill>
              </w:rPr>
            </w:pPr>
          </w:p>
          <w:p w14:paraId="51EC82C7">
            <w:pPr>
              <w:pStyle w:val="2"/>
              <w:rPr>
                <w:b/>
                <w:snapToGrid w:val="0"/>
                <w:color w:val="000000" w:themeColor="text1"/>
                <w:kern w:val="0"/>
                <w:sz w:val="24"/>
                <w14:textFill>
                  <w14:solidFill>
                    <w14:schemeClr w14:val="tx1"/>
                  </w14:solidFill>
                </w14:textFill>
              </w:rPr>
            </w:pPr>
          </w:p>
          <w:p w14:paraId="5CB7FD2F">
            <w:pPr>
              <w:pStyle w:val="2"/>
              <w:rPr>
                <w:b/>
                <w:snapToGrid w:val="0"/>
                <w:color w:val="000000" w:themeColor="text1"/>
                <w:kern w:val="0"/>
                <w:sz w:val="24"/>
                <w14:textFill>
                  <w14:solidFill>
                    <w14:schemeClr w14:val="tx1"/>
                  </w14:solidFill>
                </w14:textFill>
              </w:rPr>
            </w:pPr>
          </w:p>
          <w:p w14:paraId="72854CF7">
            <w:pPr>
              <w:pStyle w:val="2"/>
              <w:rPr>
                <w:b/>
                <w:snapToGrid w:val="0"/>
                <w:color w:val="000000" w:themeColor="text1"/>
                <w:kern w:val="0"/>
                <w:sz w:val="24"/>
                <w14:textFill>
                  <w14:solidFill>
                    <w14:schemeClr w14:val="tx1"/>
                  </w14:solidFill>
                </w14:textFill>
              </w:rPr>
            </w:pPr>
          </w:p>
          <w:p w14:paraId="703BE426">
            <w:pPr>
              <w:pStyle w:val="2"/>
              <w:rPr>
                <w:b/>
                <w:snapToGrid w:val="0"/>
                <w:color w:val="000000" w:themeColor="text1"/>
                <w:kern w:val="0"/>
                <w:sz w:val="24"/>
                <w14:textFill>
                  <w14:solidFill>
                    <w14:schemeClr w14:val="tx1"/>
                  </w14:solidFill>
                </w14:textFill>
              </w:rPr>
            </w:pPr>
          </w:p>
          <w:p w14:paraId="5CD90112">
            <w:pPr>
              <w:pStyle w:val="2"/>
              <w:rPr>
                <w:b/>
                <w:snapToGrid w:val="0"/>
                <w:color w:val="000000" w:themeColor="text1"/>
                <w:kern w:val="0"/>
                <w:sz w:val="24"/>
                <w14:textFill>
                  <w14:solidFill>
                    <w14:schemeClr w14:val="tx1"/>
                  </w14:solidFill>
                </w14:textFill>
              </w:rPr>
            </w:pPr>
          </w:p>
        </w:tc>
      </w:tr>
    </w:tbl>
    <w:p w14:paraId="56736DFF">
      <w:pPr>
        <w:pStyle w:val="22"/>
        <w:jc w:val="center"/>
        <w:rPr>
          <w:rFonts w:ascii="Times New Roman" w:hAnsi="Times New Roman"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159415D8">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r>
        <w:rPr>
          <w:rFonts w:ascii="Times New Roman" w:hAnsi="Times New Roman" w:cs="Times New Roman"/>
          <w:b/>
          <w:snapToGrid w:val="0"/>
          <w:color w:val="000000" w:themeColor="text1"/>
          <w:sz w:val="30"/>
          <w:szCs w:val="30"/>
          <w14:textFill>
            <w14:solidFill>
              <w14:schemeClr w14:val="tx1"/>
            </w14:solidFill>
          </w14:textFill>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326"/>
      </w:tblGrid>
      <w:tr w14:paraId="1DB11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456" w:type="dxa"/>
            <w:vAlign w:val="center"/>
          </w:tcPr>
          <w:p w14:paraId="6B54B473">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区域</w:t>
            </w:r>
          </w:p>
          <w:p w14:paraId="6E45B37D">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环境</w:t>
            </w:r>
          </w:p>
          <w:p w14:paraId="1D20CFA5">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质量</w:t>
            </w:r>
          </w:p>
          <w:p w14:paraId="34098281">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1"/>
                <w14:textFill>
                  <w14:solidFill>
                    <w14:schemeClr w14:val="tx1"/>
                  </w14:solidFill>
                </w14:textFill>
              </w:rPr>
              <w:t>现状</w:t>
            </w:r>
          </w:p>
        </w:tc>
        <w:tc>
          <w:tcPr>
            <w:tcW w:w="8326" w:type="dxa"/>
            <w:vAlign w:val="center"/>
          </w:tcPr>
          <w:p w14:paraId="1C560CE6">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1、大气环境</w:t>
            </w:r>
          </w:p>
          <w:p w14:paraId="721CDD5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根据《重庆市环境空气质量功能区划分规定》（渝府发[2016]19）的相关规定，拟建项目所在地环境空气功能区划为二类区，环境空气质量应执行《环境空气质量标准》（GB3095-2012）中的二级标准限值。</w:t>
            </w:r>
          </w:p>
          <w:p w14:paraId="1BD365A5">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（1）环境空气达标区判定</w:t>
            </w:r>
          </w:p>
          <w:p w14:paraId="55171AD0">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建设项目环境影响报告表编制技术指南（污染影响类）（试行）》，区域大气环境质量现状可采用生态环境主管部门公开发布的质量数据，故拟建项目环境空气质量达标情况判定采用《2023年重庆市生态环境状况公报》中铜梁区相关数据进行达标区判定。环境空气质量达标区判定情况详见表3-1。</w:t>
            </w:r>
          </w:p>
          <w:p w14:paraId="795161AA">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表3-1区域大气环境质量现状</w:t>
            </w:r>
          </w:p>
          <w:tbl>
            <w:tblPr>
              <w:tblStyle w:val="25"/>
              <w:tblW w:w="810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2461"/>
              <w:gridCol w:w="1122"/>
              <w:gridCol w:w="898"/>
              <w:gridCol w:w="1571"/>
              <w:gridCol w:w="1138"/>
            </w:tblGrid>
            <w:tr w14:paraId="47010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63" w:type="pct"/>
                  <w:tcBorders>
                    <w:top w:val="single" w:color="000000" w:sz="10" w:space="0"/>
                    <w:left w:val="single" w:color="000000" w:sz="10" w:space="0"/>
                  </w:tcBorders>
                  <w:shd w:val="clear" w:color="auto" w:fill="auto"/>
                </w:tcPr>
                <w:p w14:paraId="76CD2D71">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5"/>
                      <w:lang w:eastAsia="zh-CN"/>
                      <w14:textFill>
                        <w14:solidFill>
                          <w14:schemeClr w14:val="tx1"/>
                        </w14:solidFill>
                      </w14:textFill>
                    </w:rPr>
                    <w:t>污染物</w:t>
                  </w:r>
                </w:p>
              </w:tc>
              <w:tc>
                <w:tcPr>
                  <w:tcW w:w="1518" w:type="pct"/>
                  <w:tcBorders>
                    <w:top w:val="single" w:color="000000" w:sz="10" w:space="0"/>
                  </w:tcBorders>
                  <w:shd w:val="clear" w:color="auto" w:fill="auto"/>
                </w:tcPr>
                <w:p w14:paraId="46B67B88">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6"/>
                      <w:lang w:eastAsia="zh-CN"/>
                      <w14:textFill>
                        <w14:solidFill>
                          <w14:schemeClr w14:val="tx1"/>
                        </w14:solidFill>
                      </w14:textFill>
                    </w:rPr>
                    <w:t>年度评价指标</w:t>
                  </w:r>
                </w:p>
              </w:tc>
              <w:tc>
                <w:tcPr>
                  <w:tcW w:w="692" w:type="pct"/>
                  <w:tcBorders>
                    <w:top w:val="single" w:color="000000" w:sz="10" w:space="0"/>
                  </w:tcBorders>
                  <w:shd w:val="clear" w:color="auto" w:fill="auto"/>
                </w:tcPr>
                <w:p w14:paraId="0BEE6159">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6"/>
                      <w:lang w:eastAsia="zh-CN"/>
                      <w14:textFill>
                        <w14:solidFill>
                          <w14:schemeClr w14:val="tx1"/>
                        </w14:solidFill>
                      </w14:textFill>
                    </w:rPr>
                    <w:t>现状浓度</w:t>
                  </w:r>
                </w:p>
              </w:tc>
              <w:tc>
                <w:tcPr>
                  <w:tcW w:w="554" w:type="pct"/>
                  <w:tcBorders>
                    <w:top w:val="single" w:color="000000" w:sz="10" w:space="0"/>
                  </w:tcBorders>
                  <w:shd w:val="clear" w:color="auto" w:fill="auto"/>
                </w:tcPr>
                <w:p w14:paraId="1AA60983">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5"/>
                      <w:lang w:eastAsia="zh-CN"/>
                      <w14:textFill>
                        <w14:solidFill>
                          <w14:schemeClr w14:val="tx1"/>
                        </w14:solidFill>
                      </w14:textFill>
                    </w:rPr>
                    <w:t>标准值</w:t>
                  </w:r>
                </w:p>
              </w:tc>
              <w:tc>
                <w:tcPr>
                  <w:tcW w:w="969" w:type="pct"/>
                  <w:tcBorders>
                    <w:top w:val="single" w:color="000000" w:sz="10" w:space="0"/>
                  </w:tcBorders>
                  <w:shd w:val="clear" w:color="auto" w:fill="auto"/>
                </w:tcPr>
                <w:p w14:paraId="019258EB">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占标率</w:t>
                  </w:r>
                </w:p>
              </w:tc>
              <w:tc>
                <w:tcPr>
                  <w:tcW w:w="702" w:type="pct"/>
                  <w:tcBorders>
                    <w:top w:val="single" w:color="000000" w:sz="10" w:space="0"/>
                    <w:right w:val="single" w:color="000000" w:sz="10" w:space="0"/>
                  </w:tcBorders>
                  <w:shd w:val="clear" w:color="auto" w:fill="auto"/>
                </w:tcPr>
                <w:p w14:paraId="449B5905">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6"/>
                      <w:lang w:eastAsia="zh-CN"/>
                      <w14:textFill>
                        <w14:solidFill>
                          <w14:schemeClr w14:val="tx1"/>
                        </w14:solidFill>
                      </w14:textFill>
                    </w:rPr>
                    <w:t>达标情况</w:t>
                  </w:r>
                </w:p>
              </w:tc>
            </w:tr>
            <w:tr w14:paraId="6516B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63" w:type="pct"/>
                  <w:tcBorders>
                    <w:left w:val="single" w:color="000000" w:sz="10" w:space="0"/>
                  </w:tcBorders>
                  <w:shd w:val="clear" w:color="auto" w:fill="auto"/>
                </w:tcPr>
                <w:p w14:paraId="1CF0CEFE">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pacing w:val="8"/>
                      <w:position w:val="-1"/>
                      <w:szCs w:val="21"/>
                      <w:vertAlign w:val="subscript"/>
                      <w14:textFill>
                        <w14:solidFill>
                          <w14:schemeClr w14:val="tx1"/>
                        </w14:solidFill>
                      </w14:textFill>
                    </w:rPr>
                    <w:t>10</w:t>
                  </w:r>
                </w:p>
              </w:tc>
              <w:tc>
                <w:tcPr>
                  <w:tcW w:w="1518" w:type="pct"/>
                  <w:shd w:val="clear" w:color="auto" w:fill="auto"/>
                </w:tcPr>
                <w:p w14:paraId="26A169A4">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8"/>
                      <w:lang w:eastAsia="zh-CN"/>
                      <w14:textFill>
                        <w14:solidFill>
                          <w14:schemeClr w14:val="tx1"/>
                        </w14:solidFill>
                      </w14:textFill>
                    </w:rPr>
                    <w:t>年日均值浓度</w:t>
                  </w:r>
                </w:p>
              </w:tc>
              <w:tc>
                <w:tcPr>
                  <w:tcW w:w="692" w:type="pct"/>
                  <w:shd w:val="clear" w:color="auto" w:fill="auto"/>
                </w:tcPr>
                <w:p w14:paraId="2D63D6D0">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554" w:type="pct"/>
                  <w:shd w:val="clear" w:color="auto" w:fill="auto"/>
                </w:tcPr>
                <w:p w14:paraId="282A077C">
                  <w:pPr>
                    <w:spacing w:line="320" w:lineRule="exact"/>
                    <w:jc w:val="center"/>
                    <w:rPr>
                      <w:color w:val="000000" w:themeColor="text1"/>
                      <w:szCs w:val="21"/>
                      <w14:textFill>
                        <w14:solidFill>
                          <w14:schemeClr w14:val="tx1"/>
                        </w14:solidFill>
                      </w14:textFill>
                    </w:rPr>
                  </w:pPr>
                  <w:r>
                    <w:rPr>
                      <w:color w:val="000000" w:themeColor="text1"/>
                      <w:spacing w:val="1"/>
                      <w:szCs w:val="21"/>
                      <w14:textFill>
                        <w14:solidFill>
                          <w14:schemeClr w14:val="tx1"/>
                        </w14:solidFill>
                      </w14:textFill>
                    </w:rPr>
                    <w:t>70</w:t>
                  </w:r>
                </w:p>
              </w:tc>
              <w:tc>
                <w:tcPr>
                  <w:tcW w:w="969" w:type="pct"/>
                  <w:shd w:val="clear" w:color="auto" w:fill="auto"/>
                  <w:vAlign w:val="center"/>
                </w:tcPr>
                <w:p w14:paraId="31592F95">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0.77</w:t>
                  </w:r>
                </w:p>
              </w:tc>
              <w:tc>
                <w:tcPr>
                  <w:tcW w:w="702" w:type="pct"/>
                  <w:tcBorders>
                    <w:right w:val="single" w:color="000000" w:sz="10" w:space="0"/>
                  </w:tcBorders>
                  <w:shd w:val="clear" w:color="auto" w:fill="auto"/>
                </w:tcPr>
                <w:p w14:paraId="2FC0393A">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达标</w:t>
                  </w:r>
                </w:p>
              </w:tc>
            </w:tr>
            <w:tr w14:paraId="4DE7B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63" w:type="pct"/>
                  <w:tcBorders>
                    <w:left w:val="single" w:color="000000" w:sz="10" w:space="0"/>
                  </w:tcBorders>
                  <w:shd w:val="clear" w:color="auto" w:fill="auto"/>
                </w:tcPr>
                <w:p w14:paraId="2278E7A4">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pacing w:val="6"/>
                      <w:position w:val="-1"/>
                      <w:szCs w:val="21"/>
                      <w:vertAlign w:val="subscript"/>
                      <w14:textFill>
                        <w14:solidFill>
                          <w14:schemeClr w14:val="tx1"/>
                        </w14:solidFill>
                      </w14:textFill>
                    </w:rPr>
                    <w:t>2.5</w:t>
                  </w:r>
                </w:p>
              </w:tc>
              <w:tc>
                <w:tcPr>
                  <w:tcW w:w="1518" w:type="pct"/>
                  <w:shd w:val="clear" w:color="auto" w:fill="auto"/>
                </w:tcPr>
                <w:p w14:paraId="774B0F55">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8"/>
                      <w:lang w:eastAsia="zh-CN"/>
                      <w14:textFill>
                        <w14:solidFill>
                          <w14:schemeClr w14:val="tx1"/>
                        </w14:solidFill>
                      </w14:textFill>
                    </w:rPr>
                    <w:t>年日均值浓度</w:t>
                  </w:r>
                </w:p>
              </w:tc>
              <w:tc>
                <w:tcPr>
                  <w:tcW w:w="692" w:type="pct"/>
                  <w:shd w:val="clear" w:color="auto" w:fill="auto"/>
                </w:tcPr>
                <w:p w14:paraId="48123F95">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554" w:type="pct"/>
                  <w:shd w:val="clear" w:color="auto" w:fill="auto"/>
                </w:tcPr>
                <w:p w14:paraId="0567B73A">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969" w:type="pct"/>
                  <w:shd w:val="clear" w:color="auto" w:fill="auto"/>
                  <w:vAlign w:val="center"/>
                </w:tcPr>
                <w:p w14:paraId="06D2F78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702" w:type="pct"/>
                  <w:tcBorders>
                    <w:right w:val="single" w:color="000000" w:sz="10" w:space="0"/>
                  </w:tcBorders>
                  <w:shd w:val="clear" w:color="auto" w:fill="auto"/>
                </w:tcPr>
                <w:p w14:paraId="08026AEF">
                  <w:pPr>
                    <w:pStyle w:val="145"/>
                    <w:spacing w:line="320" w:lineRule="exact"/>
                    <w:ind w:firstLine="220" w:firstLineChars="10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不达标</w:t>
                  </w:r>
                </w:p>
              </w:tc>
            </w:tr>
            <w:tr w14:paraId="4761D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63" w:type="pct"/>
                  <w:tcBorders>
                    <w:left w:val="single" w:color="000000" w:sz="10" w:space="0"/>
                  </w:tcBorders>
                  <w:shd w:val="clear" w:color="auto" w:fill="auto"/>
                </w:tcPr>
                <w:p w14:paraId="2D3E7D42">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pacing w:val="3"/>
                      <w:position w:val="-1"/>
                      <w:szCs w:val="21"/>
                      <w:vertAlign w:val="subscript"/>
                      <w14:textFill>
                        <w14:solidFill>
                          <w14:schemeClr w14:val="tx1"/>
                        </w14:solidFill>
                      </w14:textFill>
                    </w:rPr>
                    <w:t>2</w:t>
                  </w:r>
                </w:p>
              </w:tc>
              <w:tc>
                <w:tcPr>
                  <w:tcW w:w="1518" w:type="pct"/>
                  <w:shd w:val="clear" w:color="auto" w:fill="auto"/>
                </w:tcPr>
                <w:p w14:paraId="4F684996">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8"/>
                      <w:lang w:eastAsia="zh-CN"/>
                      <w14:textFill>
                        <w14:solidFill>
                          <w14:schemeClr w14:val="tx1"/>
                        </w14:solidFill>
                      </w14:textFill>
                    </w:rPr>
                    <w:t>年日均值浓度</w:t>
                  </w:r>
                </w:p>
              </w:tc>
              <w:tc>
                <w:tcPr>
                  <w:tcW w:w="692" w:type="pct"/>
                  <w:shd w:val="clear" w:color="auto" w:fill="auto"/>
                </w:tcPr>
                <w:p w14:paraId="46817AE8">
                  <w:pPr>
                    <w:spacing w:line="320" w:lineRule="exact"/>
                    <w:jc w:val="center"/>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10</w:t>
                  </w:r>
                </w:p>
              </w:tc>
              <w:tc>
                <w:tcPr>
                  <w:tcW w:w="554" w:type="pct"/>
                  <w:shd w:val="clear" w:color="auto" w:fill="auto"/>
                </w:tcPr>
                <w:p w14:paraId="3E7E1412">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969" w:type="pct"/>
                  <w:shd w:val="clear" w:color="auto" w:fill="auto"/>
                  <w:vAlign w:val="center"/>
                </w:tcPr>
                <w:p w14:paraId="220EF670">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0.17</w:t>
                  </w:r>
                </w:p>
              </w:tc>
              <w:tc>
                <w:tcPr>
                  <w:tcW w:w="702" w:type="pct"/>
                  <w:tcBorders>
                    <w:right w:val="single" w:color="000000" w:sz="10" w:space="0"/>
                  </w:tcBorders>
                  <w:shd w:val="clear" w:color="auto" w:fill="auto"/>
                </w:tcPr>
                <w:p w14:paraId="77144612">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达标</w:t>
                  </w:r>
                </w:p>
              </w:tc>
            </w:tr>
            <w:tr w14:paraId="7554F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63" w:type="pct"/>
                  <w:tcBorders>
                    <w:left w:val="single" w:color="000000" w:sz="10" w:space="0"/>
                  </w:tcBorders>
                  <w:shd w:val="clear" w:color="auto" w:fill="auto"/>
                </w:tcPr>
                <w:p w14:paraId="3FAD6E8E">
                  <w:pPr>
                    <w:spacing w:line="320" w:lineRule="exact"/>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NO</w:t>
                  </w:r>
                  <w:r>
                    <w:rPr>
                      <w:color w:val="000000" w:themeColor="text1"/>
                      <w:spacing w:val="6"/>
                      <w:position w:val="-1"/>
                      <w:szCs w:val="21"/>
                      <w:vertAlign w:val="subscript"/>
                      <w14:textFill>
                        <w14:solidFill>
                          <w14:schemeClr w14:val="tx1"/>
                        </w14:solidFill>
                      </w14:textFill>
                    </w:rPr>
                    <w:t>2</w:t>
                  </w:r>
                </w:p>
              </w:tc>
              <w:tc>
                <w:tcPr>
                  <w:tcW w:w="1518" w:type="pct"/>
                  <w:shd w:val="clear" w:color="auto" w:fill="auto"/>
                </w:tcPr>
                <w:p w14:paraId="15142731">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8"/>
                      <w:lang w:eastAsia="zh-CN"/>
                      <w14:textFill>
                        <w14:solidFill>
                          <w14:schemeClr w14:val="tx1"/>
                        </w14:solidFill>
                      </w14:textFill>
                    </w:rPr>
                    <w:t>年日均值浓度</w:t>
                  </w:r>
                </w:p>
              </w:tc>
              <w:tc>
                <w:tcPr>
                  <w:tcW w:w="692" w:type="pct"/>
                  <w:shd w:val="clear" w:color="auto" w:fill="auto"/>
                </w:tcPr>
                <w:p w14:paraId="5E7EE3EF">
                  <w:pPr>
                    <w:spacing w:line="320" w:lineRule="exact"/>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26</w:t>
                  </w:r>
                </w:p>
              </w:tc>
              <w:tc>
                <w:tcPr>
                  <w:tcW w:w="554" w:type="pct"/>
                  <w:shd w:val="clear" w:color="auto" w:fill="auto"/>
                </w:tcPr>
                <w:p w14:paraId="5F044F5A">
                  <w:pPr>
                    <w:spacing w:line="320" w:lineRule="exact"/>
                    <w:jc w:val="center"/>
                    <w:rPr>
                      <w:color w:val="000000" w:themeColor="text1"/>
                      <w:szCs w:val="21"/>
                      <w14:textFill>
                        <w14:solidFill>
                          <w14:schemeClr w14:val="tx1"/>
                        </w14:solidFill>
                      </w14:textFill>
                    </w:rPr>
                  </w:pPr>
                  <w:r>
                    <w:rPr>
                      <w:color w:val="000000" w:themeColor="text1"/>
                      <w:spacing w:val="3"/>
                      <w:szCs w:val="21"/>
                      <w14:textFill>
                        <w14:solidFill>
                          <w14:schemeClr w14:val="tx1"/>
                        </w14:solidFill>
                      </w14:textFill>
                    </w:rPr>
                    <w:t>40</w:t>
                  </w:r>
                </w:p>
              </w:tc>
              <w:tc>
                <w:tcPr>
                  <w:tcW w:w="969" w:type="pct"/>
                  <w:shd w:val="clear" w:color="auto" w:fill="auto"/>
                  <w:vAlign w:val="center"/>
                </w:tcPr>
                <w:p w14:paraId="2256D67B">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0.65</w:t>
                  </w:r>
                </w:p>
              </w:tc>
              <w:tc>
                <w:tcPr>
                  <w:tcW w:w="702" w:type="pct"/>
                  <w:tcBorders>
                    <w:right w:val="single" w:color="000000" w:sz="10" w:space="0"/>
                  </w:tcBorders>
                  <w:shd w:val="clear" w:color="auto" w:fill="auto"/>
                </w:tcPr>
                <w:p w14:paraId="32BE845C">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达标</w:t>
                  </w:r>
                </w:p>
              </w:tc>
            </w:tr>
            <w:tr w14:paraId="4E1DE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63" w:type="pct"/>
                  <w:tcBorders>
                    <w:left w:val="single" w:color="000000" w:sz="10" w:space="0"/>
                  </w:tcBorders>
                  <w:shd w:val="clear" w:color="auto" w:fill="auto"/>
                </w:tcPr>
                <w:p w14:paraId="372F2E0C">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pacing w:val="1"/>
                      <w:position w:val="-1"/>
                      <w:szCs w:val="21"/>
                      <w:vertAlign w:val="subscript"/>
                      <w14:textFill>
                        <w14:solidFill>
                          <w14:schemeClr w14:val="tx1"/>
                        </w14:solidFill>
                      </w14:textFill>
                    </w:rPr>
                    <w:t>3</w:t>
                  </w:r>
                </w:p>
              </w:tc>
              <w:tc>
                <w:tcPr>
                  <w:tcW w:w="1518" w:type="pct"/>
                  <w:shd w:val="clear" w:color="auto" w:fill="auto"/>
                </w:tcPr>
                <w:p w14:paraId="29DF73E8">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2"/>
                      <w:lang w:eastAsia="zh-CN"/>
                      <w14:textFill>
                        <w14:solidFill>
                          <w14:schemeClr w14:val="tx1"/>
                        </w14:solidFill>
                      </w14:textFill>
                    </w:rPr>
                    <w:t>日最大8小时平均浓度</w:t>
                  </w:r>
                </w:p>
              </w:tc>
              <w:tc>
                <w:tcPr>
                  <w:tcW w:w="692" w:type="pct"/>
                  <w:shd w:val="clear" w:color="auto" w:fill="auto"/>
                </w:tcPr>
                <w:p w14:paraId="5D381F94">
                  <w:pPr>
                    <w:spacing w:line="320" w:lineRule="exact"/>
                    <w:jc w:val="center"/>
                    <w:rPr>
                      <w:color w:val="000000" w:themeColor="text1"/>
                      <w:szCs w:val="21"/>
                      <w14:textFill>
                        <w14:solidFill>
                          <w14:schemeClr w14:val="tx1"/>
                        </w14:solidFill>
                      </w14:textFill>
                    </w:rPr>
                  </w:pPr>
                  <w:r>
                    <w:rPr>
                      <w:color w:val="000000" w:themeColor="text1"/>
                      <w:spacing w:val="-3"/>
                      <w:szCs w:val="21"/>
                      <w14:textFill>
                        <w14:solidFill>
                          <w14:schemeClr w14:val="tx1"/>
                        </w14:solidFill>
                      </w14:textFill>
                    </w:rPr>
                    <w:t>153</w:t>
                  </w:r>
                </w:p>
              </w:tc>
              <w:tc>
                <w:tcPr>
                  <w:tcW w:w="554" w:type="pct"/>
                  <w:shd w:val="clear" w:color="auto" w:fill="auto"/>
                </w:tcPr>
                <w:p w14:paraId="06079AFF">
                  <w:pPr>
                    <w:spacing w:line="320" w:lineRule="exact"/>
                    <w:jc w:val="center"/>
                    <w:rPr>
                      <w:color w:val="000000" w:themeColor="text1"/>
                      <w:szCs w:val="21"/>
                      <w14:textFill>
                        <w14:solidFill>
                          <w14:schemeClr w14:val="tx1"/>
                        </w14:solidFill>
                      </w14:textFill>
                    </w:rPr>
                  </w:pPr>
                  <w:r>
                    <w:rPr>
                      <w:color w:val="000000" w:themeColor="text1"/>
                      <w:spacing w:val="-3"/>
                      <w:szCs w:val="21"/>
                      <w14:textFill>
                        <w14:solidFill>
                          <w14:schemeClr w14:val="tx1"/>
                        </w14:solidFill>
                      </w14:textFill>
                    </w:rPr>
                    <w:t>160</w:t>
                  </w:r>
                </w:p>
              </w:tc>
              <w:tc>
                <w:tcPr>
                  <w:tcW w:w="969" w:type="pct"/>
                  <w:shd w:val="clear" w:color="auto" w:fill="auto"/>
                  <w:vAlign w:val="center"/>
                </w:tcPr>
                <w:p w14:paraId="03BD1DD4">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0.96</w:t>
                  </w:r>
                </w:p>
              </w:tc>
              <w:tc>
                <w:tcPr>
                  <w:tcW w:w="702" w:type="pct"/>
                  <w:tcBorders>
                    <w:right w:val="single" w:color="000000" w:sz="10" w:space="0"/>
                  </w:tcBorders>
                  <w:shd w:val="clear" w:color="auto" w:fill="auto"/>
                </w:tcPr>
                <w:p w14:paraId="16C70F72">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达标</w:t>
                  </w:r>
                </w:p>
              </w:tc>
            </w:tr>
            <w:tr w14:paraId="39487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63" w:type="pct"/>
                  <w:tcBorders>
                    <w:left w:val="single" w:color="000000" w:sz="10" w:space="0"/>
                    <w:bottom w:val="single" w:color="000000" w:sz="10" w:space="0"/>
                  </w:tcBorders>
                  <w:shd w:val="clear" w:color="auto" w:fill="auto"/>
                </w:tcPr>
                <w:p w14:paraId="4B8B0830">
                  <w:pPr>
                    <w:spacing w:line="320" w:lineRule="exact"/>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CO</w:t>
                  </w:r>
                </w:p>
              </w:tc>
              <w:tc>
                <w:tcPr>
                  <w:tcW w:w="1518" w:type="pct"/>
                  <w:tcBorders>
                    <w:bottom w:val="single" w:color="000000" w:sz="10" w:space="0"/>
                  </w:tcBorders>
                  <w:shd w:val="clear" w:color="auto" w:fill="auto"/>
                </w:tcPr>
                <w:p w14:paraId="4007934D">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24小时平均值</w:t>
                  </w:r>
                </w:p>
              </w:tc>
              <w:tc>
                <w:tcPr>
                  <w:tcW w:w="692" w:type="pct"/>
                  <w:tcBorders>
                    <w:bottom w:val="single" w:color="000000" w:sz="10" w:space="0"/>
                  </w:tcBorders>
                  <w:shd w:val="clear" w:color="auto" w:fill="auto"/>
                </w:tcPr>
                <w:p w14:paraId="24D69FB3">
                  <w:pPr>
                    <w:spacing w:line="320" w:lineRule="exact"/>
                    <w:jc w:val="center"/>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1.0</w:t>
                  </w:r>
                </w:p>
              </w:tc>
              <w:tc>
                <w:tcPr>
                  <w:tcW w:w="554" w:type="pct"/>
                  <w:tcBorders>
                    <w:bottom w:val="single" w:color="000000" w:sz="10" w:space="0"/>
                  </w:tcBorders>
                  <w:shd w:val="clear" w:color="auto" w:fill="auto"/>
                </w:tcPr>
                <w:p w14:paraId="58892C98">
                  <w:pPr>
                    <w:spacing w:line="320" w:lineRule="exact"/>
                    <w:jc w:val="center"/>
                    <w:rPr>
                      <w:color w:val="000000" w:themeColor="text1"/>
                      <w:szCs w:val="21"/>
                      <w14:textFill>
                        <w14:solidFill>
                          <w14:schemeClr w14:val="tx1"/>
                        </w14:solidFill>
                      </w14:textFill>
                    </w:rPr>
                  </w:pPr>
                  <w:r>
                    <w:rPr>
                      <w:color w:val="000000" w:themeColor="text1"/>
                      <w:spacing w:val="1"/>
                      <w:szCs w:val="21"/>
                      <w14:textFill>
                        <w14:solidFill>
                          <w14:schemeClr w14:val="tx1"/>
                        </w14:solidFill>
                      </w14:textFill>
                    </w:rPr>
                    <w:t>4</w:t>
                  </w:r>
                </w:p>
              </w:tc>
              <w:tc>
                <w:tcPr>
                  <w:tcW w:w="969" w:type="pct"/>
                  <w:tcBorders>
                    <w:bottom w:val="single" w:color="000000" w:sz="10" w:space="0"/>
                  </w:tcBorders>
                  <w:shd w:val="clear" w:color="auto" w:fill="auto"/>
                </w:tcPr>
                <w:p w14:paraId="49EA13CC">
                  <w:pPr>
                    <w:spacing w:line="320" w:lineRule="exact"/>
                    <w:jc w:val="center"/>
                    <w:rPr>
                      <w:color w:val="000000" w:themeColor="text1"/>
                      <w:szCs w:val="21"/>
                      <w14:textFill>
                        <w14:solidFill>
                          <w14:schemeClr w14:val="tx1"/>
                        </w14:solidFill>
                      </w14:textFill>
                    </w:rPr>
                  </w:pPr>
                  <w:r>
                    <w:rPr>
                      <w:color w:val="000000" w:themeColor="text1"/>
                      <w:spacing w:val="3"/>
                      <w:szCs w:val="21"/>
                      <w14:textFill>
                        <w14:solidFill>
                          <w14:schemeClr w14:val="tx1"/>
                        </w14:solidFill>
                      </w14:textFill>
                    </w:rPr>
                    <w:t>0.25</w:t>
                  </w:r>
                </w:p>
              </w:tc>
              <w:tc>
                <w:tcPr>
                  <w:tcW w:w="702" w:type="pct"/>
                  <w:tcBorders>
                    <w:bottom w:val="single" w:color="000000" w:sz="10" w:space="0"/>
                    <w:right w:val="single" w:color="000000" w:sz="10" w:space="0"/>
                  </w:tcBorders>
                  <w:shd w:val="clear" w:color="auto" w:fill="auto"/>
                </w:tcPr>
                <w:p w14:paraId="327A5254">
                  <w:pPr>
                    <w:pStyle w:val="145"/>
                    <w:spacing w:line="320" w:lineRule="exact"/>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5"/>
                      <w:lang w:eastAsia="zh-CN"/>
                      <w14:textFill>
                        <w14:solidFill>
                          <w14:schemeClr w14:val="tx1"/>
                        </w14:solidFill>
                      </w14:textFill>
                    </w:rPr>
                    <w:t>达标</w:t>
                  </w:r>
                </w:p>
              </w:tc>
            </w:tr>
          </w:tbl>
          <w:p w14:paraId="518631A4">
            <w:pPr>
              <w:adjustRightInd w:val="0"/>
              <w:snapToGrid w:val="0"/>
              <w:jc w:val="center"/>
              <w:rPr>
                <w:b/>
                <w:color w:val="000000" w:themeColor="text1"/>
                <w:sz w:val="24"/>
                <w14:textFill>
                  <w14:solidFill>
                    <w14:schemeClr w14:val="tx1"/>
                  </w14:solidFill>
                </w14:textFill>
              </w:rPr>
            </w:pPr>
          </w:p>
          <w:p w14:paraId="25FA8AD2">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由表3-1可知，铜梁区2023年度环境空气因子SO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、CO、O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均能满足《环境空气质量标准》（GB3095-2012）中的二级标准限值，PM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年平均最大浓度占标率为1.20%，不能满足二级标准限值要求。因此判定项目所在区域为环境空气不达标区。</w:t>
            </w:r>
          </w:p>
          <w:p w14:paraId="1BCE2BBC">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2019年5月5日，重庆市铜梁区人民政府办公室印发了《重庆市铜梁区环境空气质量限期达标规划（2017~2025年）》（铜府发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2019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50号），将通过以下几个方面进行污染控制，有效降低空气污染：</w:t>
            </w:r>
          </w:p>
          <w:p w14:paraId="64E5196C">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推荐绿色低碳循环发展：（一）优化调整产业结构：严格产业环境准入；推进产业转型升级；全力创建国家高新区；（二）优化调整能源结构围绕能源消耗总量和强度双控要求，严格控制煤炭消耗总量，大力推广清洁能源，降低煤炭消费比重；（三）以制造业升级为重点，以科技创新为支撑、以示范点为抓手，推动绿色产品绿色工厂、绿色园区和绿色供应链全面发展。</w:t>
            </w:r>
          </w:p>
          <w:p w14:paraId="3F95769C">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二、推进工业企业污染防治：（一）强化工业废气污染防治；（二）加强挥发性有机物污染防治；（三）推进散乱污企业综合整治；（四）加强工业污染物排放管理。</w:t>
            </w:r>
          </w:p>
          <w:p w14:paraId="4E91840A">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三、加强城市扬尘污染控制：（一）加强施工扬尘控制；（二）加强道路扬尘控制；（三）加强城市扬尘污染控制。</w:t>
            </w:r>
          </w:p>
          <w:p w14:paraId="37F198A4">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四、统筹控制交通污染：（一）加强机动车监管；（二）强化交通管理与油品监督；（三）加强非道路移动机械和船舶污染防治。</w:t>
            </w:r>
          </w:p>
          <w:p w14:paraId="4A342B77">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五、加强城镇生活污染控制：（一）加强餐饮油烟污染治理；（二）加强高污染禁燃区管理；（三）加强高污染禁燃区管理。</w:t>
            </w:r>
          </w:p>
          <w:p w14:paraId="191D6AF3">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六、加强农业大气污染防治</w:t>
            </w:r>
          </w:p>
          <w:p w14:paraId="3CF8A640">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七、加强重点时段大气污染防治：（一）加强重点时段大气污染防治；（二）积极应对重污染天气。</w:t>
            </w:r>
          </w:p>
          <w:p w14:paraId="35E03B7E">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八、提升大气环境监管水平：（一）加强环境监管能力建设；（二）深化大气环保监督机制；（三）加大环境监管执法力度；（三）加大环境监管执法力度。</w:t>
            </w:r>
          </w:p>
          <w:p w14:paraId="702C4F1B">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在铜梁区执行相应的整治措施后，可改善区域环境质量达标情况。</w:t>
            </w:r>
          </w:p>
          <w:p w14:paraId="31FB7CD6">
            <w:pPr>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（2）特征污染物环境质量现状评价</w:t>
            </w:r>
          </w:p>
          <w:p w14:paraId="4D9C445E">
            <w:pPr>
              <w:pStyle w:val="137"/>
              <w:rPr>
                <w:rFonts w:eastAsia="宋体"/>
                <w:color w:val="000000" w:themeColor="text1"/>
                <w:lang w:val="en-GB"/>
                <w14:textFill>
                  <w14:solidFill>
                    <w14:schemeClr w14:val="tx1"/>
                  </w14:solidFill>
                </w14:textFill>
              </w:rPr>
            </w:pPr>
            <w:r>
              <w:rPr>
                <w:rFonts w:eastAsia="宋体"/>
                <w:color w:val="000000" w:themeColor="text1"/>
                <w:lang w:val="en-GB"/>
                <w14:textFill>
                  <w14:solidFill>
                    <w14:schemeClr w14:val="tx1"/>
                  </w14:solidFill>
                </w14:textFill>
              </w:rPr>
              <w:t>1）</w:t>
            </w:r>
            <w:r>
              <w:rPr>
                <w:rFonts w:eastAsia="宋体"/>
                <w:color w:val="000000" w:themeColor="text1"/>
                <w14:textFill>
                  <w14:solidFill>
                    <w14:schemeClr w14:val="tx1"/>
                  </w14:solidFill>
                </w14:textFill>
              </w:rPr>
              <w:t>引用数据及其有效性</w:t>
            </w:r>
          </w:p>
          <w:p w14:paraId="119A0A3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项目评价范围非甲烷总烃环境空气质量现状</w:t>
            </w:r>
            <w:r>
              <w:rPr>
                <w:color w:val="000000" w:themeColor="text1"/>
                <w:spacing w:val="3"/>
                <w:sz w:val="24"/>
                <w14:textFill>
                  <w14:solidFill>
                    <w14:schemeClr w14:val="tx1"/>
                  </w14:solidFill>
                </w14:textFill>
              </w:rPr>
              <w:t>引用重庆惠源检测技术有限公司《监测报告》（惠源（</w:t>
            </w:r>
            <w:r>
              <w:rPr>
                <w:color w:val="000000" w:themeColor="text1"/>
                <w:spacing w:val="2"/>
                <w:sz w:val="24"/>
                <w14:textFill>
                  <w14:solidFill>
                    <w14:schemeClr w14:val="tx1"/>
                  </w14:solidFill>
                </w14:textFill>
              </w:rPr>
              <w:t>检）字[2023]HP08</w:t>
            </w:r>
            <w:r>
              <w:rPr>
                <w:color w:val="000000" w:themeColor="text1"/>
                <w:spacing w:val="1"/>
                <w:sz w:val="24"/>
                <w14:textFill>
                  <w14:solidFill>
                    <w14:schemeClr w14:val="tx1"/>
                  </w14:solidFill>
                </w14:textFill>
              </w:rPr>
              <w:t>号）</w:t>
            </w:r>
            <w:r>
              <w:rPr>
                <w:color w:val="000000" w:themeColor="text1"/>
                <w:sz w:val="24"/>
                <w14:textFill>
                  <w14:solidFill>
                    <w14:schemeClr w14:val="tx1"/>
                  </w14:solidFill>
                </w14:textFill>
              </w:rPr>
              <w:t>G3监测点（梁祝村）监测点位于项目北侧约1.85km处；根据《建设项目环境影响报告表编制技术指南》（污染影响类）（试行），其监测数据监测时间在有效范围内，监测期间至今，区域内未入驻高污染企业，空气质量现状变化不大，具有代表性，引用监测资料有效。</w:t>
            </w:r>
          </w:p>
          <w:p w14:paraId="3E460C45">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（1）监测布点：G3监测点（梁祝村）；</w:t>
            </w:r>
          </w:p>
          <w:p w14:paraId="3DC6BD8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（2）监测因子：非甲烷总烃；</w:t>
            </w:r>
          </w:p>
          <w:p w14:paraId="214CA11D">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（3）监测时间与频率：</w:t>
            </w:r>
            <w:r>
              <w:rPr>
                <w:color w:val="000000" w:themeColor="text1"/>
                <w:spacing w:val="-9"/>
                <w:sz w:val="24"/>
                <w14:textFill>
                  <w14:solidFill>
                    <w14:schemeClr w14:val="tx1"/>
                  </w14:solidFill>
                </w14:textFill>
              </w:rPr>
              <w:t>2023年8月1日至8月</w:t>
            </w:r>
            <w:r>
              <w:rPr>
                <w:color w:val="000000" w:themeColor="text1"/>
                <w:spacing w:val="-32"/>
                <w:sz w:val="24"/>
                <w14:textFill>
                  <w14:solidFill>
                    <w14:schemeClr w14:val="tx1"/>
                  </w14:solidFill>
                </w14:textFill>
              </w:rPr>
              <w:t>7</w:t>
            </w:r>
            <w:r>
              <w:rPr>
                <w:color w:val="000000" w:themeColor="text1"/>
                <w:spacing w:val="-9"/>
                <w:sz w:val="24"/>
                <w14:textFill>
                  <w14:solidFill>
                    <w14:schemeClr w14:val="tx1"/>
                  </w14:solidFill>
                </w14:textFill>
              </w:rPr>
              <w:t>日</w:t>
            </w:r>
            <w:r>
              <w:rPr>
                <w:color w:val="000000" w:themeColor="text1"/>
                <w:sz w:val="24"/>
                <w14:textFill>
                  <w14:solidFill>
                    <w14:schemeClr w14:val="tx1"/>
                  </w14:solidFill>
                </w14:textFill>
              </w:rPr>
              <w:t>，连续监测7天；</w:t>
            </w:r>
          </w:p>
          <w:p w14:paraId="1F491C85">
            <w:pPr>
              <w:pStyle w:val="14"/>
              <w:adjustRightInd w:val="0"/>
              <w:snapToGrid w:val="0"/>
              <w:ind w:firstLine="480"/>
              <w:rPr>
                <w:rFonts w:hint="eastAsia" w:ascii="Times New Roman" w:hAnsi="Times New Roman" w:eastAsia="宋体"/>
                <w:color w:val="000000" w:themeColor="text1"/>
                <w:szCs w:val="24"/>
                <w:lang w:eastAsia="zh-CN"/>
                <w14:textFill>
                  <w14:solidFill>
                    <w14:schemeClr w14:val="tx1"/>
                  </w14:solidFill>
                </w14:textFill>
              </w:rPr>
            </w:pPr>
            <w:r>
              <w:rPr>
                <w:rFonts w:ascii="Times New Roman" w:hAnsi="Times New Roman"/>
                <w:color w:val="000000" w:themeColor="text1"/>
                <w:szCs w:val="24"/>
                <w14:textFill>
                  <w14:solidFill>
                    <w14:schemeClr w14:val="tx1"/>
                  </w14:solidFill>
                </w14:textFill>
              </w:rPr>
              <w:t>根据《环境影响评价技术导则大气环境》（HJ2.2-2018），采用最大监测浓度占标率对评价区域大气环境质量现状进行评价，评价模式如下：</w:t>
            </w:r>
          </w:p>
          <w:p w14:paraId="23AE19E3">
            <w:pPr>
              <w:pStyle w:val="14"/>
              <w:adjustRightInd w:val="0"/>
              <w:snapToGrid w:val="0"/>
              <w:ind w:firstLine="48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Pij=Cij/Csj×100%</w:t>
            </w:r>
          </w:p>
          <w:p w14:paraId="0AA6D942">
            <w:pPr>
              <w:pStyle w:val="14"/>
              <w:adjustRightInd w:val="0"/>
              <w:snapToGrid w:val="0"/>
              <w:ind w:firstLine="480"/>
              <w:rPr>
                <w:rFonts w:hint="eastAsia" w:ascii="Times New Roman" w:hAnsi="Times New Roman" w:eastAsia="宋体"/>
                <w:color w:val="000000" w:themeColor="text1"/>
                <w:szCs w:val="24"/>
                <w:lang w:eastAsia="zh-CN"/>
                <w14:textFill>
                  <w14:solidFill>
                    <w14:schemeClr w14:val="tx1"/>
                  </w14:solidFill>
                </w14:textFill>
              </w:rPr>
            </w:pPr>
            <w:r>
              <w:rPr>
                <w:rFonts w:ascii="Times New Roman" w:hAnsi="Times New Roman"/>
                <w:color w:val="000000" w:themeColor="text1"/>
                <w:szCs w:val="24"/>
                <w14:textFill>
                  <w14:solidFill>
                    <w14:schemeClr w14:val="tx1"/>
                  </w14:solidFill>
                </w14:textFill>
              </w:rPr>
              <w:t>式中：Pij——第i个现状监测点第j个污染因子的最大浓度占标率，其值在0～100%之间为满足标准，大于100%则为超标；</w:t>
            </w:r>
          </w:p>
          <w:p w14:paraId="55ED4C46">
            <w:pPr>
              <w:pStyle w:val="14"/>
              <w:adjustRightInd w:val="0"/>
              <w:snapToGrid w:val="0"/>
              <w:ind w:firstLine="480"/>
              <w:rPr>
                <w:rFonts w:hint="eastAsia" w:ascii="Times New Roman" w:hAnsi="Times New Roman" w:eastAsia="宋体"/>
                <w:color w:val="000000" w:themeColor="text1"/>
                <w:szCs w:val="24"/>
                <w:lang w:eastAsia="zh-CN"/>
                <w14:textFill>
                  <w14:solidFill>
                    <w14:schemeClr w14:val="tx1"/>
                  </w14:solidFill>
                </w14:textFill>
              </w:rPr>
            </w:pPr>
            <w:r>
              <w:rPr>
                <w:rFonts w:ascii="Times New Roman" w:hAnsi="Times New Roman"/>
                <w:color w:val="000000" w:themeColor="text1"/>
                <w:szCs w:val="24"/>
                <w14:textFill>
                  <w14:solidFill>
                    <w14:schemeClr w14:val="tx1"/>
                  </w14:solidFill>
                </w14:textFill>
              </w:rPr>
              <w:t>Cij——第i现状监测点第污染因子j的实测浓度（mg/m</w:t>
            </w:r>
            <w:r>
              <w:rPr>
                <w:rFonts w:ascii="Times New Roman" w:hAnsi="Times New Roman"/>
                <w:color w:val="000000" w:themeColor="text1"/>
                <w:szCs w:val="24"/>
                <w:vertAlign w:val="super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w:t>
            </w:r>
          </w:p>
          <w:p w14:paraId="2184FC95">
            <w:pPr>
              <w:pStyle w:val="14"/>
              <w:adjustRightInd w:val="0"/>
              <w:snapToGrid w:val="0"/>
              <w:ind w:firstLine="480"/>
              <w:rPr>
                <w:rFonts w:hint="eastAsia" w:ascii="Times New Roman" w:hAnsi="Times New Roman" w:eastAsia="宋体"/>
                <w:color w:val="000000" w:themeColor="text1"/>
                <w:szCs w:val="24"/>
                <w:lang w:eastAsia="zh-CN"/>
                <w14:textFill>
                  <w14:solidFill>
                    <w14:schemeClr w14:val="tx1"/>
                  </w14:solidFill>
                </w14:textFill>
              </w:rPr>
            </w:pPr>
            <w:r>
              <w:rPr>
                <w:rFonts w:ascii="Times New Roman" w:hAnsi="Times New Roman"/>
                <w:color w:val="000000" w:themeColor="text1"/>
                <w:szCs w:val="24"/>
                <w14:textFill>
                  <w14:solidFill>
                    <w14:schemeClr w14:val="tx1"/>
                  </w14:solidFill>
                </w14:textFill>
              </w:rPr>
              <w:t>Csj——污染因子j的环境质量标准（mg/m</w:t>
            </w:r>
            <w:r>
              <w:rPr>
                <w:rFonts w:ascii="Times New Roman" w:hAnsi="Times New Roman"/>
                <w:color w:val="000000" w:themeColor="text1"/>
                <w:szCs w:val="24"/>
                <w:vertAlign w:val="superscript"/>
                <w14:textFill>
                  <w14:solidFill>
                    <w14:schemeClr w14:val="tx1"/>
                  </w14:solidFill>
                </w14:textFill>
              </w:rPr>
              <w:t>3</w:t>
            </w:r>
            <w:r>
              <w:rPr>
                <w:rFonts w:ascii="Times New Roman" w:hAnsi="Times New Roman"/>
                <w:color w:val="000000" w:themeColor="text1"/>
                <w:szCs w:val="24"/>
                <w14:textFill>
                  <w14:solidFill>
                    <w14:schemeClr w14:val="tx1"/>
                  </w14:solidFill>
                </w14:textFill>
              </w:rPr>
              <w:t>）。</w:t>
            </w:r>
          </w:p>
          <w:p w14:paraId="13A16C09">
            <w:pPr>
              <w:pStyle w:val="14"/>
              <w:adjustRightInd w:val="0"/>
              <w:snapToGrid w:val="0"/>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项目引用资料评价范围环境空气质量监测结果见表3-2~3-3。</w:t>
            </w:r>
          </w:p>
          <w:p w14:paraId="33BCD3A6">
            <w:pPr>
              <w:tabs>
                <w:tab w:val="left" w:pos="7380"/>
              </w:tabs>
              <w:adjustRightInd w:val="0"/>
              <w:snapToGrid w:val="0"/>
              <w:jc w:val="center"/>
              <w:rPr>
                <w:b/>
                <w:color w:val="000000" w:themeColor="text1"/>
                <w:kern w:val="0"/>
                <w:sz w:val="24"/>
                <w:lang w:val="en-GB"/>
                <w14:textFill>
                  <w14:solidFill>
                    <w14:schemeClr w14:val="tx1"/>
                  </w14:solidFill>
                </w14:textFill>
              </w:rPr>
            </w:pPr>
            <w:r>
              <w:rPr>
                <w:b/>
                <w:color w:val="000000" w:themeColor="text1"/>
                <w:kern w:val="0"/>
                <w:sz w:val="24"/>
                <w14:textFill>
                  <w14:solidFill>
                    <w14:schemeClr w14:val="tx1"/>
                  </w14:solidFill>
                </w14:textFill>
              </w:rPr>
              <w:t>表3-2其他污染物监测点位基本信息表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647"/>
              <w:gridCol w:w="2083"/>
              <w:gridCol w:w="1490"/>
              <w:gridCol w:w="1770"/>
            </w:tblGrid>
            <w:tr w14:paraId="12F3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5" w:type="pct"/>
                  <w:vMerge w:val="restart"/>
                  <w:vAlign w:val="center"/>
                </w:tcPr>
                <w:p w14:paraId="22F3BD0C">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监测点位</w:t>
                  </w:r>
                </w:p>
              </w:tc>
              <w:tc>
                <w:tcPr>
                  <w:tcW w:w="1016" w:type="pct"/>
                  <w:vMerge w:val="restart"/>
                  <w:vAlign w:val="center"/>
                </w:tcPr>
                <w:p w14:paraId="08299C01">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监测因子</w:t>
                  </w:r>
                </w:p>
              </w:tc>
              <w:tc>
                <w:tcPr>
                  <w:tcW w:w="1285" w:type="pct"/>
                  <w:vMerge w:val="restart"/>
                  <w:vAlign w:val="center"/>
                </w:tcPr>
                <w:p w14:paraId="6DF44A8A">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监测时段</w:t>
                  </w:r>
                </w:p>
              </w:tc>
              <w:tc>
                <w:tcPr>
                  <w:tcW w:w="919" w:type="pct"/>
                  <w:vMerge w:val="restart"/>
                  <w:vAlign w:val="center"/>
                </w:tcPr>
                <w:p w14:paraId="414E0A8D">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相对厂址方位</w:t>
                  </w:r>
                </w:p>
              </w:tc>
              <w:tc>
                <w:tcPr>
                  <w:tcW w:w="1092" w:type="pct"/>
                  <w:vMerge w:val="restart"/>
                  <w:vAlign w:val="center"/>
                </w:tcPr>
                <w:p w14:paraId="0FE9CE8B">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相对厂界距离（km）</w:t>
                  </w:r>
                </w:p>
              </w:tc>
            </w:tr>
            <w:tr w14:paraId="2B9C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85" w:type="pct"/>
                  <w:vMerge w:val="continue"/>
                  <w:vAlign w:val="center"/>
                </w:tcPr>
                <w:p w14:paraId="7DF06A86">
                  <w:pPr>
                    <w:pStyle w:val="85"/>
                    <w:rPr>
                      <w:rFonts w:cs="Times New Roman"/>
                      <w:color w:val="000000" w:themeColor="text1"/>
                      <w:szCs w:val="21"/>
                      <w14:textFill>
                        <w14:solidFill>
                          <w14:schemeClr w14:val="tx1"/>
                        </w14:solidFill>
                      </w14:textFill>
                    </w:rPr>
                  </w:pPr>
                </w:p>
              </w:tc>
              <w:tc>
                <w:tcPr>
                  <w:tcW w:w="1016" w:type="pct"/>
                  <w:vMerge w:val="continue"/>
                  <w:vAlign w:val="center"/>
                </w:tcPr>
                <w:p w14:paraId="22726E26">
                  <w:pPr>
                    <w:pStyle w:val="85"/>
                    <w:rPr>
                      <w:rFonts w:cs="Times New Roman"/>
                      <w:color w:val="000000" w:themeColor="text1"/>
                      <w:szCs w:val="21"/>
                      <w14:textFill>
                        <w14:solidFill>
                          <w14:schemeClr w14:val="tx1"/>
                        </w14:solidFill>
                      </w14:textFill>
                    </w:rPr>
                  </w:pPr>
                </w:p>
              </w:tc>
              <w:tc>
                <w:tcPr>
                  <w:tcW w:w="1285" w:type="pct"/>
                  <w:vMerge w:val="continue"/>
                  <w:vAlign w:val="center"/>
                </w:tcPr>
                <w:p w14:paraId="6C5EFDB5">
                  <w:pPr>
                    <w:pStyle w:val="85"/>
                    <w:rPr>
                      <w:rFonts w:cs="Times New Roman"/>
                      <w:color w:val="000000" w:themeColor="text1"/>
                      <w:szCs w:val="21"/>
                      <w14:textFill>
                        <w14:solidFill>
                          <w14:schemeClr w14:val="tx1"/>
                        </w14:solidFill>
                      </w14:textFill>
                    </w:rPr>
                  </w:pPr>
                </w:p>
              </w:tc>
              <w:tc>
                <w:tcPr>
                  <w:tcW w:w="919" w:type="pct"/>
                  <w:vMerge w:val="continue"/>
                  <w:vAlign w:val="center"/>
                </w:tcPr>
                <w:p w14:paraId="0AFBECDA">
                  <w:pPr>
                    <w:pStyle w:val="85"/>
                    <w:rPr>
                      <w:rFonts w:cs="Times New Roman"/>
                      <w:color w:val="000000" w:themeColor="text1"/>
                      <w:szCs w:val="21"/>
                      <w14:textFill>
                        <w14:solidFill>
                          <w14:schemeClr w14:val="tx1"/>
                        </w14:solidFill>
                      </w14:textFill>
                    </w:rPr>
                  </w:pPr>
                </w:p>
              </w:tc>
              <w:tc>
                <w:tcPr>
                  <w:tcW w:w="1092" w:type="pct"/>
                  <w:vMerge w:val="continue"/>
                  <w:vAlign w:val="center"/>
                </w:tcPr>
                <w:p w14:paraId="3D23570B">
                  <w:pPr>
                    <w:pStyle w:val="85"/>
                    <w:rPr>
                      <w:rFonts w:cs="Times New Roman"/>
                      <w:color w:val="000000" w:themeColor="text1"/>
                      <w:szCs w:val="21"/>
                      <w14:textFill>
                        <w14:solidFill>
                          <w14:schemeClr w14:val="tx1"/>
                        </w14:solidFill>
                      </w14:textFill>
                    </w:rPr>
                  </w:pPr>
                </w:p>
              </w:tc>
            </w:tr>
            <w:tr w14:paraId="2919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pct"/>
                  <w:vAlign w:val="center"/>
                </w:tcPr>
                <w:p w14:paraId="5A8EC06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G3</w:t>
                  </w:r>
                </w:p>
              </w:tc>
              <w:tc>
                <w:tcPr>
                  <w:tcW w:w="1016" w:type="pct"/>
                  <w:vAlign w:val="center"/>
                </w:tcPr>
                <w:p w14:paraId="0C7C59F5">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非甲烷总烃</w:t>
                  </w:r>
                </w:p>
              </w:tc>
              <w:tc>
                <w:tcPr>
                  <w:tcW w:w="1285" w:type="pct"/>
                  <w:vAlign w:val="center"/>
                </w:tcPr>
                <w:p w14:paraId="5B1B3764">
                  <w:pPr>
                    <w:pStyle w:val="85"/>
                    <w:rPr>
                      <w:rFonts w:cs="Times New Roman"/>
                      <w:color w:val="000000" w:themeColor="text1"/>
                      <w:szCs w:val="21"/>
                      <w14:textFill>
                        <w14:solidFill>
                          <w14:schemeClr w14:val="tx1"/>
                        </w14:solidFill>
                      </w14:textFill>
                    </w:rPr>
                  </w:pPr>
                  <w:r>
                    <w:rPr>
                      <w:rFonts w:cs="Times New Roman"/>
                      <w:color w:val="000000" w:themeColor="text1"/>
                      <w:spacing w:val="-9"/>
                      <w:szCs w:val="21"/>
                      <w14:textFill>
                        <w14:solidFill>
                          <w14:schemeClr w14:val="tx1"/>
                        </w14:solidFill>
                      </w14:textFill>
                    </w:rPr>
                    <w:t>2023年8月1日至8月</w:t>
                  </w:r>
                  <w:r>
                    <w:rPr>
                      <w:rFonts w:cs="Times New Roman"/>
                      <w:color w:val="000000" w:themeColor="text1"/>
                      <w:spacing w:val="-32"/>
                      <w:szCs w:val="21"/>
                      <w14:textFill>
                        <w14:solidFill>
                          <w14:schemeClr w14:val="tx1"/>
                        </w14:solidFill>
                      </w14:textFill>
                    </w:rPr>
                    <w:t>7</w:t>
                  </w:r>
                  <w:r>
                    <w:rPr>
                      <w:rFonts w:cs="Times New Roman"/>
                      <w:color w:val="000000" w:themeColor="text1"/>
                      <w:spacing w:val="-9"/>
                      <w:szCs w:val="21"/>
                      <w14:textFill>
                        <w14:solidFill>
                          <w14:schemeClr w14:val="tx1"/>
                        </w14:solidFill>
                      </w14:textFill>
                    </w:rPr>
                    <w:t>日</w:t>
                  </w:r>
                </w:p>
              </w:tc>
              <w:tc>
                <w:tcPr>
                  <w:tcW w:w="919" w:type="pct"/>
                  <w:vAlign w:val="center"/>
                </w:tcPr>
                <w:p w14:paraId="2B4DFBA9">
                  <w:pPr>
                    <w:pStyle w:val="85"/>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北</w:t>
                  </w:r>
                  <w:r>
                    <w:rPr>
                      <w:rFonts w:cs="Times New Roman"/>
                      <w:color w:val="000000" w:themeColor="text1"/>
                      <w:kern w:val="0"/>
                      <w:szCs w:val="21"/>
                      <w14:textFill>
                        <w14:solidFill>
                          <w14:schemeClr w14:val="tx1"/>
                        </w14:solidFill>
                      </w14:textFill>
                    </w:rPr>
                    <w:t>侧</w:t>
                  </w:r>
                </w:p>
              </w:tc>
              <w:tc>
                <w:tcPr>
                  <w:tcW w:w="1092" w:type="pct"/>
                  <w:vAlign w:val="center"/>
                </w:tcPr>
                <w:p w14:paraId="2C706C7F">
                  <w:pPr>
                    <w:pStyle w:val="85"/>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1.85</w:t>
                  </w:r>
                </w:p>
              </w:tc>
            </w:tr>
          </w:tbl>
          <w:p w14:paraId="030522F3">
            <w:pPr>
              <w:pStyle w:val="12"/>
              <w:spacing w:after="0" w:line="460" w:lineRule="exact"/>
              <w:jc w:val="center"/>
              <w:rPr>
                <w:rFonts w:hint="eastAsia" w:eastAsia="宋体"/>
                <w:b/>
                <w:bCs/>
                <w:color w:val="000000" w:themeColor="text1"/>
                <w:sz w:val="24"/>
                <w:szCs w:val="24"/>
                <w:vertAlign w:val="superscript"/>
                <w:lang w:eastAsia="zh-CN"/>
                <w14:textFill>
                  <w14:solidFill>
                    <w14:schemeClr w14:val="tx1"/>
                  </w14:solidFill>
                </w14:textFill>
              </w:rPr>
            </w:pPr>
            <w:r>
              <w:rPr>
                <w:b/>
                <w:bCs/>
                <w:color w:val="000000" w:themeColor="text1"/>
                <w:sz w:val="24"/>
                <w:szCs w:val="24"/>
                <w14:textFill>
                  <w14:solidFill>
                    <w14:schemeClr w14:val="tx1"/>
                  </w14:solidFill>
                </w14:textFill>
              </w:rPr>
              <w:t>表3-3评价范围环境空气质量监测结果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5"/>
              <w:gridCol w:w="1694"/>
              <w:gridCol w:w="1695"/>
              <w:gridCol w:w="1337"/>
              <w:gridCol w:w="828"/>
              <w:gridCol w:w="1356"/>
            </w:tblGrid>
            <w:tr w14:paraId="686A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732" w:type="pct"/>
                  <w:shd w:val="clear" w:color="auto" w:fill="auto"/>
                  <w:vAlign w:val="center"/>
                </w:tcPr>
                <w:p w14:paraId="14C6081B">
                  <w:pPr>
                    <w:pStyle w:val="145"/>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spacing w:val="5"/>
                      <w14:textFill>
                        <w14:solidFill>
                          <w14:schemeClr w14:val="tx1"/>
                        </w14:solidFill>
                      </w14:textFill>
                    </w:rPr>
                    <w:t>监测点</w:t>
                  </w:r>
                </w:p>
              </w:tc>
              <w:tc>
                <w:tcPr>
                  <w:tcW w:w="1046" w:type="pct"/>
                  <w:shd w:val="clear" w:color="auto" w:fill="auto"/>
                  <w:vAlign w:val="center"/>
                </w:tcPr>
                <w:p w14:paraId="1D2FD012">
                  <w:pPr>
                    <w:pStyle w:val="145"/>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spacing w:val="6"/>
                      <w14:textFill>
                        <w14:solidFill>
                          <w14:schemeClr w14:val="tx1"/>
                        </w14:solidFill>
                      </w14:textFill>
                    </w:rPr>
                    <w:t>监测项目</w:t>
                  </w:r>
                </w:p>
              </w:tc>
              <w:tc>
                <w:tcPr>
                  <w:tcW w:w="1046" w:type="pct"/>
                  <w:shd w:val="clear" w:color="auto" w:fill="auto"/>
                  <w:vAlign w:val="center"/>
                </w:tcPr>
                <w:p w14:paraId="764E1E03">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6"/>
                      <w:position w:val="4"/>
                      <w:lang w:eastAsia="zh-CN"/>
                      <w14:textFill>
                        <w14:solidFill>
                          <w14:schemeClr w14:val="tx1"/>
                        </w14:solidFill>
                      </w14:textFill>
                    </w:rPr>
                    <w:t>监测值范围</w:t>
                  </w:r>
                </w:p>
                <w:p w14:paraId="026EE34D">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2"/>
                      <w:lang w:eastAsia="zh-CN"/>
                      <w14:textFill>
                        <w14:solidFill>
                          <w14:schemeClr w14:val="tx1"/>
                        </w14:solidFill>
                      </w14:textFill>
                    </w:rPr>
                    <w:t>（μg/m</w:t>
                  </w:r>
                  <w:r>
                    <w:rPr>
                      <w:rFonts w:ascii="Times New Roman" w:hAnsi="Times New Roman" w:cs="Times New Roman"/>
                      <w:b/>
                      <w:bCs/>
                      <w:color w:val="000000" w:themeColor="text1"/>
                      <w:spacing w:val="2"/>
                      <w:vertAlign w:val="superscript"/>
                      <w:lang w:eastAsia="zh-CN"/>
                      <w14:textFill>
                        <w14:solidFill>
                          <w14:schemeClr w14:val="tx1"/>
                        </w14:solidFill>
                      </w14:textFill>
                    </w:rPr>
                    <w:t>3</w:t>
                  </w:r>
                  <w:r>
                    <w:rPr>
                      <w:rFonts w:ascii="Times New Roman" w:hAnsi="Times New Roman" w:cs="Times New Roman"/>
                      <w:b/>
                      <w:bCs/>
                      <w:color w:val="000000" w:themeColor="text1"/>
                      <w:spacing w:val="2"/>
                      <w:lang w:eastAsia="zh-CN"/>
                      <w14:textFill>
                        <w14:solidFill>
                          <w14:schemeClr w14:val="tx1"/>
                        </w14:solidFill>
                      </w14:textFill>
                    </w:rPr>
                    <w:t>）</w:t>
                  </w:r>
                </w:p>
              </w:tc>
              <w:tc>
                <w:tcPr>
                  <w:tcW w:w="825" w:type="pct"/>
                  <w:shd w:val="clear" w:color="auto" w:fill="auto"/>
                  <w:vAlign w:val="center"/>
                </w:tcPr>
                <w:p w14:paraId="190F8730">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5"/>
                      <w:lang w:eastAsia="zh-CN"/>
                      <w14:textFill>
                        <w14:solidFill>
                          <w14:schemeClr w14:val="tx1"/>
                        </w14:solidFill>
                      </w14:textFill>
                    </w:rPr>
                    <w:t>标准值</w:t>
                  </w:r>
                  <w:r>
                    <w:rPr>
                      <w:rFonts w:ascii="Times New Roman" w:hAnsi="Times New Roman" w:cs="Times New Roman"/>
                      <w:b/>
                      <w:bCs/>
                      <w:color w:val="000000" w:themeColor="text1"/>
                      <w:lang w:eastAsia="zh-CN"/>
                      <w14:textFill>
                        <w14:solidFill>
                          <w14:schemeClr w14:val="tx1"/>
                        </w14:solidFill>
                      </w14:textFill>
                    </w:rPr>
                    <w:t>（μg/m</w:t>
                  </w:r>
                  <w:r>
                    <w:rPr>
                      <w:rFonts w:ascii="Times New Roman" w:hAnsi="Times New Roman" w:cs="Times New Roman"/>
                      <w:b/>
                      <w:bCs/>
                      <w:color w:val="000000" w:themeColor="text1"/>
                      <w:vertAlign w:val="superscript"/>
                      <w:lang w:eastAsia="zh-CN"/>
                      <w14:textFill>
                        <w14:solidFill>
                          <w14:schemeClr w14:val="tx1"/>
                        </w14:solidFill>
                      </w14:textFill>
                    </w:rPr>
                    <w:t>3</w:t>
                  </w:r>
                  <w:r>
                    <w:rPr>
                      <w:rFonts w:ascii="Times New Roman" w:hAnsi="Times New Roman" w:cs="Times New Roman"/>
                      <w:b/>
                      <w:bCs/>
                      <w:color w:val="000000" w:themeColor="text1"/>
                      <w:lang w:eastAsia="zh-CN"/>
                      <w14:textFill>
                        <w14:solidFill>
                          <w14:schemeClr w14:val="tx1"/>
                        </w14:solidFill>
                      </w14:textFill>
                    </w:rPr>
                    <w:t>）</w:t>
                  </w:r>
                </w:p>
              </w:tc>
              <w:tc>
                <w:tcPr>
                  <w:tcW w:w="511" w:type="pct"/>
                  <w:shd w:val="clear" w:color="auto" w:fill="auto"/>
                  <w:vAlign w:val="center"/>
                </w:tcPr>
                <w:p w14:paraId="38C6B69D">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4"/>
                      <w:position w:val="4"/>
                      <w:lang w:eastAsia="zh-CN"/>
                      <w14:textFill>
                        <w14:solidFill>
                          <w14:schemeClr w14:val="tx1"/>
                        </w14:solidFill>
                      </w14:textFill>
                    </w:rPr>
                    <w:t>超标</w:t>
                  </w:r>
                </w:p>
                <w:p w14:paraId="7D4CE054">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2"/>
                      <w:lang w:eastAsia="zh-CN"/>
                      <w14:textFill>
                        <w14:solidFill>
                          <w14:schemeClr w14:val="tx1"/>
                        </w14:solidFill>
                      </w14:textFill>
                    </w:rPr>
                    <w:t>率%</w:t>
                  </w:r>
                </w:p>
              </w:tc>
              <w:tc>
                <w:tcPr>
                  <w:tcW w:w="837" w:type="pct"/>
                  <w:shd w:val="clear" w:color="auto" w:fill="auto"/>
                  <w:vAlign w:val="center"/>
                </w:tcPr>
                <w:p w14:paraId="55C9D83A">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spacing w:val="6"/>
                      <w:lang w:eastAsia="zh-CN"/>
                      <w14:textFill>
                        <w14:solidFill>
                          <w14:schemeClr w14:val="tx1"/>
                        </w14:solidFill>
                      </w14:textFill>
                    </w:rPr>
                    <w:t>最大浓度值</w:t>
                  </w:r>
                  <w:r>
                    <w:rPr>
                      <w:rFonts w:ascii="Times New Roman" w:hAnsi="Times New Roman" w:cs="Times New Roman"/>
                      <w:b/>
                      <w:bCs/>
                      <w:color w:val="000000" w:themeColor="text1"/>
                      <w:spacing w:val="-3"/>
                      <w:lang w:eastAsia="zh-CN"/>
                      <w14:textFill>
                        <w14:solidFill>
                          <w14:schemeClr w14:val="tx1"/>
                        </w14:solidFill>
                      </w14:textFill>
                    </w:rPr>
                    <w:t>占标率%</w:t>
                  </w:r>
                </w:p>
              </w:tc>
            </w:tr>
            <w:tr w14:paraId="6423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732" w:type="pct"/>
                  <w:shd w:val="clear" w:color="auto" w:fill="auto"/>
                  <w:vAlign w:val="center"/>
                </w:tcPr>
                <w:p w14:paraId="5CACB08D">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G3（梁祝村）</w:t>
                  </w:r>
                </w:p>
              </w:tc>
              <w:tc>
                <w:tcPr>
                  <w:tcW w:w="1046" w:type="pct"/>
                  <w:shd w:val="clear" w:color="auto" w:fill="auto"/>
                  <w:vAlign w:val="center"/>
                </w:tcPr>
                <w:p w14:paraId="38FA234D">
                  <w:pPr>
                    <w:pStyle w:val="145"/>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7"/>
                      <w:lang w:eastAsia="zh-CN"/>
                      <w14:textFill>
                        <w14:solidFill>
                          <w14:schemeClr w14:val="tx1"/>
                        </w14:solidFill>
                      </w14:textFill>
                    </w:rPr>
                    <w:t>非甲烷总烃</w:t>
                  </w:r>
                </w:p>
              </w:tc>
              <w:tc>
                <w:tcPr>
                  <w:tcW w:w="1046" w:type="pct"/>
                  <w:shd w:val="clear" w:color="auto" w:fill="auto"/>
                  <w:vAlign w:val="center"/>
                </w:tcPr>
                <w:p w14:paraId="09CD3EB2">
                  <w:pPr>
                    <w:jc w:val="center"/>
                    <w:rPr>
                      <w:color w:val="000000" w:themeColor="text1"/>
                      <w:szCs w:val="21"/>
                      <w14:textFill>
                        <w14:solidFill>
                          <w14:schemeClr w14:val="tx1"/>
                        </w14:solidFill>
                      </w14:textFill>
                    </w:rPr>
                  </w:pPr>
                  <w:r>
                    <w:rPr>
                      <w:color w:val="000000" w:themeColor="text1"/>
                      <w:spacing w:val="3"/>
                      <w:szCs w:val="21"/>
                      <w14:textFill>
                        <w14:solidFill>
                          <w14:schemeClr w14:val="tx1"/>
                        </w14:solidFill>
                      </w14:textFill>
                    </w:rPr>
                    <w:t>460~840</w:t>
                  </w:r>
                </w:p>
              </w:tc>
              <w:tc>
                <w:tcPr>
                  <w:tcW w:w="825" w:type="pct"/>
                  <w:shd w:val="clear" w:color="auto" w:fill="auto"/>
                  <w:vAlign w:val="center"/>
                </w:tcPr>
                <w:p w14:paraId="77C55322">
                  <w:pPr>
                    <w:jc w:val="center"/>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2000</w:t>
                  </w:r>
                </w:p>
              </w:tc>
              <w:tc>
                <w:tcPr>
                  <w:tcW w:w="511" w:type="pct"/>
                  <w:shd w:val="clear" w:color="auto" w:fill="auto"/>
                  <w:vAlign w:val="center"/>
                </w:tcPr>
                <w:p w14:paraId="6BCC55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37" w:type="pct"/>
                  <w:shd w:val="clear" w:color="auto" w:fill="auto"/>
                  <w:vAlign w:val="center"/>
                </w:tcPr>
                <w:p w14:paraId="68E724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r>
          </w:tbl>
          <w:p w14:paraId="26D42D3F">
            <w:pPr>
              <w:pStyle w:val="145"/>
              <w:spacing w:before="36" w:line="466" w:lineRule="exact"/>
              <w:ind w:firstLine="720" w:firstLineChars="300"/>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t>由上表可知，</w:t>
            </w:r>
            <w:r>
              <w:rPr>
                <w:rFonts w:hint="eastAsia" w:ascii="Times New Roman" w:hAnsi="Times New Roman" w:cs="Times New Roman"/>
                <w:color w:val="000000" w:themeColor="text1"/>
                <w:sz w:val="24"/>
                <w:szCs w:val="24"/>
                <w:lang w:val="en-US" w:eastAsia="zh-CN"/>
                <w14:textFill>
                  <w14:solidFill>
                    <w14:schemeClr w14:val="tx1"/>
                  </w14:solidFill>
                </w14:textFill>
              </w:rPr>
              <w:t>项目所在区域</w:t>
            </w:r>
            <w:r>
              <w:rPr>
                <w:rFonts w:ascii="Times New Roman" w:hAnsi="Times New Roman" w:cs="Times New Roman"/>
                <w:color w:val="000000" w:themeColor="text1"/>
                <w:sz w:val="24"/>
                <w:szCs w:val="24"/>
                <w:lang w:eastAsia="zh-CN"/>
                <w14:textFill>
                  <w14:solidFill>
                    <w14:schemeClr w14:val="tx1"/>
                  </w14:solidFill>
                </w14:textFill>
              </w:rPr>
              <w:t>非甲烷总烃未出现超标现象，能满足</w:t>
            </w:r>
            <w:r>
              <w:rPr>
                <w:color w:val="000000" w:themeColor="text1"/>
                <w:kern w:val="0"/>
                <w:sz w:val="24"/>
                <w14:textFill>
                  <w14:solidFill>
                    <w14:schemeClr w14:val="tx1"/>
                  </w14:solidFill>
                </w14:textFill>
              </w:rPr>
              <w:t>河北省地方标准《环境空气质量非甲烷总烃限值》（DB13/1577-2012）中的二级标准值</w:t>
            </w:r>
            <w:r>
              <w:rPr>
                <w:rFonts w:ascii="Times New Roman" w:hAnsi="Times New Roman" w:cs="Times New Roman"/>
                <w:color w:val="000000" w:themeColor="text1"/>
                <w:sz w:val="24"/>
                <w:szCs w:val="24"/>
                <w:lang w:eastAsia="zh-CN"/>
                <w14:textFill>
                  <w14:solidFill>
                    <w14:schemeClr w14:val="tx1"/>
                  </w14:solidFill>
                </w14:textFill>
              </w:rPr>
              <w:t>。</w:t>
            </w:r>
          </w:p>
          <w:p w14:paraId="1EAC4FFF">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2、地表水环境</w:t>
            </w:r>
          </w:p>
          <w:p w14:paraId="3768AFB9">
            <w:pPr>
              <w:spacing w:line="360" w:lineRule="auto"/>
              <w:ind w:firstLine="472"/>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项目位于铜梁高新区蒲吕片区，拟建项目生产废水经</w:t>
            </w:r>
            <w:r>
              <w:rPr>
                <w:rFonts w:hint="eastAsia"/>
                <w:color w:val="000000" w:themeColor="text1"/>
                <w:spacing w:val="-2"/>
                <w:sz w:val="24"/>
                <w:lang w:eastAsia="zh-CN"/>
                <w14:textFill>
                  <w14:solidFill>
                    <w14:schemeClr w14:val="tx1"/>
                  </w14:solidFill>
                </w14:textFill>
              </w:rPr>
              <w:t>隔油沉淀池</w:t>
            </w:r>
            <w:r>
              <w:rPr>
                <w:color w:val="000000" w:themeColor="text1"/>
                <w:spacing w:val="-2"/>
                <w:sz w:val="24"/>
                <w14:textFill>
                  <w14:solidFill>
                    <w14:schemeClr w14:val="tx1"/>
                  </w14:solidFill>
                </w14:textFill>
              </w:rPr>
              <w:t>预处理后与生活污水一起排入小米智能制造产业园生化池处理达《污水综合排放标准》（GB8978-1996）三级标准后再排入市政污水管网，最终进入蒲吕污水处理厂深度处理达一级A标准后排入小安溪。</w:t>
            </w:r>
          </w:p>
          <w:p w14:paraId="29F74478">
            <w:pPr>
              <w:spacing w:line="360" w:lineRule="auto"/>
              <w:ind w:firstLine="472"/>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根据《重庆市人民政府批转重庆市地表水环境功能类别调整方案的通知》（渝府发</w:t>
            </w:r>
            <w:r>
              <w:rPr>
                <w:rFonts w:hint="eastAsia"/>
                <w:color w:val="000000" w:themeColor="text1"/>
                <w:spacing w:val="-2"/>
                <w:sz w:val="24"/>
                <w14:textFill>
                  <w14:solidFill>
                    <w14:schemeClr w14:val="tx1"/>
                  </w14:solidFill>
                </w14:textFill>
              </w:rPr>
              <w:t>〔</w:t>
            </w:r>
            <w:r>
              <w:rPr>
                <w:color w:val="000000" w:themeColor="text1"/>
                <w:spacing w:val="-2"/>
                <w:sz w:val="24"/>
                <w14:textFill>
                  <w14:solidFill>
                    <w14:schemeClr w14:val="tx1"/>
                  </w14:solidFill>
                </w14:textFill>
              </w:rPr>
              <w:t>2012</w:t>
            </w:r>
            <w:r>
              <w:rPr>
                <w:rFonts w:hint="eastAsia"/>
                <w:color w:val="000000" w:themeColor="text1"/>
                <w:spacing w:val="-2"/>
                <w:sz w:val="24"/>
                <w14:textFill>
                  <w14:solidFill>
                    <w14:schemeClr w14:val="tx1"/>
                  </w14:solidFill>
                </w14:textFill>
              </w:rPr>
              <w:t>〕</w:t>
            </w:r>
            <w:r>
              <w:rPr>
                <w:color w:val="000000" w:themeColor="text1"/>
                <w:spacing w:val="-2"/>
                <w:sz w:val="24"/>
                <w14:textFill>
                  <w14:solidFill>
                    <w14:schemeClr w14:val="tx1"/>
                  </w14:solidFill>
                </w14:textFill>
              </w:rPr>
              <w:t>4号）的规定，项目所在地小安溪为Ⅲ类水域功能，执行《地表水环境质量标准》（GB3838-2002）中的Ⅲ类水域水质标准。</w:t>
            </w:r>
          </w:p>
          <w:p w14:paraId="69E1467A">
            <w:pPr>
              <w:wordWrap w:val="0"/>
              <w:spacing w:line="360" w:lineRule="auto"/>
              <w:ind w:firstLine="471"/>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根据重庆市铜梁区人民政府官网上公布的“重庆市铜梁区地表水水质状况（2022年6月）”（网址：https://www.cqstl.gov.cn/bm/qsthjj_71108/zwgk_70831/fdzdgknr_70834/jdjc/jdjc/202207/t20220706_10893134.html），小安溪双河口监测断面水质满足《地表水环境质量标准》（GB3838-2002）中的III类水域标准要求，地表水环境质量现状良好。</w:t>
            </w:r>
          </w:p>
          <w:p w14:paraId="3A5929B5">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3、声环境</w:t>
            </w:r>
          </w:p>
          <w:p w14:paraId="2F174110">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租赁小米智能制造产业园4A栋1楼进行生产经营活动，所在地位于铜梁高新区蒲吕片区，根据《重庆市铜梁区声环境功能区划分调整方案》（铜府办〔2023〕17号）及园区规划环评，项目所在地属于3类声环境功能区，厂界声环境噪声执行《声环境质量标准》（GB3096-2008）中的3类标准。</w:t>
            </w:r>
          </w:p>
          <w:p w14:paraId="3E6E75C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根据调查，项目厂界外周边50m范围内不存在声环境保护目标。因此，根据《</w:t>
            </w:r>
            <w:r>
              <w:rPr>
                <w:rFonts w:eastAsia="宋体"/>
                <w:bCs/>
                <w:color w:val="000000" w:themeColor="text1"/>
                <w14:textFill>
                  <w14:solidFill>
                    <w14:schemeClr w14:val="tx1"/>
                  </w14:solidFill>
                </w14:textFill>
              </w:rPr>
              <w:t>建设项目环境影响报告表编制技术指南（污染影响类）》的</w:t>
            </w:r>
            <w:r>
              <w:rPr>
                <w:rFonts w:eastAsia="宋体"/>
                <w:color w:val="000000" w:themeColor="text1"/>
                <w14:textFill>
                  <w14:solidFill>
                    <w14:schemeClr w14:val="tx1"/>
                  </w14:solidFill>
                </w14:textFill>
              </w:rPr>
              <w:t>相关规定，本次评价可不开展声环境质量现状监测。</w:t>
            </w:r>
          </w:p>
          <w:p w14:paraId="03F78EC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4、生态环境</w:t>
            </w:r>
          </w:p>
          <w:p w14:paraId="35821DB9">
            <w:pPr>
              <w:pStyle w:val="137"/>
              <w:wordWrap w:val="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位于铜梁高新区蒲吕片区内，项目周边均为规划的工业用地，属于典型的城市生态系统，人类活动频繁，结构简单，无珍稀动植物存在。植被为人工栽植的行道树等常见物种。拟建项目位于产业园区内，且租赁已建成厂房，无新增用地，拟建项目用地范围不涉及永久基本农田、饮用水源保护区、湿地公园、自然保护区、森林公园、地质公园及风景名胜区等环境敏感区域，用地范围内无生态环境保护目标。根据《</w:t>
            </w:r>
            <w:r>
              <w:rPr>
                <w:rFonts w:eastAsia="宋体"/>
                <w:bCs/>
                <w:color w:val="000000" w:themeColor="text1"/>
                <w14:textFill>
                  <w14:solidFill>
                    <w14:schemeClr w14:val="tx1"/>
                  </w14:solidFill>
                </w14:textFill>
              </w:rPr>
              <w:t>建设项目环境影响报告表编制技术指南（污染影响类）》的</w:t>
            </w:r>
            <w:r>
              <w:rPr>
                <w:rFonts w:eastAsia="宋体"/>
                <w:color w:val="000000" w:themeColor="text1"/>
                <w14:textFill>
                  <w14:solidFill>
                    <w14:schemeClr w14:val="tx1"/>
                  </w14:solidFill>
                </w14:textFill>
              </w:rPr>
              <w:t>相关规定，无需进行生态现状调查。</w:t>
            </w:r>
          </w:p>
          <w:p w14:paraId="159CCC09">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5、电磁辐射</w:t>
            </w:r>
          </w:p>
          <w:p w14:paraId="1CDB3213">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拟建项目主要为C3443阀门和旋塞制造，且项目正火炉均为电阻加热，</w:t>
            </w:r>
            <w:r>
              <w:rPr>
                <w:rFonts w:hint="eastAsia" w:ascii="Times New Roman" w:hAnsi="Times New Roman" w:eastAsia="宋体" w:cs="Times New Roman"/>
                <w:color w:val="000000" w:themeColor="text1"/>
                <w:lang w:val="en-US" w:eastAsia="zh-CN"/>
                <w14:textFill>
                  <w14:solidFill>
                    <w14:schemeClr w14:val="tx1"/>
                  </w14:solidFill>
                </w14:textFill>
              </w:rPr>
              <w:t>，不属于高频感应加热设备</w:t>
            </w:r>
            <w:r>
              <w:rPr>
                <w:rFonts w:hint="default" w:ascii="Times New Roman" w:hAnsi="Times New Roman" w:eastAsia="宋体" w:cs="Times New Roman"/>
                <w:color w:val="000000" w:themeColor="text1"/>
                <w:lang w:val="en-US" w:eastAsia="zh-CN"/>
                <w14:textFill>
                  <w14:solidFill>
                    <w14:schemeClr w14:val="tx1"/>
                  </w14:solidFill>
                </w14:textFill>
              </w:rPr>
              <w:t>，根据《电磁环境控制限值》（GB8702-2014）</w:t>
            </w:r>
            <w:r>
              <w:rPr>
                <w:rFonts w:hint="eastAsia" w:ascii="Times New Roman" w:hAnsi="Times New Roman" w:eastAsia="宋体" w:cs="Times New Roman"/>
                <w:color w:val="000000" w:themeColor="text1"/>
                <w:lang w:val="en-US" w:eastAsia="zh-CN"/>
                <w14:textFill>
                  <w14:solidFill>
                    <w14:schemeClr w14:val="tx1"/>
                  </w14:solidFill>
                </w14:textFill>
              </w:rPr>
              <w:t>、《重庆市生态环境局关于印发《重庆市不纳入环境影响评价管理的建设项目名录（2023年版）的通知》（渝环规〔2023〕8号）</w:t>
            </w:r>
            <w:r>
              <w:rPr>
                <w:rFonts w:hint="default" w:ascii="Times New Roman" w:hAnsi="Times New Roman" w:eastAsia="宋体" w:cs="Times New Roman"/>
                <w:color w:val="000000" w:themeColor="text1"/>
                <w:lang w:val="en-US" w:eastAsia="zh-CN"/>
                <w14:textFill>
                  <w14:solidFill>
                    <w14:schemeClr w14:val="tx1"/>
                  </w14:solidFill>
                </w14:textFill>
              </w:rPr>
              <w:t>规定，本项目使用</w:t>
            </w:r>
            <w:r>
              <w:rPr>
                <w:rFonts w:hint="eastAsia" w:ascii="Times New Roman" w:hAnsi="Times New Roman" w:eastAsia="宋体" w:cs="Times New Roman"/>
                <w:color w:val="000000" w:themeColor="text1"/>
                <w:lang w:val="en-US" w:eastAsia="zh-CN"/>
                <w14:textFill>
                  <w14:solidFill>
                    <w14:schemeClr w14:val="tx1"/>
                  </w14:solidFill>
                </w14:textFill>
              </w:rPr>
              <w:t>电阻炉</w:t>
            </w:r>
            <w:r>
              <w:rPr>
                <w:rFonts w:hint="default" w:ascii="Times New Roman" w:hAnsi="Times New Roman" w:eastAsia="宋体" w:cs="Times New Roman"/>
                <w:color w:val="000000" w:themeColor="text1"/>
                <w:lang w:val="en-US" w:eastAsia="zh-CN"/>
                <w14:textFill>
                  <w14:solidFill>
                    <w14:schemeClr w14:val="tx1"/>
                  </w14:solidFill>
                </w14:textFill>
              </w:rPr>
              <w:t>工作频率</w:t>
            </w:r>
            <w:r>
              <w:rPr>
                <w:rFonts w:hint="eastAsia" w:ascii="Times New Roman" w:hAnsi="Times New Roman" w:eastAsia="宋体" w:cs="Times New Roman"/>
                <w:color w:val="000000" w:themeColor="text1"/>
                <w:lang w:val="en-US" w:eastAsia="zh-CN"/>
                <w14:textFill>
                  <w14:solidFill>
                    <w14:schemeClr w14:val="tx1"/>
                  </w14:solidFill>
                </w14:textFill>
              </w:rPr>
              <w:t>低于</w:t>
            </w:r>
            <w:r>
              <w:rPr>
                <w:rFonts w:hint="default" w:ascii="Times New Roman" w:hAnsi="Times New Roman" w:eastAsia="宋体" w:cs="Times New Roman"/>
                <w:color w:val="000000" w:themeColor="text1"/>
                <w:lang w:val="en-US" w:eastAsia="zh-CN"/>
                <w14:textFill>
                  <w14:solidFill>
                    <w14:schemeClr w14:val="tx1"/>
                  </w14:solidFill>
                </w14:textFill>
              </w:rPr>
              <w:t>100kHz，</w:t>
            </w:r>
            <w:r>
              <w:rPr>
                <w:rFonts w:hint="eastAsia" w:ascii="Times New Roman" w:hAnsi="Times New Roman" w:eastAsia="宋体" w:cs="Times New Roman"/>
                <w:color w:val="000000" w:themeColor="text1"/>
                <w:lang w:val="en-US" w:eastAsia="zh-CN"/>
                <w14:textFill>
                  <w14:solidFill>
                    <w14:schemeClr w14:val="tx1"/>
                  </w14:solidFill>
                </w14:textFill>
              </w:rPr>
              <w:t>不</w:t>
            </w:r>
            <w:r>
              <w:rPr>
                <w:rFonts w:hint="default" w:ascii="Times New Roman" w:hAnsi="Times New Roman" w:eastAsia="宋体" w:cs="Times New Roman"/>
                <w:color w:val="000000" w:themeColor="text1"/>
                <w:lang w:val="en-US" w:eastAsia="zh-CN"/>
                <w14:textFill>
                  <w14:solidFill>
                    <w14:schemeClr w14:val="tx1"/>
                  </w14:solidFill>
                </w14:textFill>
              </w:rPr>
              <w:t>属于电磁辐射管理设备</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eastAsia="宋体"/>
                <w:color w:val="000000" w:themeColor="text1"/>
                <w14:textFill>
                  <w14:solidFill>
                    <w14:schemeClr w14:val="tx1"/>
                  </w14:solidFill>
                </w14:textFill>
              </w:rPr>
              <w:t>辐射影响较小，不属于广播电台、差转台、电视塔台、卫星地球上行站、雷达等电磁辐射类项目，根据《</w:t>
            </w:r>
            <w:r>
              <w:rPr>
                <w:rFonts w:eastAsia="宋体"/>
                <w:bCs/>
                <w:color w:val="000000" w:themeColor="text1"/>
                <w14:textFill>
                  <w14:solidFill>
                    <w14:schemeClr w14:val="tx1"/>
                  </w14:solidFill>
                </w14:textFill>
              </w:rPr>
              <w:t>建设项目环境影响报告表编制技术指南（污染影响类）》的</w:t>
            </w:r>
            <w:r>
              <w:rPr>
                <w:rFonts w:eastAsia="宋体"/>
                <w:color w:val="000000" w:themeColor="text1"/>
                <w14:textFill>
                  <w14:solidFill>
                    <w14:schemeClr w14:val="tx1"/>
                  </w14:solidFill>
                </w14:textFill>
              </w:rPr>
              <w:t>相关规定，本评价无需开展电磁辐射现状监测与评价。</w:t>
            </w:r>
          </w:p>
          <w:p w14:paraId="799372B4">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6、地下水、土壤环境</w:t>
            </w:r>
          </w:p>
          <w:p w14:paraId="5F1E969B">
            <w:pPr>
              <w:pStyle w:val="137"/>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拟建项目危废贮存点、</w:t>
            </w:r>
            <w:r>
              <w:rPr>
                <w:rFonts w:eastAsia="宋体"/>
                <w:color w:val="000000" w:themeColor="text1"/>
                <w:szCs w:val="21"/>
                <w14:textFill>
                  <w14:solidFill>
                    <w14:schemeClr w14:val="tx1"/>
                  </w14:solidFill>
                </w14:textFill>
              </w:rPr>
              <w:t>油料库房、淬火区</w:t>
            </w:r>
            <w:r>
              <w:rPr>
                <w:rFonts w:hint="eastAsia" w:eastAsia="宋体"/>
                <w:color w:val="000000" w:themeColor="text1"/>
                <w:szCs w:val="21"/>
                <w14:textFill>
                  <w14:solidFill>
                    <w14:schemeClr w14:val="tx1"/>
                  </w14:solidFill>
                </w14:textFill>
              </w:rPr>
              <w:t>、危废贮存点</w:t>
            </w:r>
            <w:r>
              <w:rPr>
                <w:rFonts w:eastAsia="宋体"/>
                <w:color w:val="000000" w:themeColor="text1"/>
                <w:szCs w:val="21"/>
                <w14:textFill>
                  <w14:solidFill>
                    <w14:schemeClr w14:val="tx1"/>
                  </w14:solidFill>
                </w14:textFill>
              </w:rPr>
              <w:t>等</w:t>
            </w:r>
            <w:r>
              <w:rPr>
                <w:rFonts w:eastAsia="宋体"/>
                <w:color w:val="000000" w:themeColor="text1"/>
                <w:kern w:val="0"/>
                <w14:textFill>
                  <w14:solidFill>
                    <w14:schemeClr w14:val="tx1"/>
                  </w14:solidFill>
                </w14:textFill>
              </w:rPr>
              <w:t>均设置为重点防渗区，危废贮存点按照《危险废物贮存污染控制标准》（GB/T18597-2023）要求执行，设置六防措施；</w:t>
            </w:r>
            <w:r>
              <w:rPr>
                <w:rFonts w:eastAsia="宋体"/>
                <w:color w:val="000000" w:themeColor="text1"/>
                <w:szCs w:val="21"/>
                <w14:textFill>
                  <w14:solidFill>
                    <w14:schemeClr w14:val="tx1"/>
                  </w14:solidFill>
                </w14:textFill>
              </w:rPr>
              <w:t>油料库房、淬火区</w:t>
            </w:r>
            <w:r>
              <w:rPr>
                <w:rFonts w:eastAsia="宋体"/>
                <w:color w:val="000000" w:themeColor="text1"/>
                <w:kern w:val="0"/>
                <w14:textFill>
                  <w14:solidFill>
                    <w14:schemeClr w14:val="tx1"/>
                  </w14:solidFill>
                </w14:textFill>
              </w:rPr>
              <w:t>采取防腐、防渗等工程措施，采取以上措施后，</w:t>
            </w:r>
            <w:r>
              <w:rPr>
                <w:rFonts w:eastAsia="宋体"/>
                <w:color w:val="000000" w:themeColor="text1"/>
                <w:spacing w:val="8"/>
                <w:kern w:val="0"/>
                <w14:textFill>
                  <w14:solidFill>
                    <w14:schemeClr w14:val="tx1"/>
                  </w14:solidFill>
                </w14:textFill>
              </w:rPr>
              <w:t>建设项目</w:t>
            </w:r>
            <w:r>
              <w:rPr>
                <w:rFonts w:eastAsia="宋体"/>
                <w:color w:val="000000" w:themeColor="text1"/>
                <w:kern w:val="0"/>
                <w14:textFill>
                  <w14:solidFill>
                    <w14:schemeClr w14:val="tx1"/>
                  </w14:solidFill>
                </w14:textFill>
              </w:rPr>
              <w:t>无直接</w:t>
            </w:r>
            <w:r>
              <w:rPr>
                <w:rFonts w:eastAsia="宋体"/>
                <w:color w:val="000000" w:themeColor="text1"/>
                <w:spacing w:val="8"/>
                <w:kern w:val="0"/>
                <w14:textFill>
                  <w14:solidFill>
                    <w14:schemeClr w14:val="tx1"/>
                  </w14:solidFill>
                </w14:textFill>
              </w:rPr>
              <w:t>地下水、土壤环境污染途径</w:t>
            </w:r>
            <w:r>
              <w:rPr>
                <w:rFonts w:eastAsia="宋体"/>
                <w:color w:val="000000" w:themeColor="text1"/>
                <w:kern w:val="0"/>
                <w14:textFill>
                  <w14:solidFill>
                    <w14:schemeClr w14:val="tx1"/>
                  </w14:solidFill>
                </w14:textFill>
              </w:rPr>
              <w:t>。故本次评价不对地下水和土壤进行现状监测。</w:t>
            </w:r>
          </w:p>
        </w:tc>
      </w:tr>
      <w:tr w14:paraId="70ABF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1DC0722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4840D90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1C442E6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326" w:type="dxa"/>
            <w:vAlign w:val="center"/>
          </w:tcPr>
          <w:p w14:paraId="1FAC1DFA">
            <w:pPr>
              <w:pStyle w:val="137"/>
              <w:ind w:firstLineChars="200"/>
              <w:rPr>
                <w:rFonts w:eastAsia="宋体"/>
                <w:color w:val="000000" w:themeColor="text1"/>
                <w14:textFill>
                  <w14:solidFill>
                    <w14:schemeClr w14:val="tx1"/>
                  </w14:solidFill>
                </w14:textFill>
              </w:rPr>
            </w:pPr>
            <w:r>
              <w:rPr>
                <w:rFonts w:eastAsia="宋体"/>
                <w:b/>
                <w:color w:val="000000" w:themeColor="text1"/>
                <w14:textFill>
                  <w14:solidFill>
                    <w14:schemeClr w14:val="tx1"/>
                  </w14:solidFill>
                </w14:textFill>
              </w:rPr>
              <w:t>1、</w:t>
            </w:r>
            <w:r>
              <w:rPr>
                <w:rFonts w:eastAsia="宋体"/>
                <w:b/>
                <w:bCs/>
                <w:color w:val="000000" w:themeColor="text1"/>
                <w14:textFill>
                  <w14:solidFill>
                    <w14:schemeClr w14:val="tx1"/>
                  </w14:solidFill>
                </w14:textFill>
              </w:rPr>
              <w:t>外环境关系</w:t>
            </w:r>
          </w:p>
          <w:p w14:paraId="5B5CB4AF">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拟建项目位于铜梁区蒲吕街道产业大道38号1-1（小米智能制造产业园4A栋1楼），项目厂界四侧临近小米智能制造产业园内其他标准工业厂房及规划工业用地，项目外环境关系详见表3-4。</w:t>
            </w:r>
          </w:p>
          <w:p w14:paraId="7E41CF58">
            <w:pPr>
              <w:ind w:firstLine="454"/>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表3-4拟建项目周边外环境关系一览表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21"/>
              <w:gridCol w:w="979"/>
              <w:gridCol w:w="1472"/>
              <w:gridCol w:w="1472"/>
              <w:gridCol w:w="1836"/>
            </w:tblGrid>
            <w:tr w14:paraId="7901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pct"/>
                  <w:vAlign w:val="center"/>
                </w:tcPr>
                <w:p w14:paraId="2E80030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938" w:type="pct"/>
                  <w:vAlign w:val="center"/>
                </w:tcPr>
                <w:p w14:paraId="5B521B3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tc>
                <w:tcPr>
                  <w:tcW w:w="604" w:type="pct"/>
                  <w:vAlign w:val="center"/>
                </w:tcPr>
                <w:p w14:paraId="2DC3CC4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方位</w:t>
                  </w:r>
                </w:p>
              </w:tc>
              <w:tc>
                <w:tcPr>
                  <w:tcW w:w="908" w:type="pct"/>
                  <w:vAlign w:val="center"/>
                </w:tcPr>
                <w:p w14:paraId="5C817C0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最近距离</w:t>
                  </w:r>
                </w:p>
              </w:tc>
              <w:tc>
                <w:tcPr>
                  <w:tcW w:w="908" w:type="pct"/>
                  <w:vAlign w:val="center"/>
                </w:tcPr>
                <w:p w14:paraId="6CCD27D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特征</w:t>
                  </w:r>
                </w:p>
              </w:tc>
              <w:tc>
                <w:tcPr>
                  <w:tcW w:w="1132" w:type="pct"/>
                  <w:vAlign w:val="center"/>
                </w:tcPr>
                <w:p w14:paraId="0BB747D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备注</w:t>
                  </w:r>
                </w:p>
              </w:tc>
            </w:tr>
            <w:tr w14:paraId="2C94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pct"/>
                  <w:vAlign w:val="center"/>
                </w:tcPr>
                <w:p w14:paraId="11E746C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38" w:type="pct"/>
                  <w:vAlign w:val="center"/>
                </w:tcPr>
                <w:p w14:paraId="4363BFB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规划工业用地</w:t>
                  </w:r>
                </w:p>
              </w:tc>
              <w:tc>
                <w:tcPr>
                  <w:tcW w:w="604" w:type="pct"/>
                  <w:vAlign w:val="center"/>
                </w:tcPr>
                <w:p w14:paraId="28FF8A39">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w:t>
                  </w:r>
                  <w:r>
                    <w:rPr>
                      <w:rFonts w:cs="Times New Roman"/>
                      <w:color w:val="000000" w:themeColor="text1"/>
                      <w14:textFill>
                        <w14:solidFill>
                          <w14:schemeClr w14:val="tx1"/>
                        </w14:solidFill>
                      </w14:textFill>
                    </w:rPr>
                    <w:t>侧</w:t>
                  </w:r>
                </w:p>
              </w:tc>
              <w:tc>
                <w:tcPr>
                  <w:tcW w:w="908" w:type="pct"/>
                  <w:vAlign w:val="center"/>
                </w:tcPr>
                <w:p w14:paraId="497F191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30m</w:t>
                  </w:r>
                </w:p>
              </w:tc>
              <w:tc>
                <w:tcPr>
                  <w:tcW w:w="908" w:type="pct"/>
                  <w:vAlign w:val="center"/>
                </w:tcPr>
                <w:p w14:paraId="756F4A01">
                  <w:pPr>
                    <w:pStyle w:val="8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空地</w:t>
                  </w:r>
                </w:p>
              </w:tc>
              <w:tc>
                <w:tcPr>
                  <w:tcW w:w="1132" w:type="pct"/>
                  <w:vAlign w:val="center"/>
                </w:tcPr>
                <w:p w14:paraId="032D9C24">
                  <w:pPr>
                    <w:pStyle w:val="8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目前未开发建设</w:t>
                  </w:r>
                </w:p>
              </w:tc>
            </w:tr>
            <w:tr w14:paraId="3840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6" w:type="pct"/>
                  <w:vMerge w:val="restart"/>
                  <w:vAlign w:val="center"/>
                </w:tcPr>
                <w:p w14:paraId="609DBB2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38" w:type="pct"/>
                  <w:vAlign w:val="center"/>
                </w:tcPr>
                <w:p w14:paraId="7BF20E0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3A栋</w:t>
                  </w:r>
                </w:p>
              </w:tc>
              <w:tc>
                <w:tcPr>
                  <w:tcW w:w="604" w:type="pct"/>
                  <w:vAlign w:val="center"/>
                </w:tcPr>
                <w:p w14:paraId="1992D31E">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w:t>
                  </w:r>
                  <w:r>
                    <w:rPr>
                      <w:rFonts w:cs="Times New Roman"/>
                      <w:color w:val="000000" w:themeColor="text1"/>
                      <w14:textFill>
                        <w14:solidFill>
                          <w14:schemeClr w14:val="tx1"/>
                        </w14:solidFill>
                      </w14:textFill>
                    </w:rPr>
                    <w:t>北侧</w:t>
                  </w:r>
                </w:p>
              </w:tc>
              <w:tc>
                <w:tcPr>
                  <w:tcW w:w="908" w:type="pct"/>
                  <w:vAlign w:val="center"/>
                </w:tcPr>
                <w:p w14:paraId="32B04A6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12m</w:t>
                  </w:r>
                </w:p>
              </w:tc>
              <w:tc>
                <w:tcPr>
                  <w:tcW w:w="908" w:type="pct"/>
                  <w:vMerge w:val="restart"/>
                  <w:vAlign w:val="center"/>
                </w:tcPr>
                <w:p w14:paraId="79BD9CC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小米智能制造产业园其他工业标准厂房，高度约23m</w:t>
                  </w:r>
                </w:p>
              </w:tc>
              <w:tc>
                <w:tcPr>
                  <w:tcW w:w="1132" w:type="pct"/>
                  <w:vMerge w:val="restart"/>
                  <w:vAlign w:val="center"/>
                </w:tcPr>
                <w:p w14:paraId="3D6C1E7E">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大部分</w:t>
                  </w:r>
                  <w:r>
                    <w:rPr>
                      <w:rFonts w:cs="Times New Roman"/>
                      <w:color w:val="000000" w:themeColor="text1"/>
                      <w14:textFill>
                        <w14:solidFill>
                          <w14:schemeClr w14:val="tx1"/>
                        </w14:solidFill>
                      </w14:textFill>
                    </w:rPr>
                    <w:t>处于空置状态，入驻企业均为机加工企业</w:t>
                  </w:r>
                </w:p>
              </w:tc>
            </w:tr>
            <w:tr w14:paraId="09A7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6" w:type="pct"/>
                  <w:vMerge w:val="continue"/>
                  <w:vAlign w:val="center"/>
                </w:tcPr>
                <w:p w14:paraId="23A8CEE6">
                  <w:pPr>
                    <w:pStyle w:val="85"/>
                    <w:rPr>
                      <w:rFonts w:cs="Times New Roman"/>
                      <w:color w:val="000000" w:themeColor="text1"/>
                      <w14:textFill>
                        <w14:solidFill>
                          <w14:schemeClr w14:val="tx1"/>
                        </w14:solidFill>
                      </w14:textFill>
                    </w:rPr>
                  </w:pPr>
                </w:p>
              </w:tc>
              <w:tc>
                <w:tcPr>
                  <w:tcW w:w="938" w:type="pct"/>
                  <w:vAlign w:val="center"/>
                </w:tcPr>
                <w:p w14:paraId="13B6698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3B栋</w:t>
                  </w:r>
                </w:p>
              </w:tc>
              <w:tc>
                <w:tcPr>
                  <w:tcW w:w="604" w:type="pct"/>
                  <w:vAlign w:val="center"/>
                </w:tcPr>
                <w:p w14:paraId="6E46AF7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w:t>
                  </w:r>
                  <w:r>
                    <w:rPr>
                      <w:rFonts w:hint="eastAsia" w:cs="Times New Roman"/>
                      <w:color w:val="000000" w:themeColor="text1"/>
                      <w:lang w:val="en-US" w:eastAsia="zh-CN"/>
                      <w14:textFill>
                        <w14:solidFill>
                          <w14:schemeClr w14:val="tx1"/>
                        </w14:solidFill>
                      </w14:textFill>
                    </w:rPr>
                    <w:t>南</w:t>
                  </w:r>
                  <w:r>
                    <w:rPr>
                      <w:rFonts w:cs="Times New Roman"/>
                      <w:color w:val="000000" w:themeColor="text1"/>
                      <w14:textFill>
                        <w14:solidFill>
                          <w14:schemeClr w14:val="tx1"/>
                        </w14:solidFill>
                      </w14:textFill>
                    </w:rPr>
                    <w:t>侧</w:t>
                  </w:r>
                </w:p>
              </w:tc>
              <w:tc>
                <w:tcPr>
                  <w:tcW w:w="908" w:type="pct"/>
                  <w:vAlign w:val="center"/>
                </w:tcPr>
                <w:p w14:paraId="664C664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30m</w:t>
                  </w:r>
                </w:p>
              </w:tc>
              <w:tc>
                <w:tcPr>
                  <w:tcW w:w="908" w:type="pct"/>
                  <w:vMerge w:val="continue"/>
                  <w:vAlign w:val="center"/>
                </w:tcPr>
                <w:p w14:paraId="0EC0346B">
                  <w:pPr>
                    <w:pStyle w:val="85"/>
                    <w:rPr>
                      <w:rFonts w:cs="Times New Roman"/>
                      <w:color w:val="000000" w:themeColor="text1"/>
                      <w14:textFill>
                        <w14:solidFill>
                          <w14:schemeClr w14:val="tx1"/>
                        </w14:solidFill>
                      </w14:textFill>
                    </w:rPr>
                  </w:pPr>
                </w:p>
              </w:tc>
              <w:tc>
                <w:tcPr>
                  <w:tcW w:w="1132" w:type="pct"/>
                  <w:vMerge w:val="continue"/>
                  <w:vAlign w:val="center"/>
                </w:tcPr>
                <w:p w14:paraId="782BAF1B">
                  <w:pPr>
                    <w:pStyle w:val="85"/>
                    <w:rPr>
                      <w:rFonts w:cs="Times New Roman"/>
                      <w:color w:val="000000" w:themeColor="text1"/>
                      <w14:textFill>
                        <w14:solidFill>
                          <w14:schemeClr w14:val="tx1"/>
                        </w14:solidFill>
                      </w14:textFill>
                    </w:rPr>
                  </w:pPr>
                </w:p>
              </w:tc>
            </w:tr>
            <w:tr w14:paraId="35C4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6" w:type="pct"/>
                  <w:vMerge w:val="continue"/>
                  <w:vAlign w:val="center"/>
                </w:tcPr>
                <w:p w14:paraId="4FD5409D">
                  <w:pPr>
                    <w:pStyle w:val="85"/>
                    <w:rPr>
                      <w:rFonts w:cs="Times New Roman"/>
                      <w:color w:val="000000" w:themeColor="text1"/>
                      <w14:textFill>
                        <w14:solidFill>
                          <w14:schemeClr w14:val="tx1"/>
                        </w14:solidFill>
                      </w14:textFill>
                    </w:rPr>
                  </w:pPr>
                </w:p>
              </w:tc>
              <w:tc>
                <w:tcPr>
                  <w:tcW w:w="938" w:type="pct"/>
                  <w:vAlign w:val="center"/>
                </w:tcPr>
                <w:p w14:paraId="09F3DE8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5B栋</w:t>
                  </w:r>
                </w:p>
              </w:tc>
              <w:tc>
                <w:tcPr>
                  <w:tcW w:w="604" w:type="pct"/>
                  <w:vAlign w:val="center"/>
                </w:tcPr>
                <w:p w14:paraId="46C0FAA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908" w:type="pct"/>
                  <w:vAlign w:val="center"/>
                </w:tcPr>
                <w:p w14:paraId="576EB91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30m</w:t>
                  </w:r>
                </w:p>
              </w:tc>
              <w:tc>
                <w:tcPr>
                  <w:tcW w:w="908" w:type="pct"/>
                  <w:vMerge w:val="continue"/>
                  <w:vAlign w:val="center"/>
                </w:tcPr>
                <w:p w14:paraId="3619C4F0">
                  <w:pPr>
                    <w:pStyle w:val="85"/>
                    <w:rPr>
                      <w:rFonts w:cs="Times New Roman"/>
                      <w:color w:val="000000" w:themeColor="text1"/>
                      <w14:textFill>
                        <w14:solidFill>
                          <w14:schemeClr w14:val="tx1"/>
                        </w14:solidFill>
                      </w14:textFill>
                    </w:rPr>
                  </w:pPr>
                </w:p>
              </w:tc>
              <w:tc>
                <w:tcPr>
                  <w:tcW w:w="1132" w:type="pct"/>
                  <w:vMerge w:val="continue"/>
                  <w:vAlign w:val="center"/>
                </w:tcPr>
                <w:p w14:paraId="1832E38F">
                  <w:pPr>
                    <w:pStyle w:val="85"/>
                    <w:rPr>
                      <w:rFonts w:cs="Times New Roman"/>
                      <w:color w:val="000000" w:themeColor="text1"/>
                      <w14:textFill>
                        <w14:solidFill>
                          <w14:schemeClr w14:val="tx1"/>
                        </w14:solidFill>
                      </w14:textFill>
                    </w:rPr>
                  </w:pPr>
                </w:p>
              </w:tc>
            </w:tr>
            <w:tr w14:paraId="2E37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6" w:type="pct"/>
                  <w:vMerge w:val="continue"/>
                  <w:vAlign w:val="center"/>
                </w:tcPr>
                <w:p w14:paraId="1CB659AD">
                  <w:pPr>
                    <w:pStyle w:val="85"/>
                    <w:rPr>
                      <w:rFonts w:cs="Times New Roman"/>
                      <w:color w:val="000000" w:themeColor="text1"/>
                      <w14:textFill>
                        <w14:solidFill>
                          <w14:schemeClr w14:val="tx1"/>
                        </w14:solidFill>
                      </w14:textFill>
                    </w:rPr>
                  </w:pPr>
                </w:p>
              </w:tc>
              <w:tc>
                <w:tcPr>
                  <w:tcW w:w="938" w:type="pct"/>
                  <w:vAlign w:val="center"/>
                </w:tcPr>
                <w:p w14:paraId="02F6F8F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4B栋</w:t>
                  </w:r>
                </w:p>
              </w:tc>
              <w:tc>
                <w:tcPr>
                  <w:tcW w:w="604" w:type="pct"/>
                  <w:vAlign w:val="center"/>
                </w:tcPr>
                <w:p w14:paraId="5800328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908" w:type="pct"/>
                  <w:vAlign w:val="center"/>
                </w:tcPr>
                <w:p w14:paraId="3F882FA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15m</w:t>
                  </w:r>
                </w:p>
              </w:tc>
              <w:tc>
                <w:tcPr>
                  <w:tcW w:w="908" w:type="pct"/>
                  <w:vMerge w:val="continue"/>
                  <w:vAlign w:val="center"/>
                </w:tcPr>
                <w:p w14:paraId="680895B8">
                  <w:pPr>
                    <w:pStyle w:val="85"/>
                    <w:rPr>
                      <w:rFonts w:cs="Times New Roman"/>
                      <w:color w:val="000000" w:themeColor="text1"/>
                      <w14:textFill>
                        <w14:solidFill>
                          <w14:schemeClr w14:val="tx1"/>
                        </w14:solidFill>
                      </w14:textFill>
                    </w:rPr>
                  </w:pPr>
                </w:p>
              </w:tc>
              <w:tc>
                <w:tcPr>
                  <w:tcW w:w="1132" w:type="pct"/>
                  <w:vMerge w:val="continue"/>
                  <w:vAlign w:val="center"/>
                </w:tcPr>
                <w:p w14:paraId="7FAC3D65">
                  <w:pPr>
                    <w:pStyle w:val="85"/>
                    <w:rPr>
                      <w:rFonts w:cs="Times New Roman"/>
                      <w:color w:val="000000" w:themeColor="text1"/>
                      <w14:textFill>
                        <w14:solidFill>
                          <w14:schemeClr w14:val="tx1"/>
                        </w14:solidFill>
                      </w14:textFill>
                    </w:rPr>
                  </w:pPr>
                </w:p>
              </w:tc>
            </w:tr>
            <w:tr w14:paraId="1506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06" w:type="pct"/>
                  <w:vMerge w:val="continue"/>
                  <w:vAlign w:val="center"/>
                </w:tcPr>
                <w:p w14:paraId="60AFFE47">
                  <w:pPr>
                    <w:pStyle w:val="85"/>
                    <w:rPr>
                      <w:rFonts w:cs="Times New Roman"/>
                      <w:color w:val="000000" w:themeColor="text1"/>
                      <w14:textFill>
                        <w14:solidFill>
                          <w14:schemeClr w14:val="tx1"/>
                        </w14:solidFill>
                      </w14:textFill>
                    </w:rPr>
                  </w:pPr>
                </w:p>
              </w:tc>
              <w:tc>
                <w:tcPr>
                  <w:tcW w:w="938" w:type="pct"/>
                  <w:vAlign w:val="center"/>
                </w:tcPr>
                <w:p w14:paraId="3B2A5AE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5A栋</w:t>
                  </w:r>
                </w:p>
              </w:tc>
              <w:tc>
                <w:tcPr>
                  <w:tcW w:w="604" w:type="pct"/>
                  <w:vAlign w:val="center"/>
                </w:tcPr>
                <w:p w14:paraId="7DBD549C">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w:t>
                  </w:r>
                  <w:r>
                    <w:rPr>
                      <w:rFonts w:cs="Times New Roman"/>
                      <w:color w:val="000000" w:themeColor="text1"/>
                      <w14:textFill>
                        <w14:solidFill>
                          <w14:schemeClr w14:val="tx1"/>
                        </w14:solidFill>
                      </w14:textFill>
                    </w:rPr>
                    <w:t>南侧</w:t>
                  </w:r>
                </w:p>
              </w:tc>
              <w:tc>
                <w:tcPr>
                  <w:tcW w:w="908" w:type="pct"/>
                  <w:vAlign w:val="center"/>
                </w:tcPr>
                <w:p w14:paraId="03A13BB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12m</w:t>
                  </w:r>
                </w:p>
              </w:tc>
              <w:tc>
                <w:tcPr>
                  <w:tcW w:w="908" w:type="pct"/>
                  <w:vMerge w:val="continue"/>
                  <w:vAlign w:val="center"/>
                </w:tcPr>
                <w:p w14:paraId="1B8B1D2B">
                  <w:pPr>
                    <w:pStyle w:val="85"/>
                    <w:rPr>
                      <w:rFonts w:cs="Times New Roman"/>
                      <w:color w:val="000000" w:themeColor="text1"/>
                      <w14:textFill>
                        <w14:solidFill>
                          <w14:schemeClr w14:val="tx1"/>
                        </w14:solidFill>
                      </w14:textFill>
                    </w:rPr>
                  </w:pPr>
                </w:p>
              </w:tc>
              <w:tc>
                <w:tcPr>
                  <w:tcW w:w="1132" w:type="pct"/>
                  <w:vMerge w:val="continue"/>
                  <w:vAlign w:val="center"/>
                </w:tcPr>
                <w:p w14:paraId="2AC7E583">
                  <w:pPr>
                    <w:pStyle w:val="85"/>
                    <w:rPr>
                      <w:rFonts w:cs="Times New Roman"/>
                      <w:color w:val="000000" w:themeColor="text1"/>
                      <w14:textFill>
                        <w14:solidFill>
                          <w14:schemeClr w14:val="tx1"/>
                        </w14:solidFill>
                      </w14:textFill>
                    </w:rPr>
                  </w:pPr>
                </w:p>
              </w:tc>
            </w:tr>
            <w:tr w14:paraId="61F5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pct"/>
                  <w:vAlign w:val="center"/>
                </w:tcPr>
                <w:p w14:paraId="77491AE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938" w:type="pct"/>
                  <w:vAlign w:val="center"/>
                </w:tcPr>
                <w:p w14:paraId="04527E4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会通科技</w:t>
                  </w:r>
                </w:p>
              </w:tc>
              <w:tc>
                <w:tcPr>
                  <w:tcW w:w="604" w:type="pct"/>
                  <w:vAlign w:val="center"/>
                </w:tcPr>
                <w:p w14:paraId="34BFA59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w:t>
                  </w:r>
                  <w:r>
                    <w:rPr>
                      <w:rFonts w:hint="eastAsia" w:cs="Times New Roman"/>
                      <w:color w:val="000000" w:themeColor="text1"/>
                      <w:lang w:val="en-US" w:eastAsia="zh-CN"/>
                      <w14:textFill>
                        <w14:solidFill>
                          <w14:schemeClr w14:val="tx1"/>
                        </w14:solidFill>
                      </w14:textFill>
                    </w:rPr>
                    <w:t>南</w:t>
                  </w:r>
                  <w:r>
                    <w:rPr>
                      <w:rFonts w:cs="Times New Roman"/>
                      <w:color w:val="000000" w:themeColor="text1"/>
                      <w14:textFill>
                        <w14:solidFill>
                          <w14:schemeClr w14:val="tx1"/>
                        </w14:solidFill>
                      </w14:textFill>
                    </w:rPr>
                    <w:t>侧</w:t>
                  </w:r>
                </w:p>
              </w:tc>
              <w:tc>
                <w:tcPr>
                  <w:tcW w:w="908" w:type="pct"/>
                  <w:vAlign w:val="center"/>
                </w:tcPr>
                <w:p w14:paraId="26F6B3A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135m</w:t>
                  </w:r>
                </w:p>
              </w:tc>
              <w:tc>
                <w:tcPr>
                  <w:tcW w:w="908" w:type="pct"/>
                  <w:vAlign w:val="center"/>
                </w:tcPr>
                <w:p w14:paraId="639BACF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厂房高度15m</w:t>
                  </w:r>
                </w:p>
              </w:tc>
              <w:tc>
                <w:tcPr>
                  <w:tcW w:w="1132" w:type="pct"/>
                  <w:vAlign w:val="center"/>
                </w:tcPr>
                <w:p w14:paraId="0C9F2E02">
                  <w:pPr>
                    <w:pStyle w:val="8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塑料制品制造</w:t>
                  </w:r>
                </w:p>
              </w:tc>
            </w:tr>
            <w:tr w14:paraId="6A7B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pct"/>
                  <w:vAlign w:val="center"/>
                </w:tcPr>
                <w:p w14:paraId="0C08689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938" w:type="pct"/>
                  <w:vAlign w:val="center"/>
                </w:tcPr>
                <w:p w14:paraId="6407131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精益鸿科技</w:t>
                  </w:r>
                </w:p>
              </w:tc>
              <w:tc>
                <w:tcPr>
                  <w:tcW w:w="604" w:type="pct"/>
                  <w:vAlign w:val="center"/>
                </w:tcPr>
                <w:p w14:paraId="54833E6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南侧</w:t>
                  </w:r>
                </w:p>
              </w:tc>
              <w:tc>
                <w:tcPr>
                  <w:tcW w:w="908" w:type="pct"/>
                  <w:vAlign w:val="center"/>
                </w:tcPr>
                <w:p w14:paraId="507C029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175m</w:t>
                  </w:r>
                </w:p>
              </w:tc>
              <w:tc>
                <w:tcPr>
                  <w:tcW w:w="908" w:type="pct"/>
                  <w:vAlign w:val="center"/>
                </w:tcPr>
                <w:p w14:paraId="6882EA1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厂房高度12m</w:t>
                  </w:r>
                </w:p>
              </w:tc>
              <w:tc>
                <w:tcPr>
                  <w:tcW w:w="1132" w:type="pct"/>
                  <w:vAlign w:val="center"/>
                </w:tcPr>
                <w:p w14:paraId="1A23BB67">
                  <w:pPr>
                    <w:pStyle w:val="8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汽车零部件制造</w:t>
                  </w:r>
                </w:p>
              </w:tc>
            </w:tr>
            <w:tr w14:paraId="6993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pct"/>
                  <w:vAlign w:val="center"/>
                </w:tcPr>
                <w:p w14:paraId="2F4B595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938" w:type="pct"/>
                  <w:vAlign w:val="center"/>
                </w:tcPr>
                <w:p w14:paraId="1BF8DEA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海辰储能</w:t>
                  </w:r>
                </w:p>
              </w:tc>
              <w:tc>
                <w:tcPr>
                  <w:tcW w:w="604" w:type="pct"/>
                  <w:vAlign w:val="center"/>
                </w:tcPr>
                <w:p w14:paraId="140A91B0">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东</w:t>
                  </w:r>
                  <w:r>
                    <w:rPr>
                      <w:rFonts w:cs="Times New Roman"/>
                      <w:color w:val="000000" w:themeColor="text1"/>
                      <w14:textFill>
                        <w14:solidFill>
                          <w14:schemeClr w14:val="tx1"/>
                        </w14:solidFill>
                      </w14:textFill>
                    </w:rPr>
                    <w:t>北侧</w:t>
                  </w:r>
                </w:p>
              </w:tc>
              <w:tc>
                <w:tcPr>
                  <w:tcW w:w="908" w:type="pct"/>
                  <w:vAlign w:val="center"/>
                </w:tcPr>
                <w:p w14:paraId="68795CD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300m</w:t>
                  </w:r>
                </w:p>
              </w:tc>
              <w:tc>
                <w:tcPr>
                  <w:tcW w:w="908" w:type="pct"/>
                  <w:vAlign w:val="center"/>
                </w:tcPr>
                <w:p w14:paraId="0F2BFB5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厂房高度12m</w:t>
                  </w:r>
                </w:p>
              </w:tc>
              <w:tc>
                <w:tcPr>
                  <w:tcW w:w="1132" w:type="pct"/>
                  <w:vAlign w:val="center"/>
                </w:tcPr>
                <w:p w14:paraId="4A06FBAE">
                  <w:pPr>
                    <w:pStyle w:val="8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能源储存</w:t>
                  </w:r>
                </w:p>
              </w:tc>
            </w:tr>
            <w:tr w14:paraId="090D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pct"/>
                  <w:vAlign w:val="center"/>
                </w:tcPr>
                <w:p w14:paraId="3264DEA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938" w:type="pct"/>
                  <w:vAlign w:val="center"/>
                </w:tcPr>
                <w:p w14:paraId="5D00D82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南河院水库</w:t>
                  </w:r>
                </w:p>
              </w:tc>
              <w:tc>
                <w:tcPr>
                  <w:tcW w:w="604" w:type="pct"/>
                  <w:vAlign w:val="center"/>
                </w:tcPr>
                <w:p w14:paraId="7A8B0603">
                  <w:pPr>
                    <w:pStyle w:val="8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西北</w:t>
                  </w:r>
                  <w:r>
                    <w:rPr>
                      <w:rFonts w:cs="Times New Roman"/>
                      <w:color w:val="000000" w:themeColor="text1"/>
                      <w14:textFill>
                        <w14:solidFill>
                          <w14:schemeClr w14:val="tx1"/>
                        </w14:solidFill>
                      </w14:textFill>
                    </w:rPr>
                    <w:t>侧</w:t>
                  </w:r>
                </w:p>
              </w:tc>
              <w:tc>
                <w:tcPr>
                  <w:tcW w:w="908" w:type="pct"/>
                  <w:vAlign w:val="center"/>
                </w:tcPr>
                <w:p w14:paraId="6468C00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300m</w:t>
                  </w:r>
                </w:p>
              </w:tc>
              <w:tc>
                <w:tcPr>
                  <w:tcW w:w="908" w:type="pct"/>
                  <w:vAlign w:val="center"/>
                </w:tcPr>
                <w:p w14:paraId="3B0F9F4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无水域功能</w:t>
                  </w:r>
                </w:p>
              </w:tc>
              <w:tc>
                <w:tcPr>
                  <w:tcW w:w="1132" w:type="pct"/>
                  <w:vAlign w:val="center"/>
                </w:tcPr>
                <w:p w14:paraId="403B09ED">
                  <w:pPr>
                    <w:pStyle w:val="8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景观用水</w:t>
                  </w:r>
                </w:p>
              </w:tc>
            </w:tr>
          </w:tbl>
          <w:p w14:paraId="6ADD902C">
            <w:pPr>
              <w:pStyle w:val="137"/>
              <w:ind w:firstLineChars="200"/>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2、环境保护目标</w:t>
            </w:r>
          </w:p>
          <w:p w14:paraId="5525B494">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（1）大气环境保护目标</w:t>
            </w:r>
          </w:p>
          <w:p w14:paraId="2C64A07E">
            <w:pPr>
              <w:pStyle w:val="137"/>
              <w:rPr>
                <w:rFonts w:eastAsia="宋体"/>
                <w:color w:val="000000" w:themeColor="text1"/>
                <w14:textFill>
                  <w14:solidFill>
                    <w14:schemeClr w14:val="tx1"/>
                  </w14:solidFill>
                </w14:textFill>
              </w:rPr>
            </w:pPr>
            <w:r>
              <w:rPr>
                <w:rFonts w:eastAsia="宋体"/>
                <w:bCs/>
                <w:color w:val="000000" w:themeColor="text1"/>
                <w14:textFill>
                  <w14:solidFill>
                    <w14:schemeClr w14:val="tx1"/>
                  </w14:solidFill>
                </w14:textFill>
              </w:rPr>
              <w:t>拟建项目</w:t>
            </w:r>
            <w:r>
              <w:rPr>
                <w:rFonts w:eastAsia="宋体"/>
                <w:color w:val="000000" w:themeColor="text1"/>
                <w14:textFill>
                  <w14:solidFill>
                    <w14:schemeClr w14:val="tx1"/>
                  </w14:solidFill>
                </w14:textFill>
              </w:rPr>
              <w:t>厂界周边500m范围内大气环境保护目标主要为居民区，见表3-5。</w:t>
            </w:r>
          </w:p>
          <w:p w14:paraId="6D704920">
            <w:pPr>
              <w:pStyle w:val="40"/>
              <w:jc w:val="center"/>
              <w:rPr>
                <w:rFonts w:ascii="Times New Roman" w:hAnsi="Times New Roman" w:cs="Times New Roman"/>
                <w:b/>
                <w:color w:val="000000" w:themeColor="text1"/>
                <w14:textFill>
                  <w14:solidFill>
                    <w14:schemeClr w14:val="tx1"/>
                  </w14:solidFill>
                </w14:textFill>
              </w:rPr>
            </w:pPr>
          </w:p>
          <w:p w14:paraId="474167B6">
            <w:pPr>
              <w:pStyle w:val="40"/>
              <w:jc w:val="center"/>
              <w:rPr>
                <w:rFonts w:ascii="Times New Roman" w:hAnsi="Times New Roman" w:cs="Times New Roman"/>
                <w:b/>
                <w:color w:val="000000" w:themeColor="text1"/>
                <w14:textFill>
                  <w14:solidFill>
                    <w14:schemeClr w14:val="tx1"/>
                  </w14:solidFill>
                </w14:textFill>
              </w:rPr>
            </w:pPr>
          </w:p>
          <w:p w14:paraId="06DB3B14">
            <w:pPr>
              <w:pStyle w:val="40"/>
              <w:jc w:val="center"/>
              <w:rPr>
                <w:rFonts w:ascii="Times New Roman" w:hAnsi="Times New Roman" w:cs="Times New Roman"/>
                <w:b/>
                <w:color w:val="000000" w:themeColor="text1"/>
                <w14:textFill>
                  <w14:solidFill>
                    <w14:schemeClr w14:val="tx1"/>
                  </w14:solidFill>
                </w14:textFill>
              </w:rPr>
            </w:pPr>
          </w:p>
          <w:p w14:paraId="1539D711">
            <w:pPr>
              <w:pStyle w:val="40"/>
              <w:jc w:val="center"/>
              <w:rPr>
                <w:rFonts w:ascii="Times New Roman" w:hAnsi="Times New Roman" w:cs="Times New Roman"/>
                <w:b/>
                <w:color w:val="000000" w:themeColor="text1"/>
                <w14:textFill>
                  <w14:solidFill>
                    <w14:schemeClr w14:val="tx1"/>
                  </w14:solidFill>
                </w14:textFill>
              </w:rPr>
            </w:pPr>
          </w:p>
          <w:p w14:paraId="09BB2351">
            <w:pPr>
              <w:pStyle w:val="4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表3-5大气环境保护目标一览表</w:t>
            </w:r>
          </w:p>
          <w:tbl>
            <w:tblPr>
              <w:tblStyle w:val="2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616"/>
              <w:gridCol w:w="650"/>
              <w:gridCol w:w="727"/>
              <w:gridCol w:w="1890"/>
              <w:gridCol w:w="647"/>
              <w:gridCol w:w="1110"/>
              <w:gridCol w:w="972"/>
            </w:tblGrid>
            <w:tr w14:paraId="1AAF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Merge w:val="restart"/>
                  <w:vAlign w:val="center"/>
                </w:tcPr>
                <w:p w14:paraId="11CF18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敏感点</w:t>
                  </w:r>
                </w:p>
              </w:tc>
              <w:tc>
                <w:tcPr>
                  <w:tcW w:w="782" w:type="pct"/>
                  <w:gridSpan w:val="2"/>
                  <w:vAlign w:val="center"/>
                </w:tcPr>
                <w:p w14:paraId="7BAEA2F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坐标/m</w:t>
                  </w:r>
                </w:p>
              </w:tc>
              <w:tc>
                <w:tcPr>
                  <w:tcW w:w="449" w:type="pct"/>
                  <w:vMerge w:val="restart"/>
                  <w:vAlign w:val="center"/>
                </w:tcPr>
                <w:p w14:paraId="3E28EC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w:t>
                  </w:r>
                </w:p>
                <w:p w14:paraId="508B84A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对象</w:t>
                  </w:r>
                </w:p>
              </w:tc>
              <w:tc>
                <w:tcPr>
                  <w:tcW w:w="1168" w:type="pct"/>
                  <w:vMerge w:val="restart"/>
                  <w:vAlign w:val="center"/>
                </w:tcPr>
                <w:p w14:paraId="60BC91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保护内容</w:t>
                  </w:r>
                </w:p>
              </w:tc>
              <w:tc>
                <w:tcPr>
                  <w:tcW w:w="399" w:type="pct"/>
                  <w:vMerge w:val="restart"/>
                  <w:vAlign w:val="center"/>
                </w:tcPr>
                <w:p w14:paraId="63A7302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方位</w:t>
                  </w:r>
                </w:p>
              </w:tc>
              <w:tc>
                <w:tcPr>
                  <w:tcW w:w="686" w:type="pct"/>
                  <w:vMerge w:val="restart"/>
                  <w:vAlign w:val="center"/>
                </w:tcPr>
                <w:p w14:paraId="477A7DE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与厂界最近距离</w:t>
                  </w:r>
                </w:p>
              </w:tc>
              <w:tc>
                <w:tcPr>
                  <w:tcW w:w="600" w:type="pct"/>
                  <w:vMerge w:val="restart"/>
                  <w:vAlign w:val="center"/>
                </w:tcPr>
                <w:p w14:paraId="6E1BA2E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环境功能区</w:t>
                  </w:r>
                </w:p>
              </w:tc>
            </w:tr>
            <w:tr w14:paraId="3EE1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12" w:type="pct"/>
                  <w:vMerge w:val="continue"/>
                  <w:vAlign w:val="center"/>
                </w:tcPr>
                <w:p w14:paraId="0E323E6F">
                  <w:pPr>
                    <w:widowControl/>
                    <w:jc w:val="left"/>
                    <w:rPr>
                      <w:color w:val="000000" w:themeColor="text1"/>
                      <w:szCs w:val="21"/>
                      <w14:textFill>
                        <w14:solidFill>
                          <w14:schemeClr w14:val="tx1"/>
                        </w14:solidFill>
                      </w14:textFill>
                    </w:rPr>
                  </w:pPr>
                </w:p>
              </w:tc>
              <w:tc>
                <w:tcPr>
                  <w:tcW w:w="380" w:type="pct"/>
                  <w:vAlign w:val="center"/>
                </w:tcPr>
                <w:p w14:paraId="45E8B4D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401" w:type="pct"/>
                  <w:vAlign w:val="center"/>
                </w:tcPr>
                <w:p w14:paraId="5C9EAA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449" w:type="pct"/>
                  <w:vMerge w:val="continue"/>
                  <w:vAlign w:val="center"/>
                </w:tcPr>
                <w:p w14:paraId="485ED6BF">
                  <w:pPr>
                    <w:widowControl/>
                    <w:jc w:val="left"/>
                    <w:rPr>
                      <w:color w:val="000000" w:themeColor="text1"/>
                      <w:szCs w:val="21"/>
                      <w14:textFill>
                        <w14:solidFill>
                          <w14:schemeClr w14:val="tx1"/>
                        </w14:solidFill>
                      </w14:textFill>
                    </w:rPr>
                  </w:pPr>
                </w:p>
              </w:tc>
              <w:tc>
                <w:tcPr>
                  <w:tcW w:w="1168" w:type="pct"/>
                  <w:vMerge w:val="continue"/>
                  <w:vAlign w:val="center"/>
                </w:tcPr>
                <w:p w14:paraId="2B60652C">
                  <w:pPr>
                    <w:widowControl/>
                    <w:jc w:val="left"/>
                    <w:rPr>
                      <w:color w:val="000000" w:themeColor="text1"/>
                      <w:szCs w:val="21"/>
                      <w14:textFill>
                        <w14:solidFill>
                          <w14:schemeClr w14:val="tx1"/>
                        </w14:solidFill>
                      </w14:textFill>
                    </w:rPr>
                  </w:pPr>
                </w:p>
              </w:tc>
              <w:tc>
                <w:tcPr>
                  <w:tcW w:w="399" w:type="pct"/>
                  <w:vMerge w:val="continue"/>
                  <w:vAlign w:val="center"/>
                </w:tcPr>
                <w:p w14:paraId="5241204F">
                  <w:pPr>
                    <w:widowControl/>
                    <w:jc w:val="left"/>
                    <w:rPr>
                      <w:color w:val="000000" w:themeColor="text1"/>
                      <w:szCs w:val="21"/>
                      <w14:textFill>
                        <w14:solidFill>
                          <w14:schemeClr w14:val="tx1"/>
                        </w14:solidFill>
                      </w14:textFill>
                    </w:rPr>
                  </w:pPr>
                </w:p>
              </w:tc>
              <w:tc>
                <w:tcPr>
                  <w:tcW w:w="686" w:type="pct"/>
                  <w:vMerge w:val="continue"/>
                  <w:vAlign w:val="center"/>
                </w:tcPr>
                <w:p w14:paraId="7C347A7C">
                  <w:pPr>
                    <w:widowControl/>
                    <w:jc w:val="left"/>
                    <w:rPr>
                      <w:color w:val="000000" w:themeColor="text1"/>
                      <w:szCs w:val="21"/>
                      <w14:textFill>
                        <w14:solidFill>
                          <w14:schemeClr w14:val="tx1"/>
                        </w14:solidFill>
                      </w14:textFill>
                    </w:rPr>
                  </w:pPr>
                </w:p>
              </w:tc>
              <w:tc>
                <w:tcPr>
                  <w:tcW w:w="600" w:type="pct"/>
                  <w:vMerge w:val="continue"/>
                  <w:vAlign w:val="center"/>
                </w:tcPr>
                <w:p w14:paraId="3FC520CF">
                  <w:pPr>
                    <w:widowControl/>
                    <w:jc w:val="left"/>
                    <w:rPr>
                      <w:color w:val="000000" w:themeColor="text1"/>
                      <w:szCs w:val="21"/>
                      <w14:textFill>
                        <w14:solidFill>
                          <w14:schemeClr w14:val="tx1"/>
                        </w14:solidFill>
                      </w14:textFill>
                    </w:rPr>
                  </w:pPr>
                </w:p>
              </w:tc>
            </w:tr>
            <w:tr w14:paraId="64BD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12" w:type="pct"/>
                  <w:vAlign w:val="center"/>
                </w:tcPr>
                <w:p w14:paraId="3577BC6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石虎村居民区</w:t>
                  </w:r>
                </w:p>
              </w:tc>
              <w:tc>
                <w:tcPr>
                  <w:tcW w:w="380" w:type="pct"/>
                  <w:vAlign w:val="center"/>
                </w:tcPr>
                <w:p w14:paraId="572493D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-215</w:t>
                  </w:r>
                </w:p>
              </w:tc>
              <w:tc>
                <w:tcPr>
                  <w:tcW w:w="401" w:type="pct"/>
                  <w:vAlign w:val="center"/>
                </w:tcPr>
                <w:p w14:paraId="63C3176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w:t>
                  </w:r>
                </w:p>
              </w:tc>
              <w:tc>
                <w:tcPr>
                  <w:tcW w:w="449" w:type="pct"/>
                  <w:vAlign w:val="center"/>
                </w:tcPr>
                <w:p w14:paraId="12147DCF">
                  <w:pPr>
                    <w:jc w:val="center"/>
                    <w:rPr>
                      <w:color w:val="000000" w:themeColor="text1"/>
                      <w14:textFill>
                        <w14:solidFill>
                          <w14:schemeClr w14:val="tx1"/>
                        </w14:solidFill>
                      </w14:textFill>
                    </w:rPr>
                  </w:pPr>
                  <w:r>
                    <w:rPr>
                      <w:color w:val="000000" w:themeColor="text1"/>
                      <w:szCs w:val="21"/>
                      <w14:textFill>
                        <w14:solidFill>
                          <w14:schemeClr w14:val="tx1"/>
                        </w14:solidFill>
                      </w14:textFill>
                    </w:rPr>
                    <w:t>居民</w:t>
                  </w:r>
                </w:p>
              </w:tc>
              <w:tc>
                <w:tcPr>
                  <w:tcW w:w="1168" w:type="pct"/>
                  <w:vAlign w:val="center"/>
                </w:tcPr>
                <w:p w14:paraId="3369C42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约21户，约70人</w:t>
                  </w:r>
                </w:p>
              </w:tc>
              <w:tc>
                <w:tcPr>
                  <w:tcW w:w="399" w:type="pct"/>
                  <w:vAlign w:val="center"/>
                </w:tcPr>
                <w:p w14:paraId="0D7861A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SW</w:t>
                  </w:r>
                </w:p>
              </w:tc>
              <w:tc>
                <w:tcPr>
                  <w:tcW w:w="686" w:type="pct"/>
                  <w:vAlign w:val="center"/>
                </w:tcPr>
                <w:p w14:paraId="363402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260m</w:t>
                  </w:r>
                </w:p>
              </w:tc>
              <w:tc>
                <w:tcPr>
                  <w:tcW w:w="600" w:type="pct"/>
                  <w:vAlign w:val="center"/>
                </w:tcPr>
                <w:p w14:paraId="5D1D22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大气二类区</w:t>
                  </w:r>
                </w:p>
              </w:tc>
            </w:tr>
            <w:tr w14:paraId="2137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7CF98BA6">
                  <w:pPr>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注：以项目中心为坐标原点。</w:t>
                  </w:r>
                </w:p>
              </w:tc>
            </w:tr>
          </w:tbl>
          <w:p w14:paraId="1EC284A5">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（2）声环境保护目标</w:t>
            </w:r>
          </w:p>
          <w:p w14:paraId="41AA4FA0">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经调查，项目周边50m范围内均为工业企业，无居民、医院、学校等声环境保护目标。</w:t>
            </w:r>
          </w:p>
          <w:p w14:paraId="360160CA">
            <w:pPr>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（3）水环境保护目标</w:t>
            </w:r>
          </w:p>
          <w:p w14:paraId="66254CE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项目占地范围内无常年地表水体和地下水出露。</w:t>
            </w:r>
          </w:p>
          <w:p w14:paraId="10C8B89D">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重庆市人民政府办公厅关于印发万州区等区县（开发区）集中式饮用水水源地保护区划分及调整方案的通知》（渝府办〔2018〕7号）、《重庆市人民政府办公厅关于印发璧山区等区县（开发区）集中式饮用水水源地保护区调整及撤销方案的通知》（渝府办〔2019〕6号），拟建项目占地不涉及饮用水源保护区。项目厂界500m范围内也无地下水集中式饮用水水源地、地热、温泉、矿泉水等开发性地下水资源。</w:t>
            </w:r>
          </w:p>
          <w:p w14:paraId="676A8A04">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拟建项目地表水环境保护目标主要为项目西南侧约2.2km的小安溪，其为常年性河流，为项目污水受纳水体。拟建项目水环境保护目标见表3-6。</w:t>
            </w:r>
          </w:p>
          <w:p w14:paraId="60F0F57E">
            <w:pPr>
              <w:adjustRightInd w:val="0"/>
              <w:snapToGrid w:val="0"/>
              <w:jc w:val="center"/>
              <w:rPr>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表3-6水环境保护目标一览表</w:t>
            </w:r>
          </w:p>
          <w:tbl>
            <w:tblPr>
              <w:tblStyle w:val="2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2"/>
              <w:gridCol w:w="874"/>
              <w:gridCol w:w="1703"/>
              <w:gridCol w:w="2485"/>
              <w:gridCol w:w="2531"/>
            </w:tblGrid>
            <w:tr w14:paraId="478DD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6" w:hRule="atLeast"/>
                <w:jc w:val="center"/>
              </w:trPr>
              <w:tc>
                <w:tcPr>
                  <w:tcW w:w="310" w:type="pct"/>
                  <w:vAlign w:val="center"/>
                </w:tcPr>
                <w:p w14:paraId="1637339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编号</w:t>
                  </w:r>
                </w:p>
              </w:tc>
              <w:tc>
                <w:tcPr>
                  <w:tcW w:w="540" w:type="pct"/>
                  <w:vAlign w:val="center"/>
                </w:tcPr>
                <w:p w14:paraId="3ED088B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环境敏感点</w:t>
                  </w:r>
                </w:p>
              </w:tc>
              <w:tc>
                <w:tcPr>
                  <w:tcW w:w="1052" w:type="pct"/>
                  <w:vAlign w:val="center"/>
                </w:tcPr>
                <w:p w14:paraId="582833D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方位及距离</w:t>
                  </w:r>
                </w:p>
              </w:tc>
              <w:tc>
                <w:tcPr>
                  <w:tcW w:w="1535" w:type="pct"/>
                  <w:vAlign w:val="center"/>
                </w:tcPr>
                <w:p w14:paraId="62440E5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环境特点（保护原因）</w:t>
                  </w:r>
                </w:p>
              </w:tc>
              <w:tc>
                <w:tcPr>
                  <w:tcW w:w="1563" w:type="pct"/>
                  <w:vAlign w:val="center"/>
                </w:tcPr>
                <w:p w14:paraId="29CF154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执行的相关标准及要求</w:t>
                  </w:r>
                </w:p>
              </w:tc>
            </w:tr>
            <w:tr w14:paraId="58D6F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0" w:type="pct"/>
                  <w:vAlign w:val="center"/>
                </w:tcPr>
                <w:p w14:paraId="2CFFBABE">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540" w:type="pct"/>
                  <w:vAlign w:val="center"/>
                </w:tcPr>
                <w:p w14:paraId="2BCF0EA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小安溪</w:t>
                  </w:r>
                </w:p>
              </w:tc>
              <w:tc>
                <w:tcPr>
                  <w:tcW w:w="1052" w:type="pct"/>
                  <w:vAlign w:val="center"/>
                </w:tcPr>
                <w:p w14:paraId="1032602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西南侧，约2.2km</w:t>
                  </w:r>
                </w:p>
              </w:tc>
              <w:tc>
                <w:tcPr>
                  <w:tcW w:w="1535" w:type="pct"/>
                  <w:vAlign w:val="center"/>
                </w:tcPr>
                <w:p w14:paraId="2B74042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拟建项目段为III类水域</w:t>
                  </w:r>
                </w:p>
              </w:tc>
              <w:tc>
                <w:tcPr>
                  <w:tcW w:w="1563" w:type="pct"/>
                  <w:vAlign w:val="center"/>
                </w:tcPr>
                <w:p w14:paraId="5BE459F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为项目污水受纳水体</w:t>
                  </w:r>
                </w:p>
              </w:tc>
            </w:tr>
          </w:tbl>
          <w:p w14:paraId="722CB09A">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（4）生态环境保护目标</w:t>
            </w:r>
          </w:p>
          <w:p w14:paraId="04D62141">
            <w:pPr>
              <w:pStyle w:val="137"/>
              <w:rPr>
                <w:rFonts w:eastAsia="宋体"/>
                <w:color w:val="000000" w:themeColor="text1"/>
                <w:kern w:val="0"/>
                <w:szCs w:val="21"/>
                <w14:textFill>
                  <w14:solidFill>
                    <w14:schemeClr w14:val="tx1"/>
                  </w14:solidFill>
                </w14:textFill>
              </w:rPr>
            </w:pPr>
            <w:r>
              <w:rPr>
                <w:rFonts w:eastAsia="宋体"/>
                <w:color w:val="000000" w:themeColor="text1"/>
                <w14:textFill>
                  <w14:solidFill>
                    <w14:schemeClr w14:val="tx1"/>
                  </w14:solidFill>
                </w14:textFill>
              </w:rPr>
              <w:t>拟建项目位于铜梁区蒲吕街道产业大道38号1-1（小米智能制造产业园4A栋1楼）闲置的标准厂房进行生产经营，拟建项目位于产业园区内，且租赁已建成厂房，无新增用地，用地范围内无生态环境保护目标。据现场踏勘调查，项目所在地周边无受国家或有关部门规定为重点保护的珍稀、濒危、濒灭的动植物物种，自然保护区或特殊群类的栖息地，也无受保护的名胜古迹等环境敏感目标。</w:t>
            </w:r>
          </w:p>
        </w:tc>
      </w:tr>
      <w:tr w14:paraId="6E320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7" w:hRule="atLeast"/>
          <w:jc w:val="center"/>
        </w:trPr>
        <w:tc>
          <w:tcPr>
            <w:tcW w:w="456" w:type="dxa"/>
            <w:tcMar>
              <w:left w:w="28" w:type="dxa"/>
              <w:right w:w="28" w:type="dxa"/>
            </w:tcMar>
            <w:vAlign w:val="center"/>
          </w:tcPr>
          <w:p w14:paraId="4AEAC065">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1"/>
                <w14:textFill>
                  <w14:solidFill>
                    <w14:schemeClr w14:val="tx1"/>
                  </w14:solidFill>
                </w14:textFill>
              </w:rPr>
              <w:t>污染物排放控制标准</w:t>
            </w:r>
          </w:p>
        </w:tc>
        <w:tc>
          <w:tcPr>
            <w:tcW w:w="8326" w:type="dxa"/>
            <w:vAlign w:val="center"/>
          </w:tcPr>
          <w:p w14:paraId="4A76F869">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1、废气</w:t>
            </w:r>
          </w:p>
          <w:p w14:paraId="59251DE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（1）有组织排放</w:t>
            </w:r>
          </w:p>
          <w:p w14:paraId="35DFDCBC">
            <w:pPr>
              <w:pStyle w:val="137"/>
              <w:rPr>
                <w:rFonts w:eastAsia="宋体"/>
                <w:snapToGrid w:val="0"/>
                <w:color w:val="000000" w:themeColor="text1"/>
                <w:kern w:val="0"/>
                <w14:textFill>
                  <w14:solidFill>
                    <w14:schemeClr w14:val="tx1"/>
                  </w14:solidFill>
                </w14:textFill>
              </w:rPr>
            </w:pPr>
            <w:r>
              <w:rPr>
                <w:rFonts w:eastAsia="宋体"/>
                <w:color w:val="000000" w:themeColor="text1"/>
                <w14:textFill>
                  <w14:solidFill>
                    <w14:schemeClr w14:val="tx1"/>
                  </w14:solidFill>
                </w14:textFill>
              </w:rPr>
              <w:t>焊接过程产生的烟尘（颗粒物）、淬火过程产生的油雾（以非甲烷总烃、颗粒物）执行《大气污染物综合排放标准》（DB50/418-2016）表1其他区域限值</w:t>
            </w:r>
            <w:r>
              <w:rPr>
                <w:rFonts w:eastAsia="宋体"/>
                <w:snapToGrid w:val="0"/>
                <w:color w:val="000000" w:themeColor="text1"/>
                <w:kern w:val="0"/>
                <w14:textFill>
                  <w14:solidFill>
                    <w14:schemeClr w14:val="tx1"/>
                  </w14:solidFill>
                </w14:textFill>
              </w:rPr>
              <w:t>，见表3-7。</w:t>
            </w:r>
          </w:p>
          <w:p w14:paraId="0BE12EEE">
            <w:pPr>
              <w:pStyle w:val="137"/>
              <w:rPr>
                <w:rFonts w:eastAsia="宋体"/>
                <w:snapToGrid w:val="0"/>
                <w:color w:val="000000" w:themeColor="text1"/>
                <w:kern w:val="0"/>
                <w14:textFill>
                  <w14:solidFill>
                    <w14:schemeClr w14:val="tx1"/>
                  </w14:solidFill>
                </w14:textFill>
              </w:rPr>
            </w:pPr>
            <w:r>
              <w:rPr>
                <w:rFonts w:eastAsia="宋体"/>
                <w:snapToGrid w:val="0"/>
                <w:color w:val="000000" w:themeColor="text1"/>
                <w:kern w:val="0"/>
                <w14:textFill>
                  <w14:solidFill>
                    <w14:schemeClr w14:val="tx1"/>
                  </w14:solidFill>
                </w14:textFill>
              </w:rPr>
              <w:t>（2）厂界无组织</w:t>
            </w:r>
          </w:p>
          <w:p w14:paraId="38F3802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①厂界非甲烷总烃、颗粒物无组织排放限值执行《大气污染物综合排放标准》（DB50/418-2016）表1限值；</w:t>
            </w:r>
          </w:p>
          <w:p w14:paraId="2C350830">
            <w:pPr>
              <w:pStyle w:val="137"/>
              <w:rPr>
                <w:rFonts w:eastAsia="宋体"/>
                <w:color w:val="000000" w:themeColor="text1"/>
                <w14:textFill>
                  <w14:solidFill>
                    <w14:schemeClr w14:val="tx1"/>
                  </w14:solidFill>
                </w14:textFill>
              </w:rPr>
            </w:pPr>
            <w:r>
              <w:rPr>
                <w:rFonts w:eastAsia="宋体"/>
                <w:bCs/>
                <w:color w:val="000000" w:themeColor="text1"/>
                <w:szCs w:val="21"/>
                <w14:textFill>
                  <w14:solidFill>
                    <w14:schemeClr w14:val="tx1"/>
                  </w14:solidFill>
                </w14:textFill>
              </w:rPr>
              <w:t>②根据铜府办</w:t>
            </w:r>
            <w:r>
              <w:rPr>
                <w:rFonts w:hint="eastAsia" w:eastAsia="宋体"/>
                <w:bCs/>
                <w:color w:val="000000" w:themeColor="text1"/>
                <w:szCs w:val="21"/>
                <w14:textFill>
                  <w14:solidFill>
                    <w14:schemeClr w14:val="tx1"/>
                  </w14:solidFill>
                </w14:textFill>
              </w:rPr>
              <w:t>〔</w:t>
            </w:r>
            <w:r>
              <w:rPr>
                <w:rFonts w:eastAsia="宋体"/>
                <w:bCs/>
                <w:color w:val="000000" w:themeColor="text1"/>
                <w:szCs w:val="21"/>
                <w14:textFill>
                  <w14:solidFill>
                    <w14:schemeClr w14:val="tx1"/>
                  </w14:solidFill>
                </w14:textFill>
              </w:rPr>
              <w:t>2018</w:t>
            </w:r>
            <w:r>
              <w:rPr>
                <w:rFonts w:hint="eastAsia" w:eastAsia="宋体"/>
                <w:bCs/>
                <w:color w:val="000000" w:themeColor="text1"/>
                <w:szCs w:val="21"/>
                <w14:textFill>
                  <w14:solidFill>
                    <w14:schemeClr w14:val="tx1"/>
                  </w14:solidFill>
                </w14:textFill>
              </w:rPr>
              <w:t>〕</w:t>
            </w:r>
            <w:r>
              <w:rPr>
                <w:rFonts w:eastAsia="宋体"/>
                <w:bCs/>
                <w:color w:val="000000" w:themeColor="text1"/>
                <w:szCs w:val="21"/>
                <w14:textFill>
                  <w14:solidFill>
                    <w14:schemeClr w14:val="tx1"/>
                  </w14:solidFill>
                </w14:textFill>
              </w:rPr>
              <w:t>86号文件要求，铜梁区需执行特别排放限值，故</w:t>
            </w:r>
            <w:r>
              <w:rPr>
                <w:rFonts w:eastAsia="宋体"/>
                <w:color w:val="000000" w:themeColor="text1"/>
                <w14:textFill>
                  <w14:solidFill>
                    <w14:schemeClr w14:val="tx1"/>
                  </w14:solidFill>
                </w14:textFill>
              </w:rPr>
              <w:t>厂区内非甲烷总烃无组织排放限值执行《挥发性有机物无组织排放控制标准》（GB37822-2019）特别排放限值。</w:t>
            </w:r>
          </w:p>
          <w:p w14:paraId="0FAF9EF7">
            <w:pPr>
              <w:pStyle w:val="52"/>
              <w:spacing w:before="0" w:after="0" w:line="240" w:lineRule="auto"/>
              <w:ind w:firstLine="0" w:firstLineChars="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表3-7《大气污染物综合排放标准》（DB50/418-2016）</w:t>
            </w:r>
          </w:p>
          <w:tbl>
            <w:tblPr>
              <w:tblStyle w:val="2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569"/>
              <w:gridCol w:w="1045"/>
              <w:gridCol w:w="1307"/>
              <w:gridCol w:w="1307"/>
              <w:gridCol w:w="1308"/>
            </w:tblGrid>
            <w:tr w14:paraId="7A8D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1" w:type="pct"/>
                  <w:vAlign w:val="center"/>
                </w:tcPr>
                <w:p w14:paraId="24E9251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污染物项目</w:t>
                  </w:r>
                </w:p>
              </w:tc>
              <w:tc>
                <w:tcPr>
                  <w:tcW w:w="969" w:type="pct"/>
                  <w:vAlign w:val="center"/>
                </w:tcPr>
                <w:p w14:paraId="13638A5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最高允许排放浓度mg/m</w:t>
                  </w:r>
                  <w:r>
                    <w:rPr>
                      <w:rFonts w:cs="Times New Roman"/>
                      <w:color w:val="000000" w:themeColor="text1"/>
                      <w:vertAlign w:val="superscript"/>
                      <w14:textFill>
                        <w14:solidFill>
                          <w14:schemeClr w14:val="tx1"/>
                        </w14:solidFill>
                      </w14:textFill>
                    </w:rPr>
                    <w:t>3</w:t>
                  </w:r>
                </w:p>
              </w:tc>
              <w:tc>
                <w:tcPr>
                  <w:tcW w:w="645" w:type="pct"/>
                  <w:vAlign w:val="center"/>
                </w:tcPr>
                <w:p w14:paraId="75B4D64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排气筒高度m</w:t>
                  </w:r>
                </w:p>
              </w:tc>
              <w:tc>
                <w:tcPr>
                  <w:tcW w:w="807" w:type="pct"/>
                  <w:vAlign w:val="center"/>
                </w:tcPr>
                <w:p w14:paraId="64B59A6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最高允许排放速率kg/h</w:t>
                  </w:r>
                </w:p>
              </w:tc>
              <w:tc>
                <w:tcPr>
                  <w:tcW w:w="807" w:type="pct"/>
                  <w:vAlign w:val="center"/>
                </w:tcPr>
                <w:p w14:paraId="29C7801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无组织监控点位</w:t>
                  </w:r>
                </w:p>
              </w:tc>
              <w:tc>
                <w:tcPr>
                  <w:tcW w:w="808" w:type="pct"/>
                  <w:vAlign w:val="center"/>
                </w:tcPr>
                <w:p w14:paraId="368CF64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无组织管控限值mg/m</w:t>
                  </w:r>
                  <w:r>
                    <w:rPr>
                      <w:rFonts w:cs="Times New Roman"/>
                      <w:color w:val="000000" w:themeColor="text1"/>
                      <w:vertAlign w:val="superscript"/>
                      <w14:textFill>
                        <w14:solidFill>
                          <w14:schemeClr w14:val="tx1"/>
                        </w14:solidFill>
                      </w14:textFill>
                    </w:rPr>
                    <w:t>3</w:t>
                  </w:r>
                </w:p>
              </w:tc>
            </w:tr>
            <w:tr w14:paraId="2D9D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1" w:type="pct"/>
                  <w:vAlign w:val="center"/>
                </w:tcPr>
                <w:p w14:paraId="5E9C90D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969" w:type="pct"/>
                  <w:vAlign w:val="center"/>
                </w:tcPr>
                <w:p w14:paraId="3BFFB08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w:t>
                  </w:r>
                </w:p>
              </w:tc>
              <w:tc>
                <w:tcPr>
                  <w:tcW w:w="645" w:type="pct"/>
                  <w:vAlign w:val="center"/>
                </w:tcPr>
                <w:p w14:paraId="7514E9B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807" w:type="pct"/>
                  <w:vAlign w:val="center"/>
                </w:tcPr>
                <w:p w14:paraId="1CCC8D3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w:t>
                  </w:r>
                </w:p>
              </w:tc>
              <w:tc>
                <w:tcPr>
                  <w:tcW w:w="807" w:type="pct"/>
                  <w:vMerge w:val="restart"/>
                  <w:vAlign w:val="center"/>
                </w:tcPr>
                <w:p w14:paraId="28483EC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厂界下风向浓度最高点</w:t>
                  </w:r>
                </w:p>
              </w:tc>
              <w:tc>
                <w:tcPr>
                  <w:tcW w:w="808" w:type="pct"/>
                  <w:vAlign w:val="center"/>
                </w:tcPr>
                <w:p w14:paraId="7272184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r>
            <w:tr w14:paraId="2302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1" w:type="pct"/>
                  <w:vAlign w:val="center"/>
                </w:tcPr>
                <w:p w14:paraId="0A8F226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颗粒物</w:t>
                  </w:r>
                </w:p>
              </w:tc>
              <w:tc>
                <w:tcPr>
                  <w:tcW w:w="969" w:type="pct"/>
                  <w:vAlign w:val="center"/>
                </w:tcPr>
                <w:p w14:paraId="0615318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120</w:t>
                  </w:r>
                </w:p>
              </w:tc>
              <w:tc>
                <w:tcPr>
                  <w:tcW w:w="645" w:type="pct"/>
                  <w:vAlign w:val="center"/>
                </w:tcPr>
                <w:p w14:paraId="7AB379F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807" w:type="pct"/>
                  <w:vAlign w:val="center"/>
                </w:tcPr>
                <w:p w14:paraId="4845DDA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8.55*</w:t>
                  </w:r>
                </w:p>
              </w:tc>
              <w:tc>
                <w:tcPr>
                  <w:tcW w:w="807" w:type="pct"/>
                  <w:vMerge w:val="continue"/>
                  <w:vAlign w:val="center"/>
                </w:tcPr>
                <w:p w14:paraId="117C6D6C">
                  <w:pPr>
                    <w:pStyle w:val="85"/>
                    <w:rPr>
                      <w:rFonts w:cs="Times New Roman"/>
                      <w:color w:val="000000" w:themeColor="text1"/>
                      <w14:textFill>
                        <w14:solidFill>
                          <w14:schemeClr w14:val="tx1"/>
                        </w14:solidFill>
                      </w14:textFill>
                    </w:rPr>
                  </w:pPr>
                </w:p>
              </w:tc>
              <w:tc>
                <w:tcPr>
                  <w:tcW w:w="808" w:type="pct"/>
                  <w:vAlign w:val="center"/>
                </w:tcPr>
                <w:p w14:paraId="567EC28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bl>
          <w:p w14:paraId="376A9B53">
            <w:pPr>
              <w:pStyle w:val="52"/>
              <w:adjustRightInd/>
              <w:spacing w:before="0" w:after="0" w:line="240" w:lineRule="auto"/>
              <w:ind w:firstLine="446"/>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注：*表示根据5.2条：DB50/418-2016若某排气筒的高度处于本标准列出的两个值之间，其执行的最高允许排放速率以内插法计算的结果值。</w:t>
            </w:r>
          </w:p>
          <w:p w14:paraId="2AB45E88">
            <w:pPr>
              <w:pStyle w:val="52"/>
              <w:adjustRightInd/>
              <w:spacing w:before="120" w:beforeLines="50" w:after="0" w:line="240" w:lineRule="auto"/>
              <w:ind w:firstLine="0" w:firstLineChars="0"/>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表3-8</w:t>
            </w:r>
            <w:r>
              <w:rPr>
                <w:rFonts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挥发性有机物无组织排放控制标准》（GB37822-2019）</w:t>
            </w:r>
          </w:p>
          <w:tbl>
            <w:tblPr>
              <w:tblStyle w:val="2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1594"/>
              <w:gridCol w:w="1335"/>
              <w:gridCol w:w="1654"/>
              <w:gridCol w:w="1411"/>
            </w:tblGrid>
            <w:tr w14:paraId="2DE8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6" w:type="pct"/>
                  <w:vAlign w:val="center"/>
                </w:tcPr>
                <w:p w14:paraId="059ACCBC">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执行标准</w:t>
                  </w:r>
                </w:p>
              </w:tc>
              <w:tc>
                <w:tcPr>
                  <w:tcW w:w="984" w:type="pct"/>
                  <w:vAlign w:val="center"/>
                </w:tcPr>
                <w:p w14:paraId="2D24C963">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污染物项目</w:t>
                  </w:r>
                </w:p>
              </w:tc>
              <w:tc>
                <w:tcPr>
                  <w:tcW w:w="824" w:type="pct"/>
                  <w:vAlign w:val="center"/>
                </w:tcPr>
                <w:p w14:paraId="0FC8633D">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排放限值</w:t>
                  </w:r>
                </w:p>
                <w:p w14:paraId="38A034DD">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w:t>
                  </w:r>
                </w:p>
              </w:tc>
              <w:tc>
                <w:tcPr>
                  <w:tcW w:w="1021" w:type="pct"/>
                  <w:vAlign w:val="center"/>
                </w:tcPr>
                <w:p w14:paraId="2521B0B5">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限值含义</w:t>
                  </w:r>
                </w:p>
              </w:tc>
              <w:tc>
                <w:tcPr>
                  <w:tcW w:w="871" w:type="pct"/>
                  <w:vAlign w:val="center"/>
                </w:tcPr>
                <w:p w14:paraId="676AD63B">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无组织排放监控位置</w:t>
                  </w:r>
                </w:p>
              </w:tc>
            </w:tr>
            <w:tr w14:paraId="662D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6" w:type="pct"/>
                  <w:vMerge w:val="restart"/>
                  <w:vAlign w:val="center"/>
                </w:tcPr>
                <w:p w14:paraId="71E1762B">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《挥发性有机物无组织排放控制标准》（GB37822-2019）</w:t>
                  </w:r>
                </w:p>
              </w:tc>
              <w:tc>
                <w:tcPr>
                  <w:tcW w:w="984" w:type="pct"/>
                  <w:vMerge w:val="restart"/>
                  <w:vAlign w:val="center"/>
                </w:tcPr>
                <w:p w14:paraId="49D32653">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NMHC</w:t>
                  </w:r>
                </w:p>
              </w:tc>
              <w:tc>
                <w:tcPr>
                  <w:tcW w:w="824" w:type="pct"/>
                  <w:vAlign w:val="center"/>
                </w:tcPr>
                <w:p w14:paraId="4B122114">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1021" w:type="pct"/>
                  <w:vAlign w:val="center"/>
                </w:tcPr>
                <w:p w14:paraId="42C08162">
                  <w:pPr>
                    <w:pStyle w:val="4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监测点处1h平均浓度值</w:t>
                  </w:r>
                </w:p>
              </w:tc>
              <w:tc>
                <w:tcPr>
                  <w:tcW w:w="871" w:type="pct"/>
                  <w:vMerge w:val="restart"/>
                  <w:vAlign w:val="center"/>
                </w:tcPr>
                <w:p w14:paraId="162895AB">
                  <w:pPr>
                    <w:pStyle w:val="4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在厂房外设置监控点</w:t>
                  </w:r>
                </w:p>
              </w:tc>
            </w:tr>
            <w:tr w14:paraId="16F3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6" w:type="pct"/>
                  <w:vMerge w:val="continue"/>
                  <w:vAlign w:val="center"/>
                </w:tcPr>
                <w:p w14:paraId="1622467C">
                  <w:pPr>
                    <w:pStyle w:val="40"/>
                    <w:jc w:val="center"/>
                    <w:rPr>
                      <w:rFonts w:ascii="Times New Roman" w:hAnsi="Times New Roman" w:cs="Times New Roman"/>
                      <w:bCs/>
                      <w:color w:val="000000" w:themeColor="text1"/>
                      <w:sz w:val="21"/>
                      <w:szCs w:val="21"/>
                      <w14:textFill>
                        <w14:solidFill>
                          <w14:schemeClr w14:val="tx1"/>
                        </w14:solidFill>
                      </w14:textFill>
                    </w:rPr>
                  </w:pPr>
                </w:p>
              </w:tc>
              <w:tc>
                <w:tcPr>
                  <w:tcW w:w="984" w:type="pct"/>
                  <w:vMerge w:val="continue"/>
                  <w:vAlign w:val="center"/>
                </w:tcPr>
                <w:p w14:paraId="6235C354">
                  <w:pPr>
                    <w:pStyle w:val="40"/>
                    <w:autoSpaceDE/>
                    <w:autoSpaceDN/>
                    <w:jc w:val="center"/>
                    <w:rPr>
                      <w:rStyle w:val="102"/>
                      <w:rFonts w:hint="default" w:ascii="Times New Roman" w:hAnsi="Times New Roman" w:cs="Times New Roman"/>
                      <w:color w:val="000000" w:themeColor="text1"/>
                      <w:sz w:val="21"/>
                      <w:szCs w:val="21"/>
                      <w14:textFill>
                        <w14:solidFill>
                          <w14:schemeClr w14:val="tx1"/>
                        </w14:solidFill>
                      </w14:textFill>
                    </w:rPr>
                  </w:pPr>
                </w:p>
              </w:tc>
              <w:tc>
                <w:tcPr>
                  <w:tcW w:w="824" w:type="pct"/>
                  <w:vAlign w:val="center"/>
                </w:tcPr>
                <w:p w14:paraId="35EE27B5">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c>
                <w:tcPr>
                  <w:tcW w:w="1021" w:type="pct"/>
                  <w:vAlign w:val="center"/>
                </w:tcPr>
                <w:p w14:paraId="6BC77884">
                  <w:pPr>
                    <w:pStyle w:val="4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监控点处任意一次浓度值</w:t>
                  </w:r>
                </w:p>
              </w:tc>
              <w:tc>
                <w:tcPr>
                  <w:tcW w:w="871" w:type="pct"/>
                  <w:vMerge w:val="continue"/>
                  <w:vAlign w:val="center"/>
                </w:tcPr>
                <w:p w14:paraId="2CD27B8A">
                  <w:pPr>
                    <w:pStyle w:val="40"/>
                    <w:jc w:val="center"/>
                    <w:rPr>
                      <w:rFonts w:ascii="Times New Roman" w:hAnsi="Times New Roman" w:cs="Times New Roman"/>
                      <w:color w:val="000000" w:themeColor="text1"/>
                      <w:sz w:val="21"/>
                      <w:szCs w:val="21"/>
                      <w14:textFill>
                        <w14:solidFill>
                          <w14:schemeClr w14:val="tx1"/>
                        </w14:solidFill>
                      </w14:textFill>
                    </w:rPr>
                  </w:pPr>
                </w:p>
              </w:tc>
            </w:tr>
          </w:tbl>
          <w:p w14:paraId="5BE86EA7">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2、废水</w:t>
            </w:r>
          </w:p>
          <w:p w14:paraId="766A8262">
            <w:pPr>
              <w:pStyle w:val="137"/>
              <w:rPr>
                <w:rFonts w:eastAsia="宋体"/>
                <w:color w:val="000000" w:themeColor="text1"/>
                <w:szCs w:val="21"/>
                <w14:textFill>
                  <w14:solidFill>
                    <w14:schemeClr w14:val="tx1"/>
                  </w14:solidFill>
                </w14:textFill>
              </w:rPr>
            </w:pPr>
            <w:r>
              <w:rPr>
                <w:rFonts w:eastAsia="宋体"/>
                <w:color w:val="000000" w:themeColor="text1"/>
                <w14:textFill>
                  <w14:solidFill>
                    <w14:schemeClr w14:val="tx1"/>
                  </w14:solidFill>
                </w14:textFill>
              </w:rPr>
              <w:t>项目生产废水（员工洗手废水、地坪清洁废水</w:t>
            </w: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清洗废水、空压机冷凝废水</w:t>
            </w:r>
            <w:r>
              <w:rPr>
                <w:rFonts w:eastAsia="宋体"/>
                <w:color w:val="000000" w:themeColor="text1"/>
                <w14:textFill>
                  <w14:solidFill>
                    <w14:schemeClr w14:val="tx1"/>
                  </w14:solidFill>
                </w14:textFill>
              </w:rPr>
              <w:t>）经</w:t>
            </w:r>
            <w:r>
              <w:rPr>
                <w:rFonts w:hint="eastAsia" w:eastAsia="宋体"/>
                <w:color w:val="000000" w:themeColor="text1"/>
                <w:lang w:eastAsia="zh-CN"/>
                <w14:textFill>
                  <w14:solidFill>
                    <w14:schemeClr w14:val="tx1"/>
                  </w14:solidFill>
                </w14:textFill>
              </w:rPr>
              <w:t>隔油沉淀池</w:t>
            </w:r>
            <w:r>
              <w:rPr>
                <w:rFonts w:eastAsia="宋体"/>
                <w:color w:val="000000" w:themeColor="text1"/>
                <w14:textFill>
                  <w14:solidFill>
                    <w14:schemeClr w14:val="tx1"/>
                  </w14:solidFill>
                </w14:textFill>
              </w:rPr>
              <w:t>预处理后与生活污水一起排入小米智能制造产业园生化池处理达《污水综合排放标准》（GB8978-1996）三级标准后</w:t>
            </w:r>
            <w:r>
              <w:rPr>
                <w:rFonts w:eastAsia="宋体"/>
                <w:color w:val="000000" w:themeColor="text1"/>
                <w:szCs w:val="21"/>
                <w14:textFill>
                  <w14:solidFill>
                    <w14:schemeClr w14:val="tx1"/>
                  </w14:solidFill>
                </w14:textFill>
              </w:rPr>
              <w:t>再排入市政污水管网，最终进入蒲吕污水处理厂深度处理达一级A标准后排入小安溪。</w:t>
            </w:r>
          </w:p>
          <w:p w14:paraId="7D2DA9B8">
            <w:pPr>
              <w:snapToGrid w:val="0"/>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表3-9污水排放标准单位：mg/L</w:t>
            </w:r>
          </w:p>
          <w:tbl>
            <w:tblPr>
              <w:tblStyle w:val="25"/>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844"/>
              <w:gridCol w:w="707"/>
              <w:gridCol w:w="844"/>
              <w:gridCol w:w="987"/>
              <w:gridCol w:w="565"/>
              <w:gridCol w:w="988"/>
              <w:gridCol w:w="637"/>
            </w:tblGrid>
            <w:tr w14:paraId="2D55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vAlign w:val="center"/>
                </w:tcPr>
                <w:p w14:paraId="0F8D067C">
                  <w:pPr>
                    <w:ind w:left="-10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c>
                <w:tcPr>
                  <w:tcW w:w="522" w:type="pct"/>
                  <w:vAlign w:val="center"/>
                </w:tcPr>
                <w:p w14:paraId="11C48C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37" w:type="pct"/>
                  <w:vAlign w:val="center"/>
                </w:tcPr>
                <w:p w14:paraId="326CC2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522" w:type="pct"/>
                  <w:vAlign w:val="center"/>
                </w:tcPr>
                <w:p w14:paraId="2C91AA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610" w:type="pct"/>
                  <w:vAlign w:val="center"/>
                </w:tcPr>
                <w:p w14:paraId="678F78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349" w:type="pct"/>
                  <w:vAlign w:val="center"/>
                </w:tcPr>
                <w:p w14:paraId="3CAAC0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611" w:type="pct"/>
                  <w:vAlign w:val="center"/>
                </w:tcPr>
                <w:p w14:paraId="78EDC7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393" w:type="pct"/>
                  <w:vAlign w:val="center"/>
                </w:tcPr>
                <w:p w14:paraId="20485F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r>
            <w:tr w14:paraId="704D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6" w:type="pct"/>
                  <w:vAlign w:val="center"/>
                </w:tcPr>
                <w:p w14:paraId="05CF97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《污水综合排放标准》（GB8978-1996）中三级标准</w:t>
                  </w:r>
                </w:p>
              </w:tc>
              <w:tc>
                <w:tcPr>
                  <w:tcW w:w="522" w:type="pct"/>
                  <w:vAlign w:val="center"/>
                </w:tcPr>
                <w:p w14:paraId="4AD258C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437" w:type="pct"/>
                  <w:vAlign w:val="center"/>
                </w:tcPr>
                <w:p w14:paraId="77C8CD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22" w:type="pct"/>
                  <w:vAlign w:val="center"/>
                </w:tcPr>
                <w:p w14:paraId="45F0CC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610" w:type="pct"/>
                  <w:vAlign w:val="center"/>
                </w:tcPr>
                <w:p w14:paraId="28A1C7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r>
                    <w:rPr>
                      <w:color w:val="000000" w:themeColor="text1"/>
                      <w:szCs w:val="21"/>
                      <w:vertAlign w:val="superscript"/>
                      <w14:textFill>
                        <w14:solidFill>
                          <w14:schemeClr w14:val="tx1"/>
                        </w14:solidFill>
                      </w14:textFill>
                    </w:rPr>
                    <w:t>a</w:t>
                  </w:r>
                </w:p>
              </w:tc>
              <w:tc>
                <w:tcPr>
                  <w:tcW w:w="349" w:type="pct"/>
                  <w:vAlign w:val="center"/>
                </w:tcPr>
                <w:p w14:paraId="62F235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611" w:type="pct"/>
                  <w:vAlign w:val="center"/>
                </w:tcPr>
                <w:p w14:paraId="047CEF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93" w:type="pct"/>
                  <w:vAlign w:val="center"/>
                </w:tcPr>
                <w:p w14:paraId="0171F1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r>
                    <w:rPr>
                      <w:color w:val="000000" w:themeColor="text1"/>
                      <w:szCs w:val="21"/>
                      <w:vertAlign w:val="superscript"/>
                      <w14:textFill>
                        <w14:solidFill>
                          <w14:schemeClr w14:val="tx1"/>
                        </w14:solidFill>
                      </w14:textFill>
                    </w:rPr>
                    <w:t>a</w:t>
                  </w:r>
                </w:p>
              </w:tc>
            </w:tr>
            <w:tr w14:paraId="3F5F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56" w:type="pct"/>
                  <w:vAlign w:val="center"/>
                </w:tcPr>
                <w:p w14:paraId="369C14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《城镇污水处理厂污染物排放标准》（GB18918-2002）一级A标准</w:t>
                  </w:r>
                </w:p>
              </w:tc>
              <w:tc>
                <w:tcPr>
                  <w:tcW w:w="522" w:type="pct"/>
                  <w:vAlign w:val="center"/>
                </w:tcPr>
                <w:p w14:paraId="14536ED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437" w:type="pct"/>
                  <w:vAlign w:val="center"/>
                </w:tcPr>
                <w:p w14:paraId="58B703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522" w:type="pct"/>
                  <w:vAlign w:val="center"/>
                </w:tcPr>
                <w:p w14:paraId="4D267C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10" w:type="pct"/>
                  <w:vAlign w:val="center"/>
                </w:tcPr>
                <w:p w14:paraId="07514F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r>
                    <w:rPr>
                      <w:color w:val="000000" w:themeColor="text1"/>
                      <w:szCs w:val="21"/>
                      <w:vertAlign w:val="superscript"/>
                      <w14:textFill>
                        <w14:solidFill>
                          <w14:schemeClr w14:val="tx1"/>
                        </w14:solidFill>
                      </w14:textFill>
                    </w:rPr>
                    <w:t>b</w:t>
                  </w:r>
                </w:p>
              </w:tc>
              <w:tc>
                <w:tcPr>
                  <w:tcW w:w="349" w:type="pct"/>
                  <w:vAlign w:val="center"/>
                </w:tcPr>
                <w:p w14:paraId="0787AB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11" w:type="pct"/>
                  <w:vAlign w:val="center"/>
                </w:tcPr>
                <w:p w14:paraId="56D12F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93" w:type="pct"/>
                  <w:vAlign w:val="center"/>
                </w:tcPr>
                <w:p w14:paraId="56DD4E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33A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8"/>
                  <w:vAlign w:val="center"/>
                </w:tcPr>
                <w:p w14:paraId="1BB5A77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注a：源自《重庆铜梁高新区铜梁片区及全蒲片区规划环境影响跟踪评价报告书》中关于氨氮、总磷的管控要求。</w:t>
                  </w:r>
                </w:p>
                <w:p w14:paraId="23B1E006">
                  <w:pPr>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b：括号外数值为水温＞12℃时的控制指标，括号内数值为水温≤12℃时的控制指标。</w:t>
                  </w:r>
                </w:p>
              </w:tc>
            </w:tr>
          </w:tbl>
          <w:p w14:paraId="3AC8AF29">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3、噪声</w:t>
            </w:r>
          </w:p>
          <w:p w14:paraId="4B82EB5D">
            <w:pPr>
              <w:pStyle w:val="137"/>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施工期：施工期场界噪声执行《建筑施工场界环境噪声排放标准》（GB12523-2011）；</w:t>
            </w:r>
          </w:p>
          <w:p w14:paraId="095DA20B">
            <w:pPr>
              <w:pStyle w:val="137"/>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运营期：根据</w:t>
            </w:r>
            <w:r>
              <w:rPr>
                <w:rFonts w:eastAsia="宋体"/>
                <w:color w:val="000000" w:themeColor="text1"/>
                <w14:textFill>
                  <w14:solidFill>
                    <w14:schemeClr w14:val="tx1"/>
                  </w14:solidFill>
                </w14:textFill>
              </w:rPr>
              <w:t>《重庆市铜梁区声环境功能区划分调整方案》（铜府办〔2023〕17号）及园区规划环评，项目所在地属于3类声环境功能区，</w:t>
            </w:r>
            <w:r>
              <w:rPr>
                <w:rFonts w:eastAsia="宋体"/>
                <w:color w:val="000000" w:themeColor="text1"/>
                <w:kern w:val="0"/>
                <w14:textFill>
                  <w14:solidFill>
                    <w14:schemeClr w14:val="tx1"/>
                  </w14:solidFill>
                </w14:textFill>
              </w:rPr>
              <w:t>厂界噪声执行《工业企业厂界环境噪声排放标准》（GB12348-2008）中的3类标准。</w:t>
            </w:r>
          </w:p>
          <w:p w14:paraId="10FCDD42">
            <w:pPr>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表3-10噪声排放限值一览表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086"/>
              <w:gridCol w:w="1273"/>
              <w:gridCol w:w="1978"/>
              <w:gridCol w:w="1761"/>
            </w:tblGrid>
            <w:tr w14:paraId="0AC88B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06" w:type="pct"/>
                  <w:tcBorders>
                    <w:bottom w:val="single" w:color="auto" w:sz="4" w:space="0"/>
                    <w:right w:val="single" w:color="auto" w:sz="6" w:space="0"/>
                  </w:tcBorders>
                  <w:vAlign w:val="center"/>
                </w:tcPr>
                <w:p w14:paraId="00A9997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执行标准</w:t>
                  </w:r>
                </w:p>
              </w:tc>
              <w:tc>
                <w:tcPr>
                  <w:tcW w:w="786" w:type="pct"/>
                  <w:tcBorders>
                    <w:left w:val="single" w:color="auto" w:sz="6" w:space="0"/>
                    <w:bottom w:val="single" w:color="auto" w:sz="6" w:space="0"/>
                    <w:right w:val="single" w:color="auto" w:sz="4" w:space="0"/>
                  </w:tcBorders>
                  <w:vAlign w:val="center"/>
                </w:tcPr>
                <w:p w14:paraId="0AF63BE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时段</w:t>
                  </w:r>
                </w:p>
              </w:tc>
              <w:tc>
                <w:tcPr>
                  <w:tcW w:w="1221" w:type="pct"/>
                  <w:tcBorders>
                    <w:left w:val="single" w:color="auto" w:sz="4" w:space="0"/>
                    <w:bottom w:val="single" w:color="auto" w:sz="6" w:space="0"/>
                    <w:right w:val="single" w:color="auto" w:sz="4" w:space="0"/>
                  </w:tcBorders>
                  <w:vAlign w:val="center"/>
                </w:tcPr>
                <w:p w14:paraId="2C36B10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标准值dB(A)</w:t>
                  </w:r>
                </w:p>
              </w:tc>
              <w:tc>
                <w:tcPr>
                  <w:tcW w:w="1087" w:type="pct"/>
                  <w:tcBorders>
                    <w:left w:val="single" w:color="auto" w:sz="4" w:space="0"/>
                    <w:bottom w:val="single" w:color="auto" w:sz="6" w:space="0"/>
                  </w:tcBorders>
                  <w:vAlign w:val="center"/>
                </w:tcPr>
                <w:p w14:paraId="3E8EC2D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执行时段</w:t>
                  </w:r>
                </w:p>
              </w:tc>
            </w:tr>
            <w:tr w14:paraId="765C3F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06" w:type="pct"/>
                  <w:vMerge w:val="restart"/>
                  <w:tcBorders>
                    <w:top w:val="single" w:color="auto" w:sz="4" w:space="0"/>
                    <w:right w:val="single" w:color="auto" w:sz="6" w:space="0"/>
                  </w:tcBorders>
                  <w:vAlign w:val="center"/>
                </w:tcPr>
                <w:p w14:paraId="02427FB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《建筑施工场界环境噪声排放标准》（GB12523-2011）</w:t>
                  </w:r>
                </w:p>
              </w:tc>
              <w:tc>
                <w:tcPr>
                  <w:tcW w:w="786" w:type="pct"/>
                  <w:tcBorders>
                    <w:top w:val="single" w:color="auto" w:sz="6" w:space="0"/>
                    <w:left w:val="single" w:color="auto" w:sz="6" w:space="0"/>
                    <w:bottom w:val="single" w:color="auto" w:sz="6" w:space="0"/>
                    <w:right w:val="single" w:color="auto" w:sz="4" w:space="0"/>
                  </w:tcBorders>
                  <w:vAlign w:val="center"/>
                </w:tcPr>
                <w:p w14:paraId="0DE560A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1221" w:type="pct"/>
                  <w:tcBorders>
                    <w:top w:val="single" w:color="auto" w:sz="6" w:space="0"/>
                    <w:left w:val="single" w:color="auto" w:sz="4" w:space="0"/>
                    <w:bottom w:val="single" w:color="auto" w:sz="6" w:space="0"/>
                    <w:right w:val="single" w:color="auto" w:sz="4" w:space="0"/>
                  </w:tcBorders>
                  <w:vAlign w:val="center"/>
                </w:tcPr>
                <w:p w14:paraId="16859BCD">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70</w:t>
                  </w:r>
                </w:p>
              </w:tc>
              <w:tc>
                <w:tcPr>
                  <w:tcW w:w="1087" w:type="pct"/>
                  <w:vMerge w:val="restart"/>
                  <w:tcBorders>
                    <w:top w:val="single" w:color="auto" w:sz="6" w:space="0"/>
                    <w:left w:val="single" w:color="auto" w:sz="4" w:space="0"/>
                  </w:tcBorders>
                  <w:vAlign w:val="center"/>
                </w:tcPr>
                <w:p w14:paraId="6892C63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r>
            <w:tr w14:paraId="58FBE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06" w:type="pct"/>
                  <w:vMerge w:val="continue"/>
                  <w:tcBorders>
                    <w:bottom w:val="single" w:color="auto" w:sz="6" w:space="0"/>
                    <w:right w:val="single" w:color="auto" w:sz="6" w:space="0"/>
                  </w:tcBorders>
                  <w:vAlign w:val="center"/>
                </w:tcPr>
                <w:p w14:paraId="49393587">
                  <w:pPr>
                    <w:pStyle w:val="85"/>
                    <w:rPr>
                      <w:rFonts w:cs="Times New Roman"/>
                      <w:color w:val="000000" w:themeColor="text1"/>
                      <w14:textFill>
                        <w14:solidFill>
                          <w14:schemeClr w14:val="tx1"/>
                        </w14:solidFill>
                      </w14:textFill>
                    </w:rPr>
                  </w:pPr>
                </w:p>
              </w:tc>
              <w:tc>
                <w:tcPr>
                  <w:tcW w:w="786" w:type="pct"/>
                  <w:tcBorders>
                    <w:top w:val="single" w:color="auto" w:sz="6" w:space="0"/>
                    <w:left w:val="single" w:color="auto" w:sz="6" w:space="0"/>
                    <w:bottom w:val="single" w:color="auto" w:sz="6" w:space="0"/>
                    <w:right w:val="single" w:color="auto" w:sz="6" w:space="0"/>
                  </w:tcBorders>
                  <w:vAlign w:val="center"/>
                </w:tcPr>
                <w:p w14:paraId="3523FCE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1221" w:type="pct"/>
                  <w:tcBorders>
                    <w:top w:val="single" w:color="auto" w:sz="6" w:space="0"/>
                    <w:left w:val="single" w:color="auto" w:sz="6" w:space="0"/>
                    <w:bottom w:val="single" w:color="auto" w:sz="6" w:space="0"/>
                    <w:right w:val="single" w:color="auto" w:sz="4" w:space="0"/>
                  </w:tcBorders>
                  <w:vAlign w:val="center"/>
                </w:tcPr>
                <w:p w14:paraId="0C04773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087" w:type="pct"/>
                  <w:vMerge w:val="continue"/>
                  <w:tcBorders>
                    <w:left w:val="single" w:color="auto" w:sz="4" w:space="0"/>
                    <w:bottom w:val="single" w:color="auto" w:sz="6" w:space="0"/>
                  </w:tcBorders>
                  <w:vAlign w:val="center"/>
                </w:tcPr>
                <w:p w14:paraId="74384F88">
                  <w:pPr>
                    <w:pStyle w:val="85"/>
                    <w:rPr>
                      <w:rFonts w:cs="Times New Roman"/>
                      <w:color w:val="000000" w:themeColor="text1"/>
                      <w14:textFill>
                        <w14:solidFill>
                          <w14:schemeClr w14:val="tx1"/>
                        </w14:solidFill>
                      </w14:textFill>
                    </w:rPr>
                  </w:pPr>
                </w:p>
              </w:tc>
            </w:tr>
            <w:tr w14:paraId="214DB9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06" w:type="pct"/>
                  <w:vMerge w:val="restart"/>
                  <w:tcBorders>
                    <w:top w:val="single" w:color="auto" w:sz="6" w:space="0"/>
                    <w:right w:val="single" w:color="auto" w:sz="6" w:space="0"/>
                  </w:tcBorders>
                  <w:vAlign w:val="center"/>
                </w:tcPr>
                <w:p w14:paraId="6A01DEF8">
                  <w:pPr>
                    <w:pStyle w:val="8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《工业企业厂界环境噪声排放标准》（GB12348-2008）</w:t>
                  </w:r>
                </w:p>
              </w:tc>
              <w:tc>
                <w:tcPr>
                  <w:tcW w:w="786" w:type="pct"/>
                  <w:tcBorders>
                    <w:top w:val="single" w:color="auto" w:sz="6" w:space="0"/>
                    <w:left w:val="single" w:color="auto" w:sz="6" w:space="0"/>
                    <w:bottom w:val="single" w:color="auto" w:sz="6" w:space="0"/>
                    <w:right w:val="single" w:color="auto" w:sz="6" w:space="0"/>
                  </w:tcBorders>
                  <w:vAlign w:val="center"/>
                </w:tcPr>
                <w:p w14:paraId="245E73D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昼间</w:t>
                  </w:r>
                </w:p>
              </w:tc>
              <w:tc>
                <w:tcPr>
                  <w:tcW w:w="1221" w:type="pct"/>
                  <w:tcBorders>
                    <w:top w:val="single" w:color="auto" w:sz="6" w:space="0"/>
                    <w:left w:val="single" w:color="auto" w:sz="6" w:space="0"/>
                    <w:bottom w:val="single" w:color="auto" w:sz="6" w:space="0"/>
                    <w:right w:val="single" w:color="auto" w:sz="4" w:space="0"/>
                  </w:tcBorders>
                  <w:vAlign w:val="center"/>
                </w:tcPr>
                <w:p w14:paraId="34EEC2F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1087" w:type="pct"/>
                  <w:vMerge w:val="restart"/>
                  <w:tcBorders>
                    <w:top w:val="single" w:color="auto" w:sz="6" w:space="0"/>
                    <w:left w:val="single" w:color="auto" w:sz="4" w:space="0"/>
                  </w:tcBorders>
                  <w:vAlign w:val="center"/>
                </w:tcPr>
                <w:p w14:paraId="2549D71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运营期</w:t>
                  </w:r>
                </w:p>
              </w:tc>
            </w:tr>
            <w:tr w14:paraId="3212D6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906" w:type="pct"/>
                  <w:vMerge w:val="continue"/>
                  <w:tcBorders>
                    <w:right w:val="single" w:color="auto" w:sz="6" w:space="0"/>
                  </w:tcBorders>
                  <w:vAlign w:val="center"/>
                </w:tcPr>
                <w:p w14:paraId="7A6BA07C">
                  <w:pPr>
                    <w:pStyle w:val="85"/>
                    <w:rPr>
                      <w:rFonts w:cs="Times New Roman"/>
                      <w:color w:val="000000" w:themeColor="text1"/>
                      <w14:textFill>
                        <w14:solidFill>
                          <w14:schemeClr w14:val="tx1"/>
                        </w14:solidFill>
                      </w14:textFill>
                    </w:rPr>
                  </w:pPr>
                </w:p>
              </w:tc>
              <w:tc>
                <w:tcPr>
                  <w:tcW w:w="786" w:type="pct"/>
                  <w:tcBorders>
                    <w:top w:val="single" w:color="auto" w:sz="6" w:space="0"/>
                    <w:left w:val="single" w:color="auto" w:sz="6" w:space="0"/>
                    <w:right w:val="single" w:color="auto" w:sz="6" w:space="0"/>
                  </w:tcBorders>
                  <w:vAlign w:val="center"/>
                </w:tcPr>
                <w:p w14:paraId="4FEB339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夜间</w:t>
                  </w:r>
                </w:p>
              </w:tc>
              <w:tc>
                <w:tcPr>
                  <w:tcW w:w="1221" w:type="pct"/>
                  <w:tcBorders>
                    <w:top w:val="single" w:color="auto" w:sz="6" w:space="0"/>
                    <w:left w:val="single" w:color="auto" w:sz="6" w:space="0"/>
                    <w:right w:val="single" w:color="auto" w:sz="4" w:space="0"/>
                  </w:tcBorders>
                  <w:vAlign w:val="center"/>
                </w:tcPr>
                <w:p w14:paraId="701BA76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w:t>
                  </w:r>
                </w:p>
              </w:tc>
              <w:tc>
                <w:tcPr>
                  <w:tcW w:w="1087" w:type="pct"/>
                  <w:vMerge w:val="continue"/>
                  <w:tcBorders>
                    <w:left w:val="single" w:color="auto" w:sz="4" w:space="0"/>
                  </w:tcBorders>
                  <w:vAlign w:val="center"/>
                </w:tcPr>
                <w:p w14:paraId="6A8EACD9">
                  <w:pPr>
                    <w:pStyle w:val="85"/>
                    <w:rPr>
                      <w:rFonts w:cs="Times New Roman"/>
                      <w:color w:val="000000" w:themeColor="text1"/>
                      <w14:textFill>
                        <w14:solidFill>
                          <w14:schemeClr w14:val="tx1"/>
                        </w14:solidFill>
                      </w14:textFill>
                    </w:rPr>
                  </w:pPr>
                </w:p>
              </w:tc>
            </w:tr>
          </w:tbl>
          <w:p w14:paraId="1FD6E3B5">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4、固体废物</w:t>
            </w:r>
          </w:p>
          <w:p w14:paraId="590ED0B6">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危险废物执行《危险废物贮存污染控制标准》（GB18597-2023）相关要求，危险废物转移执行《危险废物转移管理办法》（生态环境部公安部交通运输部部令第23号）中的相关要求；一般工业固废参照执行《一般工业固体废物贮存和填埋污染控制标准》（GB18599-2020），采用库房、包装工具（罐、桶、包装袋等）贮存一般工业固体废物过程的污染控制不适用于本标准，其贮存过程应当满足相应防渗漏、防雨淋、防扬尘等环境保护要求。</w:t>
            </w:r>
          </w:p>
        </w:tc>
      </w:tr>
      <w:tr w14:paraId="1B91D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tcMar>
              <w:left w:w="28" w:type="dxa"/>
              <w:right w:w="28" w:type="dxa"/>
            </w:tcMar>
            <w:vAlign w:val="center"/>
          </w:tcPr>
          <w:p w14:paraId="1859CD51">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14:textFill>
                  <w14:solidFill>
                    <w14:schemeClr w14:val="tx1"/>
                  </w14:solidFill>
                </w14:textFill>
              </w:rPr>
              <w:t>总量控制指标</w:t>
            </w:r>
          </w:p>
        </w:tc>
        <w:tc>
          <w:tcPr>
            <w:tcW w:w="8326" w:type="dxa"/>
            <w:vAlign w:val="center"/>
          </w:tcPr>
          <w:p w14:paraId="4F57D15F">
            <w:pPr>
              <w:adjustRightInd w:val="0"/>
              <w:snapToGrid w:val="0"/>
              <w:spacing w:line="360" w:lineRule="auto"/>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废水：</w:t>
            </w:r>
          </w:p>
          <w:p w14:paraId="6569379F">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最终排入外环境的量：COD：</w:t>
            </w:r>
            <w:r>
              <w:rPr>
                <w:color w:val="000000" w:themeColor="text1"/>
                <w:szCs w:val="21"/>
                <w14:textFill>
                  <w14:solidFill>
                    <w14:schemeClr w14:val="tx1"/>
                  </w14:solidFill>
                </w14:textFill>
              </w:rPr>
              <w:t>0.0186</w:t>
            </w:r>
            <w:r>
              <w:rPr>
                <w:color w:val="000000" w:themeColor="text1"/>
                <w:kern w:val="0"/>
                <w:sz w:val="24"/>
                <w14:textFill>
                  <w14:solidFill>
                    <w14:schemeClr w14:val="tx1"/>
                  </w14:solidFill>
                </w14:textFill>
              </w:rPr>
              <w:t>t/a，氨氮：0.0019t/a。</w:t>
            </w:r>
          </w:p>
          <w:p w14:paraId="40144DCF">
            <w:pPr>
              <w:adjustRightInd w:val="0"/>
              <w:snapToGrid w:val="0"/>
              <w:spacing w:line="360" w:lineRule="auto"/>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废气：</w:t>
            </w:r>
          </w:p>
          <w:p w14:paraId="51742B4A">
            <w:pPr>
              <w:pStyle w:val="137"/>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颗粒物：0.112t/a，非甲烷总烃：0.015t/a。</w:t>
            </w:r>
          </w:p>
          <w:p w14:paraId="537FE4EE">
            <w:pPr>
              <w:pStyle w:val="137"/>
              <w:rPr>
                <w:color w:val="000000" w:themeColor="text1"/>
                <w:kern w:val="0"/>
                <w:sz w:val="24"/>
                <w14:textFill>
                  <w14:solidFill>
                    <w14:schemeClr w14:val="tx1"/>
                  </w14:solidFill>
                </w14:textFill>
              </w:rPr>
            </w:pPr>
          </w:p>
        </w:tc>
      </w:tr>
    </w:tbl>
    <w:p w14:paraId="11D85C1B">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r>
        <w:rPr>
          <w:rFonts w:ascii="Times New Roman" w:hAnsi="Times New Roman" w:cs="Times New Roman"/>
          <w:snapToGrid w:val="0"/>
          <w:color w:val="000000" w:themeColor="text1"/>
          <w:sz w:val="36"/>
          <w:szCs w:val="36"/>
          <w14:textFill>
            <w14:solidFill>
              <w14:schemeClr w14:val="tx1"/>
            </w14:solidFill>
          </w14:textFill>
        </w:rPr>
        <w:br w:type="page"/>
      </w:r>
      <w:r>
        <w:rPr>
          <w:rFonts w:ascii="Times New Roman" w:hAnsi="Times New Roman" w:cs="Times New Roman"/>
          <w:b/>
          <w:snapToGrid w:val="0"/>
          <w:color w:val="000000" w:themeColor="text1"/>
          <w:sz w:val="30"/>
          <w:szCs w:val="30"/>
          <w14:textFill>
            <w14:solidFill>
              <w14:schemeClr w14:val="tx1"/>
            </w14:solidFill>
          </w14:textFill>
        </w:rPr>
        <w:t>四、主要环境影响和保护措施</w:t>
      </w:r>
    </w:p>
    <w:tbl>
      <w:tblPr>
        <w:tblStyle w:val="26"/>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8651"/>
      </w:tblGrid>
      <w:tr w14:paraId="6133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1C1B16C9">
            <w:pPr>
              <w:pStyle w:val="22"/>
              <w:adjustRightInd w:val="0"/>
              <w:snapToGrid w:val="0"/>
              <w:spacing w:before="0" w:beforeAutospacing="0" w:after="0" w:afterAutospacing="0" w:line="360" w:lineRule="auto"/>
              <w:jc w:val="center"/>
              <w:rPr>
                <w:rFonts w:ascii="Times New Roman" w:hAnsi="Times New Roman" w:cs="Times New Roman"/>
                <w:b/>
                <w:snapToGrid w:val="0"/>
                <w:color w:val="000000" w:themeColor="text1"/>
                <w:sz w:val="30"/>
                <w:szCs w:val="30"/>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施工期环境保护措施</w:t>
            </w:r>
          </w:p>
        </w:tc>
        <w:tc>
          <w:tcPr>
            <w:tcW w:w="8380" w:type="dxa"/>
            <w:vAlign w:val="center"/>
          </w:tcPr>
          <w:p w14:paraId="68882B1D">
            <w:pPr>
              <w:pStyle w:val="137"/>
              <w:rPr>
                <w:rFonts w:eastAsia="宋体"/>
                <w:b/>
                <w:color w:val="000000" w:themeColor="text1"/>
                <w:sz w:val="28"/>
                <w:szCs w:val="28"/>
                <w14:textFill>
                  <w14:solidFill>
                    <w14:schemeClr w14:val="tx1"/>
                  </w14:solidFill>
                </w14:textFill>
              </w:rPr>
            </w:pPr>
            <w:r>
              <w:rPr>
                <w:rFonts w:eastAsia="宋体"/>
                <w:b/>
                <w:bCs/>
                <w:color w:val="000000" w:themeColor="text1"/>
                <w:sz w:val="28"/>
                <w:szCs w:val="28"/>
                <w14:textFill>
                  <w14:solidFill>
                    <w14:schemeClr w14:val="tx1"/>
                  </w14:solidFill>
                </w14:textFill>
              </w:rPr>
              <w:t>4.1</w:t>
            </w:r>
            <w:r>
              <w:rPr>
                <w:rFonts w:eastAsia="宋体"/>
                <w:b/>
                <w:color w:val="000000" w:themeColor="text1"/>
                <w:sz w:val="28"/>
                <w:szCs w:val="28"/>
                <w14:textFill>
                  <w14:solidFill>
                    <w14:schemeClr w14:val="tx1"/>
                  </w14:solidFill>
                </w14:textFill>
              </w:rPr>
              <w:t>施工期环境保护措施</w:t>
            </w:r>
          </w:p>
          <w:p w14:paraId="7D3DCA5A">
            <w:pPr>
              <w:pStyle w:val="137"/>
              <w:rPr>
                <w:rFonts w:eastAsia="宋体"/>
                <w:b/>
                <w:color w:val="000000" w:themeColor="text1"/>
                <w14:textFill>
                  <w14:solidFill>
                    <w14:schemeClr w14:val="tx1"/>
                  </w14:solidFill>
                </w14:textFill>
              </w:rPr>
            </w:pPr>
            <w:r>
              <w:rPr>
                <w:rFonts w:eastAsia="宋体"/>
                <w:b/>
                <w:bCs/>
                <w:color w:val="000000" w:themeColor="text1"/>
                <w14:textFill>
                  <w14:solidFill>
                    <w14:schemeClr w14:val="tx1"/>
                  </w14:solidFill>
                </w14:textFill>
              </w:rPr>
              <w:t>4.1.1</w:t>
            </w:r>
            <w:r>
              <w:rPr>
                <w:rFonts w:eastAsia="宋体"/>
                <w:b/>
                <w:color w:val="000000" w:themeColor="text1"/>
                <w14:textFill>
                  <w14:solidFill>
                    <w14:schemeClr w14:val="tx1"/>
                  </w14:solidFill>
                </w14:textFill>
              </w:rPr>
              <w:t>废水</w:t>
            </w:r>
          </w:p>
          <w:p w14:paraId="4F946EED">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项目位于小米智能制造产业园，园内已建的成熟生活配套设施，包括：倒班宿舍楼、食堂等，施工人员可有偿自行解决食宿。施工期间场地内不设置施工营地。</w:t>
            </w:r>
          </w:p>
          <w:p w14:paraId="1E47A59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施工人员生活污水经小米智能制造产业园现有生化池处理达《污水综合排放标准》（GB8978-1996）三级标准后，经市政污水管网进入蒲吕污水处理厂进一步处理达《城镇污水处理厂污染物排放标准》（GB18918-2002）一级A标准后排入小安溪。</w:t>
            </w:r>
          </w:p>
          <w:p w14:paraId="3ABCC77D">
            <w:pPr>
              <w:pStyle w:val="137"/>
              <w:rPr>
                <w:rFonts w:eastAsia="宋体"/>
                <w:b/>
                <w:color w:val="000000" w:themeColor="text1"/>
                <w14:textFill>
                  <w14:solidFill>
                    <w14:schemeClr w14:val="tx1"/>
                  </w14:solidFill>
                </w14:textFill>
              </w:rPr>
            </w:pPr>
            <w:r>
              <w:rPr>
                <w:rFonts w:eastAsia="宋体"/>
                <w:b/>
                <w:bCs/>
                <w:color w:val="000000" w:themeColor="text1"/>
                <w14:textFill>
                  <w14:solidFill>
                    <w14:schemeClr w14:val="tx1"/>
                  </w14:solidFill>
                </w14:textFill>
              </w:rPr>
              <w:t>4.1.2</w:t>
            </w:r>
            <w:r>
              <w:rPr>
                <w:rFonts w:eastAsia="宋体"/>
                <w:b/>
                <w:color w:val="000000" w:themeColor="text1"/>
                <w14:textFill>
                  <w14:solidFill>
                    <w14:schemeClr w14:val="tx1"/>
                  </w14:solidFill>
                </w14:textFill>
              </w:rPr>
              <w:t>废气</w:t>
            </w:r>
          </w:p>
          <w:p w14:paraId="34B44E1D">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产生的废气主要由设备安装及室内装修产生的挥发性有机物、粉尘等，产生量较小。为减小施工期间对大气环境的影响，可采取的防治措施：选用质量合格、国家质量检验的低污染环保型油漆和涂料；加快施工进度，缩短工期，减少影响时间；加强车间通风。</w:t>
            </w:r>
          </w:p>
          <w:p w14:paraId="3AE0C5D3">
            <w:pPr>
              <w:pStyle w:val="137"/>
              <w:rPr>
                <w:rFonts w:eastAsia="宋体"/>
                <w:b/>
                <w:color w:val="000000" w:themeColor="text1"/>
                <w14:textFill>
                  <w14:solidFill>
                    <w14:schemeClr w14:val="tx1"/>
                  </w14:solidFill>
                </w14:textFill>
              </w:rPr>
            </w:pPr>
            <w:r>
              <w:rPr>
                <w:rFonts w:eastAsia="宋体"/>
                <w:b/>
                <w:bCs/>
                <w:color w:val="000000" w:themeColor="text1"/>
                <w14:textFill>
                  <w14:solidFill>
                    <w14:schemeClr w14:val="tx1"/>
                  </w14:solidFill>
                </w14:textFill>
              </w:rPr>
              <w:t>4.1.3</w:t>
            </w:r>
            <w:r>
              <w:rPr>
                <w:rFonts w:eastAsia="宋体"/>
                <w:b/>
                <w:color w:val="000000" w:themeColor="text1"/>
                <w14:textFill>
                  <w14:solidFill>
                    <w14:schemeClr w14:val="tx1"/>
                  </w14:solidFill>
                </w14:textFill>
              </w:rPr>
              <w:t>噪声</w:t>
            </w:r>
          </w:p>
          <w:p w14:paraId="3AACAD64">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施工期间的噪声主要是运输车辆的噪声、设备安装等产生的噪声，噪声值在70~85dB(A</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之间。由于拟建项目位于工业园区内，周边均为工业企业，居民点距离较远，同时施工主要集中在厂房内部，只对内部进行装饰、设备安装调试，噪声产生时间短，通过加强对运输车辆的管理、室内封闭施工等方式，施工噪声对周边环境影响较小，不会发生施工扰民现象。</w:t>
            </w:r>
          </w:p>
          <w:p w14:paraId="063CCDC7">
            <w:pPr>
              <w:pStyle w:val="137"/>
              <w:rPr>
                <w:rFonts w:eastAsia="宋体"/>
                <w:b/>
                <w:color w:val="000000" w:themeColor="text1"/>
                <w14:textFill>
                  <w14:solidFill>
                    <w14:schemeClr w14:val="tx1"/>
                  </w14:solidFill>
                </w14:textFill>
              </w:rPr>
            </w:pPr>
            <w:r>
              <w:rPr>
                <w:rFonts w:eastAsia="宋体"/>
                <w:b/>
                <w:bCs/>
                <w:color w:val="000000" w:themeColor="text1"/>
                <w14:textFill>
                  <w14:solidFill>
                    <w14:schemeClr w14:val="tx1"/>
                  </w14:solidFill>
                </w14:textFill>
              </w:rPr>
              <w:t>4.1.4</w:t>
            </w:r>
            <w:r>
              <w:rPr>
                <w:rFonts w:eastAsia="宋体"/>
                <w:b/>
                <w:color w:val="000000" w:themeColor="text1"/>
                <w14:textFill>
                  <w14:solidFill>
                    <w14:schemeClr w14:val="tx1"/>
                  </w14:solidFill>
                </w14:textFill>
              </w:rPr>
              <w:t>固体废物</w:t>
            </w:r>
          </w:p>
          <w:p w14:paraId="731BDA1F">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施工期间产生的固体废物主要是设备的包装材料、室内装修材料弃渣和生活垃圾等。装修施工废弃物料、建渣应按重庆市有关固体废弃物处理的规定要求，在施工完成后由施工单位负责清运。在工程竣工后，施工单位应负责将工地剩余的建筑垃圾、工程渣土处理干净。生活垃圾交由环卫部门统一收集，送城市生活垃圾场卫生填埋处置。施工期装修废漆桶、废漆料等作为危险废物交由有资质单位处置。</w:t>
            </w:r>
          </w:p>
          <w:p w14:paraId="0007AD9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拟建项目施工期工程量小，施工期短，通过采取上述措施后，施工期产生的污染物不会对环境产生不利影响，且随着施工期结束而终止。</w:t>
            </w:r>
          </w:p>
          <w:p w14:paraId="461F80AC">
            <w:pPr>
              <w:pStyle w:val="137"/>
              <w:rPr>
                <w:rFonts w:eastAsia="宋体"/>
                <w:color w:val="000000" w:themeColor="text1"/>
                <w14:textFill>
                  <w14:solidFill>
                    <w14:schemeClr w14:val="tx1"/>
                  </w14:solidFill>
                </w14:textFill>
              </w:rPr>
            </w:pPr>
          </w:p>
          <w:p w14:paraId="0C1807D7">
            <w:pPr>
              <w:pStyle w:val="137"/>
              <w:rPr>
                <w:rFonts w:eastAsia="宋体"/>
                <w:color w:val="000000" w:themeColor="text1"/>
                <w14:textFill>
                  <w14:solidFill>
                    <w14:schemeClr w14:val="tx1"/>
                  </w14:solidFill>
                </w14:textFill>
              </w:rPr>
            </w:pPr>
          </w:p>
          <w:p w14:paraId="6B59DF2F">
            <w:pPr>
              <w:pStyle w:val="137"/>
              <w:rPr>
                <w:rFonts w:eastAsia="宋体"/>
                <w:color w:val="000000" w:themeColor="text1"/>
                <w14:textFill>
                  <w14:solidFill>
                    <w14:schemeClr w14:val="tx1"/>
                  </w14:solidFill>
                </w14:textFill>
              </w:rPr>
            </w:pPr>
          </w:p>
          <w:p w14:paraId="44CE1989">
            <w:pPr>
              <w:pStyle w:val="137"/>
              <w:rPr>
                <w:rFonts w:eastAsia="宋体"/>
                <w:color w:val="000000" w:themeColor="text1"/>
                <w14:textFill>
                  <w14:solidFill>
                    <w14:schemeClr w14:val="tx1"/>
                  </w14:solidFill>
                </w14:textFill>
              </w:rPr>
            </w:pPr>
          </w:p>
          <w:p w14:paraId="693B01F7">
            <w:pPr>
              <w:pStyle w:val="137"/>
              <w:rPr>
                <w:rFonts w:eastAsia="宋体"/>
                <w:color w:val="000000" w:themeColor="text1"/>
                <w14:textFill>
                  <w14:solidFill>
                    <w14:schemeClr w14:val="tx1"/>
                  </w14:solidFill>
                </w14:textFill>
              </w:rPr>
            </w:pPr>
          </w:p>
          <w:p w14:paraId="200F9CA0">
            <w:pPr>
              <w:pStyle w:val="137"/>
              <w:rPr>
                <w:rFonts w:eastAsia="宋体"/>
                <w:color w:val="000000" w:themeColor="text1"/>
                <w14:textFill>
                  <w14:solidFill>
                    <w14:schemeClr w14:val="tx1"/>
                  </w14:solidFill>
                </w14:textFill>
              </w:rPr>
            </w:pPr>
          </w:p>
          <w:p w14:paraId="5594CD0E">
            <w:pPr>
              <w:pStyle w:val="137"/>
              <w:rPr>
                <w:rFonts w:eastAsia="宋体"/>
                <w:color w:val="000000" w:themeColor="text1"/>
                <w14:textFill>
                  <w14:solidFill>
                    <w14:schemeClr w14:val="tx1"/>
                  </w14:solidFill>
                </w14:textFill>
              </w:rPr>
            </w:pPr>
          </w:p>
          <w:p w14:paraId="3CA1D554">
            <w:pPr>
              <w:pStyle w:val="137"/>
              <w:rPr>
                <w:rFonts w:eastAsia="宋体"/>
                <w:color w:val="000000" w:themeColor="text1"/>
                <w14:textFill>
                  <w14:solidFill>
                    <w14:schemeClr w14:val="tx1"/>
                  </w14:solidFill>
                </w14:textFill>
              </w:rPr>
            </w:pPr>
          </w:p>
          <w:p w14:paraId="75824424">
            <w:pPr>
              <w:pStyle w:val="137"/>
              <w:rPr>
                <w:rFonts w:eastAsia="宋体"/>
                <w:color w:val="000000" w:themeColor="text1"/>
                <w14:textFill>
                  <w14:solidFill>
                    <w14:schemeClr w14:val="tx1"/>
                  </w14:solidFill>
                </w14:textFill>
              </w:rPr>
            </w:pPr>
          </w:p>
          <w:p w14:paraId="623FDF68">
            <w:pPr>
              <w:pStyle w:val="137"/>
              <w:rPr>
                <w:rFonts w:eastAsia="宋体"/>
                <w:color w:val="000000" w:themeColor="text1"/>
                <w14:textFill>
                  <w14:solidFill>
                    <w14:schemeClr w14:val="tx1"/>
                  </w14:solidFill>
                </w14:textFill>
              </w:rPr>
            </w:pPr>
          </w:p>
          <w:p w14:paraId="52802038">
            <w:pPr>
              <w:pStyle w:val="137"/>
              <w:rPr>
                <w:rFonts w:eastAsia="宋体"/>
                <w:color w:val="000000" w:themeColor="text1"/>
                <w14:textFill>
                  <w14:solidFill>
                    <w14:schemeClr w14:val="tx1"/>
                  </w14:solidFill>
                </w14:textFill>
              </w:rPr>
            </w:pPr>
          </w:p>
          <w:p w14:paraId="74518A01">
            <w:pPr>
              <w:pStyle w:val="137"/>
              <w:rPr>
                <w:rFonts w:eastAsia="宋体"/>
                <w:color w:val="000000" w:themeColor="text1"/>
                <w14:textFill>
                  <w14:solidFill>
                    <w14:schemeClr w14:val="tx1"/>
                  </w14:solidFill>
                </w14:textFill>
              </w:rPr>
            </w:pPr>
          </w:p>
          <w:p w14:paraId="19754C2A">
            <w:pPr>
              <w:pStyle w:val="137"/>
              <w:rPr>
                <w:rFonts w:eastAsia="宋体"/>
                <w:color w:val="000000" w:themeColor="text1"/>
                <w14:textFill>
                  <w14:solidFill>
                    <w14:schemeClr w14:val="tx1"/>
                  </w14:solidFill>
                </w14:textFill>
              </w:rPr>
            </w:pPr>
          </w:p>
          <w:p w14:paraId="631F5AA1">
            <w:pPr>
              <w:pStyle w:val="137"/>
              <w:rPr>
                <w:rFonts w:eastAsia="宋体"/>
                <w:color w:val="000000" w:themeColor="text1"/>
                <w14:textFill>
                  <w14:solidFill>
                    <w14:schemeClr w14:val="tx1"/>
                  </w14:solidFill>
                </w14:textFill>
              </w:rPr>
            </w:pPr>
          </w:p>
          <w:p w14:paraId="19A59541">
            <w:pPr>
              <w:pStyle w:val="137"/>
              <w:rPr>
                <w:rFonts w:eastAsia="宋体"/>
                <w:color w:val="000000" w:themeColor="text1"/>
                <w14:textFill>
                  <w14:solidFill>
                    <w14:schemeClr w14:val="tx1"/>
                  </w14:solidFill>
                </w14:textFill>
              </w:rPr>
            </w:pPr>
          </w:p>
          <w:p w14:paraId="4CEE8CFD">
            <w:pPr>
              <w:pStyle w:val="137"/>
              <w:rPr>
                <w:rFonts w:eastAsia="宋体"/>
                <w:color w:val="000000" w:themeColor="text1"/>
                <w14:textFill>
                  <w14:solidFill>
                    <w14:schemeClr w14:val="tx1"/>
                  </w14:solidFill>
                </w14:textFill>
              </w:rPr>
            </w:pPr>
          </w:p>
          <w:p w14:paraId="4861E849">
            <w:pPr>
              <w:pStyle w:val="137"/>
              <w:rPr>
                <w:rFonts w:eastAsia="宋体"/>
                <w:color w:val="000000" w:themeColor="text1"/>
                <w14:textFill>
                  <w14:solidFill>
                    <w14:schemeClr w14:val="tx1"/>
                  </w14:solidFill>
                </w14:textFill>
              </w:rPr>
            </w:pPr>
          </w:p>
          <w:p w14:paraId="65B69075">
            <w:pPr>
              <w:pStyle w:val="137"/>
              <w:rPr>
                <w:rFonts w:eastAsia="宋体"/>
                <w:color w:val="000000" w:themeColor="text1"/>
                <w14:textFill>
                  <w14:solidFill>
                    <w14:schemeClr w14:val="tx1"/>
                  </w14:solidFill>
                </w14:textFill>
              </w:rPr>
            </w:pPr>
          </w:p>
          <w:p w14:paraId="78E7FB78">
            <w:pPr>
              <w:pStyle w:val="137"/>
              <w:rPr>
                <w:rFonts w:eastAsia="宋体"/>
                <w:color w:val="000000" w:themeColor="text1"/>
                <w14:textFill>
                  <w14:solidFill>
                    <w14:schemeClr w14:val="tx1"/>
                  </w14:solidFill>
                </w14:textFill>
              </w:rPr>
            </w:pPr>
          </w:p>
          <w:p w14:paraId="23872C61">
            <w:pPr>
              <w:pStyle w:val="137"/>
              <w:rPr>
                <w:rFonts w:eastAsia="宋体"/>
                <w:color w:val="000000" w:themeColor="text1"/>
                <w14:textFill>
                  <w14:solidFill>
                    <w14:schemeClr w14:val="tx1"/>
                  </w14:solidFill>
                </w14:textFill>
              </w:rPr>
            </w:pPr>
          </w:p>
          <w:p w14:paraId="194CB409">
            <w:pPr>
              <w:pStyle w:val="137"/>
              <w:rPr>
                <w:rFonts w:eastAsia="宋体"/>
                <w:color w:val="000000" w:themeColor="text1"/>
                <w14:textFill>
                  <w14:solidFill>
                    <w14:schemeClr w14:val="tx1"/>
                  </w14:solidFill>
                </w14:textFill>
              </w:rPr>
            </w:pPr>
          </w:p>
          <w:p w14:paraId="546B25FD">
            <w:pPr>
              <w:pStyle w:val="137"/>
              <w:rPr>
                <w:rFonts w:eastAsia="宋体"/>
                <w:color w:val="000000" w:themeColor="text1"/>
                <w14:textFill>
                  <w14:solidFill>
                    <w14:schemeClr w14:val="tx1"/>
                  </w14:solidFill>
                </w14:textFill>
              </w:rPr>
            </w:pPr>
          </w:p>
          <w:p w14:paraId="7F7CDA1C">
            <w:pPr>
              <w:pStyle w:val="137"/>
              <w:rPr>
                <w:rFonts w:eastAsia="宋体"/>
                <w:color w:val="000000" w:themeColor="text1"/>
                <w14:textFill>
                  <w14:solidFill>
                    <w14:schemeClr w14:val="tx1"/>
                  </w14:solidFill>
                </w14:textFill>
              </w:rPr>
            </w:pPr>
          </w:p>
          <w:p w14:paraId="44547ECC">
            <w:pPr>
              <w:pStyle w:val="137"/>
              <w:rPr>
                <w:rFonts w:eastAsia="宋体"/>
                <w:color w:val="000000" w:themeColor="text1"/>
                <w14:textFill>
                  <w14:solidFill>
                    <w14:schemeClr w14:val="tx1"/>
                  </w14:solidFill>
                </w14:textFill>
              </w:rPr>
            </w:pPr>
          </w:p>
          <w:p w14:paraId="3D129553">
            <w:pPr>
              <w:pStyle w:val="137"/>
              <w:ind w:firstLine="0"/>
              <w:rPr>
                <w:rFonts w:eastAsia="宋体"/>
                <w:color w:val="000000" w:themeColor="text1"/>
                <w14:textFill>
                  <w14:solidFill>
                    <w14:schemeClr w14:val="tx1"/>
                  </w14:solidFill>
                </w14:textFill>
              </w:rPr>
            </w:pPr>
          </w:p>
          <w:p w14:paraId="0170F4AB">
            <w:pPr>
              <w:pStyle w:val="137"/>
              <w:ind w:firstLine="0"/>
              <w:rPr>
                <w:rFonts w:eastAsia="宋体"/>
                <w:b/>
                <w:snapToGrid w:val="0"/>
                <w:color w:val="000000" w:themeColor="text1"/>
                <w:sz w:val="30"/>
                <w:szCs w:val="30"/>
                <w14:textFill>
                  <w14:solidFill>
                    <w14:schemeClr w14:val="tx1"/>
                  </w14:solidFill>
                </w14:textFill>
              </w:rPr>
            </w:pPr>
          </w:p>
        </w:tc>
      </w:tr>
    </w:tbl>
    <w:p w14:paraId="7E29A45F">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2397"/>
      </w:tblGrid>
      <w:tr w14:paraId="60AF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tcPr>
          <w:p w14:paraId="3CB799AD">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p>
        </w:tc>
        <w:tc>
          <w:tcPr>
            <w:tcW w:w="12397" w:type="dxa"/>
          </w:tcPr>
          <w:p w14:paraId="6025E5CE">
            <w:pPr>
              <w:pStyle w:val="137"/>
              <w:rPr>
                <w:rFonts w:eastAsia="宋体"/>
                <w:b/>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4.2营运期环境影响及防治措施</w:t>
            </w:r>
          </w:p>
          <w:p w14:paraId="09AC0C16">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4.2.1废气</w:t>
            </w:r>
          </w:p>
          <w:p w14:paraId="31B764F0">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（1）废气产排污情况</w:t>
            </w:r>
          </w:p>
          <w:p w14:paraId="42DD7F16">
            <w:pPr>
              <w:pStyle w:val="137"/>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主要为焊接烟尘（G1）、</w:t>
            </w:r>
            <w:r>
              <w:rPr>
                <w:rFonts w:eastAsia="宋体"/>
                <w:color w:val="000000" w:themeColor="text1"/>
                <w:kern w:val="0"/>
                <w14:textFill>
                  <w14:solidFill>
                    <w14:schemeClr w14:val="tx1"/>
                  </w14:solidFill>
                </w14:textFill>
              </w:rPr>
              <w:t>正火、淬火槽油烟</w:t>
            </w:r>
            <w:r>
              <w:rPr>
                <w:rFonts w:eastAsia="宋体"/>
                <w:bCs/>
                <w:color w:val="000000" w:themeColor="text1"/>
                <w14:textFill>
                  <w14:solidFill>
                    <w14:schemeClr w14:val="tx1"/>
                  </w14:solidFill>
                </w14:textFill>
              </w:rPr>
              <w:t>（G2）。</w:t>
            </w:r>
          </w:p>
          <w:p w14:paraId="4741AC39">
            <w:pPr>
              <w:tabs>
                <w:tab w:val="right" w:pos="8675"/>
              </w:tabs>
              <w:spacing w:line="46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项目废气污染源强核算结果及相关参数见表4</w:t>
            </w:r>
            <w:r>
              <w:rPr>
                <w:color w:val="000000" w:themeColor="text1"/>
                <w:sz w:val="24"/>
                <w14:textFill>
                  <w14:solidFill>
                    <w14:schemeClr w14:val="tx1"/>
                  </w14:solidFill>
                </w14:textFill>
              </w:rPr>
              <w:t>.2</w:t>
            </w:r>
            <w:r>
              <w:rPr>
                <w:color w:val="000000" w:themeColor="text1"/>
                <w:sz w:val="24"/>
                <w:lang w:val="zh-CN"/>
                <w14:textFill>
                  <w14:solidFill>
                    <w14:schemeClr w14:val="tx1"/>
                  </w14:solidFill>
                </w14:textFill>
              </w:rPr>
              <w:t>-1。</w:t>
            </w:r>
          </w:p>
          <w:p w14:paraId="6E84CED9">
            <w:pPr>
              <w:adjustRightInd w:val="0"/>
              <w:snapToGrid w:val="0"/>
              <w:spacing w:line="460" w:lineRule="exact"/>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表4.2-1项目废气污染源强核算结果及相关参数一览表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579"/>
              <w:gridCol w:w="937"/>
              <w:gridCol w:w="358"/>
              <w:gridCol w:w="735"/>
              <w:gridCol w:w="735"/>
              <w:gridCol w:w="1392"/>
              <w:gridCol w:w="677"/>
              <w:gridCol w:w="864"/>
              <w:gridCol w:w="864"/>
              <w:gridCol w:w="750"/>
              <w:gridCol w:w="735"/>
              <w:gridCol w:w="755"/>
              <w:gridCol w:w="852"/>
              <w:gridCol w:w="735"/>
              <w:gridCol w:w="743"/>
            </w:tblGrid>
            <w:tr w14:paraId="4E9A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blHeader/>
                <w:jc w:val="center"/>
              </w:trPr>
              <w:tc>
                <w:tcPr>
                  <w:tcW w:w="186" w:type="pct"/>
                  <w:vMerge w:val="restart"/>
                  <w:tcBorders>
                    <w:top w:val="single" w:color="auto" w:sz="4" w:space="0"/>
                    <w:left w:val="single" w:color="auto" w:sz="4" w:space="0"/>
                    <w:right w:val="single" w:color="auto" w:sz="4" w:space="0"/>
                  </w:tcBorders>
                  <w:vAlign w:val="center"/>
                </w:tcPr>
                <w:p w14:paraId="14CE5455">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排气</w:t>
                  </w:r>
                </w:p>
                <w:p w14:paraId="2D073524">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筒编</w:t>
                  </w:r>
                </w:p>
                <w:p w14:paraId="1A3EB652">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号</w:t>
                  </w:r>
                </w:p>
              </w:tc>
              <w:tc>
                <w:tcPr>
                  <w:tcW w:w="238" w:type="pct"/>
                  <w:vMerge w:val="restart"/>
                  <w:tcBorders>
                    <w:top w:val="single" w:color="auto" w:sz="4" w:space="0"/>
                    <w:left w:val="single" w:color="auto" w:sz="4" w:space="0"/>
                    <w:right w:val="single" w:color="auto" w:sz="4" w:space="0"/>
                  </w:tcBorders>
                  <w:vAlign w:val="center"/>
                </w:tcPr>
                <w:p w14:paraId="5BD52150">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产污环节</w:t>
                  </w:r>
                </w:p>
              </w:tc>
              <w:tc>
                <w:tcPr>
                  <w:tcW w:w="385" w:type="pct"/>
                  <w:vMerge w:val="restart"/>
                  <w:tcBorders>
                    <w:top w:val="single" w:color="auto" w:sz="4" w:space="0"/>
                    <w:left w:val="single" w:color="auto" w:sz="4" w:space="0"/>
                    <w:right w:val="single" w:color="auto" w:sz="4" w:space="0"/>
                  </w:tcBorders>
                  <w:vAlign w:val="center"/>
                </w:tcPr>
                <w:p w14:paraId="036AABC3">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污染物种类</w:t>
                  </w:r>
                </w:p>
              </w:tc>
              <w:tc>
                <w:tcPr>
                  <w:tcW w:w="147" w:type="pct"/>
                  <w:vMerge w:val="restart"/>
                  <w:tcBorders>
                    <w:top w:val="single" w:color="auto" w:sz="4" w:space="0"/>
                    <w:left w:val="single" w:color="auto" w:sz="4" w:space="0"/>
                    <w:right w:val="single" w:color="auto" w:sz="4" w:space="0"/>
                  </w:tcBorders>
                  <w:vAlign w:val="center"/>
                </w:tcPr>
                <w:p w14:paraId="289A999B">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w:t>
                  </w:r>
                </w:p>
                <w:p w14:paraId="064D4615">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形式</w:t>
                  </w:r>
                </w:p>
              </w:tc>
              <w:tc>
                <w:tcPr>
                  <w:tcW w:w="604" w:type="pct"/>
                  <w:gridSpan w:val="2"/>
                  <w:vMerge w:val="restart"/>
                  <w:tcBorders>
                    <w:top w:val="single" w:color="auto" w:sz="4" w:space="0"/>
                    <w:left w:val="single" w:color="auto" w:sz="4" w:space="0"/>
                    <w:right w:val="single" w:color="auto" w:sz="4" w:space="0"/>
                  </w:tcBorders>
                  <w:vAlign w:val="center"/>
                </w:tcPr>
                <w:p w14:paraId="476B6F62">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产生情况</w:t>
                  </w:r>
                </w:p>
              </w:tc>
              <w:tc>
                <w:tcPr>
                  <w:tcW w:w="1868" w:type="pct"/>
                  <w:gridSpan w:val="5"/>
                  <w:vMerge w:val="restart"/>
                  <w:tcBorders>
                    <w:top w:val="single" w:color="auto" w:sz="4" w:space="0"/>
                    <w:left w:val="single" w:color="auto" w:sz="4" w:space="0"/>
                    <w:right w:val="single" w:color="auto" w:sz="4" w:space="0"/>
                  </w:tcBorders>
                  <w:vAlign w:val="center"/>
                </w:tcPr>
                <w:p w14:paraId="583F6A12">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治理设施</w:t>
                  </w:r>
                </w:p>
              </w:tc>
              <w:tc>
                <w:tcPr>
                  <w:tcW w:w="1569" w:type="pct"/>
                  <w:gridSpan w:val="5"/>
                  <w:tcBorders>
                    <w:top w:val="single" w:color="auto" w:sz="4" w:space="0"/>
                    <w:left w:val="single" w:color="auto" w:sz="4" w:space="0"/>
                    <w:bottom w:val="single" w:color="auto" w:sz="4" w:space="0"/>
                    <w:right w:val="single" w:color="auto" w:sz="4" w:space="0"/>
                  </w:tcBorders>
                  <w:vAlign w:val="center"/>
                </w:tcPr>
                <w:p w14:paraId="500AC6A7">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污染物排放</w:t>
                  </w:r>
                </w:p>
              </w:tc>
            </w:tr>
            <w:tr w14:paraId="2EF8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186" w:type="pct"/>
                  <w:vMerge w:val="continue"/>
                  <w:tcBorders>
                    <w:top w:val="single" w:color="auto" w:sz="4" w:space="0"/>
                    <w:left w:val="single" w:color="auto" w:sz="4" w:space="0"/>
                    <w:right w:val="single" w:color="auto" w:sz="4" w:space="0"/>
                  </w:tcBorders>
                  <w:vAlign w:val="center"/>
                </w:tcPr>
                <w:p w14:paraId="632CD75E">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238" w:type="pct"/>
                  <w:vMerge w:val="continue"/>
                  <w:tcBorders>
                    <w:top w:val="single" w:color="auto" w:sz="4" w:space="0"/>
                    <w:left w:val="single" w:color="auto" w:sz="4" w:space="0"/>
                    <w:right w:val="single" w:color="auto" w:sz="4" w:space="0"/>
                  </w:tcBorders>
                  <w:vAlign w:val="center"/>
                </w:tcPr>
                <w:p w14:paraId="00FC1916">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385" w:type="pct"/>
                  <w:vMerge w:val="continue"/>
                  <w:tcBorders>
                    <w:top w:val="single" w:color="auto" w:sz="4" w:space="0"/>
                    <w:left w:val="single" w:color="auto" w:sz="4" w:space="0"/>
                    <w:right w:val="single" w:color="auto" w:sz="4" w:space="0"/>
                  </w:tcBorders>
                  <w:vAlign w:val="center"/>
                </w:tcPr>
                <w:p w14:paraId="6D5CF9CE">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147" w:type="pct"/>
                  <w:vMerge w:val="continue"/>
                  <w:tcBorders>
                    <w:top w:val="single" w:color="auto" w:sz="4" w:space="0"/>
                    <w:left w:val="single" w:color="auto" w:sz="4" w:space="0"/>
                    <w:right w:val="single" w:color="auto" w:sz="4" w:space="0"/>
                  </w:tcBorders>
                  <w:vAlign w:val="center"/>
                </w:tcPr>
                <w:p w14:paraId="23931D09">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604" w:type="pct"/>
                  <w:gridSpan w:val="2"/>
                  <w:vMerge w:val="continue"/>
                  <w:tcBorders>
                    <w:left w:val="single" w:color="auto" w:sz="4" w:space="0"/>
                    <w:bottom w:val="single" w:color="auto" w:sz="4" w:space="0"/>
                    <w:right w:val="single" w:color="auto" w:sz="4" w:space="0"/>
                  </w:tcBorders>
                  <w:vAlign w:val="center"/>
                </w:tcPr>
                <w:p w14:paraId="4A30AB52">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1868" w:type="pct"/>
                  <w:gridSpan w:val="5"/>
                  <w:vMerge w:val="continue"/>
                  <w:tcBorders>
                    <w:left w:val="single" w:color="auto" w:sz="4" w:space="0"/>
                    <w:bottom w:val="single" w:color="auto" w:sz="4" w:space="0"/>
                    <w:right w:val="single" w:color="auto" w:sz="4" w:space="0"/>
                  </w:tcBorders>
                  <w:vAlign w:val="center"/>
                </w:tcPr>
                <w:p w14:paraId="241DF579">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962" w:type="pct"/>
                  <w:gridSpan w:val="3"/>
                  <w:tcBorders>
                    <w:top w:val="single" w:color="auto" w:sz="4" w:space="0"/>
                    <w:left w:val="single" w:color="auto" w:sz="4" w:space="0"/>
                    <w:bottom w:val="single" w:color="auto" w:sz="4" w:space="0"/>
                    <w:right w:val="single" w:color="auto" w:sz="4" w:space="0"/>
                  </w:tcBorders>
                  <w:vAlign w:val="center"/>
                </w:tcPr>
                <w:p w14:paraId="7082F2D5">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有组织</w:t>
                  </w:r>
                </w:p>
              </w:tc>
              <w:tc>
                <w:tcPr>
                  <w:tcW w:w="607" w:type="pct"/>
                  <w:gridSpan w:val="2"/>
                  <w:tcBorders>
                    <w:top w:val="single" w:color="auto" w:sz="4" w:space="0"/>
                    <w:left w:val="single" w:color="auto" w:sz="4" w:space="0"/>
                    <w:bottom w:val="single" w:color="auto" w:sz="4" w:space="0"/>
                    <w:right w:val="single" w:color="auto" w:sz="4" w:space="0"/>
                  </w:tcBorders>
                  <w:vAlign w:val="center"/>
                </w:tcPr>
                <w:p w14:paraId="13010DCF">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无组织</w:t>
                  </w:r>
                </w:p>
              </w:tc>
            </w:tr>
            <w:tr w14:paraId="464A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86" w:type="pct"/>
                  <w:vMerge w:val="continue"/>
                  <w:tcBorders>
                    <w:left w:val="single" w:color="auto" w:sz="4" w:space="0"/>
                    <w:bottom w:val="single" w:color="auto" w:sz="4" w:space="0"/>
                    <w:right w:val="single" w:color="auto" w:sz="4" w:space="0"/>
                  </w:tcBorders>
                  <w:vAlign w:val="center"/>
                </w:tcPr>
                <w:p w14:paraId="408E3880">
                  <w:pPr>
                    <w:adjustRightInd w:val="0"/>
                    <w:snapToGrid w:val="0"/>
                    <w:jc w:val="center"/>
                    <w:rPr>
                      <w:color w:val="000000" w:themeColor="text1"/>
                      <w:szCs w:val="21"/>
                      <w14:textFill>
                        <w14:solidFill>
                          <w14:schemeClr w14:val="tx1"/>
                        </w14:solidFill>
                      </w14:textFill>
                    </w:rPr>
                  </w:pPr>
                </w:p>
              </w:tc>
              <w:tc>
                <w:tcPr>
                  <w:tcW w:w="238" w:type="pct"/>
                  <w:vMerge w:val="continue"/>
                  <w:tcBorders>
                    <w:left w:val="single" w:color="auto" w:sz="4" w:space="0"/>
                    <w:bottom w:val="single" w:color="auto" w:sz="4" w:space="0"/>
                    <w:right w:val="single" w:color="auto" w:sz="4" w:space="0"/>
                  </w:tcBorders>
                  <w:vAlign w:val="center"/>
                </w:tcPr>
                <w:p w14:paraId="6D94D705">
                  <w:pPr>
                    <w:adjustRightInd w:val="0"/>
                    <w:snapToGrid w:val="0"/>
                    <w:jc w:val="center"/>
                    <w:rPr>
                      <w:color w:val="000000" w:themeColor="text1"/>
                      <w:szCs w:val="21"/>
                      <w14:textFill>
                        <w14:solidFill>
                          <w14:schemeClr w14:val="tx1"/>
                        </w14:solidFill>
                      </w14:textFill>
                    </w:rPr>
                  </w:pPr>
                </w:p>
              </w:tc>
              <w:tc>
                <w:tcPr>
                  <w:tcW w:w="385" w:type="pct"/>
                  <w:vMerge w:val="continue"/>
                  <w:tcBorders>
                    <w:left w:val="single" w:color="auto" w:sz="4" w:space="0"/>
                    <w:bottom w:val="single" w:color="auto" w:sz="4" w:space="0"/>
                    <w:right w:val="single" w:color="auto" w:sz="4" w:space="0"/>
                  </w:tcBorders>
                  <w:vAlign w:val="center"/>
                </w:tcPr>
                <w:p w14:paraId="147CA057">
                  <w:pPr>
                    <w:adjustRightInd w:val="0"/>
                    <w:snapToGrid w:val="0"/>
                    <w:jc w:val="center"/>
                    <w:rPr>
                      <w:color w:val="000000" w:themeColor="text1"/>
                      <w:szCs w:val="21"/>
                      <w14:textFill>
                        <w14:solidFill>
                          <w14:schemeClr w14:val="tx1"/>
                        </w14:solidFill>
                      </w14:textFill>
                    </w:rPr>
                  </w:pPr>
                </w:p>
              </w:tc>
              <w:tc>
                <w:tcPr>
                  <w:tcW w:w="147" w:type="pct"/>
                  <w:vMerge w:val="continue"/>
                  <w:tcBorders>
                    <w:left w:val="single" w:color="auto" w:sz="4" w:space="0"/>
                    <w:bottom w:val="single" w:color="auto" w:sz="4" w:space="0"/>
                    <w:right w:val="single" w:color="auto" w:sz="4" w:space="0"/>
                  </w:tcBorders>
                  <w:vAlign w:val="center"/>
                </w:tcPr>
                <w:p w14:paraId="2BE49893">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302" w:type="pct"/>
                  <w:tcBorders>
                    <w:top w:val="single" w:color="auto" w:sz="4" w:space="0"/>
                    <w:left w:val="single" w:color="auto" w:sz="4" w:space="0"/>
                    <w:bottom w:val="single" w:color="auto" w:sz="4" w:space="0"/>
                    <w:right w:val="single" w:color="auto" w:sz="4" w:space="0"/>
                  </w:tcBorders>
                  <w:vAlign w:val="center"/>
                </w:tcPr>
                <w:p w14:paraId="527BB1D5">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产生</w:t>
                  </w:r>
                </w:p>
                <w:p w14:paraId="558F72F7">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量t/a</w:t>
                  </w:r>
                </w:p>
              </w:tc>
              <w:tc>
                <w:tcPr>
                  <w:tcW w:w="302" w:type="pct"/>
                  <w:tcBorders>
                    <w:top w:val="single" w:color="auto" w:sz="4" w:space="0"/>
                    <w:left w:val="single" w:color="auto" w:sz="4" w:space="0"/>
                    <w:bottom w:val="single" w:color="auto" w:sz="4" w:space="0"/>
                    <w:right w:val="single" w:color="auto" w:sz="4" w:space="0"/>
                  </w:tcBorders>
                  <w:vAlign w:val="center"/>
                </w:tcPr>
                <w:p w14:paraId="65173147">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产生速率kg/h</w:t>
                  </w:r>
                </w:p>
              </w:tc>
              <w:tc>
                <w:tcPr>
                  <w:tcW w:w="572" w:type="pct"/>
                  <w:tcBorders>
                    <w:top w:val="single" w:color="auto" w:sz="4" w:space="0"/>
                    <w:left w:val="single" w:color="auto" w:sz="4" w:space="0"/>
                    <w:bottom w:val="single" w:color="auto" w:sz="4" w:space="0"/>
                    <w:right w:val="single" w:color="auto" w:sz="4" w:space="0"/>
                  </w:tcBorders>
                  <w:vAlign w:val="center"/>
                </w:tcPr>
                <w:p w14:paraId="315E54FA">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治处理工艺</w:t>
                  </w:r>
                </w:p>
              </w:tc>
              <w:tc>
                <w:tcPr>
                  <w:tcW w:w="278" w:type="pct"/>
                  <w:tcBorders>
                    <w:top w:val="single" w:color="auto" w:sz="4" w:space="0"/>
                    <w:left w:val="single" w:color="auto" w:sz="4" w:space="0"/>
                    <w:bottom w:val="single" w:color="auto" w:sz="4" w:space="0"/>
                    <w:right w:val="single" w:color="auto" w:sz="4" w:space="0"/>
                  </w:tcBorders>
                  <w:vAlign w:val="center"/>
                </w:tcPr>
                <w:p w14:paraId="3DAE6DDC">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风机风量</w:t>
                  </w:r>
                </w:p>
                <w:p w14:paraId="79AA8F19">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/h</w:t>
                  </w:r>
                </w:p>
              </w:tc>
              <w:tc>
                <w:tcPr>
                  <w:tcW w:w="355" w:type="pct"/>
                  <w:tcBorders>
                    <w:top w:val="single" w:color="auto" w:sz="4" w:space="0"/>
                    <w:left w:val="single" w:color="auto" w:sz="4" w:space="0"/>
                    <w:bottom w:val="single" w:color="auto" w:sz="4" w:space="0"/>
                    <w:right w:val="single" w:color="auto" w:sz="4" w:space="0"/>
                  </w:tcBorders>
                  <w:vAlign w:val="center"/>
                </w:tcPr>
                <w:p w14:paraId="691E5D7C">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收集效率</w:t>
                  </w:r>
                </w:p>
                <w:p w14:paraId="3BFA045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355" w:type="pct"/>
                  <w:tcBorders>
                    <w:top w:val="single" w:color="auto" w:sz="4" w:space="0"/>
                    <w:left w:val="single" w:color="auto" w:sz="4" w:space="0"/>
                    <w:bottom w:val="single" w:color="auto" w:sz="4" w:space="0"/>
                    <w:right w:val="single" w:color="auto" w:sz="4" w:space="0"/>
                  </w:tcBorders>
                  <w:vAlign w:val="center"/>
                </w:tcPr>
                <w:p w14:paraId="452586DA">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去除效率</w:t>
                  </w:r>
                </w:p>
                <w:p w14:paraId="27E5C31F">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307" w:type="pct"/>
                  <w:tcBorders>
                    <w:top w:val="single" w:color="auto" w:sz="4" w:space="0"/>
                    <w:left w:val="single" w:color="auto" w:sz="4" w:space="0"/>
                    <w:bottom w:val="single" w:color="auto" w:sz="4" w:space="0"/>
                    <w:right w:val="single" w:color="auto" w:sz="4" w:space="0"/>
                  </w:tcBorders>
                  <w:vAlign w:val="center"/>
                </w:tcPr>
                <w:p w14:paraId="79AE7E78">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是否为可</w:t>
                  </w:r>
                </w:p>
                <w:p w14:paraId="7A27A7F8">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行技术</w:t>
                  </w:r>
                </w:p>
              </w:tc>
              <w:tc>
                <w:tcPr>
                  <w:tcW w:w="302" w:type="pct"/>
                  <w:tcBorders>
                    <w:top w:val="single" w:color="auto" w:sz="4" w:space="0"/>
                    <w:left w:val="single" w:color="auto" w:sz="4" w:space="0"/>
                    <w:bottom w:val="single" w:color="auto" w:sz="4" w:space="0"/>
                    <w:right w:val="single" w:color="auto" w:sz="4" w:space="0"/>
                  </w:tcBorders>
                  <w:vAlign w:val="center"/>
                </w:tcPr>
                <w:p w14:paraId="0CDF4EB2">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排放量</w:t>
                  </w:r>
                </w:p>
                <w:p w14:paraId="62AB0A6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t/a</w:t>
                  </w:r>
                </w:p>
              </w:tc>
              <w:tc>
                <w:tcPr>
                  <w:tcW w:w="310" w:type="pct"/>
                  <w:tcBorders>
                    <w:top w:val="single" w:color="auto" w:sz="4" w:space="0"/>
                    <w:left w:val="single" w:color="auto" w:sz="4" w:space="0"/>
                    <w:bottom w:val="single" w:color="auto" w:sz="4" w:space="0"/>
                    <w:right w:val="single" w:color="auto" w:sz="4" w:space="0"/>
                  </w:tcBorders>
                  <w:vAlign w:val="center"/>
                </w:tcPr>
                <w:p w14:paraId="6FB00D65">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排放速率kg/h</w:t>
                  </w:r>
                </w:p>
              </w:tc>
              <w:tc>
                <w:tcPr>
                  <w:tcW w:w="350" w:type="pct"/>
                  <w:tcBorders>
                    <w:top w:val="single" w:color="auto" w:sz="4" w:space="0"/>
                    <w:left w:val="single" w:color="auto" w:sz="4" w:space="0"/>
                    <w:bottom w:val="single" w:color="auto" w:sz="4" w:space="0"/>
                    <w:right w:val="single" w:color="auto" w:sz="4" w:space="0"/>
                  </w:tcBorders>
                  <w:vAlign w:val="center"/>
                </w:tcPr>
                <w:p w14:paraId="3A65BEB3">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排放浓度</w:t>
                  </w:r>
                </w:p>
                <w:p w14:paraId="3008805A">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mg/m</w:t>
                  </w:r>
                  <w:r>
                    <w:rPr>
                      <w:rFonts w:ascii="Times New Roman" w:hAnsi="Times New Roman"/>
                      <w:color w:val="000000" w:themeColor="text1"/>
                      <w:sz w:val="21"/>
                      <w:szCs w:val="21"/>
                      <w:vertAlign w:val="superscript"/>
                      <w14:textFill>
                        <w14:solidFill>
                          <w14:schemeClr w14:val="tx1"/>
                        </w14:solidFill>
                      </w14:textFill>
                    </w:rPr>
                    <w:t>3</w:t>
                  </w:r>
                </w:p>
              </w:tc>
              <w:tc>
                <w:tcPr>
                  <w:tcW w:w="302" w:type="pct"/>
                  <w:tcBorders>
                    <w:top w:val="single" w:color="auto" w:sz="4" w:space="0"/>
                    <w:left w:val="single" w:color="auto" w:sz="4" w:space="0"/>
                    <w:bottom w:val="single" w:color="auto" w:sz="4" w:space="0"/>
                    <w:right w:val="single" w:color="auto" w:sz="4" w:space="0"/>
                  </w:tcBorders>
                  <w:vAlign w:val="center"/>
                </w:tcPr>
                <w:p w14:paraId="0BFFEB90">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排放量t/a</w:t>
                  </w:r>
                </w:p>
              </w:tc>
              <w:tc>
                <w:tcPr>
                  <w:tcW w:w="304" w:type="pct"/>
                  <w:tcBorders>
                    <w:top w:val="single" w:color="auto" w:sz="4" w:space="0"/>
                    <w:left w:val="single" w:color="auto" w:sz="4" w:space="0"/>
                    <w:bottom w:val="single" w:color="auto" w:sz="4" w:space="0"/>
                    <w:right w:val="single" w:color="auto" w:sz="4" w:space="0"/>
                  </w:tcBorders>
                  <w:vAlign w:val="center"/>
                </w:tcPr>
                <w:p w14:paraId="6B8DBE1F">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排放速率kg/h</w:t>
                  </w:r>
                </w:p>
              </w:tc>
            </w:tr>
            <w:tr w14:paraId="1B04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86" w:type="pct"/>
                  <w:tcBorders>
                    <w:left w:val="single" w:color="auto" w:sz="4" w:space="0"/>
                    <w:right w:val="single" w:color="auto" w:sz="4" w:space="0"/>
                  </w:tcBorders>
                  <w:vAlign w:val="center"/>
                </w:tcPr>
                <w:p w14:paraId="4493DCDC">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238" w:type="pct"/>
                  <w:tcBorders>
                    <w:left w:val="single" w:color="auto" w:sz="4" w:space="0"/>
                    <w:right w:val="single" w:color="auto" w:sz="4" w:space="0"/>
                  </w:tcBorders>
                  <w:vAlign w:val="center"/>
                </w:tcPr>
                <w:p w14:paraId="1B6471C0">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焊接</w:t>
                  </w:r>
                </w:p>
              </w:tc>
              <w:tc>
                <w:tcPr>
                  <w:tcW w:w="385" w:type="pct"/>
                  <w:tcBorders>
                    <w:left w:val="single" w:color="auto" w:sz="4" w:space="0"/>
                    <w:right w:val="single" w:color="auto" w:sz="4" w:space="0"/>
                  </w:tcBorders>
                  <w:vAlign w:val="center"/>
                </w:tcPr>
                <w:p w14:paraId="49EF7DA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147" w:type="pct"/>
                  <w:tcBorders>
                    <w:left w:val="single" w:color="auto" w:sz="4" w:space="0"/>
                    <w:right w:val="single" w:color="auto" w:sz="4" w:space="0"/>
                  </w:tcBorders>
                  <w:vAlign w:val="center"/>
                </w:tcPr>
                <w:p w14:paraId="019D0146">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有组织</w:t>
                  </w:r>
                </w:p>
              </w:tc>
              <w:tc>
                <w:tcPr>
                  <w:tcW w:w="302" w:type="pct"/>
                  <w:tcBorders>
                    <w:top w:val="single" w:color="auto" w:sz="4" w:space="0"/>
                    <w:left w:val="single" w:color="auto" w:sz="4" w:space="0"/>
                    <w:bottom w:val="single" w:color="auto" w:sz="4" w:space="0"/>
                    <w:right w:val="single" w:color="auto" w:sz="4" w:space="0"/>
                  </w:tcBorders>
                  <w:vAlign w:val="center"/>
                </w:tcPr>
                <w:p w14:paraId="7BE91470">
                  <w:pPr>
                    <w:adjustRightInd w:val="0"/>
                    <w:snapToGrid w:val="0"/>
                    <w:jc w:val="center"/>
                    <w:textAlignment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bidi="ar"/>
                      <w14:textFill>
                        <w14:solidFill>
                          <w14:schemeClr w14:val="tx1"/>
                        </w14:solidFill>
                      </w14:textFill>
                    </w:rPr>
                    <w:t>0.4</w:t>
                  </w:r>
                </w:p>
              </w:tc>
              <w:tc>
                <w:tcPr>
                  <w:tcW w:w="302" w:type="pct"/>
                  <w:tcBorders>
                    <w:top w:val="single" w:color="auto" w:sz="4" w:space="0"/>
                    <w:left w:val="single" w:color="auto" w:sz="4" w:space="0"/>
                    <w:bottom w:val="single" w:color="auto" w:sz="4" w:space="0"/>
                    <w:right w:val="single" w:color="auto" w:sz="4" w:space="0"/>
                  </w:tcBorders>
                  <w:vAlign w:val="center"/>
                </w:tcPr>
                <w:p w14:paraId="088061A6">
                  <w:pPr>
                    <w:adjustRightInd w:val="0"/>
                    <w:snapToGrid w:val="0"/>
                    <w:jc w:val="center"/>
                    <w:textAlignment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222</w:t>
                  </w:r>
                </w:p>
              </w:tc>
              <w:tc>
                <w:tcPr>
                  <w:tcW w:w="572" w:type="pct"/>
                  <w:tcBorders>
                    <w:top w:val="single" w:color="auto" w:sz="4" w:space="0"/>
                    <w:left w:val="single" w:color="auto" w:sz="4" w:space="0"/>
                    <w:right w:val="single" w:color="auto" w:sz="4" w:space="0"/>
                  </w:tcBorders>
                  <w:vAlign w:val="center"/>
                </w:tcPr>
                <w:p w14:paraId="7A5969A3">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集气罩+布袋除尘器+25m排气筒（内径0.2m）</w:t>
                  </w:r>
                </w:p>
              </w:tc>
              <w:tc>
                <w:tcPr>
                  <w:tcW w:w="278" w:type="pct"/>
                  <w:tcBorders>
                    <w:top w:val="single" w:color="auto" w:sz="4" w:space="0"/>
                    <w:left w:val="single" w:color="auto" w:sz="4" w:space="0"/>
                    <w:right w:val="single" w:color="auto" w:sz="4" w:space="0"/>
                  </w:tcBorders>
                  <w:vAlign w:val="center"/>
                </w:tcPr>
                <w:p w14:paraId="188929CB">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2000</w:t>
                  </w:r>
                </w:p>
              </w:tc>
              <w:tc>
                <w:tcPr>
                  <w:tcW w:w="355" w:type="pct"/>
                  <w:tcBorders>
                    <w:top w:val="single" w:color="auto" w:sz="4" w:space="0"/>
                    <w:left w:val="single" w:color="auto" w:sz="4" w:space="0"/>
                    <w:bottom w:val="single" w:color="auto" w:sz="4" w:space="0"/>
                    <w:right w:val="single" w:color="auto" w:sz="4" w:space="0"/>
                  </w:tcBorders>
                  <w:vAlign w:val="center"/>
                </w:tcPr>
                <w:p w14:paraId="26BCCC3A">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355" w:type="pct"/>
                  <w:tcBorders>
                    <w:top w:val="single" w:color="auto" w:sz="4" w:space="0"/>
                    <w:left w:val="single" w:color="auto" w:sz="4" w:space="0"/>
                    <w:bottom w:val="single" w:color="auto" w:sz="4" w:space="0"/>
                    <w:right w:val="single" w:color="auto" w:sz="4" w:space="0"/>
                  </w:tcBorders>
                  <w:vAlign w:val="center"/>
                </w:tcPr>
                <w:p w14:paraId="64EF0243">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w:t>
                  </w:r>
                </w:p>
              </w:tc>
              <w:tc>
                <w:tcPr>
                  <w:tcW w:w="307" w:type="pct"/>
                  <w:tcBorders>
                    <w:top w:val="single" w:color="auto" w:sz="4" w:space="0"/>
                    <w:left w:val="single" w:color="auto" w:sz="4" w:space="0"/>
                    <w:bottom w:val="single" w:color="auto" w:sz="4" w:space="0"/>
                    <w:right w:val="single" w:color="auto" w:sz="4" w:space="0"/>
                  </w:tcBorders>
                  <w:vAlign w:val="center"/>
                </w:tcPr>
                <w:p w14:paraId="7C9CC4BB">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是</w:t>
                  </w:r>
                </w:p>
              </w:tc>
              <w:tc>
                <w:tcPr>
                  <w:tcW w:w="302" w:type="pct"/>
                  <w:tcBorders>
                    <w:top w:val="single" w:color="auto" w:sz="4" w:space="0"/>
                    <w:left w:val="single" w:color="auto" w:sz="4" w:space="0"/>
                    <w:bottom w:val="single" w:color="auto" w:sz="4" w:space="0"/>
                    <w:right w:val="single" w:color="auto" w:sz="4" w:space="0"/>
                  </w:tcBorders>
                  <w:vAlign w:val="center"/>
                </w:tcPr>
                <w:p w14:paraId="3FC4259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0.032</w:t>
                  </w:r>
                </w:p>
              </w:tc>
              <w:tc>
                <w:tcPr>
                  <w:tcW w:w="310" w:type="pct"/>
                  <w:tcBorders>
                    <w:top w:val="single" w:color="auto" w:sz="4" w:space="0"/>
                    <w:left w:val="single" w:color="auto" w:sz="4" w:space="0"/>
                    <w:bottom w:val="single" w:color="auto" w:sz="4" w:space="0"/>
                    <w:right w:val="single" w:color="auto" w:sz="4" w:space="0"/>
                  </w:tcBorders>
                  <w:vAlign w:val="center"/>
                </w:tcPr>
                <w:p w14:paraId="4B5FDB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w:t>
                  </w:r>
                </w:p>
              </w:tc>
              <w:tc>
                <w:tcPr>
                  <w:tcW w:w="350" w:type="pct"/>
                  <w:tcBorders>
                    <w:top w:val="single" w:color="auto" w:sz="4" w:space="0"/>
                    <w:left w:val="single" w:color="auto" w:sz="4" w:space="0"/>
                    <w:bottom w:val="single" w:color="auto" w:sz="4" w:space="0"/>
                    <w:right w:val="single" w:color="auto" w:sz="4" w:space="0"/>
                  </w:tcBorders>
                  <w:vAlign w:val="center"/>
                </w:tcPr>
                <w:p w14:paraId="53E4A63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w:t>
                  </w:r>
                </w:p>
              </w:tc>
              <w:tc>
                <w:tcPr>
                  <w:tcW w:w="302" w:type="pct"/>
                  <w:tcBorders>
                    <w:top w:val="single" w:color="auto" w:sz="4" w:space="0"/>
                    <w:left w:val="single" w:color="auto" w:sz="4" w:space="0"/>
                    <w:bottom w:val="single" w:color="auto" w:sz="4" w:space="0"/>
                    <w:right w:val="single" w:color="auto" w:sz="4" w:space="0"/>
                  </w:tcBorders>
                  <w:vAlign w:val="center"/>
                </w:tcPr>
                <w:p w14:paraId="683C822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0.08</w:t>
                  </w:r>
                </w:p>
              </w:tc>
              <w:tc>
                <w:tcPr>
                  <w:tcW w:w="304" w:type="pct"/>
                  <w:tcBorders>
                    <w:top w:val="single" w:color="auto" w:sz="4" w:space="0"/>
                    <w:left w:val="single" w:color="auto" w:sz="4" w:space="0"/>
                    <w:bottom w:val="single" w:color="auto" w:sz="4" w:space="0"/>
                    <w:right w:val="single" w:color="auto" w:sz="4" w:space="0"/>
                  </w:tcBorders>
                  <w:vAlign w:val="center"/>
                </w:tcPr>
                <w:p w14:paraId="07582F9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0.044</w:t>
                  </w:r>
                </w:p>
              </w:tc>
            </w:tr>
            <w:tr w14:paraId="7BA3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86" w:type="pct"/>
                  <w:vMerge w:val="restart"/>
                  <w:tcBorders>
                    <w:left w:val="single" w:color="auto" w:sz="4" w:space="0"/>
                    <w:right w:val="single" w:color="auto" w:sz="4" w:space="0"/>
                  </w:tcBorders>
                  <w:vAlign w:val="center"/>
                </w:tcPr>
                <w:p w14:paraId="24652E7F">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238" w:type="pct"/>
                  <w:vMerge w:val="restart"/>
                  <w:tcBorders>
                    <w:left w:val="single" w:color="auto" w:sz="4" w:space="0"/>
                    <w:right w:val="single" w:color="auto" w:sz="4" w:space="0"/>
                  </w:tcBorders>
                  <w:vAlign w:val="center"/>
                </w:tcPr>
                <w:p w14:paraId="48216C0B">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淬火</w:t>
                  </w:r>
                </w:p>
              </w:tc>
              <w:tc>
                <w:tcPr>
                  <w:tcW w:w="385" w:type="pct"/>
                  <w:tcBorders>
                    <w:left w:val="single" w:color="auto" w:sz="4" w:space="0"/>
                    <w:right w:val="single" w:color="auto" w:sz="4" w:space="0"/>
                  </w:tcBorders>
                  <w:vAlign w:val="center"/>
                </w:tcPr>
                <w:p w14:paraId="2035B7A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47" w:type="pct"/>
                  <w:vMerge w:val="restart"/>
                  <w:tcBorders>
                    <w:left w:val="single" w:color="auto" w:sz="4" w:space="0"/>
                    <w:right w:val="single" w:color="auto" w:sz="4" w:space="0"/>
                  </w:tcBorders>
                  <w:vAlign w:val="center"/>
                </w:tcPr>
                <w:p w14:paraId="06FFE0E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302" w:type="pct"/>
                  <w:tcBorders>
                    <w:top w:val="single" w:color="auto" w:sz="4" w:space="0"/>
                    <w:left w:val="single" w:color="auto" w:sz="4" w:space="0"/>
                    <w:bottom w:val="single" w:color="auto" w:sz="4" w:space="0"/>
                    <w:right w:val="single" w:color="auto" w:sz="4" w:space="0"/>
                  </w:tcBorders>
                  <w:vAlign w:val="center"/>
                </w:tcPr>
                <w:p w14:paraId="6FC610A9">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0.8</w:t>
                  </w:r>
                </w:p>
              </w:tc>
              <w:tc>
                <w:tcPr>
                  <w:tcW w:w="302" w:type="pct"/>
                  <w:tcBorders>
                    <w:top w:val="single" w:color="auto" w:sz="4" w:space="0"/>
                    <w:left w:val="single" w:color="auto" w:sz="4" w:space="0"/>
                    <w:bottom w:val="single" w:color="auto" w:sz="4" w:space="0"/>
                    <w:right w:val="single" w:color="auto" w:sz="4" w:space="0"/>
                  </w:tcBorders>
                  <w:vAlign w:val="center"/>
                </w:tcPr>
                <w:p w14:paraId="661E976E">
                  <w:pPr>
                    <w:pStyle w:val="14"/>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2.0</w:t>
                  </w:r>
                </w:p>
              </w:tc>
              <w:tc>
                <w:tcPr>
                  <w:tcW w:w="572" w:type="pct"/>
                  <w:vMerge w:val="restart"/>
                  <w:tcBorders>
                    <w:top w:val="single" w:color="auto" w:sz="4" w:space="0"/>
                    <w:left w:val="single" w:color="auto" w:sz="4" w:space="0"/>
                    <w:right w:val="single" w:color="auto" w:sz="4" w:space="0"/>
                  </w:tcBorders>
                  <w:vAlign w:val="center"/>
                </w:tcPr>
                <w:p w14:paraId="20870D17">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集气罩+油烟净化器+25m排气筒（内径0.</w:t>
                  </w:r>
                  <w:r>
                    <w:rPr>
                      <w:rFonts w:hint="eastAsia" w:ascii="Times New Roman" w:hAnsi="Times New Roman"/>
                      <w:color w:val="000000" w:themeColor="text1"/>
                      <w:sz w:val="21"/>
                      <w:szCs w:val="21"/>
                      <w:lang w:val="en-US" w:eastAsia="zh-CN"/>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m）</w:t>
                  </w:r>
                </w:p>
              </w:tc>
              <w:tc>
                <w:tcPr>
                  <w:tcW w:w="278" w:type="pct"/>
                  <w:vMerge w:val="restart"/>
                  <w:tcBorders>
                    <w:top w:val="single" w:color="auto" w:sz="4" w:space="0"/>
                    <w:left w:val="single" w:color="auto" w:sz="4" w:space="0"/>
                    <w:right w:val="single" w:color="auto" w:sz="4" w:space="0"/>
                  </w:tcBorders>
                  <w:vAlign w:val="center"/>
                </w:tcPr>
                <w:p w14:paraId="47195AD8">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r>
                    <w:rPr>
                      <w:rFonts w:ascii="Times New Roman" w:hAnsi="Times New Roman"/>
                      <w:color w:val="000000" w:themeColor="text1"/>
                      <w:sz w:val="21"/>
                      <w:szCs w:val="21"/>
                      <w14:textFill>
                        <w14:solidFill>
                          <w14:schemeClr w14:val="tx1"/>
                        </w14:solidFill>
                      </w14:textFill>
                    </w:rPr>
                    <w:t>000</w:t>
                  </w:r>
                </w:p>
              </w:tc>
              <w:tc>
                <w:tcPr>
                  <w:tcW w:w="355" w:type="pct"/>
                  <w:vMerge w:val="restart"/>
                  <w:tcBorders>
                    <w:top w:val="single" w:color="auto" w:sz="4" w:space="0"/>
                    <w:left w:val="single" w:color="auto" w:sz="4" w:space="0"/>
                    <w:right w:val="single" w:color="auto" w:sz="4" w:space="0"/>
                  </w:tcBorders>
                  <w:vAlign w:val="center"/>
                </w:tcPr>
                <w:p w14:paraId="0E74133D">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355" w:type="pct"/>
                  <w:tcBorders>
                    <w:top w:val="single" w:color="auto" w:sz="4" w:space="0"/>
                    <w:left w:val="single" w:color="auto" w:sz="4" w:space="0"/>
                    <w:bottom w:val="single" w:color="auto" w:sz="4" w:space="0"/>
                    <w:right w:val="single" w:color="auto" w:sz="4" w:space="0"/>
                  </w:tcBorders>
                  <w:vAlign w:val="center"/>
                </w:tcPr>
                <w:p w14:paraId="719F990F">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307" w:type="pct"/>
                  <w:tcBorders>
                    <w:top w:val="single" w:color="auto" w:sz="4" w:space="0"/>
                    <w:left w:val="single" w:color="auto" w:sz="4" w:space="0"/>
                    <w:bottom w:val="single" w:color="auto" w:sz="4" w:space="0"/>
                    <w:right w:val="single" w:color="auto" w:sz="4" w:space="0"/>
                  </w:tcBorders>
                  <w:vAlign w:val="center"/>
                </w:tcPr>
                <w:p w14:paraId="5EF76CF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是</w:t>
                  </w:r>
                </w:p>
              </w:tc>
              <w:tc>
                <w:tcPr>
                  <w:tcW w:w="302" w:type="pct"/>
                  <w:tcBorders>
                    <w:top w:val="single" w:color="auto" w:sz="4" w:space="0"/>
                    <w:left w:val="single" w:color="auto" w:sz="4" w:space="0"/>
                    <w:bottom w:val="single" w:color="auto" w:sz="4" w:space="0"/>
                    <w:right w:val="single" w:color="auto" w:sz="4" w:space="0"/>
                  </w:tcBorders>
                  <w:vAlign w:val="center"/>
                </w:tcPr>
                <w:p w14:paraId="75056C74">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0.08</w:t>
                  </w:r>
                </w:p>
              </w:tc>
              <w:tc>
                <w:tcPr>
                  <w:tcW w:w="310" w:type="pct"/>
                  <w:tcBorders>
                    <w:top w:val="single" w:color="auto" w:sz="4" w:space="0"/>
                    <w:left w:val="single" w:color="auto" w:sz="4" w:space="0"/>
                    <w:bottom w:val="single" w:color="auto" w:sz="4" w:space="0"/>
                    <w:right w:val="single" w:color="auto" w:sz="4" w:space="0"/>
                  </w:tcBorders>
                  <w:vAlign w:val="center"/>
                </w:tcPr>
                <w:p w14:paraId="7C744412">
                  <w:pPr>
                    <w:pStyle w:val="14"/>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0.16</w:t>
                  </w:r>
                </w:p>
              </w:tc>
              <w:tc>
                <w:tcPr>
                  <w:tcW w:w="350" w:type="pct"/>
                  <w:tcBorders>
                    <w:top w:val="single" w:color="auto" w:sz="4" w:space="0"/>
                    <w:left w:val="single" w:color="auto" w:sz="4" w:space="0"/>
                    <w:bottom w:val="single" w:color="auto" w:sz="4" w:space="0"/>
                    <w:right w:val="single" w:color="auto" w:sz="4" w:space="0"/>
                  </w:tcBorders>
                  <w:vAlign w:val="center"/>
                </w:tcPr>
                <w:p w14:paraId="58556D7A">
                  <w:pPr>
                    <w:pStyle w:val="14"/>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26</w:t>
                  </w:r>
                </w:p>
              </w:tc>
              <w:tc>
                <w:tcPr>
                  <w:tcW w:w="302" w:type="pct"/>
                  <w:tcBorders>
                    <w:top w:val="single" w:color="auto" w:sz="4" w:space="0"/>
                    <w:left w:val="single" w:color="auto" w:sz="4" w:space="0"/>
                    <w:bottom w:val="single" w:color="auto" w:sz="4" w:space="0"/>
                    <w:right w:val="single" w:color="auto" w:sz="4" w:space="0"/>
                  </w:tcBorders>
                  <w:vAlign w:val="center"/>
                </w:tcPr>
                <w:p w14:paraId="2D4B7BB8">
                  <w:pPr>
                    <w:adjustRightInd w:val="0"/>
                    <w:snapToGrid w:val="0"/>
                    <w:jc w:val="center"/>
                    <w:textAlignment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0.2</w:t>
                  </w:r>
                </w:p>
              </w:tc>
              <w:tc>
                <w:tcPr>
                  <w:tcW w:w="304" w:type="pct"/>
                  <w:tcBorders>
                    <w:top w:val="single" w:color="auto" w:sz="4" w:space="0"/>
                    <w:left w:val="single" w:color="auto" w:sz="4" w:space="0"/>
                    <w:bottom w:val="single" w:color="auto" w:sz="4" w:space="0"/>
                    <w:right w:val="single" w:color="auto" w:sz="4" w:space="0"/>
                  </w:tcBorders>
                  <w:vAlign w:val="center"/>
                </w:tcPr>
                <w:p w14:paraId="0F634ABD">
                  <w:pPr>
                    <w:adjustRightInd w:val="0"/>
                    <w:snapToGrid w:val="0"/>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szCs w:val="21"/>
                      <w:lang w:bidi="ar"/>
                      <w14:textFill>
                        <w14:solidFill>
                          <w14:schemeClr w14:val="tx1"/>
                        </w14:solidFill>
                      </w14:textFill>
                    </w:rPr>
                    <w:t>0.</w:t>
                  </w:r>
                  <w:r>
                    <w:rPr>
                      <w:rFonts w:hint="eastAsia"/>
                      <w:color w:val="000000" w:themeColor="text1"/>
                      <w:szCs w:val="21"/>
                      <w:lang w:val="en-US" w:eastAsia="zh-CN" w:bidi="ar"/>
                      <w14:textFill>
                        <w14:solidFill>
                          <w14:schemeClr w14:val="tx1"/>
                        </w14:solidFill>
                      </w14:textFill>
                    </w:rPr>
                    <w:t>4</w:t>
                  </w:r>
                </w:p>
              </w:tc>
            </w:tr>
            <w:tr w14:paraId="45CE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86" w:type="pct"/>
                  <w:vMerge w:val="continue"/>
                  <w:tcBorders>
                    <w:left w:val="single" w:color="auto" w:sz="4" w:space="0"/>
                    <w:right w:val="single" w:color="auto" w:sz="4" w:space="0"/>
                  </w:tcBorders>
                  <w:vAlign w:val="center"/>
                </w:tcPr>
                <w:p w14:paraId="42C69A71">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238" w:type="pct"/>
                  <w:vMerge w:val="continue"/>
                  <w:tcBorders>
                    <w:left w:val="single" w:color="auto" w:sz="4" w:space="0"/>
                    <w:right w:val="single" w:color="auto" w:sz="4" w:space="0"/>
                  </w:tcBorders>
                  <w:vAlign w:val="center"/>
                </w:tcPr>
                <w:p w14:paraId="4AC4E94B">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385" w:type="pct"/>
                  <w:tcBorders>
                    <w:left w:val="single" w:color="auto" w:sz="4" w:space="0"/>
                    <w:right w:val="single" w:color="auto" w:sz="4" w:space="0"/>
                  </w:tcBorders>
                  <w:vAlign w:val="center"/>
                </w:tcPr>
                <w:p w14:paraId="6AA5657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47" w:type="pct"/>
                  <w:vMerge w:val="continue"/>
                  <w:tcBorders>
                    <w:left w:val="single" w:color="auto" w:sz="4" w:space="0"/>
                    <w:right w:val="single" w:color="auto" w:sz="4" w:space="0"/>
                  </w:tcBorders>
                  <w:vAlign w:val="center"/>
                </w:tcPr>
                <w:p w14:paraId="0543984D">
                  <w:pPr>
                    <w:adjustRightInd w:val="0"/>
                    <w:snapToGrid w:val="0"/>
                    <w:jc w:val="center"/>
                    <w:rPr>
                      <w:color w:val="000000" w:themeColor="text1"/>
                      <w:szCs w:val="21"/>
                      <w14:textFill>
                        <w14:solidFill>
                          <w14:schemeClr w14:val="tx1"/>
                        </w14:solidFill>
                      </w14:textFill>
                    </w:rPr>
                  </w:pPr>
                </w:p>
              </w:tc>
              <w:tc>
                <w:tcPr>
                  <w:tcW w:w="302" w:type="pct"/>
                  <w:tcBorders>
                    <w:top w:val="single" w:color="auto" w:sz="4" w:space="0"/>
                    <w:left w:val="single" w:color="auto" w:sz="4" w:space="0"/>
                    <w:bottom w:val="single" w:color="auto" w:sz="4" w:space="0"/>
                    <w:right w:val="single" w:color="auto" w:sz="4" w:space="0"/>
                  </w:tcBorders>
                  <w:vAlign w:val="center"/>
                </w:tcPr>
                <w:p w14:paraId="31266203">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0.018</w:t>
                  </w:r>
                </w:p>
              </w:tc>
              <w:tc>
                <w:tcPr>
                  <w:tcW w:w="302" w:type="pct"/>
                  <w:tcBorders>
                    <w:top w:val="single" w:color="auto" w:sz="4" w:space="0"/>
                    <w:left w:val="single" w:color="auto" w:sz="4" w:space="0"/>
                    <w:bottom w:val="single" w:color="auto" w:sz="4" w:space="0"/>
                    <w:right w:val="single" w:color="auto" w:sz="4" w:space="0"/>
                  </w:tcBorders>
                  <w:vAlign w:val="center"/>
                </w:tcPr>
                <w:p w14:paraId="5003A81A">
                  <w:pPr>
                    <w:pStyle w:val="14"/>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0.044</w:t>
                  </w:r>
                </w:p>
              </w:tc>
              <w:tc>
                <w:tcPr>
                  <w:tcW w:w="572" w:type="pct"/>
                  <w:vMerge w:val="continue"/>
                  <w:tcBorders>
                    <w:left w:val="single" w:color="auto" w:sz="4" w:space="0"/>
                    <w:bottom w:val="single" w:color="auto" w:sz="4" w:space="0"/>
                    <w:right w:val="single" w:color="auto" w:sz="4" w:space="0"/>
                  </w:tcBorders>
                  <w:vAlign w:val="center"/>
                </w:tcPr>
                <w:p w14:paraId="611788D2">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278" w:type="pct"/>
                  <w:vMerge w:val="continue"/>
                  <w:tcBorders>
                    <w:left w:val="single" w:color="auto" w:sz="4" w:space="0"/>
                    <w:bottom w:val="single" w:color="auto" w:sz="4" w:space="0"/>
                    <w:right w:val="single" w:color="auto" w:sz="4" w:space="0"/>
                  </w:tcBorders>
                  <w:vAlign w:val="center"/>
                </w:tcPr>
                <w:p w14:paraId="74217A1B">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355" w:type="pct"/>
                  <w:vMerge w:val="continue"/>
                  <w:tcBorders>
                    <w:left w:val="single" w:color="auto" w:sz="4" w:space="0"/>
                    <w:bottom w:val="single" w:color="auto" w:sz="4" w:space="0"/>
                    <w:right w:val="single" w:color="auto" w:sz="4" w:space="0"/>
                  </w:tcBorders>
                  <w:vAlign w:val="center"/>
                </w:tcPr>
                <w:p w14:paraId="686ADF76">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p>
              </w:tc>
              <w:tc>
                <w:tcPr>
                  <w:tcW w:w="355" w:type="pct"/>
                  <w:tcBorders>
                    <w:top w:val="single" w:color="auto" w:sz="4" w:space="0"/>
                    <w:left w:val="single" w:color="auto" w:sz="4" w:space="0"/>
                    <w:bottom w:val="single" w:color="auto" w:sz="4" w:space="0"/>
                    <w:right w:val="single" w:color="auto" w:sz="4" w:space="0"/>
                  </w:tcBorders>
                  <w:vAlign w:val="center"/>
                </w:tcPr>
                <w:p w14:paraId="7CD8D406">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18</w:t>
                  </w:r>
                </w:p>
              </w:tc>
              <w:tc>
                <w:tcPr>
                  <w:tcW w:w="307" w:type="pct"/>
                  <w:tcBorders>
                    <w:top w:val="single" w:color="auto" w:sz="4" w:space="0"/>
                    <w:left w:val="single" w:color="auto" w:sz="4" w:space="0"/>
                    <w:bottom w:val="single" w:color="auto" w:sz="4" w:space="0"/>
                    <w:right w:val="single" w:color="auto" w:sz="4" w:space="0"/>
                  </w:tcBorders>
                  <w:vAlign w:val="center"/>
                </w:tcPr>
                <w:p w14:paraId="5A6A8586">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是</w:t>
                  </w:r>
                </w:p>
              </w:tc>
              <w:tc>
                <w:tcPr>
                  <w:tcW w:w="302" w:type="pct"/>
                  <w:tcBorders>
                    <w:top w:val="single" w:color="auto" w:sz="4" w:space="0"/>
                    <w:left w:val="single" w:color="auto" w:sz="4" w:space="0"/>
                    <w:bottom w:val="single" w:color="auto" w:sz="4" w:space="0"/>
                    <w:right w:val="single" w:color="auto" w:sz="4" w:space="0"/>
                  </w:tcBorders>
                  <w:vAlign w:val="center"/>
                </w:tcPr>
                <w:p w14:paraId="402B5C76">
                  <w:pPr>
                    <w:pStyle w:val="14"/>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0.015</w:t>
                  </w:r>
                </w:p>
              </w:tc>
              <w:tc>
                <w:tcPr>
                  <w:tcW w:w="310" w:type="pct"/>
                  <w:tcBorders>
                    <w:top w:val="single" w:color="auto" w:sz="4" w:space="0"/>
                    <w:left w:val="single" w:color="auto" w:sz="4" w:space="0"/>
                    <w:bottom w:val="single" w:color="auto" w:sz="4" w:space="0"/>
                    <w:right w:val="single" w:color="auto" w:sz="4" w:space="0"/>
                  </w:tcBorders>
                  <w:vAlign w:val="center"/>
                </w:tcPr>
                <w:p w14:paraId="5761C443">
                  <w:pPr>
                    <w:pStyle w:val="14"/>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0.028</w:t>
                  </w:r>
                </w:p>
              </w:tc>
              <w:tc>
                <w:tcPr>
                  <w:tcW w:w="350" w:type="pct"/>
                  <w:tcBorders>
                    <w:top w:val="single" w:color="auto" w:sz="4" w:space="0"/>
                    <w:left w:val="single" w:color="auto" w:sz="4" w:space="0"/>
                    <w:bottom w:val="single" w:color="auto" w:sz="4" w:space="0"/>
                    <w:right w:val="single" w:color="auto" w:sz="4" w:space="0"/>
                  </w:tcBorders>
                  <w:vAlign w:val="center"/>
                </w:tcPr>
                <w:p w14:paraId="6B5D6DF1">
                  <w:pPr>
                    <w:pStyle w:val="14"/>
                    <w:adjustRightInd w:val="0"/>
                    <w:snapToGri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4.8</w:t>
                  </w:r>
                </w:p>
              </w:tc>
              <w:tc>
                <w:tcPr>
                  <w:tcW w:w="302" w:type="pct"/>
                  <w:tcBorders>
                    <w:top w:val="single" w:color="auto" w:sz="4" w:space="0"/>
                    <w:left w:val="single" w:color="auto" w:sz="4" w:space="0"/>
                    <w:bottom w:val="single" w:color="auto" w:sz="4" w:space="0"/>
                    <w:right w:val="single" w:color="auto" w:sz="4" w:space="0"/>
                  </w:tcBorders>
                  <w:vAlign w:val="center"/>
                </w:tcPr>
                <w:p w14:paraId="5ABEAEB9">
                  <w:pPr>
                    <w:adjustRightInd w:val="0"/>
                    <w:snapToGrid w:val="0"/>
                    <w:jc w:val="center"/>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0.018</w:t>
                  </w:r>
                </w:p>
              </w:tc>
              <w:tc>
                <w:tcPr>
                  <w:tcW w:w="304" w:type="pct"/>
                  <w:tcBorders>
                    <w:top w:val="single" w:color="auto" w:sz="4" w:space="0"/>
                    <w:left w:val="single" w:color="auto" w:sz="4" w:space="0"/>
                    <w:bottom w:val="single" w:color="auto" w:sz="4" w:space="0"/>
                    <w:right w:val="single" w:color="auto" w:sz="4" w:space="0"/>
                  </w:tcBorders>
                  <w:vAlign w:val="center"/>
                </w:tcPr>
                <w:p w14:paraId="45F44775">
                  <w:pPr>
                    <w:adjustRightInd w:val="0"/>
                    <w:snapToGrid w:val="0"/>
                    <w:jc w:val="center"/>
                    <w:textAlignment w:val="center"/>
                    <w:rPr>
                      <w:rFonts w:hint="default" w:eastAsia="宋体"/>
                      <w:color w:val="000000" w:themeColor="text1"/>
                      <w:szCs w:val="21"/>
                      <w:lang w:val="en-US" w:eastAsia="zh-CN" w:bidi="ar"/>
                      <w14:textFill>
                        <w14:solidFill>
                          <w14:schemeClr w14:val="tx1"/>
                        </w14:solidFill>
                      </w14:textFill>
                    </w:rPr>
                  </w:pPr>
                  <w:r>
                    <w:rPr>
                      <w:color w:val="000000" w:themeColor="text1"/>
                      <w:szCs w:val="21"/>
                      <w:lang w:bidi="ar"/>
                      <w14:textFill>
                        <w14:solidFill>
                          <w14:schemeClr w14:val="tx1"/>
                        </w14:solidFill>
                      </w14:textFill>
                    </w:rPr>
                    <w:t>0.0</w:t>
                  </w:r>
                  <w:r>
                    <w:rPr>
                      <w:rFonts w:hint="eastAsia"/>
                      <w:color w:val="000000" w:themeColor="text1"/>
                      <w:szCs w:val="21"/>
                      <w:lang w:val="en-US" w:eastAsia="zh-CN" w:bidi="ar"/>
                      <w14:textFill>
                        <w14:solidFill>
                          <w14:schemeClr w14:val="tx1"/>
                        </w14:solidFill>
                      </w14:textFill>
                    </w:rPr>
                    <w:t>09</w:t>
                  </w:r>
                </w:p>
              </w:tc>
            </w:tr>
          </w:tbl>
          <w:p w14:paraId="67B4D7F3">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p>
        </w:tc>
      </w:tr>
    </w:tbl>
    <w:p w14:paraId="619C3489">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sectPr>
          <w:pgSz w:w="16840" w:h="11907" w:orient="landscape"/>
          <w:pgMar w:top="1531" w:right="1701" w:bottom="1531" w:left="2127" w:header="851" w:footer="851" w:gutter="0"/>
          <w:cols w:space="720" w:num="1"/>
          <w:docGrid w:linePitch="312" w:charSpace="0"/>
        </w:sectPr>
      </w:pPr>
    </w:p>
    <w:tbl>
      <w:tblPr>
        <w:tblStyle w:val="25"/>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913"/>
      </w:tblGrid>
      <w:tr w14:paraId="539C7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16" w:type="dxa"/>
            <w:tcMar>
              <w:left w:w="28" w:type="dxa"/>
              <w:right w:w="28" w:type="dxa"/>
            </w:tcMar>
            <w:vAlign w:val="center"/>
          </w:tcPr>
          <w:p w14:paraId="6B6CDE15">
            <w:pPr>
              <w:adjustRightInd w:val="0"/>
              <w:snapToGrid w:val="0"/>
              <w:jc w:val="center"/>
              <w:rPr>
                <w:bCs/>
                <w:color w:val="000000" w:themeColor="text1"/>
                <w:szCs w:val="21"/>
                <w14:textFill>
                  <w14:solidFill>
                    <w14:schemeClr w14:val="tx1"/>
                  </w14:solidFill>
                </w14:textFill>
              </w:rPr>
            </w:pPr>
            <w:r>
              <w:rPr>
                <w:bCs/>
                <w:color w:val="000000" w:themeColor="text1"/>
                <w:sz w:val="24"/>
                <w14:textFill>
                  <w14:solidFill>
                    <w14:schemeClr w14:val="tx1"/>
                  </w14:solidFill>
                </w14:textFill>
              </w:rPr>
              <w:t>运营期环境影响和保护措施</w:t>
            </w:r>
          </w:p>
        </w:tc>
        <w:tc>
          <w:tcPr>
            <w:tcW w:w="8409" w:type="dxa"/>
            <w:vAlign w:val="center"/>
          </w:tcPr>
          <w:p w14:paraId="4318324A">
            <w:pPr>
              <w:tabs>
                <w:tab w:val="right" w:pos="8675"/>
              </w:tabs>
              <w:spacing w:line="360" w:lineRule="auto"/>
              <w:ind w:firstLine="482" w:firstLineChars="200"/>
              <w:rPr>
                <w:b/>
                <w:color w:val="000000" w:themeColor="text1"/>
                <w:sz w:val="24"/>
                <w14:textFill>
                  <w14:solidFill>
                    <w14:schemeClr w14:val="tx1"/>
                  </w14:solidFill>
                </w14:textFill>
              </w:rPr>
            </w:pPr>
            <w:r>
              <w:rPr>
                <w:b/>
                <w:color w:val="000000" w:themeColor="text1"/>
                <w:sz w:val="24"/>
                <w:lang w:val="zh-CN"/>
                <w14:textFill>
                  <w14:solidFill>
                    <w14:schemeClr w14:val="tx1"/>
                  </w14:solidFill>
                </w14:textFill>
              </w:rPr>
              <w:t>（</w:t>
            </w:r>
            <w:r>
              <w:rPr>
                <w:b/>
                <w:color w:val="000000" w:themeColor="text1"/>
                <w:sz w:val="24"/>
                <w14:textFill>
                  <w14:solidFill>
                    <w14:schemeClr w14:val="tx1"/>
                  </w14:solidFill>
                </w14:textFill>
              </w:rPr>
              <w:t>2</w:t>
            </w:r>
            <w:r>
              <w:rPr>
                <w:b/>
                <w:color w:val="000000" w:themeColor="text1"/>
                <w:sz w:val="24"/>
                <w:lang w:val="zh-CN"/>
                <w14:textFill>
                  <w14:solidFill>
                    <w14:schemeClr w14:val="tx1"/>
                  </w14:solidFill>
                </w14:textFill>
              </w:rPr>
              <w:t>）源强核算阐述</w:t>
            </w:r>
          </w:p>
          <w:p w14:paraId="045BC579">
            <w:pPr>
              <w:pStyle w:val="137"/>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1）焊接烟尘G1</w:t>
            </w:r>
          </w:p>
          <w:p w14:paraId="23786B05">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焊接工序主要采用氩弧焊，使用的钢材实芯焊丝为10t/a，且均为无铅焊丝，焊接过程中产生烟尘颗粒物。</w:t>
            </w:r>
          </w:p>
          <w:p w14:paraId="39475912">
            <w:pPr>
              <w:pStyle w:val="6"/>
              <w:adjustRightInd w:val="0"/>
              <w:snapToGrid w:val="0"/>
              <w:spacing w:before="0" w:after="0"/>
              <w:ind w:firstLine="480"/>
              <w:rPr>
                <w:rFonts w:ascii="Times New Roman" w:hAnsi="Times New Roman" w:eastAsia="宋体" w:cs="Times New Roman"/>
                <w:b w:val="0"/>
                <w:color w:val="000000" w:themeColor="text1"/>
                <w:sz w:val="24"/>
                <w:szCs w:val="24"/>
                <w14:textFill>
                  <w14:solidFill>
                    <w14:schemeClr w14:val="tx1"/>
                  </w14:solidFill>
                </w14:textFill>
              </w:rPr>
            </w:pPr>
            <w:r>
              <w:rPr>
                <w:rFonts w:ascii="Times New Roman" w:hAnsi="Times New Roman" w:eastAsia="宋体" w:cs="Times New Roman"/>
                <w:b w:val="0"/>
                <w:color w:val="000000" w:themeColor="text1"/>
                <w:sz w:val="24"/>
                <w14:textFill>
                  <w14:solidFill>
                    <w14:schemeClr w14:val="tx1"/>
                  </w14:solidFill>
                </w14:textFill>
              </w:rPr>
              <w:t>根据《排放源统计调查产排污核算方法和系数手册》“33~37、43机械行业系数手册中09实芯焊丝烟尘产污系数为9.19kg/t原料、《环保工作者实用手册》（第2版）：焊接）烟尘产污系数为40g/kg原料，根据建设单位提供资料，项目焊丝使用量约为</w:t>
            </w:r>
            <w:r>
              <w:rPr>
                <w:rFonts w:hint="eastAsia" w:ascii="Times New Roman" w:hAnsi="Times New Roman" w:eastAsia="宋体" w:cs="Times New Roman"/>
                <w:b w:val="0"/>
                <w:color w:val="000000" w:themeColor="text1"/>
                <w:sz w:val="24"/>
                <w:lang w:val="en-US" w:eastAsia="zh-CN"/>
                <w14:textFill>
                  <w14:solidFill>
                    <w14:schemeClr w14:val="tx1"/>
                  </w14:solidFill>
                </w14:textFill>
              </w:rPr>
              <w:t>10</w:t>
            </w:r>
            <w:r>
              <w:rPr>
                <w:rFonts w:ascii="Times New Roman" w:hAnsi="Times New Roman" w:eastAsia="宋体" w:cs="Times New Roman"/>
                <w:b w:val="0"/>
                <w:color w:val="000000" w:themeColor="text1"/>
                <w:sz w:val="24"/>
                <w14:textFill>
                  <w14:solidFill>
                    <w14:schemeClr w14:val="tx1"/>
                  </w14:solidFill>
                </w14:textFill>
              </w:rPr>
              <w:t>t/a，为考虑对环境的最不利影响，本次评价参考《环保工作者实用手册》（第2版）：焊接）烟尘产污系数以40g/kg原料取值，则可知焊接烟尘产生量为</w:t>
            </w:r>
            <w:r>
              <w:rPr>
                <w:rFonts w:ascii="Times New Roman" w:hAnsi="Times New Roman" w:eastAsia="宋体" w:cs="Times New Roman"/>
                <w:b w:val="0"/>
                <w:color w:val="000000" w:themeColor="text1"/>
                <w:sz w:val="24"/>
                <w:highlight w:val="none"/>
                <w14:textFill>
                  <w14:solidFill>
                    <w14:schemeClr w14:val="tx1"/>
                  </w14:solidFill>
                </w14:textFill>
              </w:rPr>
              <w:t>0.4t/a，焊</w:t>
            </w:r>
            <w:r>
              <w:rPr>
                <w:rFonts w:ascii="Times New Roman" w:hAnsi="Times New Roman" w:eastAsia="宋体" w:cs="Times New Roman"/>
                <w:b w:val="0"/>
                <w:color w:val="000000" w:themeColor="text1"/>
                <w:sz w:val="24"/>
                <w14:textFill>
                  <w14:solidFill>
                    <w14:schemeClr w14:val="tx1"/>
                  </w14:solidFill>
                </w14:textFill>
              </w:rPr>
              <w:t>接工序每日有效运行6h，年作业300d，则产生速率为</w:t>
            </w:r>
            <w:r>
              <w:rPr>
                <w:rFonts w:ascii="Times New Roman" w:hAnsi="Times New Roman" w:eastAsia="宋体" w:cs="Times New Roman"/>
                <w:b w:val="0"/>
                <w:color w:val="000000" w:themeColor="text1"/>
                <w:sz w:val="24"/>
                <w:highlight w:val="none"/>
                <w14:textFill>
                  <w14:solidFill>
                    <w14:schemeClr w14:val="tx1"/>
                  </w14:solidFill>
                </w14:textFill>
              </w:rPr>
              <w:t>0.222kg/h</w:t>
            </w:r>
            <w:r>
              <w:rPr>
                <w:rFonts w:ascii="Times New Roman" w:hAnsi="Times New Roman" w:eastAsia="宋体" w:cs="Times New Roman"/>
                <w:b w:val="0"/>
                <w:color w:val="000000" w:themeColor="text1"/>
                <w:sz w:val="24"/>
                <w:szCs w:val="24"/>
                <w:highlight w:val="none"/>
                <w14:textFill>
                  <w14:solidFill>
                    <w14:schemeClr w14:val="tx1"/>
                  </w14:solidFill>
                </w14:textFill>
              </w:rPr>
              <w:t>。</w:t>
            </w:r>
          </w:p>
          <w:p w14:paraId="0F1B0998">
            <w:pPr>
              <w:pStyle w:val="6"/>
              <w:adjustRightInd w:val="0"/>
              <w:snapToGrid w:val="0"/>
              <w:spacing w:before="0" w:after="0"/>
              <w:ind w:firstLine="480"/>
              <w:rPr>
                <w:rFonts w:ascii="Times New Roman" w:hAnsi="Times New Roman" w:eastAsia="宋体" w:cs="Times New Roman"/>
                <w:b w:val="0"/>
                <w:color w:val="000000" w:themeColor="text1"/>
                <w:sz w:val="24"/>
                <w:szCs w:val="24"/>
                <w14:textFill>
                  <w14:solidFill>
                    <w14:schemeClr w14:val="tx1"/>
                  </w14:solidFill>
                </w14:textFill>
              </w:rPr>
            </w:pPr>
            <w:r>
              <w:rPr>
                <w:rFonts w:ascii="Times New Roman" w:hAnsi="Times New Roman" w:eastAsia="宋体" w:cs="Times New Roman"/>
                <w:b w:val="0"/>
                <w:color w:val="000000" w:themeColor="text1"/>
                <w:sz w:val="24"/>
                <w:szCs w:val="24"/>
                <w14:textFill>
                  <w14:solidFill>
                    <w14:schemeClr w14:val="tx1"/>
                  </w14:solidFill>
                </w14:textFill>
              </w:rPr>
              <w:t>废气治理措施：项目设有2台焊机，于每个焊接工位顶部采用顶吸式集气罩装置并设置垂直软胶帘，综合收集效率80%，收集后的焊接烟尘经1套“布袋除尘器（处理效率90%）”处理，经25m高排气筒（DA001）排放。项目单个焊接工位集气罩长宽约为0.3*0.3m，则单个焊接工位集气罩周长为1.2m。</w:t>
            </w:r>
          </w:p>
          <w:p w14:paraId="648E028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根据《大气污染控制工程》中集气罩设计原则，最小控制风速约0.5m/s，项目集气罩风量按照下式确定：</w:t>
            </w:r>
          </w:p>
          <w:p w14:paraId="5093394F">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Q=K*P*h*V0</w:t>
            </w:r>
          </w:p>
          <w:p w14:paraId="52634A38">
            <w:pPr>
              <w:adjustRightIn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式中：Q——集气罩风量，m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/s；</w:t>
            </w:r>
          </w:p>
          <w:p w14:paraId="378C4A64">
            <w:pPr>
              <w:adjustRightInd w:val="0"/>
              <w:spacing w:line="360" w:lineRule="auto"/>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V0——吸气口的平均风速，取0.5m/s；</w:t>
            </w:r>
          </w:p>
          <w:p w14:paraId="41734CBE">
            <w:pPr>
              <w:adjustRightInd w:val="0"/>
              <w:spacing w:line="360" w:lineRule="auto"/>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K——安全系数，取1.4；</w:t>
            </w:r>
          </w:p>
          <w:p w14:paraId="5FA889FB">
            <w:pPr>
              <w:adjustRightInd w:val="0"/>
              <w:spacing w:line="360" w:lineRule="auto"/>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P——罩口周长，m；</w:t>
            </w:r>
          </w:p>
          <w:p w14:paraId="6DDD009D">
            <w:pPr>
              <w:adjustRightInd w:val="0"/>
              <w:spacing w:line="360" w:lineRule="auto"/>
              <w:ind w:firstLine="1200" w:firstLineChars="500"/>
              <w:rPr>
                <w:color w:val="000000" w:themeColor="text1"/>
                <w:sz w:val="24"/>
                <w14:textFill>
                  <w14:solidFill>
                    <w14:schemeClr w14:val="tx1"/>
                  </w14:solidFill>
                </w14:textFill>
              </w:rPr>
            </w:pPr>
            <w:r>
              <w:rPr>
                <w:bCs/>
                <w:color w:val="000000" w:themeColor="text1"/>
                <w:sz w:val="24"/>
                <w14:textFill>
                  <w14:solidFill>
                    <w14:schemeClr w14:val="tx1"/>
                  </w14:solidFill>
                </w14:textFill>
              </w:rPr>
              <w:t>h——污染源离罩口的距离，取0.2m。</w:t>
            </w:r>
          </w:p>
          <w:p w14:paraId="3F847AB3">
            <w:pPr>
              <w:pStyle w:val="6"/>
              <w:adjustRightInd w:val="0"/>
              <w:snapToGrid w:val="0"/>
              <w:spacing w:before="0" w:after="0"/>
              <w:ind w:firstLine="48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val="0"/>
                <w:color w:val="000000" w:themeColor="text1"/>
                <w:sz w:val="24"/>
                <w:szCs w:val="24"/>
                <w14:textFill>
                  <w14:solidFill>
                    <w14:schemeClr w14:val="tx1"/>
                  </w14:solidFill>
                </w14:textFill>
              </w:rPr>
              <w:t>综上计算，焊接设备单个集气罩要求的最小风量约为604.8m</w:t>
            </w:r>
            <w:r>
              <w:rPr>
                <w:rFonts w:ascii="Times New Roman" w:hAnsi="Times New Roman" w:eastAsia="宋体" w:cs="Times New Roman"/>
                <w:b w:val="0"/>
                <w:color w:val="000000" w:themeColor="text1"/>
                <w:sz w:val="24"/>
                <w:szCs w:val="24"/>
                <w:vertAlign w:val="superscript"/>
                <w14:textFill>
                  <w14:solidFill>
                    <w14:schemeClr w14:val="tx1"/>
                  </w14:solidFill>
                </w14:textFill>
              </w:rPr>
              <w:t>3</w:t>
            </w:r>
            <w:r>
              <w:rPr>
                <w:rFonts w:ascii="Times New Roman" w:hAnsi="Times New Roman" w:eastAsia="宋体" w:cs="Times New Roman"/>
                <w:b w:val="0"/>
                <w:color w:val="000000" w:themeColor="text1"/>
                <w:sz w:val="24"/>
                <w:szCs w:val="24"/>
                <w14:textFill>
                  <w14:solidFill>
                    <w14:schemeClr w14:val="tx1"/>
                  </w14:solidFill>
                </w14:textFill>
              </w:rPr>
              <w:t>/h，则2台焊接设备需要的风机风量为1209.6m</w:t>
            </w:r>
            <w:r>
              <w:rPr>
                <w:rFonts w:ascii="Times New Roman" w:hAnsi="Times New Roman" w:eastAsia="宋体" w:cs="Times New Roman"/>
                <w:b w:val="0"/>
                <w:color w:val="000000" w:themeColor="text1"/>
                <w:sz w:val="24"/>
                <w:szCs w:val="24"/>
                <w:vertAlign w:val="superscript"/>
                <w14:textFill>
                  <w14:solidFill>
                    <w14:schemeClr w14:val="tx1"/>
                  </w14:solidFill>
                </w14:textFill>
              </w:rPr>
              <w:t>3</w:t>
            </w:r>
            <w:r>
              <w:rPr>
                <w:rFonts w:ascii="Times New Roman" w:hAnsi="Times New Roman" w:eastAsia="宋体" w:cs="Times New Roman"/>
                <w:b w:val="0"/>
                <w:color w:val="000000" w:themeColor="text1"/>
                <w:sz w:val="24"/>
                <w:szCs w:val="24"/>
                <w14:textFill>
                  <w14:solidFill>
                    <w14:schemeClr w14:val="tx1"/>
                  </w14:solidFill>
                </w14:textFill>
              </w:rPr>
              <w:t>/h，为考虑集气效率，设计风量为2000m</w:t>
            </w:r>
            <w:r>
              <w:rPr>
                <w:rFonts w:ascii="Times New Roman" w:hAnsi="Times New Roman" w:eastAsia="宋体" w:cs="Times New Roman"/>
                <w:b w:val="0"/>
                <w:color w:val="000000" w:themeColor="text1"/>
                <w:sz w:val="24"/>
                <w:szCs w:val="24"/>
                <w:vertAlign w:val="superscript"/>
                <w14:textFill>
                  <w14:solidFill>
                    <w14:schemeClr w14:val="tx1"/>
                  </w14:solidFill>
                </w14:textFill>
              </w:rPr>
              <w:t>3</w:t>
            </w:r>
            <w:r>
              <w:rPr>
                <w:rFonts w:ascii="Times New Roman" w:hAnsi="Times New Roman" w:eastAsia="宋体" w:cs="Times New Roman"/>
                <w:b w:val="0"/>
                <w:color w:val="000000" w:themeColor="text1"/>
                <w:sz w:val="24"/>
                <w:szCs w:val="24"/>
                <w14:textFill>
                  <w14:solidFill>
                    <w14:schemeClr w14:val="tx1"/>
                  </w14:solidFill>
                </w14:textFill>
              </w:rPr>
              <w:t>/h，排气筒内径0.2m，满足焊接设备废气抽风需求。</w:t>
            </w:r>
          </w:p>
          <w:p w14:paraId="0339C089">
            <w:pPr>
              <w:pStyle w:val="137"/>
              <w:rPr>
                <w:rFonts w:eastAsia="宋体"/>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t>综上，</w:t>
            </w:r>
            <w:r>
              <w:rPr>
                <w:rFonts w:eastAsia="宋体"/>
                <w:color w:val="000000" w:themeColor="text1"/>
                <w14:textFill>
                  <w14:solidFill>
                    <w14:schemeClr w14:val="tx1"/>
                  </w14:solidFill>
                </w14:textFill>
              </w:rPr>
              <w:t>焊接烟尘有组织收集量</w:t>
            </w:r>
            <w:r>
              <w:rPr>
                <w:rFonts w:eastAsia="宋体"/>
                <w:color w:val="000000" w:themeColor="text1"/>
                <w:highlight w:val="none"/>
                <w14:textFill>
                  <w14:solidFill>
                    <w14:schemeClr w14:val="tx1"/>
                  </w14:solidFill>
                </w14:textFill>
              </w:rPr>
              <w:t>0.32t/a，速率0.178kg/h，产生浓度89mg/m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r>
              <w:rPr>
                <w:rFonts w:eastAsia="宋体"/>
                <w:color w:val="000000" w:themeColor="text1"/>
                <w14:textFill>
                  <w14:solidFill>
                    <w14:schemeClr w14:val="tx1"/>
                  </w14:solidFill>
                </w14:textFill>
              </w:rPr>
              <w:t>有组织排放量0.032t/a，速率0.018kg/h，排放浓度8.9mg/m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，无组织排放合计0.08t/a（0.044kg/h）。</w:t>
            </w:r>
          </w:p>
          <w:p w14:paraId="21607D9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2）正火、淬火油烟G2</w:t>
            </w:r>
          </w:p>
          <w:p w14:paraId="60E861DA">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①正火油烟</w:t>
            </w:r>
          </w:p>
          <w:p w14:paraId="5CD5B465">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正火工序不添加油料，仅下料过程工件表面附着有少量的切削液（切削液与水配比后），正火过程仅有少量切削液所含矿物油挥发，锯床所用切削液量较少，油料挥发量较少，故油雾排放量较小，排放浓度较低，厂区无组织排放对周边环境影响较小，本次评价不予定量分析。</w:t>
            </w:r>
          </w:p>
          <w:p w14:paraId="3AF021E5">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②淬火油烟</w:t>
            </w:r>
          </w:p>
          <w:p w14:paraId="421357CC">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排放源统计调查产排污核算方法和系数手册》--33金属制品业中，热处理淬火油冷过程油淬油烟主要污染物为挥发性有机物、颗粒物，挥发性有机物以非甲烷总烃考虑：其中颗粒物产污系数为200kg/t原料（淬火油）；挥发性有机物产污系数为0.01kg/t原料（淬火油）。同时参考同类型热处理已验收项目《重庆彦宸机械金属表面热处理项目竣工环境保护验收监测报告表》，该项目与本项目热处理工艺基本相同，淬火油年用量0.8t/a，根据其验收期间排放口的监测数据：非甲烷总烃平均排放速率为1.97×10</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kg/h，该项目淬火工序年有效作业1800h，则经折算该项目淬火工序非甲烷总烃产污系数=1.97×10</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h×1800h/a/0.8t/a=4.4kg/t原料（淬火油），由于两个产污系数差距较大（倍量级），为考虑后续验收总量，本次考虑淬火工序非甲烷总烃产污系数采用《重庆彦宸机械金属表面热处理项目竣工环境保护验收监测报告表》折算系数，即非甲烷总烃产污系数为4.4kg/t原料（淬火油）。</w:t>
            </w:r>
          </w:p>
          <w:p w14:paraId="0187E633">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项目设置了1个淬火油槽，淬火油用量为5.0t/a，在油槽上方设置集气罩（单个尺寸约</w:t>
            </w:r>
            <w:r>
              <w:rPr>
                <w:rFonts w:hint="eastAsia" w:ascii="Times New Roman" w:hAnsi="Times New Roman" w:cs="Times New Roman"/>
                <w:color w:val="000000" w:themeColor="text1"/>
                <w:lang w:val="en-US" w:eastAsia="zh-CN"/>
                <w14:textFill>
                  <w14:solidFill>
                    <w14:schemeClr w14:val="tx1"/>
                  </w14:solidFill>
                </w14:textFill>
              </w:rPr>
              <w:t>2.0</w:t>
            </w:r>
            <w:r>
              <w:rPr>
                <w:rFonts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lang w:val="en-US" w:eastAsia="zh-CN"/>
                <w14:textFill>
                  <w14:solidFill>
                    <w14:schemeClr w14:val="tx1"/>
                  </w14:solidFill>
                </w14:textFill>
              </w:rPr>
              <w:t>1.2</w:t>
            </w:r>
            <w:r>
              <w:rPr>
                <w:rFonts w:ascii="Times New Roman" w:hAnsi="Times New Roman" w:cs="Times New Roman"/>
                <w:color w:val="000000" w:themeColor="text1"/>
                <w14:textFill>
                  <w14:solidFill>
                    <w14:schemeClr w14:val="tx1"/>
                  </w14:solidFill>
                </w14:textFill>
              </w:rPr>
              <w:t>m），集气罩集气效率按80%计，油烟净化效率对颗粒物（油雾）去除效率按90%</w:t>
            </w:r>
            <w:r>
              <w:rPr>
                <w:rFonts w:hint="eastAsia" w:ascii="Times New Roman" w:hAnsi="Times New Roman" w:cs="Times New Roman"/>
                <w:color w:val="000000" w:themeColor="text1"/>
                <w:lang w:eastAsia="zh-CN"/>
                <w14:textFill>
                  <w14:solidFill>
                    <w14:schemeClr w14:val="tx1"/>
                  </w14:solidFill>
                </w14:textFill>
              </w:rPr>
              <w:t>计</w:t>
            </w:r>
            <w:r>
              <w:rPr>
                <w:rFonts w:ascii="Times New Roman" w:hAnsi="Times New Roman" w:cs="Times New Roman"/>
                <w:color w:val="000000" w:themeColor="text1"/>
                <w14:textFill>
                  <w14:solidFill>
                    <w14:schemeClr w14:val="tx1"/>
                  </w14:solidFill>
                </w14:textFill>
              </w:rPr>
              <w:t>，非甲烷总烃去除效率按18%（参考排放源统计调查产排污核算方法和系数手册</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计</w:t>
            </w:r>
            <w:r>
              <w:rPr>
                <w:rFonts w:ascii="Times New Roman" w:hAnsi="Times New Roman" w:cs="Times New Roman"/>
                <w:color w:val="000000" w:themeColor="text1"/>
                <w14:textFill>
                  <w14:solidFill>
                    <w14:schemeClr w14:val="tx1"/>
                  </w14:solidFill>
                </w14:textFill>
              </w:rPr>
              <w:t>，经前文核算，</w:t>
            </w:r>
            <w:r>
              <w:rPr>
                <w:rFonts w:hint="eastAsia" w:ascii="Times New Roman" w:hAnsi="Times New Roman" w:cs="Times New Roman"/>
                <w:color w:val="000000" w:themeColor="text1"/>
                <w:lang w:eastAsia="zh-CN"/>
                <w14:textFill>
                  <w14:solidFill>
                    <w14:schemeClr w14:val="tx1"/>
                  </w14:solidFill>
                </w14:textFill>
              </w:rPr>
              <w:t>最大工况下</w:t>
            </w:r>
            <w:r>
              <w:rPr>
                <w:rFonts w:ascii="Times New Roman" w:hAnsi="Times New Roman" w:cs="Times New Roman"/>
                <w:color w:val="000000" w:themeColor="text1"/>
                <w14:textFill>
                  <w14:solidFill>
                    <w14:schemeClr w14:val="tx1"/>
                  </w14:solidFill>
                </w14:textFill>
              </w:rPr>
              <w:t>淬火槽年作业</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00h即可满足项目产能生产需求。</w:t>
            </w:r>
          </w:p>
          <w:p w14:paraId="0A257C63">
            <w:pPr>
              <w:pStyle w:val="7"/>
              <w:spacing w:line="240" w:lineRule="auto"/>
              <w:ind w:left="1161" w:leftChars="553" w:firstLine="1687" w:firstLineChars="700"/>
              <w:jc w:val="both"/>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表4.2-2</w:t>
            </w:r>
            <w:r>
              <w:rPr>
                <w:rFonts w:hint="eastAsia"/>
                <w:b/>
                <w:bCs/>
                <w:color w:val="000000" w:themeColor="text1"/>
                <w:highlight w:val="none"/>
                <w:lang w:val="en-US" w:eastAsia="zh-CN"/>
                <w14:textFill>
                  <w14:solidFill>
                    <w14:schemeClr w14:val="tx1"/>
                  </w14:solidFill>
                </w14:textFill>
              </w:rPr>
              <w:t xml:space="preserve"> </w:t>
            </w:r>
            <w:r>
              <w:rPr>
                <w:b/>
                <w:bCs/>
                <w:color w:val="000000" w:themeColor="text1"/>
                <w:highlight w:val="none"/>
                <w14:textFill>
                  <w14:solidFill>
                    <w14:schemeClr w14:val="tx1"/>
                  </w14:solidFill>
                </w14:textFill>
              </w:rPr>
              <w:t>油淬油烟污染物产生情况</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075"/>
              <w:gridCol w:w="1219"/>
              <w:gridCol w:w="1647"/>
              <w:gridCol w:w="2099"/>
            </w:tblGrid>
            <w:tr w14:paraId="4AF9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6" w:type="dxa"/>
                  <w:vAlign w:val="center"/>
                </w:tcPr>
                <w:p w14:paraId="759E14C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污染物指标</w:t>
                  </w:r>
                </w:p>
              </w:tc>
              <w:tc>
                <w:tcPr>
                  <w:tcW w:w="2075" w:type="dxa"/>
                  <w:vAlign w:val="center"/>
                </w:tcPr>
                <w:p w14:paraId="290A1EF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1219" w:type="dxa"/>
                  <w:vAlign w:val="center"/>
                </w:tcPr>
                <w:p w14:paraId="4376E9B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w:t>
                  </w:r>
                  <w:r>
                    <w:rPr>
                      <w:rFonts w:hint="eastAsia"/>
                      <w:b/>
                      <w:bCs/>
                      <w:color w:val="000000" w:themeColor="text1"/>
                      <w:szCs w:val="21"/>
                      <w:lang w:eastAsia="zh-CN"/>
                      <w14:textFill>
                        <w14:solidFill>
                          <w14:schemeClr w14:val="tx1"/>
                        </w14:solidFill>
                      </w14:textFill>
                    </w:rPr>
                    <w:t>污</w:t>
                  </w:r>
                  <w:r>
                    <w:rPr>
                      <w:b/>
                      <w:bCs/>
                      <w:color w:val="000000" w:themeColor="text1"/>
                      <w:szCs w:val="21"/>
                      <w14:textFill>
                        <w14:solidFill>
                          <w14:schemeClr w14:val="tx1"/>
                        </w14:solidFill>
                      </w14:textFill>
                    </w:rPr>
                    <w:t>系数</w:t>
                  </w:r>
                </w:p>
              </w:tc>
              <w:tc>
                <w:tcPr>
                  <w:tcW w:w="1647" w:type="dxa"/>
                  <w:vAlign w:val="center"/>
                </w:tcPr>
                <w:p w14:paraId="343796F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年产生量（t/a）</w:t>
                  </w:r>
                </w:p>
              </w:tc>
              <w:tc>
                <w:tcPr>
                  <w:tcW w:w="2099" w:type="dxa"/>
                  <w:vAlign w:val="center"/>
                </w:tcPr>
                <w:p w14:paraId="75EBDFD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产生速率（kg/h）</w:t>
                  </w:r>
                </w:p>
              </w:tc>
            </w:tr>
            <w:tr w14:paraId="091F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0BD7C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NMHC</w:t>
                  </w:r>
                </w:p>
              </w:tc>
              <w:tc>
                <w:tcPr>
                  <w:tcW w:w="2075" w:type="dxa"/>
                  <w:vAlign w:val="center"/>
                </w:tcPr>
                <w:p w14:paraId="097DC58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kg/t原料（淬火油）</w:t>
                  </w:r>
                </w:p>
              </w:tc>
              <w:tc>
                <w:tcPr>
                  <w:tcW w:w="1219" w:type="dxa"/>
                  <w:vAlign w:val="center"/>
                </w:tcPr>
                <w:p w14:paraId="65E26D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647" w:type="dxa"/>
                  <w:vAlign w:val="center"/>
                </w:tcPr>
                <w:p w14:paraId="5CB5A4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0.022</w:t>
                  </w:r>
                </w:p>
              </w:tc>
              <w:tc>
                <w:tcPr>
                  <w:tcW w:w="2099" w:type="dxa"/>
                  <w:vAlign w:val="center"/>
                </w:tcPr>
                <w:p w14:paraId="101CB1E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0.044</w:t>
                  </w:r>
                </w:p>
              </w:tc>
            </w:tr>
            <w:tr w14:paraId="7F60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0B319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075" w:type="dxa"/>
                  <w:vAlign w:val="center"/>
                </w:tcPr>
                <w:p w14:paraId="6C1D36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kg/t原料（淬火油）</w:t>
                  </w:r>
                </w:p>
              </w:tc>
              <w:tc>
                <w:tcPr>
                  <w:tcW w:w="1219" w:type="dxa"/>
                  <w:vAlign w:val="center"/>
                </w:tcPr>
                <w:p w14:paraId="1F888F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647" w:type="dxa"/>
                  <w:vAlign w:val="center"/>
                </w:tcPr>
                <w:p w14:paraId="3D7A29C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099" w:type="dxa"/>
                  <w:vAlign w:val="center"/>
                </w:tcPr>
                <w:p w14:paraId="62074828">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w:t>
                  </w:r>
                </w:p>
              </w:tc>
            </w:tr>
          </w:tbl>
          <w:p w14:paraId="11023CAE">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治理设施：</w:t>
            </w:r>
          </w:p>
          <w:p w14:paraId="2434F864">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油淬槽采用集气罩进行收集，设置1个集气罩，集气罩面积为</w:t>
            </w:r>
            <w:r>
              <w:rPr>
                <w:rFonts w:hint="eastAsia" w:ascii="Times New Roman" w:hAnsi="Times New Roman" w:cs="Times New Roman"/>
                <w:color w:val="000000" w:themeColor="text1"/>
                <w:lang w:val="en-US" w:eastAsia="zh-CN"/>
                <w14:textFill>
                  <w14:solidFill>
                    <w14:schemeClr w14:val="tx1"/>
                  </w14:solidFill>
                </w14:textFill>
              </w:rPr>
              <w:t>2.4</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p>
          <w:p w14:paraId="253D3E59">
            <w:pPr>
              <w:keepNext/>
              <w:keepLines/>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根据《大气污染控制工程》中集气罩设计原则，本项目集气罩的风量按照下式确定：</w:t>
            </w:r>
          </w:p>
          <w:p w14:paraId="2F4A0DAC">
            <w:pPr>
              <w:spacing w:line="360" w:lineRule="auto"/>
              <w:jc w:val="center"/>
              <w:rPr>
                <w:color w:val="000000" w:themeColor="text1"/>
                <w:sz w:val="24"/>
                <w14:textFill>
                  <w14:solidFill>
                    <w14:schemeClr w14:val="tx1"/>
                  </w14:solidFill>
                </w14:textFill>
              </w:rPr>
            </w:pPr>
            <m:oMathPara>
              <m:oMath>
                <m:r>
                  <m:rPr/>
                  <w:rPr>
                    <w:rFonts w:ascii="Cambria Math" w:hAnsi="Cambria Math"/>
                    <w:color w:val="000000" w:themeColor="text1"/>
                    <w:sz w:val="24"/>
                    <w14:textFill>
                      <w14:solidFill>
                        <w14:schemeClr w14:val="tx1"/>
                      </w14:solidFill>
                    </w14:textFill>
                  </w:rPr>
                  <m:t>L=</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V</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0</m:t>
                    </m:r>
                    <m:ctrlPr>
                      <w:rPr>
                        <w:rFonts w:ascii="Cambria Math" w:hAnsi="Cambria Math"/>
                        <w:i/>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F=(10</m:t>
                </m:r>
                <m:sSup>
                  <m:sSupPr>
                    <m:ctrlPr>
                      <w:rPr>
                        <w:rFonts w:ascii="Cambria Math" w:hAnsi="Cambria Math"/>
                        <w:i/>
                        <w:color w:val="000000" w:themeColor="text1"/>
                        <w:sz w:val="24"/>
                        <w14:textFill>
                          <w14:solidFill>
                            <w14:schemeClr w14:val="tx1"/>
                          </w14:solidFill>
                        </w14:textFill>
                      </w:rPr>
                    </m:ctrlPr>
                  </m:sSupPr>
                  <m:e>
                    <m:r>
                      <m:rPr/>
                      <w:rPr>
                        <w:rFonts w:ascii="Cambria Math" w:hAnsi="Cambria Math"/>
                        <w:color w:val="000000" w:themeColor="text1"/>
                        <w:sz w:val="24"/>
                        <w14:textFill>
                          <w14:solidFill>
                            <w14:schemeClr w14:val="tx1"/>
                          </w14:solidFill>
                        </w14:textFill>
                      </w:rPr>
                      <m:t>X</m:t>
                    </m:r>
                    <m:ctrlPr>
                      <w:rPr>
                        <w:rFonts w:ascii="Cambria Math" w:hAnsi="Cambria Math"/>
                        <w:i/>
                        <w:color w:val="000000" w:themeColor="text1"/>
                        <w:sz w:val="24"/>
                        <w14:textFill>
                          <w14:solidFill>
                            <w14:schemeClr w14:val="tx1"/>
                          </w14:solidFill>
                        </w14:textFill>
                      </w:rPr>
                    </m:ctrlPr>
                  </m:e>
                  <m:sup>
                    <m:r>
                      <m:rPr/>
                      <w:rPr>
                        <w:rFonts w:ascii="Cambria Math" w:hAnsi="Cambria Math"/>
                        <w:color w:val="000000" w:themeColor="text1"/>
                        <w:sz w:val="24"/>
                        <w14:textFill>
                          <w14:solidFill>
                            <w14:schemeClr w14:val="tx1"/>
                          </w14:solidFill>
                        </w14:textFill>
                      </w:rPr>
                      <m:t>2</m:t>
                    </m:r>
                    <m:ctrlPr>
                      <w:rPr>
                        <w:rFonts w:ascii="Cambria Math" w:hAnsi="Cambria Math"/>
                        <w:i/>
                        <w:color w:val="000000" w:themeColor="text1"/>
                        <w:sz w:val="24"/>
                        <w14:textFill>
                          <w14:solidFill>
                            <w14:schemeClr w14:val="tx1"/>
                          </w14:solidFill>
                        </w14:textFill>
                      </w:rPr>
                    </m:ctrlPr>
                  </m:sup>
                </m:sSup>
                <m:r>
                  <m:rPr/>
                  <w:rPr>
                    <w:rFonts w:ascii="Cambria Math" w:hAnsi="Cambria Math"/>
                    <w:color w:val="000000" w:themeColor="text1"/>
                    <w:sz w:val="24"/>
                    <w14:textFill>
                      <w14:solidFill>
                        <w14:schemeClr w14:val="tx1"/>
                      </w14:solidFill>
                    </w14:textFill>
                  </w:rPr>
                  <m:t>+F)</m:t>
                </m:r>
                <m:sSub>
                  <m:sSubPr>
                    <m:ctrlPr>
                      <w:rPr>
                        <w:rFonts w:ascii="Cambria Math" w:hAnsi="Cambria Math"/>
                        <w:i/>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V</m:t>
                    </m:r>
                    <m:ctrlPr>
                      <w:rPr>
                        <w:rFonts w:ascii="Cambria Math" w:hAnsi="Cambria Math"/>
                        <w:i/>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X</m:t>
                    </m:r>
                    <m:ctrlPr>
                      <w:rPr>
                        <w:rFonts w:ascii="Cambria Math" w:hAnsi="Cambria Math"/>
                        <w:i/>
                        <w:color w:val="000000" w:themeColor="text1"/>
                        <w:sz w:val="24"/>
                        <w14:textFill>
                          <w14:solidFill>
                            <w14:schemeClr w14:val="tx1"/>
                          </w14:solidFill>
                        </w14:textFill>
                      </w:rPr>
                    </m:ctrlPr>
                  </m:sub>
                </m:sSub>
              </m:oMath>
            </m:oMathPara>
          </w:p>
          <w:p w14:paraId="66D32E5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式中：L——集气罩风量，m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/s；</w:t>
            </w:r>
          </w:p>
          <w:p w14:paraId="3FC70FA9">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——吸气口的平均风速，m/s；</w:t>
            </w:r>
          </w:p>
          <w:p w14:paraId="4D820720">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Vx——控制点的吸入风速，m/s；按《排风罩的分类和技术条件》（GB/T16758）规定，设置能有效收集废气的集气罩，距集气罩开口面最远处的无组织排放位置，控制风速不低于0.3m/s。本项目取0.5m/s。</w:t>
            </w:r>
          </w:p>
          <w:p w14:paraId="26DFDF16">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F——集气罩面积，m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；本项目拟设置集气罩罩口面积为</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14:paraId="702EC5A7">
            <w:pPr>
              <w:pStyle w:val="40"/>
              <w:snapToGrid w:val="0"/>
              <w:spacing w:line="360" w:lineRule="auto"/>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X——控制点到吸气口的距离，m。本项目取0.3m。</w:t>
            </w:r>
          </w:p>
          <w:p w14:paraId="53D9C212">
            <w:pPr>
              <w:pStyle w:val="40"/>
              <w:snapToGrid w:val="0"/>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Q=（10×0.3</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2.4</w:t>
            </w:r>
            <w:r>
              <w:rPr>
                <w:rFonts w:ascii="Times New Roman" w:hAnsi="Times New Roman" w:cs="Times New Roman"/>
                <w:color w:val="000000" w:themeColor="text1"/>
                <w14:textFill>
                  <w14:solidFill>
                    <w14:schemeClr w14:val="tx1"/>
                  </w14:solidFill>
                </w14:textFill>
              </w:rPr>
              <w:t>）×0.5×3600=</w:t>
            </w:r>
            <w:r>
              <w:rPr>
                <w:rFonts w:hint="eastAsia" w:ascii="Times New Roman" w:hAnsi="Times New Roman" w:cs="Times New Roman"/>
                <w:color w:val="000000" w:themeColor="text1"/>
                <w:lang w:val="en-US" w:eastAsia="zh-CN"/>
                <w14:textFill>
                  <w14:solidFill>
                    <w14:schemeClr w14:val="tx1"/>
                  </w14:solidFill>
                </w14:textFill>
              </w:rPr>
              <w:t>5940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p>
          <w:p w14:paraId="3DA9BCE9">
            <w:pPr>
              <w:pStyle w:val="52"/>
              <w:keepNext w:val="0"/>
              <w:keepLines w:val="0"/>
              <w:pageBreakBefore w:val="0"/>
              <w:widowControl w:val="0"/>
              <w:tabs>
                <w:tab w:val="left" w:pos="2895"/>
                <w:tab w:val="clear" w:pos="4060"/>
                <w:tab w:val="clear" w:pos="8261"/>
              </w:tabs>
              <w:kinsoku/>
              <w:wordWrap/>
              <w:overflowPunct/>
              <w:topLinePunct w:val="0"/>
              <w:bidi w:val="0"/>
              <w:adjustRightInd w:val="0"/>
              <w:snapToGrid w:val="0"/>
              <w:spacing w:before="0" w:after="0"/>
              <w:ind w:firstLine="504"/>
              <w:textAlignment w:val="auto"/>
              <w:rPr>
                <w:rFonts w:ascii="Times New Roman" w:hAnsi="Times New Roman" w:eastAsia="宋体" w:cs="Times New Roman"/>
                <w:b/>
                <w:bCs/>
                <w:smallCap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油烟淬火废气由油雾净化器处理后通过25m高DA002排气筒排放，为考虑集气效率及风阻，风机总风量设置为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6000</w:t>
            </w:r>
            <w:r>
              <w:rPr>
                <w:rFonts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/h，废气收集率取80%，油雾净化器对颗粒物处理效率以90%计，对非甲烷总烃处理效率为18%。则本项目油淬废气中非甲烷总烃有组织收集量为0.018t/a，收集速率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0.035</w:t>
            </w:r>
            <w:r>
              <w:rPr>
                <w:rFonts w:ascii="Times New Roman" w:hAnsi="Times New Roman" w:eastAsia="宋体" w:cs="Times New Roman"/>
                <w:color w:val="000000" w:themeColor="text1"/>
                <w:sz w:val="24"/>
                <w:szCs w:val="24"/>
                <w14:textFill>
                  <w14:solidFill>
                    <w14:schemeClr w14:val="tx1"/>
                  </w14:solidFill>
                </w14:textFill>
              </w:rPr>
              <w:t>kg/h，产生浓度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，有组织排放量为0.015t/a，排放速率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0.028</w:t>
            </w:r>
            <w:r>
              <w:rPr>
                <w:rFonts w:ascii="Times New Roman" w:hAnsi="Times New Roman" w:eastAsia="宋体" w:cs="Times New Roman"/>
                <w:color w:val="000000" w:themeColor="text1"/>
                <w:sz w:val="24"/>
                <w:szCs w:val="24"/>
                <w14:textFill>
                  <w14:solidFill>
                    <w14:schemeClr w14:val="tx1"/>
                  </w14:solidFill>
                </w14:textFill>
              </w:rPr>
              <w:t>kg/h，排放浓度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，无组织排放量0.018t/a（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0.009</w:t>
            </w:r>
            <w:r>
              <w:rPr>
                <w:rFonts w:ascii="Times New Roman" w:hAnsi="Times New Roman" w:eastAsia="宋体" w:cs="Times New Roman"/>
                <w:color w:val="000000" w:themeColor="text1"/>
                <w:sz w:val="24"/>
                <w:szCs w:val="24"/>
                <w14:textFill>
                  <w14:solidFill>
                    <w14:schemeClr w14:val="tx1"/>
                  </w14:solidFill>
                </w14:textFill>
              </w:rPr>
              <w:t>kg/h）；颗粒物有组织收集量为0.8t/a，收集速率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w:t>
            </w:r>
            <w:r>
              <w:rPr>
                <w:rFonts w:ascii="Times New Roman" w:hAnsi="Times New Roman" w:eastAsia="宋体" w:cs="Times New Roman"/>
                <w:color w:val="000000" w:themeColor="text1"/>
                <w:sz w:val="24"/>
                <w:szCs w:val="24"/>
                <w14:textFill>
                  <w14:solidFill>
                    <w14:schemeClr w14:val="tx1"/>
                  </w14:solidFill>
                </w14:textFill>
              </w:rPr>
              <w:t>kg/h，产生浓度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266</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，有组织排放量为0.08t/a，排放速率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0.16</w:t>
            </w:r>
            <w:r>
              <w:rPr>
                <w:rFonts w:ascii="Times New Roman" w:hAnsi="Times New Roman" w:eastAsia="宋体" w:cs="Times New Roman"/>
                <w:color w:val="000000" w:themeColor="text1"/>
                <w:sz w:val="24"/>
                <w:szCs w:val="24"/>
                <w14:textFill>
                  <w14:solidFill>
                    <w14:schemeClr w14:val="tx1"/>
                  </w14:solidFill>
                </w14:textFill>
              </w:rPr>
              <w:t>kg/h，排放浓度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w:t>
            </w:r>
            <w:r>
              <w:rPr>
                <w:rFonts w:ascii="Times New Roman" w:hAnsi="Times New Roman" w:eastAsia="宋体" w:cs="Times New Roman"/>
                <w:color w:val="000000" w:themeColor="text1"/>
                <w:sz w:val="24"/>
                <w:szCs w:val="24"/>
                <w14:textFill>
                  <w14:solidFill>
                    <w14:schemeClr w14:val="tx1"/>
                  </w14:solidFill>
                </w14:textFill>
              </w:rPr>
              <w:t>mg/m</w:t>
            </w:r>
            <w:r>
              <w:rPr>
                <w:rFonts w:ascii="Times New Roman" w:hAnsi="Times New Roman" w:eastAsia="宋体" w:cs="Times New Roman"/>
                <w:color w:val="000000" w:themeColor="text1"/>
                <w:sz w:val="24"/>
                <w:szCs w:val="24"/>
                <w:vertAlign w:val="super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，无组织排放量0.2t/a（0.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kg/h）。</w:t>
            </w:r>
          </w:p>
          <w:p w14:paraId="6DF1E178">
            <w:pPr>
              <w:pStyle w:val="40"/>
              <w:keepNext w:val="0"/>
              <w:keepLines w:val="0"/>
              <w:pageBreakBefore w:val="0"/>
              <w:widowControl w:val="0"/>
              <w:kinsoku/>
              <w:wordWrap/>
              <w:overflowPunct/>
              <w:topLinePunct w:val="0"/>
              <w:bidi w:val="0"/>
              <w:adjustRightInd w:val="0"/>
              <w:spacing w:line="360" w:lineRule="auto"/>
              <w:ind w:firstLine="480"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本次评价非正常排放工况考虑废气处理效率降为0%，1#~2#排气筒经集气罩收集的各类废气未经有效处理直接由风机抽出外排的情况。则非正常排放情况见下表。</w:t>
            </w:r>
          </w:p>
          <w:p w14:paraId="40B9367B">
            <w:pPr>
              <w:pStyle w:val="70"/>
              <w:spacing w:line="240" w:lineRule="auto"/>
              <w:ind w:firstLine="1897" w:firstLineChars="900"/>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表4.2-3非正常工况排放废气汇总表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355"/>
              <w:gridCol w:w="1797"/>
              <w:gridCol w:w="1495"/>
              <w:gridCol w:w="1466"/>
              <w:gridCol w:w="1469"/>
            </w:tblGrid>
            <w:tr w14:paraId="361A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trPr>
              <w:tc>
                <w:tcPr>
                  <w:tcW w:w="632" w:type="pct"/>
                  <w:vAlign w:val="center"/>
                </w:tcPr>
                <w:p w14:paraId="1566A941">
                  <w:pPr>
                    <w:pStyle w:val="146"/>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污染源</w:t>
                  </w:r>
                </w:p>
              </w:tc>
              <w:tc>
                <w:tcPr>
                  <w:tcW w:w="780" w:type="pct"/>
                  <w:vAlign w:val="center"/>
                </w:tcPr>
                <w:p w14:paraId="135BFDD6">
                  <w:pPr>
                    <w:pStyle w:val="146"/>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产污工序</w:t>
                  </w:r>
                </w:p>
              </w:tc>
              <w:tc>
                <w:tcPr>
                  <w:tcW w:w="1035" w:type="pct"/>
                  <w:vAlign w:val="center"/>
                </w:tcPr>
                <w:p w14:paraId="102C75C2">
                  <w:pPr>
                    <w:pStyle w:val="146"/>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w:t>
                  </w:r>
                </w:p>
              </w:tc>
              <w:tc>
                <w:tcPr>
                  <w:tcW w:w="861" w:type="pct"/>
                  <w:vAlign w:val="center"/>
                </w:tcPr>
                <w:p w14:paraId="13ECC087">
                  <w:pPr>
                    <w:pStyle w:val="146"/>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排放速率kg/h</w:t>
                  </w:r>
                </w:p>
              </w:tc>
              <w:tc>
                <w:tcPr>
                  <w:tcW w:w="844" w:type="pct"/>
                  <w:vAlign w:val="center"/>
                </w:tcPr>
                <w:p w14:paraId="7D2568B0">
                  <w:pPr>
                    <w:pStyle w:val="146"/>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排放浓度mg/m</w:t>
                  </w:r>
                  <w:r>
                    <w:rPr>
                      <w:b/>
                      <w:color w:val="000000" w:themeColor="text1"/>
                      <w:sz w:val="21"/>
                      <w:szCs w:val="21"/>
                      <w:vertAlign w:val="superscript"/>
                      <w14:textFill>
                        <w14:solidFill>
                          <w14:schemeClr w14:val="tx1"/>
                        </w14:solidFill>
                      </w14:textFill>
                    </w:rPr>
                    <w:t>3</w:t>
                  </w:r>
                </w:p>
              </w:tc>
              <w:tc>
                <w:tcPr>
                  <w:tcW w:w="846" w:type="pct"/>
                  <w:vAlign w:val="center"/>
                </w:tcPr>
                <w:p w14:paraId="64734AB4">
                  <w:pPr>
                    <w:pStyle w:val="146"/>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排放时长</w:t>
                  </w:r>
                </w:p>
              </w:tc>
            </w:tr>
            <w:tr w14:paraId="68E1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32" w:type="pct"/>
                  <w:vAlign w:val="center"/>
                </w:tcPr>
                <w:p w14:paraId="62D44088">
                  <w:pPr>
                    <w:pStyle w:val="146"/>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1#排气筒</w:t>
                  </w:r>
                </w:p>
              </w:tc>
              <w:tc>
                <w:tcPr>
                  <w:tcW w:w="780" w:type="pct"/>
                  <w:vAlign w:val="center"/>
                </w:tcPr>
                <w:p w14:paraId="343C28CC">
                  <w:pPr>
                    <w:pStyle w:val="146"/>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焊接</w:t>
                  </w:r>
                </w:p>
              </w:tc>
              <w:tc>
                <w:tcPr>
                  <w:tcW w:w="1693" w:type="dxa"/>
                  <w:vAlign w:val="center"/>
                </w:tcPr>
                <w:p w14:paraId="5CCF92EB">
                  <w:pPr>
                    <w:pStyle w:val="14"/>
                    <w:adjustRightInd w:val="0"/>
                    <w:snapToGrid w:val="0"/>
                    <w:spacing w:line="240" w:lineRule="auto"/>
                    <w:ind w:firstLine="42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1408" w:type="dxa"/>
                  <w:vAlign w:val="center"/>
                </w:tcPr>
                <w:p w14:paraId="7125BE0D">
                  <w:pPr>
                    <w:adjustRightInd w:val="0"/>
                    <w:snapToGri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0.178</w:t>
                  </w:r>
                </w:p>
              </w:tc>
              <w:tc>
                <w:tcPr>
                  <w:tcW w:w="1381" w:type="dxa"/>
                  <w:vAlign w:val="center"/>
                </w:tcPr>
                <w:p w14:paraId="635E69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w:t>
                  </w:r>
                </w:p>
              </w:tc>
              <w:tc>
                <w:tcPr>
                  <w:tcW w:w="846" w:type="pct"/>
                  <w:vAlign w:val="center"/>
                </w:tcPr>
                <w:p w14:paraId="7FB78F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0.5h</w:t>
                  </w:r>
                </w:p>
              </w:tc>
            </w:tr>
            <w:tr w14:paraId="5EB3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32" w:type="pct"/>
                  <w:vMerge w:val="restart"/>
                  <w:vAlign w:val="center"/>
                </w:tcPr>
                <w:p w14:paraId="06850FC1">
                  <w:pPr>
                    <w:pStyle w:val="146"/>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2#排气筒</w:t>
                  </w:r>
                </w:p>
              </w:tc>
              <w:tc>
                <w:tcPr>
                  <w:tcW w:w="780" w:type="pct"/>
                  <w:vMerge w:val="restart"/>
                  <w:vAlign w:val="center"/>
                </w:tcPr>
                <w:p w14:paraId="3EA14811">
                  <w:pPr>
                    <w:pStyle w:val="146"/>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淬火</w:t>
                  </w:r>
                </w:p>
              </w:tc>
              <w:tc>
                <w:tcPr>
                  <w:tcW w:w="1693" w:type="dxa"/>
                  <w:vAlign w:val="center"/>
                </w:tcPr>
                <w:p w14:paraId="0E442DA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408" w:type="dxa"/>
                  <w:vAlign w:val="center"/>
                </w:tcPr>
                <w:p w14:paraId="4F4CD2A4">
                  <w:pPr>
                    <w:pStyle w:val="14"/>
                    <w:adjustRightInd w:val="0"/>
                    <w:snapToGrid w:val="0"/>
                    <w:spacing w:line="240" w:lineRule="auto"/>
                    <w:ind w:firstLine="0" w:firstLineChars="0"/>
                    <w:jc w:val="center"/>
                    <w:rPr>
                      <w:rFonts w:hint="default"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1.6</w:t>
                  </w:r>
                </w:p>
              </w:tc>
              <w:tc>
                <w:tcPr>
                  <w:tcW w:w="1381" w:type="dxa"/>
                  <w:vAlign w:val="center"/>
                </w:tcPr>
                <w:p w14:paraId="71A9E8AC">
                  <w:pPr>
                    <w:pStyle w:val="14"/>
                    <w:adjustRightInd w:val="0"/>
                    <w:snapToGrid w:val="0"/>
                    <w:spacing w:line="240" w:lineRule="auto"/>
                    <w:ind w:firstLine="0" w:firstLineChars="0"/>
                    <w:jc w:val="center"/>
                    <w:rPr>
                      <w:rFonts w:hint="default"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266</w:t>
                  </w:r>
                </w:p>
              </w:tc>
              <w:tc>
                <w:tcPr>
                  <w:tcW w:w="846" w:type="pct"/>
                  <w:vMerge w:val="restart"/>
                  <w:vAlign w:val="center"/>
                </w:tcPr>
                <w:p w14:paraId="2C472D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0.5h</w:t>
                  </w:r>
                </w:p>
              </w:tc>
            </w:tr>
            <w:tr w14:paraId="6A43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32" w:type="pct"/>
                  <w:vMerge w:val="continue"/>
                  <w:vAlign w:val="center"/>
                </w:tcPr>
                <w:p w14:paraId="2EF20EAF">
                  <w:pPr>
                    <w:pStyle w:val="146"/>
                    <w:adjustRightInd w:val="0"/>
                    <w:snapToGrid w:val="0"/>
                    <w:rPr>
                      <w:color w:val="000000" w:themeColor="text1"/>
                      <w:sz w:val="21"/>
                      <w:szCs w:val="21"/>
                      <w14:textFill>
                        <w14:solidFill>
                          <w14:schemeClr w14:val="tx1"/>
                        </w14:solidFill>
                      </w14:textFill>
                    </w:rPr>
                  </w:pPr>
                </w:p>
              </w:tc>
              <w:tc>
                <w:tcPr>
                  <w:tcW w:w="780" w:type="pct"/>
                  <w:vMerge w:val="continue"/>
                  <w:vAlign w:val="center"/>
                </w:tcPr>
                <w:p w14:paraId="4F765218">
                  <w:pPr>
                    <w:pStyle w:val="146"/>
                    <w:adjustRightInd w:val="0"/>
                    <w:snapToGrid w:val="0"/>
                    <w:rPr>
                      <w:color w:val="000000" w:themeColor="text1"/>
                      <w:sz w:val="21"/>
                      <w:szCs w:val="21"/>
                      <w14:textFill>
                        <w14:solidFill>
                          <w14:schemeClr w14:val="tx1"/>
                        </w14:solidFill>
                      </w14:textFill>
                    </w:rPr>
                  </w:pPr>
                </w:p>
              </w:tc>
              <w:tc>
                <w:tcPr>
                  <w:tcW w:w="1693" w:type="dxa"/>
                  <w:vAlign w:val="center"/>
                </w:tcPr>
                <w:p w14:paraId="78740A4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408" w:type="dxa"/>
                  <w:vAlign w:val="center"/>
                </w:tcPr>
                <w:p w14:paraId="08DA9999">
                  <w:pPr>
                    <w:pStyle w:val="14"/>
                    <w:adjustRightInd w:val="0"/>
                    <w:snapToGrid w:val="0"/>
                    <w:spacing w:line="240" w:lineRule="auto"/>
                    <w:ind w:firstLine="0" w:firstLineChars="0"/>
                    <w:jc w:val="center"/>
                    <w:rPr>
                      <w:rFonts w:hint="default"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0.035</w:t>
                  </w:r>
                </w:p>
              </w:tc>
              <w:tc>
                <w:tcPr>
                  <w:tcW w:w="1381" w:type="dxa"/>
                  <w:vAlign w:val="center"/>
                </w:tcPr>
                <w:p w14:paraId="0C98A5FB">
                  <w:pPr>
                    <w:pStyle w:val="14"/>
                    <w:adjustRightInd w:val="0"/>
                    <w:snapToGrid w:val="0"/>
                    <w:spacing w:line="240" w:lineRule="auto"/>
                    <w:ind w:firstLine="0" w:firstLineChars="0"/>
                    <w:jc w:val="center"/>
                    <w:rPr>
                      <w:rFonts w:hint="default"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5.8</w:t>
                  </w:r>
                </w:p>
              </w:tc>
              <w:tc>
                <w:tcPr>
                  <w:tcW w:w="846" w:type="pct"/>
                  <w:vMerge w:val="continue"/>
                  <w:vAlign w:val="center"/>
                </w:tcPr>
                <w:p w14:paraId="1BE4C5C9">
                  <w:pPr>
                    <w:jc w:val="center"/>
                    <w:rPr>
                      <w:color w:val="000000" w:themeColor="text1"/>
                      <w:szCs w:val="21"/>
                      <w14:textFill>
                        <w14:solidFill>
                          <w14:schemeClr w14:val="tx1"/>
                        </w14:solidFill>
                      </w14:textFill>
                    </w:rPr>
                  </w:pPr>
                </w:p>
              </w:tc>
            </w:tr>
          </w:tbl>
          <w:p w14:paraId="761DC2EF">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（3）废气收集、治理方案及排放情况核算</w:t>
            </w:r>
          </w:p>
          <w:p w14:paraId="3860ADCB">
            <w:pPr>
              <w:pStyle w:val="8"/>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1）废气收集、治理方案</w:t>
            </w:r>
          </w:p>
          <w:p w14:paraId="22B979C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厂区设置2套废气治理设施：</w:t>
            </w:r>
          </w:p>
          <w:p w14:paraId="4258B10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项目设有2台焊机，于每个焊接工位顶部采用顶吸式集气罩装置并设置垂直软胶帘，收集后的焊接烟尘经1套“布袋除尘器”处理，经25m高排气筒（DA001）排放，排气筒内径0.2m，排风量2000m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p>
          <w:p w14:paraId="21094A8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项目于淬火槽顶部采用顶吸式集气罩装置并设置垂直软胶帘，收集后的油烟废气经1套“高效油烟净化器”处理，经25m高排气筒（DA002）排放，排气筒内径0.</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m，排风量</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p>
          <w:p w14:paraId="3730AD68">
            <w:pPr>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2）可行性技术校核</w:t>
            </w:r>
          </w:p>
          <w:p w14:paraId="20B32E0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对照《排污许可证申请与核发技术规范总则》（HJ942-2018 ）无相关工艺的治理可行性工艺推荐，故本次评价类比同类型项目分析，参考《排污许可证申请与核发技术规范铁路、船舶、航空航天和其他运输设备制造业》（HJ1124-2020）表C.4其他运输制造排污单位废气污染防治推荐可行技术，热处理推荐采用污染治理工艺为“机械过滤、静电过滤”。</w:t>
            </w:r>
          </w:p>
          <w:p w14:paraId="28C9F72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同时参考《金属制品业行业系数手册》，油淬油烟推荐采用机械过滤、静电净化装置或油雾净化器。</w:t>
            </w:r>
          </w:p>
          <w:p w14:paraId="2AC6AE6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参考《金属制品业行业系数手册》，焊接烟尘处理工艺为袋式除尘、滤筒除尘、烟尘净化器等，本项目采用布袋除尘器处理。</w:t>
            </w:r>
          </w:p>
          <w:p w14:paraId="606E078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综上，项目油淬油烟采用油雾净化器（属机械过滤）、焊接烟尘采用布袋除尘器处理均为可行污染治理工艺。</w:t>
            </w:r>
          </w:p>
          <w:p w14:paraId="5A7D4B82">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（4）监测计划</w:t>
            </w:r>
          </w:p>
          <w:p w14:paraId="62DAEB44">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w:t>
            </w:r>
            <w:r>
              <w:rPr>
                <w:rFonts w:eastAsia="宋体"/>
                <w:bCs/>
                <w:color w:val="000000" w:themeColor="text1"/>
                <w14:textFill>
                  <w14:solidFill>
                    <w14:schemeClr w14:val="tx1"/>
                  </w14:solidFill>
                </w14:textFill>
              </w:rPr>
              <w:t>《排污许可证申请与核发技术规范总则》（HJ942—2018）</w:t>
            </w:r>
            <w:r>
              <w:rPr>
                <w:rFonts w:eastAsia="宋体"/>
                <w:color w:val="000000" w:themeColor="text1"/>
                <w14:textFill>
                  <w14:solidFill>
                    <w14:schemeClr w14:val="tx1"/>
                  </w14:solidFill>
                </w14:textFill>
              </w:rPr>
              <w:t>、《排污单位自行监测技术指南总则》（HJ819-2017）</w:t>
            </w:r>
            <w:r>
              <w:rPr>
                <w:rFonts w:eastAsia="宋体"/>
                <w:bCs/>
                <w:color w:val="000000" w:themeColor="text1"/>
                <w14:textFill>
                  <w14:solidFill>
                    <w14:schemeClr w14:val="tx1"/>
                  </w14:solidFill>
                </w14:textFill>
              </w:rPr>
              <w:t>相关要求</w:t>
            </w:r>
            <w:r>
              <w:rPr>
                <w:rFonts w:eastAsia="宋体"/>
                <w:color w:val="000000" w:themeColor="text1"/>
                <w14:textFill>
                  <w14:solidFill>
                    <w14:schemeClr w14:val="tx1"/>
                  </w14:solidFill>
                </w14:textFill>
              </w:rPr>
              <w:t>，针对项目特点</w:t>
            </w:r>
            <w:r>
              <w:rPr>
                <w:rFonts w:eastAsia="宋体"/>
                <w:bCs/>
                <w:color w:val="000000" w:themeColor="text1"/>
                <w14:textFill>
                  <w14:solidFill>
                    <w14:schemeClr w14:val="tx1"/>
                  </w14:solidFill>
                </w14:textFill>
              </w:rPr>
              <w:t>，</w:t>
            </w:r>
            <w:r>
              <w:rPr>
                <w:rFonts w:eastAsia="宋体"/>
                <w:color w:val="000000" w:themeColor="text1"/>
                <w14:textFill>
                  <w14:solidFill>
                    <w14:schemeClr w14:val="tx1"/>
                  </w14:solidFill>
                </w14:textFill>
              </w:rPr>
              <w:t>提出的监测要求，拟建项目废气监测计划如下：</w:t>
            </w:r>
          </w:p>
          <w:p w14:paraId="034BA947">
            <w:pPr>
              <w:adjustRightInd w:val="0"/>
              <w:snapToGrid w:val="0"/>
              <w:jc w:val="center"/>
              <w:rPr>
                <w:b/>
                <w:color w:val="000000" w:themeColor="text1"/>
                <w:sz w:val="24"/>
                <w14:textFill>
                  <w14:solidFill>
                    <w14:schemeClr w14:val="tx1"/>
                  </w14:solidFill>
                </w14:textFill>
              </w:rPr>
            </w:pPr>
          </w:p>
          <w:p w14:paraId="459BE23A">
            <w:pPr>
              <w:adjustRightInd w:val="0"/>
              <w:snapToGrid w:val="0"/>
              <w:jc w:val="center"/>
              <w:rPr>
                <w:b/>
                <w:color w:val="000000" w:themeColor="text1"/>
                <w:sz w:val="24"/>
                <w14:textFill>
                  <w14:solidFill>
                    <w14:schemeClr w14:val="tx1"/>
                  </w14:solidFill>
                </w14:textFill>
              </w:rPr>
            </w:pPr>
          </w:p>
          <w:p w14:paraId="7DD1BEDA">
            <w:pPr>
              <w:adjustRightInd w:val="0"/>
              <w:snapToGrid w:val="0"/>
              <w:jc w:val="center"/>
              <w:rPr>
                <w:b/>
                <w:color w:val="000000" w:themeColor="text1"/>
                <w:sz w:val="24"/>
                <w14:textFill>
                  <w14:solidFill>
                    <w14:schemeClr w14:val="tx1"/>
                  </w14:solidFill>
                </w14:textFill>
              </w:rPr>
            </w:pPr>
          </w:p>
          <w:p w14:paraId="34520E30">
            <w:pPr>
              <w:pStyle w:val="2"/>
              <w:rPr>
                <w:color w:val="000000" w:themeColor="text1"/>
                <w14:textFill>
                  <w14:solidFill>
                    <w14:schemeClr w14:val="tx1"/>
                  </w14:solidFill>
                </w14:textFill>
              </w:rPr>
            </w:pPr>
          </w:p>
          <w:p w14:paraId="332B9438">
            <w:pPr>
              <w:adjustRightInd w:val="0"/>
              <w:snapToGrid w:val="0"/>
              <w:jc w:val="center"/>
              <w:rPr>
                <w:b/>
                <w:color w:val="000000" w:themeColor="text1"/>
                <w:sz w:val="24"/>
                <w14:textFill>
                  <w14:solidFill>
                    <w14:schemeClr w14:val="tx1"/>
                  </w14:solidFill>
                </w14:textFill>
              </w:rPr>
            </w:pPr>
          </w:p>
          <w:p w14:paraId="7664349E">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表4.2-4废气监测要求一览表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949"/>
              <w:gridCol w:w="1246"/>
              <w:gridCol w:w="2335"/>
              <w:gridCol w:w="2063"/>
              <w:gridCol w:w="2094"/>
            </w:tblGrid>
            <w:tr w14:paraId="1499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300" w:hRule="atLeast"/>
                <w:tblHeader/>
                <w:jc w:val="center"/>
              </w:trPr>
              <w:tc>
                <w:tcPr>
                  <w:tcW w:w="1263" w:type="pct"/>
                  <w:gridSpan w:val="2"/>
                  <w:vAlign w:val="center"/>
                </w:tcPr>
                <w:p w14:paraId="271D1E05">
                  <w:pPr>
                    <w:pStyle w:val="151"/>
                    <w:spacing w:after="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监测对象</w:t>
                  </w:r>
                </w:p>
              </w:tc>
              <w:tc>
                <w:tcPr>
                  <w:tcW w:w="1343" w:type="pct"/>
                  <w:vAlign w:val="center"/>
                </w:tcPr>
                <w:p w14:paraId="07238158">
                  <w:pPr>
                    <w:pStyle w:val="151"/>
                    <w:spacing w:after="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监测点</w:t>
                  </w:r>
                </w:p>
              </w:tc>
              <w:tc>
                <w:tcPr>
                  <w:tcW w:w="1187" w:type="pct"/>
                  <w:vAlign w:val="center"/>
                </w:tcPr>
                <w:p w14:paraId="605AF58A">
                  <w:pPr>
                    <w:pStyle w:val="151"/>
                    <w:spacing w:after="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监测因子</w:t>
                  </w:r>
                </w:p>
              </w:tc>
              <w:tc>
                <w:tcPr>
                  <w:tcW w:w="1204" w:type="pct"/>
                  <w:vAlign w:val="center"/>
                </w:tcPr>
                <w:p w14:paraId="0EF5CD2E">
                  <w:pPr>
                    <w:pStyle w:val="151"/>
                    <w:spacing w:after="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监测时段与方法</w:t>
                  </w:r>
                </w:p>
              </w:tc>
            </w:tr>
            <w:tr w14:paraId="3890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257" w:hRule="atLeast"/>
                <w:tblHeader/>
                <w:jc w:val="center"/>
              </w:trPr>
              <w:tc>
                <w:tcPr>
                  <w:tcW w:w="546" w:type="pct"/>
                  <w:vMerge w:val="restart"/>
                  <w:vAlign w:val="center"/>
                </w:tcPr>
                <w:p w14:paraId="1F90E0B5">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废气有组织排放</w:t>
                  </w:r>
                </w:p>
              </w:tc>
              <w:tc>
                <w:tcPr>
                  <w:tcW w:w="717" w:type="pct"/>
                  <w:vAlign w:val="center"/>
                </w:tcPr>
                <w:p w14:paraId="0D9BFDD3">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焊接废气</w:t>
                  </w:r>
                </w:p>
              </w:tc>
              <w:tc>
                <w:tcPr>
                  <w:tcW w:w="1343" w:type="pct"/>
                  <w:vAlign w:val="center"/>
                </w:tcPr>
                <w:p w14:paraId="66C9A781">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1#废气治理设施排气口</w:t>
                  </w:r>
                </w:p>
              </w:tc>
              <w:tc>
                <w:tcPr>
                  <w:tcW w:w="1187" w:type="pct"/>
                  <w:vAlign w:val="center"/>
                </w:tcPr>
                <w:p w14:paraId="1C769AF0">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1204" w:type="pct"/>
                  <w:vAlign w:val="center"/>
                </w:tcPr>
                <w:p w14:paraId="34B48F76">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验收时监测一次，运营期每年1次</w:t>
                  </w:r>
                </w:p>
              </w:tc>
            </w:tr>
            <w:tr w14:paraId="4293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257" w:hRule="atLeast"/>
                <w:tblHeader/>
                <w:jc w:val="center"/>
              </w:trPr>
              <w:tc>
                <w:tcPr>
                  <w:tcW w:w="546" w:type="pct"/>
                  <w:vMerge w:val="continue"/>
                  <w:vAlign w:val="center"/>
                </w:tcPr>
                <w:p w14:paraId="3CF20663">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p>
              </w:tc>
              <w:tc>
                <w:tcPr>
                  <w:tcW w:w="717" w:type="pct"/>
                  <w:vAlign w:val="center"/>
                </w:tcPr>
                <w:p w14:paraId="0795C50B">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淬火废气</w:t>
                  </w:r>
                </w:p>
              </w:tc>
              <w:tc>
                <w:tcPr>
                  <w:tcW w:w="1343" w:type="pct"/>
                  <w:vAlign w:val="center"/>
                </w:tcPr>
                <w:p w14:paraId="0139B7AD">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2#废气治理设施排气口</w:t>
                  </w:r>
                </w:p>
              </w:tc>
              <w:tc>
                <w:tcPr>
                  <w:tcW w:w="1187" w:type="pct"/>
                  <w:vAlign w:val="center"/>
                </w:tcPr>
                <w:p w14:paraId="3D9CE7DE">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颗粒物、非甲烷总烃</w:t>
                  </w:r>
                </w:p>
              </w:tc>
              <w:tc>
                <w:tcPr>
                  <w:tcW w:w="1204" w:type="pct"/>
                  <w:vAlign w:val="center"/>
                </w:tcPr>
                <w:p w14:paraId="6BD89932">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验收时监测一次，运营期每年1次</w:t>
                  </w:r>
                </w:p>
              </w:tc>
            </w:tr>
            <w:tr w14:paraId="1372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523" w:hRule="atLeast"/>
                <w:tblHeader/>
                <w:jc w:val="center"/>
              </w:trPr>
              <w:tc>
                <w:tcPr>
                  <w:tcW w:w="1263" w:type="pct"/>
                  <w:gridSpan w:val="2"/>
                  <w:vMerge w:val="restart"/>
                  <w:vAlign w:val="center"/>
                </w:tcPr>
                <w:p w14:paraId="060F5A11">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废气无组织排放</w:t>
                  </w:r>
                </w:p>
              </w:tc>
              <w:tc>
                <w:tcPr>
                  <w:tcW w:w="1343" w:type="pct"/>
                  <w:vAlign w:val="center"/>
                </w:tcPr>
                <w:p w14:paraId="6A858F37">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厂界（下风向）</w:t>
                  </w:r>
                </w:p>
              </w:tc>
              <w:tc>
                <w:tcPr>
                  <w:tcW w:w="1187" w:type="pct"/>
                  <w:vAlign w:val="center"/>
                </w:tcPr>
                <w:p w14:paraId="319158DE">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颗粒物、非甲烷总烃</w:t>
                  </w:r>
                </w:p>
              </w:tc>
              <w:tc>
                <w:tcPr>
                  <w:tcW w:w="1204" w:type="pct"/>
                  <w:vMerge w:val="restart"/>
                  <w:vAlign w:val="center"/>
                </w:tcPr>
                <w:p w14:paraId="435E39DB">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验收时监测一次，运营期每年1次</w:t>
                  </w:r>
                </w:p>
              </w:tc>
            </w:tr>
            <w:tr w14:paraId="058D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523" w:hRule="atLeast"/>
                <w:tblHeader/>
                <w:jc w:val="center"/>
              </w:trPr>
              <w:tc>
                <w:tcPr>
                  <w:tcW w:w="1263" w:type="pct"/>
                  <w:gridSpan w:val="2"/>
                  <w:vMerge w:val="continue"/>
                  <w:vAlign w:val="center"/>
                </w:tcPr>
                <w:p w14:paraId="2F139BCB">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p>
              </w:tc>
              <w:tc>
                <w:tcPr>
                  <w:tcW w:w="1343" w:type="pct"/>
                  <w:vAlign w:val="center"/>
                </w:tcPr>
                <w:p w14:paraId="3D2A7297">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厂房外</w:t>
                  </w:r>
                </w:p>
              </w:tc>
              <w:tc>
                <w:tcPr>
                  <w:tcW w:w="1187" w:type="pct"/>
                  <w:vAlign w:val="center"/>
                </w:tcPr>
                <w:p w14:paraId="5A6BB294">
                  <w:pPr>
                    <w:pStyle w:val="151"/>
                    <w:spacing w:after="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非甲烷总烃</w:t>
                  </w:r>
                </w:p>
              </w:tc>
              <w:tc>
                <w:tcPr>
                  <w:tcW w:w="1204" w:type="pct"/>
                  <w:vMerge w:val="continue"/>
                  <w:vAlign w:val="center"/>
                </w:tcPr>
                <w:p w14:paraId="36CB728A">
                  <w:pPr>
                    <w:pStyle w:val="151"/>
                    <w:spacing w:after="0"/>
                    <w:rPr>
                      <w:rFonts w:hint="default" w:ascii="Times New Roman" w:hAnsi="Times New Roman" w:eastAsia="宋体" w:cs="Times New Roman"/>
                      <w:color w:val="000000" w:themeColor="text1"/>
                      <w:sz w:val="21"/>
                      <w:szCs w:val="21"/>
                      <w14:textFill>
                        <w14:solidFill>
                          <w14:schemeClr w14:val="tx1"/>
                        </w14:solidFill>
                      </w14:textFill>
                    </w:rPr>
                  </w:pPr>
                </w:p>
              </w:tc>
            </w:tr>
          </w:tbl>
          <w:p w14:paraId="6270B382">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（5）环境影响分析</w:t>
            </w:r>
          </w:p>
          <w:p w14:paraId="540C3BC6">
            <w:pPr>
              <w:pStyle w:val="137"/>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拟建项目所在区域环境空气质量属于不达标区，在铜梁区采取大气污染综合治理实施方案后可改善区域环境质量达标情况。非甲烷总烃小时平均浓度满足河北省地方标准</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参照</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环境空气质量非甲烷总烃限值》（DB13/1577-2012）二级标准。拟建项目建成后会对项目所在区域排放一定的大气污染物，根据计算，拟建项目对废气采取措施后均能够达标排放，对大气环境影响较小，对周边环境影响可接受。</w:t>
            </w:r>
          </w:p>
          <w:p w14:paraId="6926438E">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4.2.2废水</w:t>
            </w:r>
          </w:p>
          <w:p w14:paraId="626BE323">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（1）废水排放源强</w:t>
            </w:r>
          </w:p>
          <w:p w14:paraId="05FEC33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拟建项目废水主要为生产废水（员工洗手废水、空压机冷凝废液、地坪清洁废水、清洗机废水）、员工生活污水等。拟建项目</w:t>
            </w:r>
            <w:r>
              <w:rPr>
                <w:rFonts w:eastAsia="宋体"/>
                <w:bCs/>
                <w:color w:val="000000" w:themeColor="text1"/>
                <w14:textFill>
                  <w14:solidFill>
                    <w14:schemeClr w14:val="tx1"/>
                  </w14:solidFill>
                </w14:textFill>
              </w:rPr>
              <w:t>废水产生及排放情况见表</w:t>
            </w:r>
            <w:r>
              <w:rPr>
                <w:rFonts w:eastAsia="宋体"/>
                <w:b/>
                <w:bCs/>
                <w:color w:val="000000" w:themeColor="text1"/>
                <w14:textFill>
                  <w14:solidFill>
                    <w14:schemeClr w14:val="tx1"/>
                  </w14:solidFill>
                </w14:textFill>
              </w:rPr>
              <w:t>4.2-5</w:t>
            </w:r>
            <w:r>
              <w:rPr>
                <w:rFonts w:eastAsia="宋体"/>
                <w:bCs/>
                <w:color w:val="000000" w:themeColor="text1"/>
                <w14:textFill>
                  <w14:solidFill>
                    <w14:schemeClr w14:val="tx1"/>
                  </w14:solidFill>
                </w14:textFill>
              </w:rPr>
              <w:t>。</w:t>
            </w:r>
          </w:p>
          <w:p w14:paraId="256AE966">
            <w:pPr>
              <w:pStyle w:val="14"/>
              <w:spacing w:line="240" w:lineRule="auto"/>
              <w:ind w:firstLine="0" w:firstLineChars="0"/>
              <w:jc w:val="center"/>
              <w:rPr>
                <w:rFonts w:ascii="Times New Roman" w:hAnsi="Times New Roman"/>
                <w:b/>
                <w:bCs/>
                <w:color w:val="000000" w:themeColor="text1"/>
                <w:szCs w:val="24"/>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表4.2-5拟建项目废水产生及排放情况汇总表</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23"/>
              <w:gridCol w:w="894"/>
              <w:gridCol w:w="792"/>
              <w:gridCol w:w="877"/>
              <w:gridCol w:w="943"/>
              <w:gridCol w:w="728"/>
              <w:gridCol w:w="966"/>
              <w:gridCol w:w="799"/>
              <w:gridCol w:w="448"/>
              <w:gridCol w:w="466"/>
            </w:tblGrid>
            <w:tr w14:paraId="0407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restart"/>
                  <w:vAlign w:val="center"/>
                </w:tcPr>
                <w:p w14:paraId="6219623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474" w:type="pct"/>
                  <w:vMerge w:val="restart"/>
                  <w:vAlign w:val="center"/>
                </w:tcPr>
                <w:p w14:paraId="268E3DA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515" w:type="pct"/>
                  <w:vMerge w:val="restart"/>
                  <w:vAlign w:val="center"/>
                </w:tcPr>
                <w:p w14:paraId="2CA4DC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961" w:type="pct"/>
                  <w:gridSpan w:val="2"/>
                  <w:vAlign w:val="center"/>
                </w:tcPr>
                <w:p w14:paraId="221FEB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处理前</w:t>
                  </w:r>
                </w:p>
              </w:tc>
              <w:tc>
                <w:tcPr>
                  <w:tcW w:w="962" w:type="pct"/>
                  <w:gridSpan w:val="2"/>
                  <w:vAlign w:val="center"/>
                </w:tcPr>
                <w:p w14:paraId="42D3F5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生化池处理</w:t>
                  </w:r>
                </w:p>
              </w:tc>
              <w:tc>
                <w:tcPr>
                  <w:tcW w:w="1016" w:type="pct"/>
                  <w:gridSpan w:val="2"/>
                  <w:vAlign w:val="center"/>
                </w:tcPr>
                <w:p w14:paraId="384AF8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污水处理厂处理</w:t>
                  </w:r>
                </w:p>
              </w:tc>
              <w:tc>
                <w:tcPr>
                  <w:tcW w:w="258" w:type="pct"/>
                  <w:vMerge w:val="restart"/>
                  <w:vAlign w:val="center"/>
                </w:tcPr>
                <w:p w14:paraId="7A22C9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排放方式</w:t>
                  </w:r>
                </w:p>
              </w:tc>
              <w:tc>
                <w:tcPr>
                  <w:tcW w:w="268" w:type="pct"/>
                  <w:vMerge w:val="restart"/>
                  <w:vAlign w:val="center"/>
                </w:tcPr>
                <w:p w14:paraId="5618C1C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排放去向</w:t>
                  </w:r>
                </w:p>
              </w:tc>
            </w:tr>
            <w:tr w14:paraId="7BAE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51589070">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5E12C28F">
                  <w:pPr>
                    <w:adjustRightInd w:val="0"/>
                    <w:snapToGrid w:val="0"/>
                    <w:jc w:val="center"/>
                    <w:rPr>
                      <w:color w:val="000000" w:themeColor="text1"/>
                      <w:szCs w:val="21"/>
                      <w14:textFill>
                        <w14:solidFill>
                          <w14:schemeClr w14:val="tx1"/>
                        </w14:solidFill>
                      </w14:textFill>
                    </w:rPr>
                  </w:pPr>
                </w:p>
              </w:tc>
              <w:tc>
                <w:tcPr>
                  <w:tcW w:w="515" w:type="pct"/>
                  <w:vMerge w:val="continue"/>
                  <w:vAlign w:val="center"/>
                </w:tcPr>
                <w:p w14:paraId="189367CC">
                  <w:pPr>
                    <w:adjustRightInd w:val="0"/>
                    <w:snapToGrid w:val="0"/>
                    <w:jc w:val="center"/>
                    <w:rPr>
                      <w:color w:val="000000" w:themeColor="text1"/>
                      <w:szCs w:val="21"/>
                      <w14:textFill>
                        <w14:solidFill>
                          <w14:schemeClr w14:val="tx1"/>
                        </w14:solidFill>
                      </w14:textFill>
                    </w:rPr>
                  </w:pPr>
                </w:p>
              </w:tc>
              <w:tc>
                <w:tcPr>
                  <w:tcW w:w="456" w:type="pct"/>
                  <w:vAlign w:val="center"/>
                </w:tcPr>
                <w:p w14:paraId="1229D43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产生浓度mg/L</w:t>
                  </w:r>
                </w:p>
              </w:tc>
              <w:tc>
                <w:tcPr>
                  <w:tcW w:w="505" w:type="pct"/>
                  <w:vAlign w:val="center"/>
                </w:tcPr>
                <w:p w14:paraId="2C0F85A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543" w:type="pct"/>
                  <w:vAlign w:val="center"/>
                </w:tcPr>
                <w:p w14:paraId="461426B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排放浓度mg/L</w:t>
                  </w:r>
                </w:p>
              </w:tc>
              <w:tc>
                <w:tcPr>
                  <w:tcW w:w="418" w:type="pct"/>
                  <w:vAlign w:val="center"/>
                </w:tcPr>
                <w:p w14:paraId="30262EB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556" w:type="pct"/>
                  <w:vAlign w:val="center"/>
                </w:tcPr>
                <w:p w14:paraId="2E49C8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排放浓度mg/L</w:t>
                  </w:r>
                </w:p>
              </w:tc>
              <w:tc>
                <w:tcPr>
                  <w:tcW w:w="460" w:type="pct"/>
                  <w:vAlign w:val="center"/>
                </w:tcPr>
                <w:p w14:paraId="720287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258" w:type="pct"/>
                  <w:vMerge w:val="continue"/>
                  <w:vAlign w:val="center"/>
                </w:tcPr>
                <w:p w14:paraId="02975D22">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7EBDBF66">
                  <w:pPr>
                    <w:adjustRightInd w:val="0"/>
                    <w:snapToGrid w:val="0"/>
                    <w:jc w:val="center"/>
                    <w:rPr>
                      <w:color w:val="000000" w:themeColor="text1"/>
                      <w:szCs w:val="21"/>
                      <w14:textFill>
                        <w14:solidFill>
                          <w14:schemeClr w14:val="tx1"/>
                        </w14:solidFill>
                      </w14:textFill>
                    </w:rPr>
                  </w:pPr>
                </w:p>
              </w:tc>
            </w:tr>
            <w:tr w14:paraId="4B81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restart"/>
                  <w:vAlign w:val="center"/>
                </w:tcPr>
                <w:p w14:paraId="4F4409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员工洗手、地坪清洁废水</w:t>
                  </w:r>
                </w:p>
              </w:tc>
              <w:tc>
                <w:tcPr>
                  <w:tcW w:w="474" w:type="pct"/>
                  <w:vMerge w:val="restart"/>
                  <w:vAlign w:val="center"/>
                </w:tcPr>
                <w:p w14:paraId="20FF445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87.6</w:t>
                  </w:r>
                </w:p>
                <w:p w14:paraId="2EBDBE1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515" w:type="pct"/>
                  <w:vAlign w:val="center"/>
                </w:tcPr>
                <w:p w14:paraId="266E1D4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56" w:type="pct"/>
                  <w:vAlign w:val="center"/>
                </w:tcPr>
                <w:p w14:paraId="4F02D1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505" w:type="pct"/>
                  <w:vAlign w:val="center"/>
                </w:tcPr>
                <w:p w14:paraId="6292342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0.0263</w:t>
                  </w:r>
                </w:p>
              </w:tc>
              <w:tc>
                <w:tcPr>
                  <w:tcW w:w="543" w:type="pct"/>
                  <w:vAlign w:val="center"/>
                </w:tcPr>
                <w:p w14:paraId="5215191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5D2531A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1F006F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07A2DBA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restart"/>
                  <w:vAlign w:val="center"/>
                </w:tcPr>
                <w:p w14:paraId="4248AA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68" w:type="pct"/>
                  <w:vMerge w:val="restart"/>
                  <w:vAlign w:val="center"/>
                </w:tcPr>
                <w:p w14:paraId="424B1E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D19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3659B2BD">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2B4F5E02">
                  <w:pPr>
                    <w:adjustRightInd w:val="0"/>
                    <w:snapToGrid w:val="0"/>
                    <w:jc w:val="center"/>
                    <w:rPr>
                      <w:color w:val="000000" w:themeColor="text1"/>
                      <w:szCs w:val="21"/>
                      <w14:textFill>
                        <w14:solidFill>
                          <w14:schemeClr w14:val="tx1"/>
                        </w14:solidFill>
                      </w14:textFill>
                    </w:rPr>
                  </w:pPr>
                </w:p>
              </w:tc>
              <w:tc>
                <w:tcPr>
                  <w:tcW w:w="515" w:type="pct"/>
                  <w:vAlign w:val="center"/>
                </w:tcPr>
                <w:p w14:paraId="6D555B7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56" w:type="pct"/>
                  <w:vAlign w:val="center"/>
                </w:tcPr>
                <w:p w14:paraId="1CCCFF1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w:t>
                  </w:r>
                </w:p>
              </w:tc>
              <w:tc>
                <w:tcPr>
                  <w:tcW w:w="505" w:type="pct"/>
                  <w:vAlign w:val="center"/>
                </w:tcPr>
                <w:p w14:paraId="3C4EBF8C">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0.0482</w:t>
                  </w:r>
                </w:p>
              </w:tc>
              <w:tc>
                <w:tcPr>
                  <w:tcW w:w="543" w:type="pct"/>
                  <w:vAlign w:val="center"/>
                </w:tcPr>
                <w:p w14:paraId="4D1CE85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06C4D85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42E06D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372B653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0873D387">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322C6556">
                  <w:pPr>
                    <w:adjustRightInd w:val="0"/>
                    <w:snapToGrid w:val="0"/>
                    <w:jc w:val="center"/>
                    <w:rPr>
                      <w:color w:val="000000" w:themeColor="text1"/>
                      <w:szCs w:val="21"/>
                      <w14:textFill>
                        <w14:solidFill>
                          <w14:schemeClr w14:val="tx1"/>
                        </w14:solidFill>
                      </w14:textFill>
                    </w:rPr>
                  </w:pPr>
                </w:p>
              </w:tc>
            </w:tr>
            <w:tr w14:paraId="0B03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4ACF8597">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6E07FDAA">
                  <w:pPr>
                    <w:adjustRightInd w:val="0"/>
                    <w:snapToGrid w:val="0"/>
                    <w:jc w:val="center"/>
                    <w:rPr>
                      <w:color w:val="000000" w:themeColor="text1"/>
                      <w:szCs w:val="21"/>
                      <w14:textFill>
                        <w14:solidFill>
                          <w14:schemeClr w14:val="tx1"/>
                        </w14:solidFill>
                      </w14:textFill>
                    </w:rPr>
                  </w:pPr>
                </w:p>
              </w:tc>
              <w:tc>
                <w:tcPr>
                  <w:tcW w:w="515" w:type="pct"/>
                  <w:vAlign w:val="center"/>
                </w:tcPr>
                <w:p w14:paraId="0BEE64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456" w:type="pct"/>
                  <w:vAlign w:val="center"/>
                </w:tcPr>
                <w:p w14:paraId="510C30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505" w:type="pct"/>
                  <w:vAlign w:val="center"/>
                </w:tcPr>
                <w:p w14:paraId="543EBA37">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0.0053</w:t>
                  </w:r>
                </w:p>
              </w:tc>
              <w:tc>
                <w:tcPr>
                  <w:tcW w:w="543" w:type="pct"/>
                  <w:vAlign w:val="center"/>
                </w:tcPr>
                <w:p w14:paraId="72D7DC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1B0C414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79FF7D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064BF8C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68D0B91A">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07E7595C">
                  <w:pPr>
                    <w:adjustRightInd w:val="0"/>
                    <w:snapToGrid w:val="0"/>
                    <w:jc w:val="center"/>
                    <w:rPr>
                      <w:color w:val="000000" w:themeColor="text1"/>
                      <w:szCs w:val="21"/>
                      <w14:textFill>
                        <w14:solidFill>
                          <w14:schemeClr w14:val="tx1"/>
                        </w14:solidFill>
                      </w14:textFill>
                    </w:rPr>
                  </w:pPr>
                </w:p>
              </w:tc>
            </w:tr>
            <w:tr w14:paraId="369A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restart"/>
                  <w:vAlign w:val="center"/>
                </w:tcPr>
                <w:p w14:paraId="0060EF9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清洗机、空压机冷凝废水</w:t>
                  </w:r>
                </w:p>
              </w:tc>
              <w:tc>
                <w:tcPr>
                  <w:tcW w:w="474" w:type="pct"/>
                  <w:vMerge w:val="restart"/>
                  <w:vAlign w:val="center"/>
                </w:tcPr>
                <w:p w14:paraId="69B79F2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13.55</w:t>
                  </w:r>
                </w:p>
                <w:p w14:paraId="16B2E5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515" w:type="pct"/>
                  <w:vAlign w:val="center"/>
                </w:tcPr>
                <w:p w14:paraId="120F381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56" w:type="pct"/>
                  <w:vAlign w:val="center"/>
                </w:tcPr>
                <w:p w14:paraId="77C8D95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505" w:type="pct"/>
                  <w:vAlign w:val="center"/>
                </w:tcPr>
                <w:p w14:paraId="3088EBD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0.0047</w:t>
                  </w:r>
                </w:p>
              </w:tc>
              <w:tc>
                <w:tcPr>
                  <w:tcW w:w="543" w:type="pct"/>
                  <w:vAlign w:val="center"/>
                </w:tcPr>
                <w:p w14:paraId="2441F9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6A2E45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648810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75C4BB6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75CD7A13">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1C81C353">
                  <w:pPr>
                    <w:adjustRightInd w:val="0"/>
                    <w:snapToGrid w:val="0"/>
                    <w:jc w:val="center"/>
                    <w:rPr>
                      <w:color w:val="000000" w:themeColor="text1"/>
                      <w:szCs w:val="21"/>
                      <w14:textFill>
                        <w14:solidFill>
                          <w14:schemeClr w14:val="tx1"/>
                        </w14:solidFill>
                      </w14:textFill>
                    </w:rPr>
                  </w:pPr>
                </w:p>
              </w:tc>
            </w:tr>
            <w:tr w14:paraId="3499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44B4D835">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7842A7B4">
                  <w:pPr>
                    <w:adjustRightInd w:val="0"/>
                    <w:snapToGrid w:val="0"/>
                    <w:jc w:val="center"/>
                    <w:rPr>
                      <w:color w:val="000000" w:themeColor="text1"/>
                      <w:szCs w:val="21"/>
                      <w14:textFill>
                        <w14:solidFill>
                          <w14:schemeClr w14:val="tx1"/>
                        </w14:solidFill>
                      </w14:textFill>
                    </w:rPr>
                  </w:pPr>
                </w:p>
              </w:tc>
              <w:tc>
                <w:tcPr>
                  <w:tcW w:w="515" w:type="pct"/>
                  <w:vAlign w:val="center"/>
                </w:tcPr>
                <w:p w14:paraId="0ED32BD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56" w:type="pct"/>
                  <w:vAlign w:val="center"/>
                </w:tcPr>
                <w:p w14:paraId="0DA3070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505" w:type="pct"/>
                  <w:vAlign w:val="center"/>
                </w:tcPr>
                <w:p w14:paraId="598EC6F8">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0.0081</w:t>
                  </w:r>
                </w:p>
              </w:tc>
              <w:tc>
                <w:tcPr>
                  <w:tcW w:w="543" w:type="pct"/>
                  <w:vAlign w:val="center"/>
                </w:tcPr>
                <w:p w14:paraId="162744F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1D8AA1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0270E66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0F878B8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45BF3B7C">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5CD6927C">
                  <w:pPr>
                    <w:adjustRightInd w:val="0"/>
                    <w:snapToGrid w:val="0"/>
                    <w:jc w:val="center"/>
                    <w:rPr>
                      <w:color w:val="000000" w:themeColor="text1"/>
                      <w:szCs w:val="21"/>
                      <w14:textFill>
                        <w14:solidFill>
                          <w14:schemeClr w14:val="tx1"/>
                        </w14:solidFill>
                      </w14:textFill>
                    </w:rPr>
                  </w:pPr>
                </w:p>
              </w:tc>
            </w:tr>
            <w:tr w14:paraId="3A15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461293D8">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180EF1B9">
                  <w:pPr>
                    <w:adjustRightInd w:val="0"/>
                    <w:snapToGrid w:val="0"/>
                    <w:jc w:val="center"/>
                    <w:rPr>
                      <w:color w:val="000000" w:themeColor="text1"/>
                      <w:szCs w:val="21"/>
                      <w14:textFill>
                        <w14:solidFill>
                          <w14:schemeClr w14:val="tx1"/>
                        </w14:solidFill>
                      </w14:textFill>
                    </w:rPr>
                  </w:pPr>
                </w:p>
              </w:tc>
              <w:tc>
                <w:tcPr>
                  <w:tcW w:w="515" w:type="pct"/>
                  <w:vAlign w:val="center"/>
                </w:tcPr>
                <w:p w14:paraId="534B5AB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456" w:type="pct"/>
                  <w:vAlign w:val="center"/>
                </w:tcPr>
                <w:p w14:paraId="3924F18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505" w:type="pct"/>
                  <w:vAlign w:val="center"/>
                </w:tcPr>
                <w:p w14:paraId="095437B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0.0011</w:t>
                  </w:r>
                </w:p>
              </w:tc>
              <w:tc>
                <w:tcPr>
                  <w:tcW w:w="543" w:type="pct"/>
                  <w:vAlign w:val="center"/>
                </w:tcPr>
                <w:p w14:paraId="5352864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4CCBCCB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4A7A41D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19BFADF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1DB5A786">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57FA17CD">
                  <w:pPr>
                    <w:adjustRightInd w:val="0"/>
                    <w:snapToGrid w:val="0"/>
                    <w:jc w:val="center"/>
                    <w:rPr>
                      <w:color w:val="000000" w:themeColor="text1"/>
                      <w:szCs w:val="21"/>
                      <w14:textFill>
                        <w14:solidFill>
                          <w14:schemeClr w14:val="tx1"/>
                        </w14:solidFill>
                      </w14:textFill>
                    </w:rPr>
                  </w:pPr>
                </w:p>
              </w:tc>
            </w:tr>
            <w:tr w14:paraId="5036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restart"/>
                  <w:vAlign w:val="center"/>
                </w:tcPr>
                <w:p w14:paraId="4B2E6A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w:t>
                  </w:r>
                </w:p>
              </w:tc>
              <w:tc>
                <w:tcPr>
                  <w:tcW w:w="474" w:type="pct"/>
                  <w:vMerge w:val="restart"/>
                  <w:vAlign w:val="center"/>
                </w:tcPr>
                <w:p w14:paraId="1979CB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101.15</w:t>
                  </w:r>
                </w:p>
                <w:p w14:paraId="6FF0404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515" w:type="pct"/>
                  <w:vAlign w:val="center"/>
                </w:tcPr>
                <w:p w14:paraId="1678617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56" w:type="pct"/>
                  <w:vAlign w:val="center"/>
                </w:tcPr>
                <w:p w14:paraId="1576CE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307</w:t>
                  </w:r>
                </w:p>
              </w:tc>
              <w:tc>
                <w:tcPr>
                  <w:tcW w:w="505" w:type="pct"/>
                  <w:vAlign w:val="center"/>
                </w:tcPr>
                <w:p w14:paraId="2D7CF1E4">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0.0310</w:t>
                  </w:r>
                </w:p>
              </w:tc>
              <w:tc>
                <w:tcPr>
                  <w:tcW w:w="543" w:type="pct"/>
                  <w:vAlign w:val="center"/>
                </w:tcPr>
                <w:p w14:paraId="0032544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30B51B0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201332E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4CC7F87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3F0CA006">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6C275CC2">
                  <w:pPr>
                    <w:adjustRightInd w:val="0"/>
                    <w:snapToGrid w:val="0"/>
                    <w:jc w:val="center"/>
                    <w:rPr>
                      <w:color w:val="000000" w:themeColor="text1"/>
                      <w:szCs w:val="21"/>
                      <w14:textFill>
                        <w14:solidFill>
                          <w14:schemeClr w14:val="tx1"/>
                        </w14:solidFill>
                      </w14:textFill>
                    </w:rPr>
                  </w:pPr>
                </w:p>
              </w:tc>
            </w:tr>
            <w:tr w14:paraId="6B0E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54F7CE07">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401FA9AF">
                  <w:pPr>
                    <w:adjustRightInd w:val="0"/>
                    <w:snapToGrid w:val="0"/>
                    <w:jc w:val="center"/>
                    <w:rPr>
                      <w:color w:val="000000" w:themeColor="text1"/>
                      <w:szCs w:val="21"/>
                      <w14:textFill>
                        <w14:solidFill>
                          <w14:schemeClr w14:val="tx1"/>
                        </w14:solidFill>
                      </w14:textFill>
                    </w:rPr>
                  </w:pPr>
                </w:p>
              </w:tc>
              <w:tc>
                <w:tcPr>
                  <w:tcW w:w="515" w:type="pct"/>
                  <w:vAlign w:val="center"/>
                </w:tcPr>
                <w:p w14:paraId="7E48C3F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56" w:type="pct"/>
                  <w:vAlign w:val="center"/>
                </w:tcPr>
                <w:p w14:paraId="78DE65C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557</w:t>
                  </w:r>
                </w:p>
              </w:tc>
              <w:tc>
                <w:tcPr>
                  <w:tcW w:w="505" w:type="pct"/>
                  <w:vAlign w:val="center"/>
                </w:tcPr>
                <w:p w14:paraId="3CAA8E5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0.0563</w:t>
                  </w:r>
                </w:p>
              </w:tc>
              <w:tc>
                <w:tcPr>
                  <w:tcW w:w="543" w:type="pct"/>
                  <w:vAlign w:val="center"/>
                </w:tcPr>
                <w:p w14:paraId="1D7E08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4288E44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1649016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65D5067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26D7BA45">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4325F47E">
                  <w:pPr>
                    <w:adjustRightInd w:val="0"/>
                    <w:snapToGrid w:val="0"/>
                    <w:jc w:val="center"/>
                    <w:rPr>
                      <w:color w:val="000000" w:themeColor="text1"/>
                      <w:szCs w:val="21"/>
                      <w14:textFill>
                        <w14:solidFill>
                          <w14:schemeClr w14:val="tx1"/>
                        </w14:solidFill>
                      </w14:textFill>
                    </w:rPr>
                  </w:pPr>
                </w:p>
              </w:tc>
            </w:tr>
            <w:tr w14:paraId="0B84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5264B04F">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5F39677B">
                  <w:pPr>
                    <w:adjustRightInd w:val="0"/>
                    <w:snapToGrid w:val="0"/>
                    <w:jc w:val="center"/>
                    <w:rPr>
                      <w:color w:val="000000" w:themeColor="text1"/>
                      <w:szCs w:val="21"/>
                      <w14:textFill>
                        <w14:solidFill>
                          <w14:schemeClr w14:val="tx1"/>
                        </w14:solidFill>
                      </w14:textFill>
                    </w:rPr>
                  </w:pPr>
                </w:p>
              </w:tc>
              <w:tc>
                <w:tcPr>
                  <w:tcW w:w="515" w:type="pct"/>
                  <w:vAlign w:val="center"/>
                </w:tcPr>
                <w:p w14:paraId="39FC74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456" w:type="pct"/>
                  <w:vAlign w:val="center"/>
                </w:tcPr>
                <w:p w14:paraId="33E36C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w:t>
                  </w:r>
                </w:p>
              </w:tc>
              <w:tc>
                <w:tcPr>
                  <w:tcW w:w="505" w:type="pct"/>
                  <w:vAlign w:val="center"/>
                </w:tcPr>
                <w:p w14:paraId="566B36D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0.0063</w:t>
                  </w:r>
                </w:p>
              </w:tc>
              <w:tc>
                <w:tcPr>
                  <w:tcW w:w="543" w:type="pct"/>
                  <w:vAlign w:val="center"/>
                </w:tcPr>
                <w:p w14:paraId="0D9264E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3403C25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15CF3A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0476A6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35BD3901">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71F5AC17">
                  <w:pPr>
                    <w:adjustRightInd w:val="0"/>
                    <w:snapToGrid w:val="0"/>
                    <w:jc w:val="center"/>
                    <w:rPr>
                      <w:color w:val="000000" w:themeColor="text1"/>
                      <w:szCs w:val="21"/>
                      <w14:textFill>
                        <w14:solidFill>
                          <w14:schemeClr w14:val="tx1"/>
                        </w14:solidFill>
                      </w14:textFill>
                    </w:rPr>
                  </w:pPr>
                </w:p>
              </w:tc>
            </w:tr>
            <w:tr w14:paraId="54E9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restart"/>
                  <w:vAlign w:val="center"/>
                </w:tcPr>
                <w:p w14:paraId="3EE0118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474" w:type="pct"/>
                  <w:vMerge w:val="restart"/>
                  <w:vAlign w:val="center"/>
                </w:tcPr>
                <w:p w14:paraId="0488E81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270</w:t>
                  </w:r>
                </w:p>
                <w:p w14:paraId="541705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515" w:type="pct"/>
                  <w:vAlign w:val="center"/>
                </w:tcPr>
                <w:p w14:paraId="2E94296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56" w:type="pct"/>
                  <w:vAlign w:val="center"/>
                </w:tcPr>
                <w:p w14:paraId="4C9BC34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450</w:t>
                  </w:r>
                </w:p>
              </w:tc>
              <w:tc>
                <w:tcPr>
                  <w:tcW w:w="505" w:type="pct"/>
                  <w:vAlign w:val="center"/>
                </w:tcPr>
                <w:p w14:paraId="4C480692">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0.1215</w:t>
                  </w:r>
                </w:p>
              </w:tc>
              <w:tc>
                <w:tcPr>
                  <w:tcW w:w="543" w:type="pct"/>
                  <w:vAlign w:val="center"/>
                </w:tcPr>
                <w:p w14:paraId="3C1B55B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426D388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7A24DA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1006AA1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12904B43">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434D3ADE">
                  <w:pPr>
                    <w:adjustRightInd w:val="0"/>
                    <w:snapToGrid w:val="0"/>
                    <w:jc w:val="center"/>
                    <w:rPr>
                      <w:color w:val="000000" w:themeColor="text1"/>
                      <w:szCs w:val="21"/>
                      <w14:textFill>
                        <w14:solidFill>
                          <w14:schemeClr w14:val="tx1"/>
                        </w14:solidFill>
                      </w14:textFill>
                    </w:rPr>
                  </w:pPr>
                </w:p>
              </w:tc>
            </w:tr>
            <w:tr w14:paraId="5462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51433D5D">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2429CE3A">
                  <w:pPr>
                    <w:adjustRightInd w:val="0"/>
                    <w:snapToGrid w:val="0"/>
                    <w:jc w:val="center"/>
                    <w:rPr>
                      <w:color w:val="000000" w:themeColor="text1"/>
                      <w:szCs w:val="21"/>
                      <w14:textFill>
                        <w14:solidFill>
                          <w14:schemeClr w14:val="tx1"/>
                        </w14:solidFill>
                      </w14:textFill>
                    </w:rPr>
                  </w:pPr>
                </w:p>
              </w:tc>
              <w:tc>
                <w:tcPr>
                  <w:tcW w:w="515" w:type="pct"/>
                  <w:vAlign w:val="center"/>
                </w:tcPr>
                <w:p w14:paraId="5EB3F0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456" w:type="pct"/>
                  <w:vAlign w:val="center"/>
                </w:tcPr>
                <w:p w14:paraId="6820D0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505" w:type="pct"/>
                  <w:vAlign w:val="center"/>
                </w:tcPr>
                <w:p w14:paraId="26FBB21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0.0945</w:t>
                  </w:r>
                </w:p>
              </w:tc>
              <w:tc>
                <w:tcPr>
                  <w:tcW w:w="543" w:type="pct"/>
                  <w:vAlign w:val="center"/>
                </w:tcPr>
                <w:p w14:paraId="1130AD5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4D3063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407C338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4A4DCD7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0F3AB144">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0473A44F">
                  <w:pPr>
                    <w:adjustRightInd w:val="0"/>
                    <w:snapToGrid w:val="0"/>
                    <w:jc w:val="center"/>
                    <w:rPr>
                      <w:color w:val="000000" w:themeColor="text1"/>
                      <w:szCs w:val="21"/>
                      <w14:textFill>
                        <w14:solidFill>
                          <w14:schemeClr w14:val="tx1"/>
                        </w14:solidFill>
                      </w14:textFill>
                    </w:rPr>
                  </w:pPr>
                </w:p>
              </w:tc>
            </w:tr>
            <w:tr w14:paraId="36E1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2557C94C">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34698132">
                  <w:pPr>
                    <w:adjustRightInd w:val="0"/>
                    <w:snapToGrid w:val="0"/>
                    <w:jc w:val="center"/>
                    <w:rPr>
                      <w:color w:val="000000" w:themeColor="text1"/>
                      <w:szCs w:val="21"/>
                      <w14:textFill>
                        <w14:solidFill>
                          <w14:schemeClr w14:val="tx1"/>
                        </w14:solidFill>
                      </w14:textFill>
                    </w:rPr>
                  </w:pPr>
                </w:p>
              </w:tc>
              <w:tc>
                <w:tcPr>
                  <w:tcW w:w="515" w:type="pct"/>
                  <w:vAlign w:val="center"/>
                </w:tcPr>
                <w:p w14:paraId="2DFF5B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56" w:type="pct"/>
                  <w:vAlign w:val="center"/>
                </w:tcPr>
                <w:p w14:paraId="6B3BDD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505" w:type="pct"/>
                  <w:vAlign w:val="center"/>
                </w:tcPr>
                <w:p w14:paraId="476840C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0.1080</w:t>
                  </w:r>
                </w:p>
              </w:tc>
              <w:tc>
                <w:tcPr>
                  <w:tcW w:w="543" w:type="pct"/>
                  <w:vAlign w:val="center"/>
                </w:tcPr>
                <w:p w14:paraId="63D2ED7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7651362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64537ED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1079539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2E412784">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5B77C9C3">
                  <w:pPr>
                    <w:adjustRightInd w:val="0"/>
                    <w:snapToGrid w:val="0"/>
                    <w:jc w:val="center"/>
                    <w:rPr>
                      <w:color w:val="000000" w:themeColor="text1"/>
                      <w:szCs w:val="21"/>
                      <w14:textFill>
                        <w14:solidFill>
                          <w14:schemeClr w14:val="tx1"/>
                        </w14:solidFill>
                      </w14:textFill>
                    </w:rPr>
                  </w:pPr>
                </w:p>
              </w:tc>
            </w:tr>
            <w:tr w14:paraId="619F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2665BC06">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4C390C0B">
                  <w:pPr>
                    <w:adjustRightInd w:val="0"/>
                    <w:snapToGrid w:val="0"/>
                    <w:jc w:val="center"/>
                    <w:rPr>
                      <w:color w:val="000000" w:themeColor="text1"/>
                      <w:szCs w:val="21"/>
                      <w14:textFill>
                        <w14:solidFill>
                          <w14:schemeClr w14:val="tx1"/>
                        </w14:solidFill>
                      </w14:textFill>
                    </w:rPr>
                  </w:pPr>
                </w:p>
              </w:tc>
              <w:tc>
                <w:tcPr>
                  <w:tcW w:w="515" w:type="pct"/>
                  <w:vAlign w:val="center"/>
                </w:tcPr>
                <w:p w14:paraId="24262FA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456" w:type="pct"/>
                  <w:vAlign w:val="center"/>
                </w:tcPr>
                <w:p w14:paraId="1839018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505" w:type="pct"/>
                  <w:vAlign w:val="center"/>
                </w:tcPr>
                <w:p w14:paraId="4E526D41">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0.0122</w:t>
                  </w:r>
                </w:p>
              </w:tc>
              <w:tc>
                <w:tcPr>
                  <w:tcW w:w="543" w:type="pct"/>
                  <w:vAlign w:val="center"/>
                </w:tcPr>
                <w:p w14:paraId="41616CB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559A3BD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69C315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7CC867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5CCFF3A6">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445B0FB4">
                  <w:pPr>
                    <w:adjustRightInd w:val="0"/>
                    <w:snapToGrid w:val="0"/>
                    <w:jc w:val="center"/>
                    <w:rPr>
                      <w:color w:val="000000" w:themeColor="text1"/>
                      <w:szCs w:val="21"/>
                      <w14:textFill>
                        <w14:solidFill>
                          <w14:schemeClr w14:val="tx1"/>
                        </w14:solidFill>
                      </w14:textFill>
                    </w:rPr>
                  </w:pPr>
                </w:p>
              </w:tc>
            </w:tr>
            <w:tr w14:paraId="0D80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57710F84">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51729DD7">
                  <w:pPr>
                    <w:adjustRightInd w:val="0"/>
                    <w:snapToGrid w:val="0"/>
                    <w:jc w:val="center"/>
                    <w:rPr>
                      <w:color w:val="000000" w:themeColor="text1"/>
                      <w:szCs w:val="21"/>
                      <w14:textFill>
                        <w14:solidFill>
                          <w14:schemeClr w14:val="tx1"/>
                        </w14:solidFill>
                      </w14:textFill>
                    </w:rPr>
                  </w:pPr>
                </w:p>
              </w:tc>
              <w:tc>
                <w:tcPr>
                  <w:tcW w:w="515" w:type="pct"/>
                  <w:vAlign w:val="center"/>
                </w:tcPr>
                <w:p w14:paraId="3D9AF0E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456" w:type="pct"/>
                  <w:vAlign w:val="center"/>
                </w:tcPr>
                <w:p w14:paraId="13DC76C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505" w:type="pct"/>
                  <w:vAlign w:val="center"/>
                </w:tcPr>
                <w:p w14:paraId="72FC7E36">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0.0041</w:t>
                  </w:r>
                </w:p>
              </w:tc>
              <w:tc>
                <w:tcPr>
                  <w:tcW w:w="543" w:type="pct"/>
                  <w:vAlign w:val="center"/>
                </w:tcPr>
                <w:p w14:paraId="57B6DA9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8" w:type="pct"/>
                  <w:vAlign w:val="center"/>
                </w:tcPr>
                <w:p w14:paraId="4737301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6" w:type="pct"/>
                  <w:vAlign w:val="center"/>
                </w:tcPr>
                <w:p w14:paraId="04A3F7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60" w:type="pct"/>
                  <w:vAlign w:val="center"/>
                </w:tcPr>
                <w:p w14:paraId="538F25B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8" w:type="pct"/>
                  <w:vMerge w:val="continue"/>
                  <w:vAlign w:val="center"/>
                </w:tcPr>
                <w:p w14:paraId="6D13704C">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5EF2903E">
                  <w:pPr>
                    <w:adjustRightInd w:val="0"/>
                    <w:snapToGrid w:val="0"/>
                    <w:jc w:val="center"/>
                    <w:rPr>
                      <w:color w:val="000000" w:themeColor="text1"/>
                      <w:szCs w:val="21"/>
                      <w14:textFill>
                        <w14:solidFill>
                          <w14:schemeClr w14:val="tx1"/>
                        </w14:solidFill>
                      </w14:textFill>
                    </w:rPr>
                  </w:pPr>
                </w:p>
              </w:tc>
            </w:tr>
            <w:tr w14:paraId="7B60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restart"/>
                  <w:vAlign w:val="center"/>
                </w:tcPr>
                <w:p w14:paraId="614BB8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综合污水</w:t>
                  </w:r>
                </w:p>
              </w:tc>
              <w:tc>
                <w:tcPr>
                  <w:tcW w:w="474" w:type="pct"/>
                  <w:vMerge w:val="restart"/>
                  <w:vAlign w:val="center"/>
                </w:tcPr>
                <w:p w14:paraId="79412635">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371.15</w:t>
                  </w:r>
                </w:p>
                <w:p w14:paraId="7004AE11">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/a</w:t>
                  </w:r>
                </w:p>
              </w:tc>
              <w:tc>
                <w:tcPr>
                  <w:tcW w:w="515" w:type="pct"/>
                  <w:vAlign w:val="center"/>
                </w:tcPr>
                <w:p w14:paraId="0A62554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456" w:type="pct"/>
                  <w:vAlign w:val="center"/>
                </w:tcPr>
                <w:p w14:paraId="690D2FFC">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w:t>
                  </w:r>
                </w:p>
              </w:tc>
              <w:tc>
                <w:tcPr>
                  <w:tcW w:w="505" w:type="pct"/>
                  <w:vAlign w:val="center"/>
                </w:tcPr>
                <w:p w14:paraId="04A807B6">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0.1525</w:t>
                  </w:r>
                </w:p>
              </w:tc>
              <w:tc>
                <w:tcPr>
                  <w:tcW w:w="543" w:type="pct"/>
                  <w:vAlign w:val="center"/>
                </w:tcPr>
                <w:p w14:paraId="119BD0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418" w:type="pct"/>
                  <w:vAlign w:val="center"/>
                </w:tcPr>
                <w:p w14:paraId="75806D91">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0.1113</w:t>
                  </w:r>
                </w:p>
              </w:tc>
              <w:tc>
                <w:tcPr>
                  <w:tcW w:w="556" w:type="pct"/>
                  <w:vAlign w:val="center"/>
                </w:tcPr>
                <w:p w14:paraId="2DA42DA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460" w:type="pct"/>
                  <w:vAlign w:val="center"/>
                </w:tcPr>
                <w:p w14:paraId="26ADC6B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0.0186</w:t>
                  </w:r>
                </w:p>
              </w:tc>
              <w:tc>
                <w:tcPr>
                  <w:tcW w:w="258" w:type="pct"/>
                  <w:vMerge w:val="restart"/>
                  <w:vAlign w:val="center"/>
                </w:tcPr>
                <w:p w14:paraId="42D8605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268" w:type="pct"/>
                  <w:vMerge w:val="restart"/>
                  <w:vAlign w:val="center"/>
                </w:tcPr>
                <w:p w14:paraId="16F5CD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小安溪</w:t>
                  </w:r>
                </w:p>
              </w:tc>
            </w:tr>
            <w:tr w14:paraId="4D48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45F15B56">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6BD5E8BA">
                  <w:pPr>
                    <w:adjustRightInd w:val="0"/>
                    <w:snapToGrid w:val="0"/>
                    <w:jc w:val="center"/>
                    <w:rPr>
                      <w:color w:val="000000" w:themeColor="text1"/>
                      <w:szCs w:val="21"/>
                      <w14:textFill>
                        <w14:solidFill>
                          <w14:schemeClr w14:val="tx1"/>
                        </w14:solidFill>
                      </w14:textFill>
                    </w:rPr>
                  </w:pPr>
                </w:p>
              </w:tc>
              <w:tc>
                <w:tcPr>
                  <w:tcW w:w="515" w:type="pct"/>
                  <w:vAlign w:val="center"/>
                </w:tcPr>
                <w:p w14:paraId="286B117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456" w:type="pct"/>
                  <w:vAlign w:val="center"/>
                </w:tcPr>
                <w:p w14:paraId="1CE7A90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5" w:type="pct"/>
                  <w:vAlign w:val="center"/>
                </w:tcPr>
                <w:p w14:paraId="09A60B51">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0.0945</w:t>
                  </w:r>
                </w:p>
              </w:tc>
              <w:tc>
                <w:tcPr>
                  <w:tcW w:w="543" w:type="pct"/>
                  <w:vAlign w:val="center"/>
                </w:tcPr>
                <w:p w14:paraId="253F66B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w:t>
                  </w:r>
                </w:p>
              </w:tc>
              <w:tc>
                <w:tcPr>
                  <w:tcW w:w="418" w:type="pct"/>
                  <w:vAlign w:val="center"/>
                </w:tcPr>
                <w:p w14:paraId="15626168">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0.0891</w:t>
                  </w:r>
                </w:p>
              </w:tc>
              <w:tc>
                <w:tcPr>
                  <w:tcW w:w="556" w:type="pct"/>
                  <w:vAlign w:val="center"/>
                </w:tcPr>
                <w:p w14:paraId="3AF98E5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460" w:type="pct"/>
                  <w:vAlign w:val="center"/>
                </w:tcPr>
                <w:p w14:paraId="524E6945">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0.0037</w:t>
                  </w:r>
                </w:p>
              </w:tc>
              <w:tc>
                <w:tcPr>
                  <w:tcW w:w="258" w:type="pct"/>
                  <w:vMerge w:val="continue"/>
                  <w:vAlign w:val="center"/>
                </w:tcPr>
                <w:p w14:paraId="6DAECDAE">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5FC84517">
                  <w:pPr>
                    <w:adjustRightInd w:val="0"/>
                    <w:snapToGrid w:val="0"/>
                    <w:jc w:val="center"/>
                    <w:rPr>
                      <w:color w:val="000000" w:themeColor="text1"/>
                      <w:szCs w:val="21"/>
                      <w14:textFill>
                        <w14:solidFill>
                          <w14:schemeClr w14:val="tx1"/>
                        </w14:solidFill>
                      </w14:textFill>
                    </w:rPr>
                  </w:pPr>
                </w:p>
              </w:tc>
            </w:tr>
            <w:tr w14:paraId="52C9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6E2CA195">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287EB900">
                  <w:pPr>
                    <w:adjustRightInd w:val="0"/>
                    <w:snapToGrid w:val="0"/>
                    <w:jc w:val="center"/>
                    <w:rPr>
                      <w:color w:val="000000" w:themeColor="text1"/>
                      <w:szCs w:val="21"/>
                      <w14:textFill>
                        <w14:solidFill>
                          <w14:schemeClr w14:val="tx1"/>
                        </w14:solidFill>
                      </w14:textFill>
                    </w:rPr>
                  </w:pPr>
                </w:p>
              </w:tc>
              <w:tc>
                <w:tcPr>
                  <w:tcW w:w="515" w:type="pct"/>
                  <w:vAlign w:val="center"/>
                </w:tcPr>
                <w:p w14:paraId="46B6B03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456" w:type="pct"/>
                  <w:vAlign w:val="center"/>
                </w:tcPr>
                <w:p w14:paraId="167F328F">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5" w:type="pct"/>
                  <w:vAlign w:val="center"/>
                </w:tcPr>
                <w:p w14:paraId="66593BD4">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0.1643</w:t>
                  </w:r>
                </w:p>
              </w:tc>
              <w:tc>
                <w:tcPr>
                  <w:tcW w:w="543" w:type="pct"/>
                  <w:vAlign w:val="center"/>
                </w:tcPr>
                <w:p w14:paraId="4F3B996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418" w:type="pct"/>
                  <w:vAlign w:val="center"/>
                </w:tcPr>
                <w:p w14:paraId="24843D87">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0.1113</w:t>
                  </w:r>
                </w:p>
              </w:tc>
              <w:tc>
                <w:tcPr>
                  <w:tcW w:w="556" w:type="pct"/>
                  <w:vAlign w:val="center"/>
                </w:tcPr>
                <w:p w14:paraId="29586F8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460" w:type="pct"/>
                  <w:vAlign w:val="center"/>
                </w:tcPr>
                <w:p w14:paraId="0506F79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0.0037</w:t>
                  </w:r>
                </w:p>
              </w:tc>
              <w:tc>
                <w:tcPr>
                  <w:tcW w:w="258" w:type="pct"/>
                  <w:vMerge w:val="continue"/>
                  <w:vAlign w:val="center"/>
                </w:tcPr>
                <w:p w14:paraId="29319709">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0899B25B">
                  <w:pPr>
                    <w:adjustRightInd w:val="0"/>
                    <w:snapToGrid w:val="0"/>
                    <w:jc w:val="center"/>
                    <w:rPr>
                      <w:color w:val="000000" w:themeColor="text1"/>
                      <w:szCs w:val="21"/>
                      <w14:textFill>
                        <w14:solidFill>
                          <w14:schemeClr w14:val="tx1"/>
                        </w14:solidFill>
                      </w14:textFill>
                    </w:rPr>
                  </w:pPr>
                </w:p>
              </w:tc>
            </w:tr>
            <w:tr w14:paraId="63F5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3D6F6169">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6FA154BC">
                  <w:pPr>
                    <w:adjustRightInd w:val="0"/>
                    <w:snapToGrid w:val="0"/>
                    <w:jc w:val="center"/>
                    <w:rPr>
                      <w:color w:val="000000" w:themeColor="text1"/>
                      <w:szCs w:val="21"/>
                      <w14:textFill>
                        <w14:solidFill>
                          <w14:schemeClr w14:val="tx1"/>
                        </w14:solidFill>
                      </w14:textFill>
                    </w:rPr>
                  </w:pPr>
                </w:p>
              </w:tc>
              <w:tc>
                <w:tcPr>
                  <w:tcW w:w="515" w:type="pct"/>
                  <w:vAlign w:val="center"/>
                </w:tcPr>
                <w:p w14:paraId="2B85D14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456" w:type="pct"/>
                  <w:vAlign w:val="center"/>
                </w:tcPr>
                <w:p w14:paraId="31FEBB2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5" w:type="pct"/>
                  <w:vAlign w:val="center"/>
                </w:tcPr>
                <w:p w14:paraId="176B9EEC">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0.0122</w:t>
                  </w:r>
                </w:p>
              </w:tc>
              <w:tc>
                <w:tcPr>
                  <w:tcW w:w="543" w:type="pct"/>
                  <w:vAlign w:val="center"/>
                </w:tcPr>
                <w:p w14:paraId="0E6BF51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418" w:type="pct"/>
                  <w:vAlign w:val="center"/>
                </w:tcPr>
                <w:p w14:paraId="6A24C8EA">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0.0093</w:t>
                  </w:r>
                </w:p>
              </w:tc>
              <w:tc>
                <w:tcPr>
                  <w:tcW w:w="556" w:type="pct"/>
                  <w:vAlign w:val="center"/>
                </w:tcPr>
                <w:p w14:paraId="3C3B39B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60" w:type="pct"/>
                  <w:vAlign w:val="center"/>
                </w:tcPr>
                <w:p w14:paraId="2B7A74A0">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0.0019</w:t>
                  </w:r>
                </w:p>
              </w:tc>
              <w:tc>
                <w:tcPr>
                  <w:tcW w:w="258" w:type="pct"/>
                  <w:vMerge w:val="continue"/>
                  <w:vAlign w:val="center"/>
                </w:tcPr>
                <w:p w14:paraId="0B1F1100">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032A1104">
                  <w:pPr>
                    <w:adjustRightInd w:val="0"/>
                    <w:snapToGrid w:val="0"/>
                    <w:jc w:val="center"/>
                    <w:rPr>
                      <w:color w:val="000000" w:themeColor="text1"/>
                      <w:szCs w:val="21"/>
                      <w14:textFill>
                        <w14:solidFill>
                          <w14:schemeClr w14:val="tx1"/>
                        </w14:solidFill>
                      </w14:textFill>
                    </w:rPr>
                  </w:pPr>
                </w:p>
              </w:tc>
            </w:tr>
            <w:tr w14:paraId="229C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5CA76FB8">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1691E7AA">
                  <w:pPr>
                    <w:adjustRightInd w:val="0"/>
                    <w:snapToGrid w:val="0"/>
                    <w:jc w:val="center"/>
                    <w:rPr>
                      <w:color w:val="000000" w:themeColor="text1"/>
                      <w:szCs w:val="21"/>
                      <w14:textFill>
                        <w14:solidFill>
                          <w14:schemeClr w14:val="tx1"/>
                        </w14:solidFill>
                      </w14:textFill>
                    </w:rPr>
                  </w:pPr>
                </w:p>
              </w:tc>
              <w:tc>
                <w:tcPr>
                  <w:tcW w:w="515" w:type="pct"/>
                  <w:vAlign w:val="center"/>
                </w:tcPr>
                <w:p w14:paraId="1D7F4C0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456" w:type="pct"/>
                  <w:vAlign w:val="center"/>
                </w:tcPr>
                <w:p w14:paraId="5E9BC1EC">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5" w:type="pct"/>
                  <w:vAlign w:val="center"/>
                </w:tcPr>
                <w:p w14:paraId="17A90D72">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0.0063</w:t>
                  </w:r>
                </w:p>
              </w:tc>
              <w:tc>
                <w:tcPr>
                  <w:tcW w:w="543" w:type="pct"/>
                  <w:vAlign w:val="center"/>
                </w:tcPr>
                <w:p w14:paraId="58A5516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418" w:type="pct"/>
                  <w:vAlign w:val="center"/>
                </w:tcPr>
                <w:p w14:paraId="4BC844C1">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0.0056</w:t>
                  </w:r>
                </w:p>
              </w:tc>
              <w:tc>
                <w:tcPr>
                  <w:tcW w:w="556" w:type="pct"/>
                  <w:vAlign w:val="center"/>
                </w:tcPr>
                <w:p w14:paraId="168466C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60" w:type="pct"/>
                  <w:vAlign w:val="center"/>
                </w:tcPr>
                <w:p w14:paraId="0C734C96">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0.0004</w:t>
                  </w:r>
                </w:p>
              </w:tc>
              <w:tc>
                <w:tcPr>
                  <w:tcW w:w="258" w:type="pct"/>
                  <w:vMerge w:val="continue"/>
                  <w:vAlign w:val="center"/>
                </w:tcPr>
                <w:p w14:paraId="47415EB7">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5C317BD9">
                  <w:pPr>
                    <w:adjustRightInd w:val="0"/>
                    <w:snapToGrid w:val="0"/>
                    <w:jc w:val="center"/>
                    <w:rPr>
                      <w:color w:val="000000" w:themeColor="text1"/>
                      <w:szCs w:val="21"/>
                      <w14:textFill>
                        <w14:solidFill>
                          <w14:schemeClr w14:val="tx1"/>
                        </w14:solidFill>
                      </w14:textFill>
                    </w:rPr>
                  </w:pPr>
                </w:p>
              </w:tc>
            </w:tr>
            <w:tr w14:paraId="590D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2" w:type="pct"/>
                  <w:vMerge w:val="continue"/>
                  <w:vAlign w:val="center"/>
                </w:tcPr>
                <w:p w14:paraId="210D83AA">
                  <w:pPr>
                    <w:adjustRightInd w:val="0"/>
                    <w:snapToGrid w:val="0"/>
                    <w:jc w:val="center"/>
                    <w:rPr>
                      <w:color w:val="000000" w:themeColor="text1"/>
                      <w:szCs w:val="21"/>
                      <w14:textFill>
                        <w14:solidFill>
                          <w14:schemeClr w14:val="tx1"/>
                        </w14:solidFill>
                      </w14:textFill>
                    </w:rPr>
                  </w:pPr>
                </w:p>
              </w:tc>
              <w:tc>
                <w:tcPr>
                  <w:tcW w:w="474" w:type="pct"/>
                  <w:vMerge w:val="continue"/>
                  <w:vAlign w:val="center"/>
                </w:tcPr>
                <w:p w14:paraId="7F89F012">
                  <w:pPr>
                    <w:adjustRightInd w:val="0"/>
                    <w:snapToGrid w:val="0"/>
                    <w:jc w:val="center"/>
                    <w:rPr>
                      <w:color w:val="000000" w:themeColor="text1"/>
                      <w:szCs w:val="21"/>
                      <w14:textFill>
                        <w14:solidFill>
                          <w14:schemeClr w14:val="tx1"/>
                        </w14:solidFill>
                      </w14:textFill>
                    </w:rPr>
                  </w:pPr>
                </w:p>
              </w:tc>
              <w:tc>
                <w:tcPr>
                  <w:tcW w:w="515" w:type="pct"/>
                  <w:vAlign w:val="center"/>
                </w:tcPr>
                <w:p w14:paraId="1597836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456" w:type="pct"/>
                  <w:vAlign w:val="center"/>
                </w:tcPr>
                <w:p w14:paraId="2D1906F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05" w:type="pct"/>
                  <w:vAlign w:val="center"/>
                </w:tcPr>
                <w:p w14:paraId="7266C66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0.0041</w:t>
                  </w:r>
                </w:p>
              </w:tc>
              <w:tc>
                <w:tcPr>
                  <w:tcW w:w="543" w:type="pct"/>
                  <w:vAlign w:val="center"/>
                </w:tcPr>
                <w:p w14:paraId="4E2AAE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18" w:type="pct"/>
                  <w:vAlign w:val="center"/>
                </w:tcPr>
                <w:p w14:paraId="507AB983">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0.0030</w:t>
                  </w:r>
                </w:p>
              </w:tc>
              <w:tc>
                <w:tcPr>
                  <w:tcW w:w="556" w:type="pct"/>
                  <w:vAlign w:val="center"/>
                </w:tcPr>
                <w:p w14:paraId="7ED86AF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460" w:type="pct"/>
                  <w:vAlign w:val="center"/>
                </w:tcPr>
                <w:p w14:paraId="1177ADC4">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0.0002</w:t>
                  </w:r>
                </w:p>
              </w:tc>
              <w:tc>
                <w:tcPr>
                  <w:tcW w:w="258" w:type="pct"/>
                  <w:vMerge w:val="continue"/>
                  <w:vAlign w:val="center"/>
                </w:tcPr>
                <w:p w14:paraId="0F3CD894">
                  <w:pPr>
                    <w:adjustRightInd w:val="0"/>
                    <w:snapToGrid w:val="0"/>
                    <w:jc w:val="center"/>
                    <w:rPr>
                      <w:color w:val="000000" w:themeColor="text1"/>
                      <w:szCs w:val="21"/>
                      <w14:textFill>
                        <w14:solidFill>
                          <w14:schemeClr w14:val="tx1"/>
                        </w14:solidFill>
                      </w14:textFill>
                    </w:rPr>
                  </w:pPr>
                </w:p>
              </w:tc>
              <w:tc>
                <w:tcPr>
                  <w:tcW w:w="268" w:type="pct"/>
                  <w:vMerge w:val="continue"/>
                  <w:vAlign w:val="center"/>
                </w:tcPr>
                <w:p w14:paraId="79529E11">
                  <w:pPr>
                    <w:adjustRightInd w:val="0"/>
                    <w:snapToGrid w:val="0"/>
                    <w:jc w:val="center"/>
                    <w:rPr>
                      <w:color w:val="000000" w:themeColor="text1"/>
                      <w:szCs w:val="21"/>
                      <w14:textFill>
                        <w14:solidFill>
                          <w14:schemeClr w14:val="tx1"/>
                        </w14:solidFill>
                      </w14:textFill>
                    </w:rPr>
                  </w:pPr>
                </w:p>
              </w:tc>
            </w:tr>
          </w:tbl>
          <w:p w14:paraId="7784965F">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（2）废水处理设施工艺及可行性分析</w:t>
            </w:r>
          </w:p>
          <w:p w14:paraId="14A1BD9F">
            <w:pPr>
              <w:pStyle w:val="137"/>
              <w:rPr>
                <w:rFonts w:eastAsia="宋体"/>
                <w:color w:val="000000" w:themeColor="text1"/>
                <w:spacing w:val="-2"/>
                <w14:textFill>
                  <w14:solidFill>
                    <w14:schemeClr w14:val="tx1"/>
                  </w14:solidFill>
                </w14:textFill>
              </w:rPr>
            </w:pPr>
            <w:r>
              <w:rPr>
                <w:rFonts w:eastAsia="宋体"/>
                <w:color w:val="000000" w:themeColor="text1"/>
                <w14:textFill>
                  <w14:solidFill>
                    <w14:schemeClr w14:val="tx1"/>
                  </w14:solidFill>
                </w14:textFill>
              </w:rPr>
              <w:t>项目于厂区设置处理能力1m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/d的隔油沉淀池</w:t>
            </w:r>
            <w:r>
              <w:rPr>
                <w:rFonts w:hint="eastAsia" w:eastAsia="宋体"/>
                <w:color w:val="000000" w:themeColor="text1"/>
                <w:lang w:eastAsia="zh-CN"/>
                <w14:textFill>
                  <w14:solidFill>
                    <w14:schemeClr w14:val="tx1"/>
                  </w14:solidFill>
                </w14:textFill>
              </w:rPr>
              <w:t>（隔油</w:t>
            </w:r>
            <w:r>
              <w:rPr>
                <w:rFonts w:hint="eastAsia" w:eastAsia="宋体"/>
                <w:color w:val="000000" w:themeColor="text1"/>
                <w:lang w:val="en-US" w:eastAsia="zh-CN"/>
                <w14:textFill>
                  <w14:solidFill>
                    <w14:schemeClr w14:val="tx1"/>
                  </w14:solidFill>
                </w14:textFill>
              </w:rPr>
              <w:t>+絮凝沉淀</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，预处理含油生产废水之后与员工生活污水一起经园区内污水管道排至小米智能制造产业园400m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生化池</w:t>
            </w:r>
            <w:r>
              <w:rPr>
                <w:rFonts w:eastAsia="宋体"/>
                <w:color w:val="000000" w:themeColor="text1"/>
                <w:spacing w:val="-2"/>
                <w14:textFill>
                  <w14:solidFill>
                    <w14:schemeClr w14:val="tx1"/>
                  </w14:solidFill>
                </w14:textFill>
              </w:rPr>
              <w:t>处理后达《污水综合排放标准》（GB8978-1996）三级标准后，通过市政污水管网排入蒲吕污水处理厂进一步深度处理，达《城镇污水处理厂污染物排放标准》（GB18918-2002）一级A标准后，排入小安溪。</w:t>
            </w:r>
          </w:p>
          <w:p w14:paraId="2DFD341B">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1461770</wp:posOffset>
                      </wp:positionH>
                      <wp:positionV relativeFrom="paragraph">
                        <wp:posOffset>130810</wp:posOffset>
                      </wp:positionV>
                      <wp:extent cx="1754505" cy="521335"/>
                      <wp:effectExtent l="4445" t="4445" r="12700" b="7620"/>
                      <wp:wrapNone/>
                      <wp:docPr id="35" name="文本框 35"/>
                      <wp:cNvGraphicFramePr/>
                      <a:graphic xmlns:a="http://schemas.openxmlformats.org/drawingml/2006/main">
                        <a:graphicData uri="http://schemas.microsoft.com/office/word/2010/wordprocessingShape">
                          <wps:wsp>
                            <wps:cNvSpPr txBox="1"/>
                            <wps:spPr>
                              <a:xfrm>
                                <a:off x="0" y="0"/>
                                <a:ext cx="1754505" cy="521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BA7386">
                                  <w:pPr>
                                    <w:jc w:val="center"/>
                                    <w:rPr>
                                      <w:szCs w:val="21"/>
                                    </w:rPr>
                                  </w:pPr>
                                  <w:r>
                                    <w:rPr>
                                      <w:rFonts w:hint="eastAsia"/>
                                      <w:szCs w:val="21"/>
                                    </w:rPr>
                                    <w:t>隔油沉淀池（</w:t>
                                  </w:r>
                                  <w:r>
                                    <w:rPr>
                                      <w:rFonts w:hint="eastAsia"/>
                                      <w:szCs w:val="21"/>
                                      <w:lang w:eastAsia="zh-CN"/>
                                    </w:rPr>
                                    <w:t>工艺：隔油</w:t>
                                  </w:r>
                                  <w:r>
                                    <w:rPr>
                                      <w:rFonts w:hint="eastAsia"/>
                                      <w:szCs w:val="21"/>
                                      <w:lang w:val="en-US" w:eastAsia="zh-CN"/>
                                    </w:rPr>
                                    <w:t>+絮凝沉淀，</w:t>
                                  </w:r>
                                  <w:r>
                                    <w:rPr>
                                      <w:rFonts w:hint="eastAsia"/>
                                      <w:szCs w:val="21"/>
                                    </w:rPr>
                                    <w:t>处理能力1</w:t>
                                  </w:r>
                                  <w:r>
                                    <w:rPr>
                                      <w:szCs w:val="21"/>
                                    </w:rPr>
                                    <w:t>m</w:t>
                                  </w:r>
                                  <w:r>
                                    <w:rPr>
                                      <w:szCs w:val="21"/>
                                      <w:vertAlign w:val="superscript"/>
                                    </w:rPr>
                                    <w:t>3</w:t>
                                  </w:r>
                                  <w:r>
                                    <w:rPr>
                                      <w:szCs w:val="21"/>
                                    </w:rPr>
                                    <w:t>/d</w:t>
                                  </w:r>
                                  <w:r>
                                    <w:rPr>
                                      <w:rFonts w:hint="eastAsia"/>
                                      <w:szCs w:val="21"/>
                                    </w:rPr>
                                    <w:t>）</w:t>
                                  </w:r>
                                </w:p>
                              </w:txbxContent>
                            </wps:txbx>
                            <wps:bodyPr wrap="square" upright="1">
                              <a:noAutofit/>
                            </wps:bodyPr>
                          </wps:wsp>
                        </a:graphicData>
                      </a:graphic>
                    </wp:anchor>
                  </w:drawing>
                </mc:Choice>
                <mc:Fallback>
                  <w:pict>
                    <v:shape id="_x0000_s1026" o:spid="_x0000_s1026" o:spt="202" type="#_x0000_t202" style="position:absolute;left:0pt;margin-left:115.1pt;margin-top:10.3pt;height:41.05pt;width:138.15pt;z-index:251668480;mso-width-relative:page;mso-height-relative:page;" fillcolor="#FFFFFF" filled="t" stroked="t" coordsize="21600,21600" o:gfxdata="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cbT&#10;htkAAAAKAQAADwAAAAAAAAABACAAAAAiAAAAZHJzL2Rvd25yZXYueG1sUEsBAhQAFAAAAAgAh07i&#10;QKKtMZUhAgAAYAQAAA4AAAAAAAAAAQAgAAAAKAEAAGRycy9lMm9Eb2MueG1sUEsFBgAAAAAGAAYA&#10;WQEAALsFAAAAAA==&#10;">
                      <v:fill on="t" focussize="0,0"/>
                      <v:stroke color="#000000" joinstyle="miter"/>
                      <v:imagedata o:title=""/>
                      <o:lock v:ext="edit" aspectratio="f"/>
                      <v:textbox>
                        <w:txbxContent>
                          <w:p w14:paraId="34BA7386">
                            <w:pPr>
                              <w:jc w:val="center"/>
                              <w:rPr>
                                <w:szCs w:val="21"/>
                              </w:rPr>
                            </w:pPr>
                            <w:r>
                              <w:rPr>
                                <w:rFonts w:hint="eastAsia"/>
                                <w:szCs w:val="21"/>
                              </w:rPr>
                              <w:t>隔油沉淀池（</w:t>
                            </w:r>
                            <w:r>
                              <w:rPr>
                                <w:rFonts w:hint="eastAsia"/>
                                <w:szCs w:val="21"/>
                                <w:lang w:eastAsia="zh-CN"/>
                              </w:rPr>
                              <w:t>工艺：隔油</w:t>
                            </w:r>
                            <w:r>
                              <w:rPr>
                                <w:rFonts w:hint="eastAsia"/>
                                <w:szCs w:val="21"/>
                                <w:lang w:val="en-US" w:eastAsia="zh-CN"/>
                              </w:rPr>
                              <w:t>+絮凝沉淀，</w:t>
                            </w:r>
                            <w:r>
                              <w:rPr>
                                <w:rFonts w:hint="eastAsia"/>
                                <w:szCs w:val="21"/>
                              </w:rPr>
                              <w:t>处理能力1</w:t>
                            </w:r>
                            <w:r>
                              <w:rPr>
                                <w:szCs w:val="21"/>
                              </w:rPr>
                              <w:t>m</w:t>
                            </w:r>
                            <w:r>
                              <w:rPr>
                                <w:szCs w:val="21"/>
                                <w:vertAlign w:val="superscript"/>
                              </w:rPr>
                              <w:t>3</w:t>
                            </w:r>
                            <w:r>
                              <w:rPr>
                                <w:szCs w:val="21"/>
                              </w:rPr>
                              <w:t>/d</w:t>
                            </w:r>
                            <w:r>
                              <w:rPr>
                                <w:rFonts w:hint="eastAsia"/>
                                <w:szCs w:val="21"/>
                              </w:rPr>
                              <w:t>）</w:t>
                            </w:r>
                          </w:p>
                        </w:txbxContent>
                      </v:textbox>
                    </v:shap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376555</wp:posOffset>
                      </wp:positionH>
                      <wp:positionV relativeFrom="paragraph">
                        <wp:posOffset>103505</wp:posOffset>
                      </wp:positionV>
                      <wp:extent cx="763270" cy="446405"/>
                      <wp:effectExtent l="4445" t="4445" r="13335" b="6350"/>
                      <wp:wrapNone/>
                      <wp:docPr id="36" name="文本框 36"/>
                      <wp:cNvGraphicFramePr/>
                      <a:graphic xmlns:a="http://schemas.openxmlformats.org/drawingml/2006/main">
                        <a:graphicData uri="http://schemas.microsoft.com/office/word/2010/wordprocessingShape">
                          <wps:wsp>
                            <wps:cNvSpPr txBox="1"/>
                            <wps:spPr>
                              <a:xfrm>
                                <a:off x="0" y="0"/>
                                <a:ext cx="763270" cy="446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4248C7">
                                  <w:pPr>
                                    <w:jc w:val="center"/>
                                    <w:rPr>
                                      <w:szCs w:val="21"/>
                                    </w:rPr>
                                  </w:pPr>
                                  <w:r>
                                    <w:rPr>
                                      <w:rFonts w:hint="eastAsia"/>
                                      <w:szCs w:val="21"/>
                                    </w:rPr>
                                    <w:t>含油生产废水</w:t>
                                  </w:r>
                                </w:p>
                              </w:txbxContent>
                            </wps:txbx>
                            <wps:bodyPr wrap="square" upright="1">
                              <a:noAutofit/>
                            </wps:bodyPr>
                          </wps:wsp>
                        </a:graphicData>
                      </a:graphic>
                    </wp:anchor>
                  </w:drawing>
                </mc:Choice>
                <mc:Fallback>
                  <w:pict>
                    <v:shape id="_x0000_s1026" o:spid="_x0000_s1026" o:spt="202" type="#_x0000_t202" style="position:absolute;left:0pt;margin-left:29.65pt;margin-top:8.15pt;height:35.15pt;width:60.1pt;z-index:251667456;mso-width-relative:page;mso-height-relative:page;" fillcolor="#FFFFFF" filled="t" stroked="t" coordsize="21600,21600" o:gfxdata="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jheM7X&#10;AAAACAEAAA8AAAAAAAAAAQAgAAAAIgAAAGRycy9kb3ducmV2LnhtbFBLAQIUABQAAAAIAIdO4kB8&#10;O9AGIQIAAF8EAAAOAAAAAAAAAAEAIAAAACYBAABkcnMvZTJvRG9jLnhtbFBLBQYAAAAABgAGAFkB&#10;AAC5BQAAAAA=&#10;">
                      <v:fill on="t" focussize="0,0"/>
                      <v:stroke color="#000000" joinstyle="miter"/>
                      <v:imagedata o:title=""/>
                      <o:lock v:ext="edit" aspectratio="f"/>
                      <v:textbox>
                        <w:txbxContent>
                          <w:p w14:paraId="634248C7">
                            <w:pPr>
                              <w:jc w:val="center"/>
                              <w:rPr>
                                <w:szCs w:val="21"/>
                              </w:rPr>
                            </w:pPr>
                            <w:r>
                              <w:rPr>
                                <w:rFonts w:hint="eastAsia"/>
                                <w:szCs w:val="21"/>
                              </w:rPr>
                              <w:t>含油生产废水</w:t>
                            </w:r>
                          </w:p>
                        </w:txbxContent>
                      </v:textbox>
                    </v:shape>
                  </w:pict>
                </mc:Fallback>
              </mc:AlternateContent>
            </w:r>
          </w:p>
          <w:p w14:paraId="19D4FB2B">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1184910</wp:posOffset>
                      </wp:positionH>
                      <wp:positionV relativeFrom="paragraph">
                        <wp:posOffset>132080</wp:posOffset>
                      </wp:positionV>
                      <wp:extent cx="262255" cy="0"/>
                      <wp:effectExtent l="0" t="48895" r="4445" b="65405"/>
                      <wp:wrapNone/>
                      <wp:docPr id="37" name="直接连接符 37"/>
                      <wp:cNvGraphicFramePr/>
                      <a:graphic xmlns:a="http://schemas.openxmlformats.org/drawingml/2006/main">
                        <a:graphicData uri="http://schemas.microsoft.com/office/word/2010/wordprocessingShape">
                          <wps:wsp>
                            <wps:cNvCnPr/>
                            <wps:spPr>
                              <a:xfrm flipV="1">
                                <a:off x="0" y="0"/>
                                <a:ext cx="262255" cy="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93.3pt;margin-top:10.4pt;height:0pt;width:20.65pt;z-index:251670528;mso-width-relative:page;mso-height-relative:page;" filled="f" stroked="t" coordsize="21600,21600" o:gfxdata="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xVmA1gAAAAkBAAAPAAAAAAAAAAEAIAAAACIAAABkcnMvZG93bnJldi54bWxQ&#10;SwECFAAUAAAACACHTuJALg18HfkBAADkAwAADgAAAAAAAAABACAAAAAlAQAAZHJzL2Uyb0RvYy54&#10;bWxQSwUGAAAAAAYABgBZAQAAkAUAAAAA&#10;">
                      <v:fill on="f" focussize="0,0"/>
                      <v:stroke color="#000000" joinstyle="round" endarrow="open"/>
                      <v:imagedata o:title=""/>
                      <o:lock v:ext="edit" aspectratio="f"/>
                    </v:line>
                  </w:pict>
                </mc:Fallback>
              </mc:AlternateContent>
            </w:r>
          </w:p>
          <w:p w14:paraId="5864352C">
            <w:pPr>
              <w:pStyle w:val="40"/>
              <w:rPr>
                <w:rFonts w:ascii="Times New Roman" w:hAnsi="Times New Roman" w:cs="Times New Roman"/>
                <w:color w:val="000000" w:themeColor="text1"/>
                <w14:textFill>
                  <w14:solidFill>
                    <w14:schemeClr w14:val="tx1"/>
                  </w14:solidFill>
                </w14:textFill>
              </w:rPr>
            </w:pPr>
          </w:p>
          <w:p w14:paraId="5733AE4E">
            <w:pPr>
              <w:pStyle w:val="4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2016125</wp:posOffset>
                      </wp:positionH>
                      <wp:positionV relativeFrom="paragraph">
                        <wp:posOffset>144145</wp:posOffset>
                      </wp:positionV>
                      <wp:extent cx="0" cy="209550"/>
                      <wp:effectExtent l="48895" t="0" r="65405" b="0"/>
                      <wp:wrapNone/>
                      <wp:docPr id="38" name="直接连接符 38"/>
                      <wp:cNvGraphicFramePr/>
                      <a:graphic xmlns:a="http://schemas.openxmlformats.org/drawingml/2006/main">
                        <a:graphicData uri="http://schemas.microsoft.com/office/word/2010/wordprocessingShape">
                          <wps:wsp>
                            <wps:cNvCnPr/>
                            <wps:spPr>
                              <a:xfrm>
                                <a:off x="0" y="0"/>
                                <a:ext cx="0" cy="2095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58.75pt;margin-top:11.35pt;height:16.5pt;width:0pt;z-index:251669504;mso-width-relative:page;mso-height-relative:page;" filled="f" stroked="t" coordsize="21600,21600" o:gfxdata="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l1ddtgAAAAJAQAADwAAAAAAAAABACAAAAAiAAAAZHJzL2Rvd25yZXYueG1sUEsBAhQA&#10;FAAAAAgAh07iQIly8IvyAQAA2gMAAA4AAAAAAAAAAQAgAAAAJwEAAGRycy9lMm9Eb2MueG1sUEsF&#10;BgAAAAAGAAYAWQEAAIsFAAAAAA==&#10;">
                      <v:fill on="f" focussize="0,0"/>
                      <v:stroke color="#000000" joinstyle="round" endarrow="open"/>
                      <v:imagedata o:title=""/>
                      <o:lock v:ext="edit" aspectratio="f"/>
                    </v:line>
                  </w:pict>
                </mc:Fallback>
              </mc:AlternateContent>
            </w:r>
          </w:p>
          <w:p w14:paraId="7658AB74">
            <w:pPr>
              <w:widowControl/>
              <w:rPr>
                <w:color w:val="000000" w:themeColor="text1"/>
                <w:sz w:val="24"/>
                <w14:textFill>
                  <w14:solidFill>
                    <w14:schemeClr w14:val="tx1"/>
                  </w14:solidFill>
                </w14:textFill>
              </w:rPr>
            </w:pPr>
          </w:p>
          <w:p w14:paraId="6B542154">
            <w:pPr>
              <w:widowControl/>
              <w:ind w:firstLine="482"/>
              <w:jc w:val="center"/>
              <w:rPr>
                <w:b/>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4526915</wp:posOffset>
                      </wp:positionH>
                      <wp:positionV relativeFrom="paragraph">
                        <wp:posOffset>93345</wp:posOffset>
                      </wp:positionV>
                      <wp:extent cx="657225" cy="295275"/>
                      <wp:effectExtent l="4445" t="4445" r="5080" b="5080"/>
                      <wp:wrapNone/>
                      <wp:docPr id="40" name="文本框 40"/>
                      <wp:cNvGraphicFramePr/>
                      <a:graphic xmlns:a="http://schemas.openxmlformats.org/drawingml/2006/main">
                        <a:graphicData uri="http://schemas.microsoft.com/office/word/2010/wordprocessingShape">
                          <wps:wsp>
                            <wps:cNvSpPr txBox="1"/>
                            <wps:spPr>
                              <a:xfrm>
                                <a:off x="0" y="0"/>
                                <a:ext cx="6572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DF54CE">
                                  <w:pPr>
                                    <w:jc w:val="center"/>
                                    <w:rPr>
                                      <w:szCs w:val="21"/>
                                    </w:rPr>
                                  </w:pPr>
                                  <w:r>
                                    <w:rPr>
                                      <w:rFonts w:hint="eastAsia"/>
                                      <w:szCs w:val="21"/>
                                    </w:rPr>
                                    <w:t>小安溪</w:t>
                                  </w:r>
                                </w:p>
                              </w:txbxContent>
                            </wps:txbx>
                            <wps:bodyPr upright="1"/>
                          </wps:wsp>
                        </a:graphicData>
                      </a:graphic>
                    </wp:anchor>
                  </w:drawing>
                </mc:Choice>
                <mc:Fallback>
                  <w:pict>
                    <v:shape id="_x0000_s1026" o:spid="_x0000_s1026" o:spt="202" type="#_x0000_t202" style="position:absolute;left:0pt;margin-left:356.45pt;margin-top:7.35pt;height:23.25pt;width:51.75pt;z-index:251663360;mso-width-relative:page;mso-height-relative:page;" fillcolor="#FFFFFF" filled="t" stroked="t" coordsize="21600,21600" o:gfxdata="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TusMvYAAAACQEAAA8AAAAAAAAAAQAgAAAAIgAA&#10;AGRycy9kb3ducmV2LnhtbFBLAQIUABQAAAAIAIdO4kCA0NOhCAIAADcEAAAOAAAAAAAAAAEAIAAA&#10;ACcBAABkcnMvZTJvRG9jLnhtbFBLBQYAAAAABgAGAFkBAAChBQAAAAA=&#10;">
                      <v:fill on="t" focussize="0,0"/>
                      <v:stroke color="#000000" joinstyle="miter"/>
                      <v:imagedata o:title=""/>
                      <o:lock v:ext="edit" aspectratio="f"/>
                      <v:textbox>
                        <w:txbxContent>
                          <w:p w14:paraId="6DDF54CE">
                            <w:pPr>
                              <w:jc w:val="center"/>
                              <w:rPr>
                                <w:szCs w:val="21"/>
                              </w:rPr>
                            </w:pPr>
                            <w:r>
                              <w:rPr>
                                <w:rFonts w:hint="eastAsia"/>
                                <w:szCs w:val="21"/>
                              </w:rPr>
                              <w:t>小安溪</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2950845</wp:posOffset>
                      </wp:positionH>
                      <wp:positionV relativeFrom="paragraph">
                        <wp:posOffset>99060</wp:posOffset>
                      </wp:positionV>
                      <wp:extent cx="1163320" cy="284480"/>
                      <wp:effectExtent l="4445" t="4445" r="13335" b="15875"/>
                      <wp:wrapNone/>
                      <wp:docPr id="41" name="文本框 41"/>
                      <wp:cNvGraphicFramePr/>
                      <a:graphic xmlns:a="http://schemas.openxmlformats.org/drawingml/2006/main">
                        <a:graphicData uri="http://schemas.microsoft.com/office/word/2010/wordprocessingShape">
                          <wps:wsp>
                            <wps:cNvSpPr txBox="1"/>
                            <wps:spPr>
                              <a:xfrm>
                                <a:off x="0" y="0"/>
                                <a:ext cx="1163320"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D733F">
                                  <w:pPr>
                                    <w:jc w:val="center"/>
                                    <w:rPr>
                                      <w:szCs w:val="21"/>
                                    </w:rPr>
                                  </w:pPr>
                                  <w:r>
                                    <w:rPr>
                                      <w:szCs w:val="21"/>
                                    </w:rPr>
                                    <w:t>蒲吕</w:t>
                                  </w:r>
                                  <w:r>
                                    <w:rPr>
                                      <w:rFonts w:hint="eastAsia"/>
                                      <w:szCs w:val="21"/>
                                    </w:rPr>
                                    <w:t>污水处理厂</w:t>
                                  </w:r>
                                </w:p>
                              </w:txbxContent>
                            </wps:txbx>
                            <wps:bodyPr upright="1"/>
                          </wps:wsp>
                        </a:graphicData>
                      </a:graphic>
                    </wp:anchor>
                  </w:drawing>
                </mc:Choice>
                <mc:Fallback>
                  <w:pict>
                    <v:shape id="_x0000_s1026" o:spid="_x0000_s1026" o:spt="202" type="#_x0000_t202" style="position:absolute;left:0pt;margin-left:232.35pt;margin-top:7.8pt;height:22.4pt;width:91.6pt;z-index:251662336;mso-width-relative:page;mso-height-relative:page;" fillcolor="#FFFFFF" filled="t" stroked="t" coordsize="21600,21600" o:gfxdata="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Nn8edcAAAAJAQAADwAAAAAAAAABACAA&#10;AAAiAAAAZHJzL2Rvd25yZXYueG1sUEsBAhQAFAAAAAgAh07iQIYSVvgOAgAAOAQAAA4AAAAAAAAA&#10;AQAgAAAAJgEAAGRycy9lMm9Eb2MueG1sUEsFBgAAAAAGAAYAWQEAAKYFAAAAAA==&#10;">
                      <v:fill on="t" focussize="0,0"/>
                      <v:stroke color="#000000" joinstyle="miter"/>
                      <v:imagedata o:title=""/>
                      <o:lock v:ext="edit" aspectratio="f"/>
                      <v:textbox>
                        <w:txbxContent>
                          <w:p w14:paraId="102D733F">
                            <w:pPr>
                              <w:jc w:val="center"/>
                              <w:rPr>
                                <w:szCs w:val="21"/>
                              </w:rPr>
                            </w:pPr>
                            <w:r>
                              <w:rPr>
                                <w:szCs w:val="21"/>
                              </w:rPr>
                              <w:t>蒲吕</w:t>
                            </w:r>
                            <w:r>
                              <w:rPr>
                                <w:rFonts w:hint="eastAsia"/>
                                <w:szCs w:val="21"/>
                              </w:rPr>
                              <w:t>污水处理厂</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1510030</wp:posOffset>
                      </wp:positionH>
                      <wp:positionV relativeFrom="paragraph">
                        <wp:posOffset>18415</wp:posOffset>
                      </wp:positionV>
                      <wp:extent cx="1059815" cy="453390"/>
                      <wp:effectExtent l="5080" t="4445" r="20955" b="18415"/>
                      <wp:wrapNone/>
                      <wp:docPr id="42" name="文本框 42"/>
                      <wp:cNvGraphicFramePr/>
                      <a:graphic xmlns:a="http://schemas.openxmlformats.org/drawingml/2006/main">
                        <a:graphicData uri="http://schemas.microsoft.com/office/word/2010/wordprocessingShape">
                          <wps:wsp>
                            <wps:cNvSpPr txBox="1"/>
                            <wps:spPr>
                              <a:xfrm>
                                <a:off x="0" y="0"/>
                                <a:ext cx="1059815" cy="4533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E07A85">
                                  <w:pPr>
                                    <w:jc w:val="center"/>
                                    <w:rPr>
                                      <w:szCs w:val="21"/>
                                    </w:rPr>
                                  </w:pPr>
                                  <w:r>
                                    <w:t>小米智能制造产业园</w:t>
                                  </w:r>
                                  <w:r>
                                    <w:rPr>
                                      <w:rFonts w:hint="eastAsia"/>
                                      <w:szCs w:val="21"/>
                                    </w:rPr>
                                    <w:t>生化池</w:t>
                                  </w:r>
                                </w:p>
                              </w:txbxContent>
                            </wps:txbx>
                            <wps:bodyPr wrap="square" upright="1">
                              <a:noAutofit/>
                            </wps:bodyPr>
                          </wps:wsp>
                        </a:graphicData>
                      </a:graphic>
                    </wp:anchor>
                  </w:drawing>
                </mc:Choice>
                <mc:Fallback>
                  <w:pict>
                    <v:shape id="_x0000_s1026" o:spid="_x0000_s1026" o:spt="202" type="#_x0000_t202" style="position:absolute;left:0pt;margin-left:118.9pt;margin-top:1.45pt;height:35.7pt;width:83.45pt;z-index:251661312;mso-width-relative:page;mso-height-relative:page;" fillcolor="#FFFFFF" filled="t" stroked="t" coordsize="21600,21600" o:gfxdata="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DU&#10;dLnYAAAACAEAAA8AAAAAAAAAAQAgAAAAIgAAAGRycy9kb3ducmV2LnhtbFBLAQIUABQAAAAIAIdO&#10;4kA0I4SxIwIAAGAEAAAOAAAAAAAAAAEAIAAAACcBAABkcnMvZTJvRG9jLnhtbFBLBQYAAAAABgAG&#10;AFkBAAC8BQAAAAA=&#10;">
                      <v:fill on="t" focussize="0,0"/>
                      <v:stroke color="#000000" joinstyle="miter"/>
                      <v:imagedata o:title=""/>
                      <o:lock v:ext="edit" aspectratio="f"/>
                      <v:textbox>
                        <w:txbxContent>
                          <w:p w14:paraId="20E07A85">
                            <w:pPr>
                              <w:jc w:val="center"/>
                              <w:rPr>
                                <w:szCs w:val="21"/>
                              </w:rPr>
                            </w:pPr>
                            <w:r>
                              <w:t>小米智能制造产业园</w:t>
                            </w:r>
                            <w:r>
                              <w:rPr>
                                <w:rFonts w:hint="eastAsia"/>
                                <w:szCs w:val="21"/>
                              </w:rPr>
                              <w:t>生化池</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178435</wp:posOffset>
                      </wp:positionH>
                      <wp:positionV relativeFrom="paragraph">
                        <wp:posOffset>106045</wp:posOffset>
                      </wp:positionV>
                      <wp:extent cx="863600" cy="290195"/>
                      <wp:effectExtent l="5080" t="5080" r="7620" b="9525"/>
                      <wp:wrapNone/>
                      <wp:docPr id="39" name="文本框 39"/>
                      <wp:cNvGraphicFramePr/>
                      <a:graphic xmlns:a="http://schemas.openxmlformats.org/drawingml/2006/main">
                        <a:graphicData uri="http://schemas.microsoft.com/office/word/2010/wordprocessingShape">
                          <wps:wsp>
                            <wps:cNvSpPr txBox="1"/>
                            <wps:spPr>
                              <a:xfrm>
                                <a:off x="0" y="0"/>
                                <a:ext cx="863600" cy="2901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E9FD8B">
                                  <w:pPr>
                                    <w:jc w:val="center"/>
                                    <w:rPr>
                                      <w:szCs w:val="21"/>
                                    </w:rPr>
                                  </w:pPr>
                                  <w:r>
                                    <w:rPr>
                                      <w:rFonts w:hint="eastAsia"/>
                                      <w:szCs w:val="21"/>
                                    </w:rPr>
                                    <w:t>生活污水</w:t>
                                  </w:r>
                                </w:p>
                              </w:txbxContent>
                            </wps:txbx>
                            <wps:bodyPr wrap="square" upright="1">
                              <a:noAutofit/>
                            </wps:bodyPr>
                          </wps:wsp>
                        </a:graphicData>
                      </a:graphic>
                    </wp:anchor>
                  </w:drawing>
                </mc:Choice>
                <mc:Fallback>
                  <w:pict>
                    <v:shape id="_x0000_s1026" o:spid="_x0000_s1026" o:spt="202" type="#_x0000_t202" style="position:absolute;left:0pt;margin-left:14.05pt;margin-top:8.35pt;height:22.85pt;width:68pt;z-index:251660288;mso-width-relative:page;mso-height-relative:page;" fillcolor="#FFFFFF" filled="t" stroked="t" coordsize="21600,21600" o:gfxdata="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eX/kTX&#10;AAAACAEAAA8AAAAAAAAAAQAgAAAAIgAAAGRycy9kb3ducmV2LnhtbFBLAQIUABQAAAAIAIdO4kAO&#10;ufN7IQIAAF8EAAAOAAAAAAAAAAEAIAAAACYBAABkcnMvZTJvRG9jLnhtbFBLBQYAAAAABgAGAFkB&#10;AAC5BQAAAAA=&#10;">
                      <v:fill on="t" focussize="0,0"/>
                      <v:stroke color="#000000" joinstyle="miter"/>
                      <v:imagedata o:title=""/>
                      <o:lock v:ext="edit" aspectratio="f"/>
                      <v:textbox>
                        <w:txbxContent>
                          <w:p w14:paraId="0DE9FD8B">
                            <w:pPr>
                              <w:jc w:val="center"/>
                              <w:rPr>
                                <w:szCs w:val="21"/>
                              </w:rPr>
                            </w:pPr>
                            <w:r>
                              <w:rPr>
                                <w:rFonts w:hint="eastAsia"/>
                                <w:szCs w:val="21"/>
                              </w:rPr>
                              <w:t>生活污水</w:t>
                            </w:r>
                          </w:p>
                        </w:txbxContent>
                      </v:textbox>
                    </v:shape>
                  </w:pict>
                </mc:Fallback>
              </mc:AlternateContent>
            </w:r>
          </w:p>
          <w:p w14:paraId="36EDC160">
            <w:pPr>
              <w:widowControl/>
              <w:ind w:firstLine="482"/>
              <w:jc w:val="center"/>
              <w:rPr>
                <w:b/>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4138930</wp:posOffset>
                      </wp:positionH>
                      <wp:positionV relativeFrom="paragraph">
                        <wp:posOffset>38100</wp:posOffset>
                      </wp:positionV>
                      <wp:extent cx="361950" cy="0"/>
                      <wp:effectExtent l="0" t="48895" r="0" b="65405"/>
                      <wp:wrapNone/>
                      <wp:docPr id="43" name="直接连接符 43"/>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25.9pt;margin-top:3pt;height:0pt;width:28.5pt;z-index:251666432;mso-width-relative:page;mso-height-relative:page;" filled="f" stroked="t" coordsize="21600,21600" o:gfxdata="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HHtwLVAAAABwEAAA8AAAAAAAAAAQAgAAAAIgAAAGRycy9kb3ducmV2LnhtbFBLAQIUABQA&#10;AAAIAIdO4kCnE5z78wEAANoDAAAOAAAAAAAAAAEAIAAAACQBAABkcnMvZTJvRG9jLnhtbFBLBQYA&#10;AAAABgAGAFkBAACJBQAA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2581275</wp:posOffset>
                      </wp:positionH>
                      <wp:positionV relativeFrom="paragraph">
                        <wp:posOffset>41910</wp:posOffset>
                      </wp:positionV>
                      <wp:extent cx="371475" cy="0"/>
                      <wp:effectExtent l="0" t="48895" r="9525" b="65405"/>
                      <wp:wrapNone/>
                      <wp:docPr id="44" name="直接连接符 44"/>
                      <wp:cNvGraphicFramePr/>
                      <a:graphic xmlns:a="http://schemas.openxmlformats.org/drawingml/2006/main">
                        <a:graphicData uri="http://schemas.microsoft.com/office/word/2010/wordprocessingShape">
                          <wps:wsp>
                            <wps:cNvCnPr/>
                            <wps:spPr>
                              <a:xfrm>
                                <a:off x="0" y="0"/>
                                <a:ext cx="371475" cy="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3.25pt;margin-top:3.3pt;height:0pt;width:29.25pt;z-index:251665408;mso-width-relative:page;mso-height-relative:page;" filled="f" stroked="t" coordsize="21600,21600" o:gfxdata="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C4ZjrWAAAABwEAAA8AAAAAAAAAAQAgAAAAIgAAAGRycy9kb3ducmV2LnhtbFBLAQIUABQA&#10;AAAIAIdO4kBLrZ3Y8gEAANoDAAAOAAAAAAAAAAEAIAAAACUBAABkcnMvZTJvRG9jLnhtbFBLBQYA&#10;AAAABgAGAFkBAACJBQAA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1080770</wp:posOffset>
                      </wp:positionH>
                      <wp:positionV relativeFrom="paragraph">
                        <wp:posOffset>45720</wp:posOffset>
                      </wp:positionV>
                      <wp:extent cx="428625" cy="0"/>
                      <wp:effectExtent l="0" t="48895" r="9525" b="65405"/>
                      <wp:wrapNone/>
                      <wp:docPr id="45" name="直接连接符 45"/>
                      <wp:cNvGraphicFramePr/>
                      <a:graphic xmlns:a="http://schemas.openxmlformats.org/drawingml/2006/main">
                        <a:graphicData uri="http://schemas.microsoft.com/office/word/2010/wordprocessingShape">
                          <wps:wsp>
                            <wps:cNvCnPr/>
                            <wps:spPr>
                              <a:xfrm flipV="1">
                                <a:off x="0" y="0"/>
                                <a:ext cx="428625" cy="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85.1pt;margin-top:3.6pt;height:0pt;width:33.75pt;z-index:251664384;mso-width-relative:page;mso-height-relative:page;" filled="f" stroked="t" coordsize="21600,21600" o:gfxdata="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7L+T/TAAAABwEAAA8AAAAAAAAAAQAgAAAAIgAAAGRycy9kb3ducmV2LnhtbFBLAQIU&#10;ABQAAAAIAIdO4kBx1dpE+AEAAOQDAAAOAAAAAAAAAAEAIAAAACIBAABkcnMvZTJvRG9jLnhtbFBL&#10;BQYAAAAABgAGAFkBAACMBQAAAAA=&#10;">
                      <v:fill on="f" focussize="0,0"/>
                      <v:stroke color="#000000" joinstyle="round" endarrow="open"/>
                      <v:imagedata o:title=""/>
                      <o:lock v:ext="edit" aspectratio="f"/>
                    </v:line>
                  </w:pict>
                </mc:Fallback>
              </mc:AlternateContent>
            </w:r>
          </w:p>
          <w:p w14:paraId="5BD8ABDC">
            <w:pPr>
              <w:widowControl/>
              <w:ind w:firstLine="482"/>
              <w:jc w:val="center"/>
              <w:rPr>
                <w:b/>
                <w:bCs/>
                <w:color w:val="000000" w:themeColor="text1"/>
                <w:sz w:val="24"/>
                <w14:textFill>
                  <w14:solidFill>
                    <w14:schemeClr w14:val="tx1"/>
                  </w14:solidFill>
                </w14:textFill>
              </w:rPr>
            </w:pPr>
          </w:p>
          <w:p w14:paraId="3F233127">
            <w:pPr>
              <w:widowControl/>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图4-1综合污水处理流程图</w:t>
            </w:r>
          </w:p>
          <w:p w14:paraId="7F17D038">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项目适用于《排污许可证申请与核发技术规范总则》（HJ942-2018 ）的相关要求。</w:t>
            </w:r>
          </w:p>
          <w:p w14:paraId="19588ED1">
            <w:pPr>
              <w:pStyle w:val="4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拟建项目生产废水经</w:t>
            </w:r>
            <w:r>
              <w:rPr>
                <w:rFonts w:hint="eastAsia" w:ascii="Times New Roman" w:hAnsi="Times New Roman" w:cs="Times New Roman"/>
                <w:color w:val="000000" w:themeColor="text1"/>
                <w:lang w:eastAsia="zh-CN"/>
                <w14:textFill>
                  <w14:solidFill>
                    <w14:schemeClr w14:val="tx1"/>
                  </w14:solidFill>
                </w14:textFill>
              </w:rPr>
              <w:t>隔油沉淀池</w:t>
            </w:r>
            <w:r>
              <w:rPr>
                <w:rFonts w:ascii="Times New Roman" w:hAnsi="Times New Roman" w:cs="Times New Roman"/>
                <w:color w:val="000000" w:themeColor="text1"/>
                <w14:textFill>
                  <w14:solidFill>
                    <w14:schemeClr w14:val="tx1"/>
                  </w14:solidFill>
                </w14:textFill>
              </w:rPr>
              <w:t>预处理后与生活污水一起经生化池处理排入污水处理厂深度处理。以上间接排放措施属于《《排污许可证申请与核发技术规范总则》（HJ942-2018 ）中可行技术。</w:t>
            </w:r>
          </w:p>
          <w:p w14:paraId="653139B0">
            <w:pPr>
              <w:pStyle w:val="137"/>
              <w:rPr>
                <w:rFonts w:eastAsia="宋体"/>
                <w:b/>
                <w:color w:val="000000" w:themeColor="text1"/>
                <w:kern w:val="0"/>
                <w14:textFill>
                  <w14:solidFill>
                    <w14:schemeClr w14:val="tx1"/>
                  </w14:solidFill>
                </w14:textFill>
              </w:rPr>
            </w:pPr>
            <w:r>
              <w:rPr>
                <w:rFonts w:eastAsia="宋体"/>
                <w:b/>
                <w:color w:val="000000" w:themeColor="text1"/>
                <w14:textFill>
                  <w14:solidFill>
                    <w14:schemeClr w14:val="tx1"/>
                  </w14:solidFill>
                </w14:textFill>
              </w:rPr>
              <w:t>（3）依托污水处理设施的环境可行性</w:t>
            </w:r>
          </w:p>
          <w:p w14:paraId="0684541C">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A.污水处理设施依托可行性分析</w:t>
            </w:r>
          </w:p>
          <w:p w14:paraId="5C8112D5">
            <w:pPr>
              <w:pStyle w:val="137"/>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经调查，</w:t>
            </w:r>
            <w:r>
              <w:rPr>
                <w:rFonts w:eastAsia="宋体"/>
                <w:color w:val="000000" w:themeColor="text1"/>
                <w14:textFill>
                  <w14:solidFill>
                    <w14:schemeClr w14:val="tx1"/>
                  </w14:solidFill>
                </w14:textFill>
              </w:rPr>
              <w:t>小米智能制造产业园已于2022年初建成投运，至今投运时间较短，目前，该园区正在大力对外招商，正式入驻企业</w:t>
            </w:r>
            <w:r>
              <w:rPr>
                <w:rFonts w:hint="eastAsia" w:eastAsia="宋体"/>
                <w:color w:val="000000" w:themeColor="text1"/>
                <w:lang w:eastAsia="zh-CN"/>
                <w14:textFill>
                  <w14:solidFill>
                    <w14:schemeClr w14:val="tx1"/>
                  </w14:solidFill>
                </w14:textFill>
              </w:rPr>
              <w:t>较少</w:t>
            </w:r>
            <w:r>
              <w:rPr>
                <w:rFonts w:eastAsia="宋体"/>
                <w:color w:val="000000" w:themeColor="text1"/>
                <w14:textFill>
                  <w14:solidFill>
                    <w14:schemeClr w14:val="tx1"/>
                  </w14:solidFill>
                </w14:textFill>
              </w:rPr>
              <w:t>。其已在产业园北部规划配套建设容积400m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的生化池处理园内污水，该生化池设计处置能力不低于400m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/d。根据环评方于</w:t>
            </w:r>
            <w:r>
              <w:rPr>
                <w:rFonts w:hint="eastAsia" w:eastAsia="宋体"/>
                <w:color w:val="000000" w:themeColor="text1"/>
                <w:lang w:eastAsia="zh-CN"/>
                <w14:textFill>
                  <w14:solidFill>
                    <w14:schemeClr w14:val="tx1"/>
                  </w14:solidFill>
                </w14:textFill>
              </w:rPr>
              <w:t>园区物管</w:t>
            </w:r>
            <w:r>
              <w:rPr>
                <w:rFonts w:eastAsia="宋体"/>
                <w:color w:val="000000" w:themeColor="text1"/>
                <w14:textFill>
                  <w14:solidFill>
                    <w14:schemeClr w14:val="tx1"/>
                  </w14:solidFill>
                </w14:textFill>
              </w:rPr>
              <w:t>核实，目前入驻企业排水合计少于100m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/d，生化池负荷较低。</w:t>
            </w:r>
          </w:p>
          <w:p w14:paraId="2AE150F9">
            <w:pPr>
              <w:pStyle w:val="137"/>
              <w:rPr>
                <w:rFonts w:hint="default" w:eastAsia="宋体"/>
                <w:color w:val="000000" w:themeColor="text1"/>
                <w:lang w:val="en-US" w:eastAsia="zh-CN"/>
                <w14:textFill>
                  <w14:solidFill>
                    <w14:schemeClr w14:val="tx1"/>
                  </w14:solidFill>
                </w14:textFill>
              </w:rPr>
            </w:pPr>
            <w:r>
              <w:rPr>
                <w:rFonts w:eastAsia="宋体"/>
                <w:color w:val="000000" w:themeColor="text1"/>
                <w14:textFill>
                  <w14:solidFill>
                    <w14:schemeClr w14:val="tx1"/>
                  </w14:solidFill>
                </w14:textFill>
              </w:rPr>
              <w:t>拟建项目建成后，废水将依托小米智能制造产业园已建的生化池处理</w:t>
            </w:r>
            <w:r>
              <w:rPr>
                <w:rFonts w:eastAsia="宋体"/>
                <w:bCs/>
                <w:color w:val="000000" w:themeColor="text1"/>
                <w14:textFill>
                  <w14:solidFill>
                    <w14:schemeClr w14:val="tx1"/>
                  </w14:solidFill>
                </w14:textFill>
              </w:rPr>
              <w:t>。</w:t>
            </w:r>
            <w:r>
              <w:rPr>
                <w:rFonts w:eastAsia="宋体"/>
                <w:color w:val="000000" w:themeColor="text1"/>
                <w14:textFill>
                  <w14:solidFill>
                    <w14:schemeClr w14:val="tx1"/>
                  </w14:solidFill>
                </w14:textFill>
              </w:rPr>
              <w:t>拟建项目污水产生量1.715m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/d，其水量与生化池处理量占比较小。此外，项目污水</w:t>
            </w:r>
            <w:r>
              <w:rPr>
                <w:rFonts w:eastAsia="宋体"/>
                <w:color w:val="000000" w:themeColor="text1"/>
                <w:kern w:val="0"/>
                <w14:textFill>
                  <w14:solidFill>
                    <w14:schemeClr w14:val="tx1"/>
                  </w14:solidFill>
                </w14:textFill>
              </w:rPr>
              <w:t>主要为生活污水，</w:t>
            </w:r>
            <w:r>
              <w:rPr>
                <w:rFonts w:eastAsia="宋体"/>
                <w:color w:val="000000" w:themeColor="text1"/>
                <w14:textFill>
                  <w14:solidFill>
                    <w14:schemeClr w14:val="tx1"/>
                  </w14:solidFill>
                </w14:textFill>
              </w:rPr>
              <w:t>含油生产废水经隔油</w:t>
            </w:r>
            <w:r>
              <w:rPr>
                <w:rFonts w:hint="eastAsia" w:eastAsia="宋体"/>
                <w:color w:val="000000" w:themeColor="text1"/>
                <w:lang w:eastAsia="zh-CN"/>
                <w14:textFill>
                  <w14:solidFill>
                    <w14:schemeClr w14:val="tx1"/>
                  </w14:solidFill>
                </w14:textFill>
              </w:rPr>
              <w:t>沉淀池</w:t>
            </w:r>
            <w:r>
              <w:rPr>
                <w:rFonts w:eastAsia="宋体"/>
                <w:color w:val="000000" w:themeColor="text1"/>
                <w14:textFill>
                  <w14:solidFill>
                    <w14:schemeClr w14:val="tx1"/>
                  </w14:solidFill>
                </w14:textFill>
              </w:rPr>
              <w:t>预处理后再汇入生化池</w:t>
            </w:r>
            <w:r>
              <w:rPr>
                <w:rFonts w:eastAsia="宋体"/>
                <w:color w:val="000000" w:themeColor="text1"/>
                <w:kern w:val="0"/>
                <w14:textFill>
                  <w14:solidFill>
                    <w14:schemeClr w14:val="tx1"/>
                  </w14:solidFill>
                </w14:textFill>
              </w:rPr>
              <w:t>，其水质简单，可生化性较好。由此，拟建项目</w:t>
            </w:r>
            <w:r>
              <w:rPr>
                <w:rFonts w:eastAsia="宋体"/>
                <w:color w:val="000000" w:themeColor="text1"/>
                <w14:textFill>
                  <w14:solidFill>
                    <w14:schemeClr w14:val="tx1"/>
                  </w14:solidFill>
                </w14:textFill>
              </w:rPr>
              <w:t>依托小米智能制造产业园生化池处理拟建项目污水具有可行性。</w:t>
            </w:r>
            <w:r>
              <w:rPr>
                <w:rFonts w:hint="eastAsia" w:eastAsia="宋体"/>
                <w:color w:val="000000" w:themeColor="text1"/>
                <w:lang w:eastAsia="zh-CN"/>
                <w14:textFill>
                  <w14:solidFill>
                    <w14:schemeClr w14:val="tx1"/>
                  </w14:solidFill>
                </w14:textFill>
              </w:rPr>
              <w:t>企业已于园区物管（重庆绅鹏商业运营管理有限公司）开具了废水接纳证明，允许项目污废水排入生化池，生化池责任主体为重庆绅鹏商业运营管理有限公司，见附件</w:t>
            </w:r>
            <w:r>
              <w:rPr>
                <w:rFonts w:hint="eastAsia" w:eastAsia="宋体"/>
                <w:color w:val="000000" w:themeColor="text1"/>
                <w:lang w:val="en-US" w:eastAsia="zh-CN"/>
                <w14:textFill>
                  <w14:solidFill>
                    <w14:schemeClr w14:val="tx1"/>
                  </w14:solidFill>
                </w14:textFill>
              </w:rPr>
              <w:t>8。</w:t>
            </w:r>
          </w:p>
          <w:p w14:paraId="51B8A6F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B.蒲吕污水处理厂依托可行性分析</w:t>
            </w:r>
          </w:p>
          <w:p w14:paraId="4A4E126A">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经调查，蒲吕污水处理厂位于蒲吕街道龙桥村15组、沙心村14、15组，目前已建成投运一期工程，设计处理能力为10000m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/d，目前污水处理厂负荷率约为80%。其采用“粗格栅—细格栅/旋流沉砂—调节—混凝反应—A</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O—二沉—高密度沉淀—滤布滤池过滤”处理工艺，出水消毒采用二氧化氯消毒处理工艺，服务范围包括蒲吕建成区工业用地、产业大道两侧工业用地及蒲吕组团居住、商业、文化教育用地等，出水执行《城镇污水厂污染物排放标准》（GB18918-2012）一级A标，出水排入小安溪。</w:t>
            </w:r>
          </w:p>
          <w:p w14:paraId="3799A77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根据实地调查和咨询园区管委会，蒲吕污水处理厂已经建成投运，拟建项目所在地</w:t>
            </w:r>
            <w:r>
              <w:rPr>
                <w:rFonts w:hint="eastAsia" w:eastAsia="宋体"/>
                <w:color w:val="000000" w:themeColor="text1"/>
                <w14:textFill>
                  <w14:solidFill>
                    <w14:schemeClr w14:val="tx1"/>
                  </w14:solidFill>
                </w14:textFill>
              </w:rPr>
              <w:t>属于</w:t>
            </w:r>
            <w:r>
              <w:rPr>
                <w:rFonts w:eastAsia="宋体"/>
                <w:color w:val="000000" w:themeColor="text1"/>
                <w14:textFill>
                  <w14:solidFill>
                    <w14:schemeClr w14:val="tx1"/>
                  </w14:solidFill>
                </w14:textFill>
              </w:rPr>
              <w:t>蒲吕污水处理厂接纳范围，且所在区域市政污水管网已全面覆盖，小米智能制造产业园生化池也已接入市政污水管网。因此，项目产生的污水经小米智能制造产业园生化池处理后，能够排入蒲吕污水处理厂进一步深度处理。</w:t>
            </w:r>
          </w:p>
          <w:p w14:paraId="459B201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此外，拟建项目污水排放量为1.715m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/d，对比蒲吕污水处理厂剩余处理能力占比极小，项目排水对其负荷冲击极小；项目污水经预处理后可达</w:t>
            </w:r>
            <w:r>
              <w:rPr>
                <w:rFonts w:eastAsia="宋体"/>
                <w:color w:val="000000" w:themeColor="text1"/>
                <w:spacing w:val="-2"/>
                <w14:textFill>
                  <w14:solidFill>
                    <w14:schemeClr w14:val="tx1"/>
                  </w14:solidFill>
                </w14:textFill>
              </w:rPr>
              <w:t>《污水综合排放标准》（GB8978-1996）三级标准，水质简单，可</w:t>
            </w:r>
            <w:r>
              <w:rPr>
                <w:rFonts w:eastAsia="宋体"/>
                <w:color w:val="000000" w:themeColor="text1"/>
                <w14:textFill>
                  <w14:solidFill>
                    <w14:schemeClr w14:val="tx1"/>
                  </w14:solidFill>
                </w14:textFill>
              </w:rPr>
              <w:t>满足蒲吕污水处理厂的进水水质要求。</w:t>
            </w:r>
          </w:p>
          <w:p w14:paraId="724856B0">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因此，拟建项目运营期污水经隔油、生化池预处理后，通过市政污水管网进入蒲吕污水处理厂进一步处理是可行的。</w:t>
            </w:r>
          </w:p>
          <w:p w14:paraId="292C7F52">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（4）废水产排污信息汇总</w:t>
            </w:r>
          </w:p>
          <w:p w14:paraId="1C57E5C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拟建项目废水类别、污染物及污染治理设施信息，废水间接排放口基本情况见下表。</w:t>
            </w:r>
          </w:p>
          <w:p w14:paraId="049F363F">
            <w:pPr>
              <w:pStyle w:val="40"/>
              <w:autoSpaceDE/>
              <w:autoSpaceDN/>
              <w:ind w:firstLine="482" w:firstLineChars="200"/>
              <w:jc w:val="center"/>
              <w:rPr>
                <w:rFonts w:ascii="Times New Roman" w:hAnsi="Times New Roman" w:cs="Times New Roman"/>
                <w:b/>
                <w:bCs/>
                <w:color w:val="000000" w:themeColor="text1"/>
                <w14:textFill>
                  <w14:solidFill>
                    <w14:schemeClr w14:val="tx1"/>
                  </w14:solidFill>
                </w14:textFill>
              </w:rPr>
            </w:pPr>
          </w:p>
          <w:p w14:paraId="45BB99F0">
            <w:pPr>
              <w:pStyle w:val="40"/>
              <w:autoSpaceDE/>
              <w:autoSpaceDN/>
              <w:ind w:firstLine="482" w:firstLineChars="20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表4.2-6废水类别、污染物及污染治理设施信息</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660"/>
              <w:gridCol w:w="1312"/>
              <w:gridCol w:w="1055"/>
              <w:gridCol w:w="1352"/>
              <w:gridCol w:w="1055"/>
              <w:gridCol w:w="1044"/>
              <w:gridCol w:w="912"/>
              <w:gridCol w:w="830"/>
            </w:tblGrid>
            <w:tr w14:paraId="59F1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69" w:type="pct"/>
                  <w:vMerge w:val="restart"/>
                  <w:vAlign w:val="center"/>
                </w:tcPr>
                <w:p w14:paraId="42E2B076">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废水类别</w:t>
                  </w:r>
                </w:p>
              </w:tc>
              <w:tc>
                <w:tcPr>
                  <w:tcW w:w="380" w:type="pct"/>
                  <w:vMerge w:val="restart"/>
                  <w:vAlign w:val="center"/>
                </w:tcPr>
                <w:p w14:paraId="1F5D3F3E">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w:t>
                  </w:r>
                </w:p>
                <w:p w14:paraId="5527F83B">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去向</w:t>
                  </w:r>
                </w:p>
              </w:tc>
              <w:tc>
                <w:tcPr>
                  <w:tcW w:w="755" w:type="pct"/>
                  <w:vMerge w:val="restart"/>
                  <w:vAlign w:val="center"/>
                </w:tcPr>
                <w:p w14:paraId="1D5B42BB">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污染物种类</w:t>
                  </w:r>
                </w:p>
              </w:tc>
              <w:tc>
                <w:tcPr>
                  <w:tcW w:w="607" w:type="pct"/>
                  <w:vMerge w:val="restart"/>
                  <w:vAlign w:val="center"/>
                </w:tcPr>
                <w:p w14:paraId="616828A0">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排放规律</w:t>
                  </w:r>
                </w:p>
              </w:tc>
              <w:tc>
                <w:tcPr>
                  <w:tcW w:w="1986" w:type="pct"/>
                  <w:gridSpan w:val="3"/>
                  <w:vAlign w:val="center"/>
                </w:tcPr>
                <w:p w14:paraId="1C4603FC">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污染治理设施</w:t>
                  </w:r>
                </w:p>
              </w:tc>
              <w:tc>
                <w:tcPr>
                  <w:tcW w:w="525" w:type="pct"/>
                  <w:vMerge w:val="restart"/>
                  <w:vAlign w:val="center"/>
                </w:tcPr>
                <w:p w14:paraId="55C85433">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排放口设置是否符合要求</w:t>
                  </w:r>
                </w:p>
              </w:tc>
              <w:tc>
                <w:tcPr>
                  <w:tcW w:w="478" w:type="pct"/>
                  <w:vMerge w:val="restart"/>
                  <w:vAlign w:val="center"/>
                </w:tcPr>
                <w:p w14:paraId="647AA483">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排放口类型</w:t>
                  </w:r>
                </w:p>
              </w:tc>
            </w:tr>
            <w:tr w14:paraId="4A58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69" w:type="pct"/>
                  <w:vMerge w:val="continue"/>
                  <w:vAlign w:val="center"/>
                </w:tcPr>
                <w:p w14:paraId="4F6331AA">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p>
              </w:tc>
              <w:tc>
                <w:tcPr>
                  <w:tcW w:w="380" w:type="pct"/>
                  <w:vMerge w:val="continue"/>
                  <w:vAlign w:val="center"/>
                </w:tcPr>
                <w:p w14:paraId="604388D0">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p>
              </w:tc>
              <w:tc>
                <w:tcPr>
                  <w:tcW w:w="755" w:type="pct"/>
                  <w:vMerge w:val="continue"/>
                  <w:vAlign w:val="center"/>
                </w:tcPr>
                <w:p w14:paraId="72E78319">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p>
              </w:tc>
              <w:tc>
                <w:tcPr>
                  <w:tcW w:w="607" w:type="pct"/>
                  <w:vMerge w:val="continue"/>
                  <w:vAlign w:val="center"/>
                </w:tcPr>
                <w:p w14:paraId="7C18ABE3">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p>
              </w:tc>
              <w:tc>
                <w:tcPr>
                  <w:tcW w:w="778" w:type="pct"/>
                  <w:vAlign w:val="center"/>
                </w:tcPr>
                <w:p w14:paraId="46F866E4">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污染治理设施名称</w:t>
                  </w:r>
                </w:p>
              </w:tc>
              <w:tc>
                <w:tcPr>
                  <w:tcW w:w="607" w:type="pct"/>
                  <w:vAlign w:val="center"/>
                </w:tcPr>
                <w:p w14:paraId="0A222105">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污染治理设施工艺</w:t>
                  </w:r>
                </w:p>
              </w:tc>
              <w:tc>
                <w:tcPr>
                  <w:tcW w:w="601" w:type="pct"/>
                </w:tcPr>
                <w:p w14:paraId="1465EE34">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是否为可行技术</w:t>
                  </w:r>
                </w:p>
              </w:tc>
              <w:tc>
                <w:tcPr>
                  <w:tcW w:w="525" w:type="pct"/>
                  <w:vMerge w:val="continue"/>
                  <w:vAlign w:val="center"/>
                </w:tcPr>
                <w:p w14:paraId="56FA37E2">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p>
              </w:tc>
              <w:tc>
                <w:tcPr>
                  <w:tcW w:w="478" w:type="pct"/>
                  <w:vMerge w:val="continue"/>
                  <w:vAlign w:val="center"/>
                </w:tcPr>
                <w:p w14:paraId="711945CD">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p>
              </w:tc>
            </w:tr>
            <w:tr w14:paraId="7339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269" w:type="pct"/>
                  <w:vAlign w:val="center"/>
                </w:tcPr>
                <w:p w14:paraId="461D39D1">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综合污水</w:t>
                  </w:r>
                </w:p>
              </w:tc>
              <w:tc>
                <w:tcPr>
                  <w:tcW w:w="380" w:type="pct"/>
                  <w:vAlign w:val="center"/>
                </w:tcPr>
                <w:p w14:paraId="7A65F77D">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蒲吕污水处理厂</w:t>
                  </w:r>
                </w:p>
              </w:tc>
              <w:tc>
                <w:tcPr>
                  <w:tcW w:w="755" w:type="pct"/>
                  <w:vAlign w:val="center"/>
                </w:tcPr>
                <w:p w14:paraId="6368FFA5">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COD、BOD</w:t>
                  </w:r>
                  <w:r>
                    <w:rPr>
                      <w:rFonts w:ascii="Times New Roman" w:hAnsi="Times New Roman" w:cs="Times New Roman"/>
                      <w:color w:val="000000" w:themeColor="text1"/>
                      <w:sz w:val="21"/>
                      <w:szCs w:val="21"/>
                      <w:vertAlign w:val="subscript"/>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、SS、NH</w:t>
                  </w:r>
                  <w:r>
                    <w:rPr>
                      <w:rFonts w:ascii="Times New Roman" w:hAnsi="Times New Roman" w:cs="Times New Roman"/>
                      <w:color w:val="000000" w:themeColor="text1"/>
                      <w:sz w:val="21"/>
                      <w:szCs w:val="21"/>
                      <w:vertAlign w:val="sub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-N、石油类、总磷</w:t>
                  </w:r>
                </w:p>
              </w:tc>
              <w:tc>
                <w:tcPr>
                  <w:tcW w:w="607" w:type="pct"/>
                  <w:vAlign w:val="center"/>
                </w:tcPr>
                <w:p w14:paraId="124E9865">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连续排放，流量稳定</w:t>
                  </w:r>
                </w:p>
              </w:tc>
              <w:tc>
                <w:tcPr>
                  <w:tcW w:w="778" w:type="pct"/>
                  <w:vAlign w:val="center"/>
                </w:tcPr>
                <w:p w14:paraId="2B5BF17B">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隔油沉淀池+依托生化池</w:t>
                  </w:r>
                </w:p>
              </w:tc>
              <w:tc>
                <w:tcPr>
                  <w:tcW w:w="607" w:type="pct"/>
                  <w:vAlign w:val="center"/>
                </w:tcPr>
                <w:p w14:paraId="114CF9BE">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隔油</w:t>
                  </w:r>
                  <w:r>
                    <w:rPr>
                      <w:rFonts w:hint="eastAsia" w:ascii="Times New Roman" w:hAnsi="Times New Roman" w:cs="Times New Roman"/>
                      <w:color w:val="000000" w:themeColor="text1"/>
                      <w:sz w:val="21"/>
                      <w:szCs w:val="21"/>
                      <w:lang w:val="en-US" w:eastAsia="zh-CN"/>
                      <w14:textFill>
                        <w14:solidFill>
                          <w14:schemeClr w14:val="tx1"/>
                        </w14:solidFill>
                      </w14:textFill>
                    </w:rPr>
                    <w:t>+絮凝沉淀</w:t>
                  </w:r>
                  <w:r>
                    <w:rPr>
                      <w:rFonts w:ascii="Times New Roman" w:hAnsi="Times New Roman" w:cs="Times New Roman"/>
                      <w:color w:val="000000" w:themeColor="text1"/>
                      <w:sz w:val="21"/>
                      <w:szCs w:val="21"/>
                      <w14:textFill>
                        <w14:solidFill>
                          <w14:schemeClr w14:val="tx1"/>
                        </w14:solidFill>
                      </w14:textFill>
                    </w:rPr>
                    <w:t>+生化</w:t>
                  </w:r>
                </w:p>
              </w:tc>
              <w:tc>
                <w:tcPr>
                  <w:tcW w:w="601" w:type="pct"/>
                  <w:vAlign w:val="center"/>
                </w:tcPr>
                <w:p w14:paraId="09C3C76E">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w:t>
                  </w:r>
                </w:p>
              </w:tc>
              <w:tc>
                <w:tcPr>
                  <w:tcW w:w="525" w:type="pct"/>
                  <w:vAlign w:val="center"/>
                </w:tcPr>
                <w:p w14:paraId="27750281">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w:t>
                  </w:r>
                </w:p>
              </w:tc>
              <w:tc>
                <w:tcPr>
                  <w:tcW w:w="478" w:type="pct"/>
                  <w:vAlign w:val="center"/>
                </w:tcPr>
                <w:p w14:paraId="2394A0BA">
                  <w:pPr>
                    <w:pStyle w:val="40"/>
                    <w:autoSpaceDE/>
                    <w:autoSpaceDN/>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一般排放口</w:t>
                  </w:r>
                </w:p>
              </w:tc>
            </w:tr>
          </w:tbl>
          <w:p w14:paraId="73ABFB3A">
            <w:pPr>
              <w:pStyle w:val="40"/>
              <w:autoSpaceDE/>
              <w:autoSpaceDN/>
              <w:spacing w:before="120" w:beforeLines="5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表4.2-7废水间接排放口基本情况</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35"/>
              <w:gridCol w:w="1147"/>
              <w:gridCol w:w="1084"/>
              <w:gridCol w:w="1056"/>
              <w:gridCol w:w="575"/>
              <w:gridCol w:w="570"/>
              <w:gridCol w:w="753"/>
              <w:gridCol w:w="1009"/>
              <w:gridCol w:w="1103"/>
            </w:tblGrid>
            <w:tr w14:paraId="2E05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restart"/>
                  <w:vAlign w:val="center"/>
                </w:tcPr>
                <w:p w14:paraId="0EC93CF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排口编号</w:t>
                  </w:r>
                </w:p>
              </w:tc>
              <w:tc>
                <w:tcPr>
                  <w:tcW w:w="1961" w:type="dxa"/>
                  <w:gridSpan w:val="2"/>
                  <w:vAlign w:val="center"/>
                </w:tcPr>
                <w:p w14:paraId="3780D10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排口地理坐标</w:t>
                  </w:r>
                </w:p>
              </w:tc>
              <w:tc>
                <w:tcPr>
                  <w:tcW w:w="1021" w:type="dxa"/>
                  <w:vMerge w:val="restart"/>
                  <w:vAlign w:val="center"/>
                </w:tcPr>
                <w:p w14:paraId="5D6D164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995" w:type="dxa"/>
                  <w:vMerge w:val="restart"/>
                  <w:vAlign w:val="center"/>
                </w:tcPr>
                <w:p w14:paraId="7755E5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排放去向</w:t>
                  </w:r>
                </w:p>
              </w:tc>
              <w:tc>
                <w:tcPr>
                  <w:tcW w:w="542" w:type="dxa"/>
                  <w:vMerge w:val="restart"/>
                  <w:vAlign w:val="center"/>
                </w:tcPr>
                <w:p w14:paraId="72C5E77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排放规律</w:t>
                  </w:r>
                </w:p>
              </w:tc>
              <w:tc>
                <w:tcPr>
                  <w:tcW w:w="537" w:type="dxa"/>
                  <w:vMerge w:val="restart"/>
                  <w:vAlign w:val="center"/>
                </w:tcPr>
                <w:p w14:paraId="50C3DD8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间歇排放时段</w:t>
                  </w:r>
                </w:p>
              </w:tc>
              <w:tc>
                <w:tcPr>
                  <w:tcW w:w="2698" w:type="dxa"/>
                  <w:gridSpan w:val="3"/>
                  <w:vAlign w:val="center"/>
                </w:tcPr>
                <w:p w14:paraId="2A49BF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受纳污水处理厂信息</w:t>
                  </w:r>
                </w:p>
              </w:tc>
            </w:tr>
            <w:tr w14:paraId="1BFB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4BE6ACCF">
                  <w:pPr>
                    <w:adjustRightInd w:val="0"/>
                    <w:snapToGrid w:val="0"/>
                    <w:jc w:val="center"/>
                    <w:rPr>
                      <w:color w:val="000000" w:themeColor="text1"/>
                      <w:szCs w:val="21"/>
                      <w14:textFill>
                        <w14:solidFill>
                          <w14:schemeClr w14:val="tx1"/>
                        </w14:solidFill>
                      </w14:textFill>
                    </w:rPr>
                  </w:pPr>
                </w:p>
              </w:tc>
              <w:tc>
                <w:tcPr>
                  <w:tcW w:w="881" w:type="dxa"/>
                  <w:vAlign w:val="center"/>
                </w:tcPr>
                <w:p w14:paraId="65F74FF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080" w:type="dxa"/>
                  <w:vAlign w:val="center"/>
                </w:tcPr>
                <w:p w14:paraId="51D784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1021" w:type="dxa"/>
                  <w:vMerge w:val="continue"/>
                  <w:vAlign w:val="center"/>
                </w:tcPr>
                <w:p w14:paraId="67EADD0B">
                  <w:pPr>
                    <w:adjustRightInd w:val="0"/>
                    <w:snapToGrid w:val="0"/>
                    <w:jc w:val="center"/>
                    <w:rPr>
                      <w:color w:val="000000" w:themeColor="text1"/>
                      <w:szCs w:val="21"/>
                      <w14:textFill>
                        <w14:solidFill>
                          <w14:schemeClr w14:val="tx1"/>
                        </w14:solidFill>
                      </w14:textFill>
                    </w:rPr>
                  </w:pPr>
                </w:p>
              </w:tc>
              <w:tc>
                <w:tcPr>
                  <w:tcW w:w="995" w:type="dxa"/>
                  <w:vMerge w:val="continue"/>
                  <w:vAlign w:val="center"/>
                </w:tcPr>
                <w:p w14:paraId="0AD8F18B">
                  <w:pPr>
                    <w:adjustRightInd w:val="0"/>
                    <w:snapToGrid w:val="0"/>
                    <w:jc w:val="center"/>
                    <w:rPr>
                      <w:color w:val="000000" w:themeColor="text1"/>
                      <w:szCs w:val="21"/>
                      <w14:textFill>
                        <w14:solidFill>
                          <w14:schemeClr w14:val="tx1"/>
                        </w14:solidFill>
                      </w14:textFill>
                    </w:rPr>
                  </w:pPr>
                </w:p>
              </w:tc>
              <w:tc>
                <w:tcPr>
                  <w:tcW w:w="542" w:type="dxa"/>
                  <w:vMerge w:val="continue"/>
                  <w:vAlign w:val="center"/>
                </w:tcPr>
                <w:p w14:paraId="360A8883">
                  <w:pPr>
                    <w:adjustRightInd w:val="0"/>
                    <w:snapToGrid w:val="0"/>
                    <w:jc w:val="center"/>
                    <w:rPr>
                      <w:color w:val="000000" w:themeColor="text1"/>
                      <w:szCs w:val="21"/>
                      <w14:textFill>
                        <w14:solidFill>
                          <w14:schemeClr w14:val="tx1"/>
                        </w14:solidFill>
                      </w14:textFill>
                    </w:rPr>
                  </w:pPr>
                </w:p>
              </w:tc>
              <w:tc>
                <w:tcPr>
                  <w:tcW w:w="537" w:type="dxa"/>
                  <w:vMerge w:val="continue"/>
                  <w:vAlign w:val="center"/>
                </w:tcPr>
                <w:p w14:paraId="0A3CFA27">
                  <w:pPr>
                    <w:adjustRightInd w:val="0"/>
                    <w:snapToGrid w:val="0"/>
                    <w:jc w:val="center"/>
                    <w:rPr>
                      <w:color w:val="000000" w:themeColor="text1"/>
                      <w:szCs w:val="21"/>
                      <w14:textFill>
                        <w14:solidFill>
                          <w14:schemeClr w14:val="tx1"/>
                        </w14:solidFill>
                      </w14:textFill>
                    </w:rPr>
                  </w:pPr>
                </w:p>
              </w:tc>
              <w:tc>
                <w:tcPr>
                  <w:tcW w:w="709" w:type="dxa"/>
                  <w:vAlign w:val="center"/>
                </w:tcPr>
                <w:p w14:paraId="2C7A0D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50" w:type="dxa"/>
                  <w:vAlign w:val="center"/>
                </w:tcPr>
                <w:p w14:paraId="206099B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p w14:paraId="04CA421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种类</w:t>
                  </w:r>
                </w:p>
              </w:tc>
              <w:tc>
                <w:tcPr>
                  <w:tcW w:w="1039" w:type="dxa"/>
                  <w:vAlign w:val="center"/>
                </w:tcPr>
                <w:p w14:paraId="675D364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国家或地方污染物排放标准浓度限值</w:t>
                  </w:r>
                </w:p>
              </w:tc>
            </w:tr>
            <w:tr w14:paraId="16E3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restart"/>
                  <w:vAlign w:val="center"/>
                </w:tcPr>
                <w:p w14:paraId="4CE87FF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81" w:type="dxa"/>
                  <w:vMerge w:val="restart"/>
                  <w:vAlign w:val="center"/>
                </w:tcPr>
                <w:p w14:paraId="7ACFC4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106°8′</w:t>
                  </w:r>
                </w:p>
                <w:p w14:paraId="52F931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17.335″</w:t>
                  </w:r>
                </w:p>
              </w:tc>
              <w:tc>
                <w:tcPr>
                  <w:tcW w:w="1080" w:type="dxa"/>
                  <w:vMerge w:val="restart"/>
                  <w:vAlign w:val="center"/>
                </w:tcPr>
                <w:p w14:paraId="25CEC57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29°49′</w:t>
                  </w:r>
                </w:p>
                <w:p w14:paraId="7D20B1D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58.697″</w:t>
                  </w:r>
                </w:p>
              </w:tc>
              <w:tc>
                <w:tcPr>
                  <w:tcW w:w="1021" w:type="dxa"/>
                  <w:vMerge w:val="restart"/>
                  <w:vAlign w:val="center"/>
                </w:tcPr>
                <w:p w14:paraId="7727117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371.15</w:t>
                  </w:r>
                </w:p>
              </w:tc>
              <w:tc>
                <w:tcPr>
                  <w:tcW w:w="995" w:type="dxa"/>
                  <w:vMerge w:val="restart"/>
                  <w:vAlign w:val="center"/>
                </w:tcPr>
                <w:p w14:paraId="0C44CF0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进入城市污水处理厂</w:t>
                  </w:r>
                </w:p>
              </w:tc>
              <w:tc>
                <w:tcPr>
                  <w:tcW w:w="542" w:type="dxa"/>
                  <w:vMerge w:val="restart"/>
                  <w:vAlign w:val="center"/>
                </w:tcPr>
                <w:p w14:paraId="3031D8E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连续排放</w:t>
                  </w:r>
                </w:p>
              </w:tc>
              <w:tc>
                <w:tcPr>
                  <w:tcW w:w="537" w:type="dxa"/>
                  <w:vMerge w:val="restart"/>
                  <w:vAlign w:val="center"/>
                </w:tcPr>
                <w:p w14:paraId="00D8F63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Merge w:val="restart"/>
                  <w:vAlign w:val="center"/>
                </w:tcPr>
                <w:p w14:paraId="78FB09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蒲吕污水处理厂</w:t>
                  </w:r>
                </w:p>
              </w:tc>
              <w:tc>
                <w:tcPr>
                  <w:tcW w:w="950" w:type="dxa"/>
                  <w:vAlign w:val="center"/>
                </w:tcPr>
                <w:p w14:paraId="51CFD12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039" w:type="dxa"/>
                  <w:vAlign w:val="center"/>
                </w:tcPr>
                <w:p w14:paraId="1ED13FE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50mg/L</w:t>
                  </w:r>
                </w:p>
              </w:tc>
            </w:tr>
            <w:tr w14:paraId="5058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3E05D923">
                  <w:pPr>
                    <w:adjustRightInd w:val="0"/>
                    <w:snapToGrid w:val="0"/>
                    <w:jc w:val="center"/>
                    <w:rPr>
                      <w:color w:val="000000" w:themeColor="text1"/>
                      <w:szCs w:val="21"/>
                      <w14:textFill>
                        <w14:solidFill>
                          <w14:schemeClr w14:val="tx1"/>
                        </w14:solidFill>
                      </w14:textFill>
                    </w:rPr>
                  </w:pPr>
                </w:p>
              </w:tc>
              <w:tc>
                <w:tcPr>
                  <w:tcW w:w="881" w:type="dxa"/>
                  <w:vMerge w:val="continue"/>
                  <w:vAlign w:val="center"/>
                </w:tcPr>
                <w:p w14:paraId="5E335456">
                  <w:pPr>
                    <w:adjustRightInd w:val="0"/>
                    <w:snapToGrid w:val="0"/>
                    <w:jc w:val="center"/>
                    <w:rPr>
                      <w:color w:val="000000" w:themeColor="text1"/>
                      <w:szCs w:val="21"/>
                      <w14:textFill>
                        <w14:solidFill>
                          <w14:schemeClr w14:val="tx1"/>
                        </w14:solidFill>
                      </w14:textFill>
                    </w:rPr>
                  </w:pPr>
                </w:p>
              </w:tc>
              <w:tc>
                <w:tcPr>
                  <w:tcW w:w="1080" w:type="dxa"/>
                  <w:vMerge w:val="continue"/>
                  <w:vAlign w:val="center"/>
                </w:tcPr>
                <w:p w14:paraId="13C2E384">
                  <w:pPr>
                    <w:adjustRightInd w:val="0"/>
                    <w:snapToGrid w:val="0"/>
                    <w:jc w:val="center"/>
                    <w:rPr>
                      <w:color w:val="000000" w:themeColor="text1"/>
                      <w:szCs w:val="21"/>
                      <w14:textFill>
                        <w14:solidFill>
                          <w14:schemeClr w14:val="tx1"/>
                        </w14:solidFill>
                      </w14:textFill>
                    </w:rPr>
                  </w:pPr>
                </w:p>
              </w:tc>
              <w:tc>
                <w:tcPr>
                  <w:tcW w:w="1021" w:type="dxa"/>
                  <w:vMerge w:val="continue"/>
                  <w:vAlign w:val="center"/>
                </w:tcPr>
                <w:p w14:paraId="1A446B63">
                  <w:pPr>
                    <w:adjustRightInd w:val="0"/>
                    <w:snapToGrid w:val="0"/>
                    <w:jc w:val="center"/>
                    <w:rPr>
                      <w:color w:val="000000" w:themeColor="text1"/>
                      <w:szCs w:val="21"/>
                      <w14:textFill>
                        <w14:solidFill>
                          <w14:schemeClr w14:val="tx1"/>
                        </w14:solidFill>
                      </w14:textFill>
                    </w:rPr>
                  </w:pPr>
                </w:p>
              </w:tc>
              <w:tc>
                <w:tcPr>
                  <w:tcW w:w="995" w:type="dxa"/>
                  <w:vMerge w:val="continue"/>
                  <w:vAlign w:val="center"/>
                </w:tcPr>
                <w:p w14:paraId="7F1D8582">
                  <w:pPr>
                    <w:adjustRightInd w:val="0"/>
                    <w:snapToGrid w:val="0"/>
                    <w:jc w:val="center"/>
                    <w:rPr>
                      <w:color w:val="000000" w:themeColor="text1"/>
                      <w:szCs w:val="21"/>
                      <w14:textFill>
                        <w14:solidFill>
                          <w14:schemeClr w14:val="tx1"/>
                        </w14:solidFill>
                      </w14:textFill>
                    </w:rPr>
                  </w:pPr>
                </w:p>
              </w:tc>
              <w:tc>
                <w:tcPr>
                  <w:tcW w:w="542" w:type="dxa"/>
                  <w:vMerge w:val="continue"/>
                  <w:vAlign w:val="center"/>
                </w:tcPr>
                <w:p w14:paraId="56AC6DC5">
                  <w:pPr>
                    <w:adjustRightInd w:val="0"/>
                    <w:snapToGrid w:val="0"/>
                    <w:jc w:val="center"/>
                    <w:rPr>
                      <w:color w:val="000000" w:themeColor="text1"/>
                      <w:szCs w:val="21"/>
                      <w14:textFill>
                        <w14:solidFill>
                          <w14:schemeClr w14:val="tx1"/>
                        </w14:solidFill>
                      </w14:textFill>
                    </w:rPr>
                  </w:pPr>
                </w:p>
              </w:tc>
              <w:tc>
                <w:tcPr>
                  <w:tcW w:w="537" w:type="dxa"/>
                  <w:vMerge w:val="continue"/>
                  <w:vAlign w:val="center"/>
                </w:tcPr>
                <w:p w14:paraId="21862A36">
                  <w:pPr>
                    <w:adjustRightInd w:val="0"/>
                    <w:snapToGrid w:val="0"/>
                    <w:jc w:val="center"/>
                    <w:rPr>
                      <w:color w:val="000000" w:themeColor="text1"/>
                      <w:szCs w:val="21"/>
                      <w14:textFill>
                        <w14:solidFill>
                          <w14:schemeClr w14:val="tx1"/>
                        </w14:solidFill>
                      </w14:textFill>
                    </w:rPr>
                  </w:pPr>
                </w:p>
              </w:tc>
              <w:tc>
                <w:tcPr>
                  <w:tcW w:w="709" w:type="dxa"/>
                  <w:vMerge w:val="continue"/>
                  <w:vAlign w:val="center"/>
                </w:tcPr>
                <w:p w14:paraId="49DCD496">
                  <w:pPr>
                    <w:adjustRightInd w:val="0"/>
                    <w:snapToGrid w:val="0"/>
                    <w:jc w:val="center"/>
                    <w:rPr>
                      <w:color w:val="000000" w:themeColor="text1"/>
                      <w:szCs w:val="21"/>
                      <w14:textFill>
                        <w14:solidFill>
                          <w14:schemeClr w14:val="tx1"/>
                        </w14:solidFill>
                      </w14:textFill>
                    </w:rPr>
                  </w:pPr>
                </w:p>
              </w:tc>
              <w:tc>
                <w:tcPr>
                  <w:tcW w:w="950" w:type="dxa"/>
                  <w:vAlign w:val="center"/>
                </w:tcPr>
                <w:p w14:paraId="40A964C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039" w:type="dxa"/>
                  <w:vAlign w:val="center"/>
                </w:tcPr>
                <w:p w14:paraId="69B1F92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10mg/L</w:t>
                  </w:r>
                </w:p>
              </w:tc>
            </w:tr>
            <w:tr w14:paraId="592C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008FB0A0">
                  <w:pPr>
                    <w:adjustRightInd w:val="0"/>
                    <w:snapToGrid w:val="0"/>
                    <w:jc w:val="center"/>
                    <w:rPr>
                      <w:color w:val="000000" w:themeColor="text1"/>
                      <w:szCs w:val="21"/>
                      <w14:textFill>
                        <w14:solidFill>
                          <w14:schemeClr w14:val="tx1"/>
                        </w14:solidFill>
                      </w14:textFill>
                    </w:rPr>
                  </w:pPr>
                </w:p>
              </w:tc>
              <w:tc>
                <w:tcPr>
                  <w:tcW w:w="881" w:type="dxa"/>
                  <w:vMerge w:val="continue"/>
                  <w:vAlign w:val="center"/>
                </w:tcPr>
                <w:p w14:paraId="3B71A7DD">
                  <w:pPr>
                    <w:adjustRightInd w:val="0"/>
                    <w:snapToGrid w:val="0"/>
                    <w:jc w:val="center"/>
                    <w:rPr>
                      <w:color w:val="000000" w:themeColor="text1"/>
                      <w:szCs w:val="21"/>
                      <w14:textFill>
                        <w14:solidFill>
                          <w14:schemeClr w14:val="tx1"/>
                        </w14:solidFill>
                      </w14:textFill>
                    </w:rPr>
                  </w:pPr>
                </w:p>
              </w:tc>
              <w:tc>
                <w:tcPr>
                  <w:tcW w:w="1080" w:type="dxa"/>
                  <w:vMerge w:val="continue"/>
                  <w:vAlign w:val="center"/>
                </w:tcPr>
                <w:p w14:paraId="61D8234F">
                  <w:pPr>
                    <w:adjustRightInd w:val="0"/>
                    <w:snapToGrid w:val="0"/>
                    <w:jc w:val="center"/>
                    <w:rPr>
                      <w:color w:val="000000" w:themeColor="text1"/>
                      <w:szCs w:val="21"/>
                      <w14:textFill>
                        <w14:solidFill>
                          <w14:schemeClr w14:val="tx1"/>
                        </w14:solidFill>
                      </w14:textFill>
                    </w:rPr>
                  </w:pPr>
                </w:p>
              </w:tc>
              <w:tc>
                <w:tcPr>
                  <w:tcW w:w="1021" w:type="dxa"/>
                  <w:vMerge w:val="continue"/>
                  <w:vAlign w:val="center"/>
                </w:tcPr>
                <w:p w14:paraId="6DA1F61D">
                  <w:pPr>
                    <w:adjustRightInd w:val="0"/>
                    <w:snapToGrid w:val="0"/>
                    <w:jc w:val="center"/>
                    <w:rPr>
                      <w:color w:val="000000" w:themeColor="text1"/>
                      <w:szCs w:val="21"/>
                      <w14:textFill>
                        <w14:solidFill>
                          <w14:schemeClr w14:val="tx1"/>
                        </w14:solidFill>
                      </w14:textFill>
                    </w:rPr>
                  </w:pPr>
                </w:p>
              </w:tc>
              <w:tc>
                <w:tcPr>
                  <w:tcW w:w="995" w:type="dxa"/>
                  <w:vMerge w:val="continue"/>
                  <w:vAlign w:val="center"/>
                </w:tcPr>
                <w:p w14:paraId="1D2929C9">
                  <w:pPr>
                    <w:adjustRightInd w:val="0"/>
                    <w:snapToGrid w:val="0"/>
                    <w:jc w:val="center"/>
                    <w:rPr>
                      <w:color w:val="000000" w:themeColor="text1"/>
                      <w:szCs w:val="21"/>
                      <w14:textFill>
                        <w14:solidFill>
                          <w14:schemeClr w14:val="tx1"/>
                        </w14:solidFill>
                      </w14:textFill>
                    </w:rPr>
                  </w:pPr>
                </w:p>
              </w:tc>
              <w:tc>
                <w:tcPr>
                  <w:tcW w:w="542" w:type="dxa"/>
                  <w:vMerge w:val="continue"/>
                  <w:vAlign w:val="center"/>
                </w:tcPr>
                <w:p w14:paraId="742A65D1">
                  <w:pPr>
                    <w:adjustRightInd w:val="0"/>
                    <w:snapToGrid w:val="0"/>
                    <w:jc w:val="center"/>
                    <w:rPr>
                      <w:color w:val="000000" w:themeColor="text1"/>
                      <w:szCs w:val="21"/>
                      <w14:textFill>
                        <w14:solidFill>
                          <w14:schemeClr w14:val="tx1"/>
                        </w14:solidFill>
                      </w14:textFill>
                    </w:rPr>
                  </w:pPr>
                </w:p>
              </w:tc>
              <w:tc>
                <w:tcPr>
                  <w:tcW w:w="537" w:type="dxa"/>
                  <w:vMerge w:val="continue"/>
                  <w:vAlign w:val="center"/>
                </w:tcPr>
                <w:p w14:paraId="62B57F36">
                  <w:pPr>
                    <w:adjustRightInd w:val="0"/>
                    <w:snapToGrid w:val="0"/>
                    <w:jc w:val="center"/>
                    <w:rPr>
                      <w:color w:val="000000" w:themeColor="text1"/>
                      <w:szCs w:val="21"/>
                      <w14:textFill>
                        <w14:solidFill>
                          <w14:schemeClr w14:val="tx1"/>
                        </w14:solidFill>
                      </w14:textFill>
                    </w:rPr>
                  </w:pPr>
                </w:p>
              </w:tc>
              <w:tc>
                <w:tcPr>
                  <w:tcW w:w="709" w:type="dxa"/>
                  <w:vMerge w:val="continue"/>
                  <w:vAlign w:val="center"/>
                </w:tcPr>
                <w:p w14:paraId="35505F82">
                  <w:pPr>
                    <w:adjustRightInd w:val="0"/>
                    <w:snapToGrid w:val="0"/>
                    <w:jc w:val="center"/>
                    <w:rPr>
                      <w:color w:val="000000" w:themeColor="text1"/>
                      <w:szCs w:val="21"/>
                      <w14:textFill>
                        <w14:solidFill>
                          <w14:schemeClr w14:val="tx1"/>
                        </w14:solidFill>
                      </w14:textFill>
                    </w:rPr>
                  </w:pPr>
                </w:p>
              </w:tc>
              <w:tc>
                <w:tcPr>
                  <w:tcW w:w="950" w:type="dxa"/>
                  <w:vAlign w:val="center"/>
                </w:tcPr>
                <w:p w14:paraId="3116CDD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039" w:type="dxa"/>
                  <w:vAlign w:val="center"/>
                </w:tcPr>
                <w:p w14:paraId="7202003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10mg/L</w:t>
                  </w:r>
                </w:p>
              </w:tc>
            </w:tr>
            <w:tr w14:paraId="5974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0759593A">
                  <w:pPr>
                    <w:adjustRightInd w:val="0"/>
                    <w:snapToGrid w:val="0"/>
                    <w:jc w:val="center"/>
                    <w:rPr>
                      <w:color w:val="000000" w:themeColor="text1"/>
                      <w:szCs w:val="21"/>
                      <w14:textFill>
                        <w14:solidFill>
                          <w14:schemeClr w14:val="tx1"/>
                        </w14:solidFill>
                      </w14:textFill>
                    </w:rPr>
                  </w:pPr>
                </w:p>
              </w:tc>
              <w:tc>
                <w:tcPr>
                  <w:tcW w:w="881" w:type="dxa"/>
                  <w:vMerge w:val="continue"/>
                  <w:vAlign w:val="center"/>
                </w:tcPr>
                <w:p w14:paraId="0AE638B4">
                  <w:pPr>
                    <w:adjustRightInd w:val="0"/>
                    <w:snapToGrid w:val="0"/>
                    <w:jc w:val="center"/>
                    <w:rPr>
                      <w:color w:val="000000" w:themeColor="text1"/>
                      <w:szCs w:val="21"/>
                      <w14:textFill>
                        <w14:solidFill>
                          <w14:schemeClr w14:val="tx1"/>
                        </w14:solidFill>
                      </w14:textFill>
                    </w:rPr>
                  </w:pPr>
                </w:p>
              </w:tc>
              <w:tc>
                <w:tcPr>
                  <w:tcW w:w="1080" w:type="dxa"/>
                  <w:vMerge w:val="continue"/>
                  <w:vAlign w:val="center"/>
                </w:tcPr>
                <w:p w14:paraId="0D549813">
                  <w:pPr>
                    <w:adjustRightInd w:val="0"/>
                    <w:snapToGrid w:val="0"/>
                    <w:jc w:val="center"/>
                    <w:rPr>
                      <w:color w:val="000000" w:themeColor="text1"/>
                      <w:szCs w:val="21"/>
                      <w14:textFill>
                        <w14:solidFill>
                          <w14:schemeClr w14:val="tx1"/>
                        </w14:solidFill>
                      </w14:textFill>
                    </w:rPr>
                  </w:pPr>
                </w:p>
              </w:tc>
              <w:tc>
                <w:tcPr>
                  <w:tcW w:w="1021" w:type="dxa"/>
                  <w:vMerge w:val="continue"/>
                  <w:vAlign w:val="center"/>
                </w:tcPr>
                <w:p w14:paraId="51037326">
                  <w:pPr>
                    <w:adjustRightInd w:val="0"/>
                    <w:snapToGrid w:val="0"/>
                    <w:jc w:val="center"/>
                    <w:rPr>
                      <w:color w:val="000000" w:themeColor="text1"/>
                      <w:szCs w:val="21"/>
                      <w14:textFill>
                        <w14:solidFill>
                          <w14:schemeClr w14:val="tx1"/>
                        </w14:solidFill>
                      </w14:textFill>
                    </w:rPr>
                  </w:pPr>
                </w:p>
              </w:tc>
              <w:tc>
                <w:tcPr>
                  <w:tcW w:w="995" w:type="dxa"/>
                  <w:vMerge w:val="continue"/>
                  <w:vAlign w:val="center"/>
                </w:tcPr>
                <w:p w14:paraId="14253187">
                  <w:pPr>
                    <w:adjustRightInd w:val="0"/>
                    <w:snapToGrid w:val="0"/>
                    <w:jc w:val="center"/>
                    <w:rPr>
                      <w:color w:val="000000" w:themeColor="text1"/>
                      <w:szCs w:val="21"/>
                      <w14:textFill>
                        <w14:solidFill>
                          <w14:schemeClr w14:val="tx1"/>
                        </w14:solidFill>
                      </w14:textFill>
                    </w:rPr>
                  </w:pPr>
                </w:p>
              </w:tc>
              <w:tc>
                <w:tcPr>
                  <w:tcW w:w="542" w:type="dxa"/>
                  <w:vMerge w:val="continue"/>
                  <w:vAlign w:val="center"/>
                </w:tcPr>
                <w:p w14:paraId="1B680FA2">
                  <w:pPr>
                    <w:adjustRightInd w:val="0"/>
                    <w:snapToGrid w:val="0"/>
                    <w:jc w:val="center"/>
                    <w:rPr>
                      <w:color w:val="000000" w:themeColor="text1"/>
                      <w:szCs w:val="21"/>
                      <w14:textFill>
                        <w14:solidFill>
                          <w14:schemeClr w14:val="tx1"/>
                        </w14:solidFill>
                      </w14:textFill>
                    </w:rPr>
                  </w:pPr>
                </w:p>
              </w:tc>
              <w:tc>
                <w:tcPr>
                  <w:tcW w:w="537" w:type="dxa"/>
                  <w:vMerge w:val="continue"/>
                  <w:vAlign w:val="center"/>
                </w:tcPr>
                <w:p w14:paraId="3E242527">
                  <w:pPr>
                    <w:adjustRightInd w:val="0"/>
                    <w:snapToGrid w:val="0"/>
                    <w:jc w:val="center"/>
                    <w:rPr>
                      <w:color w:val="000000" w:themeColor="text1"/>
                      <w:szCs w:val="21"/>
                      <w14:textFill>
                        <w14:solidFill>
                          <w14:schemeClr w14:val="tx1"/>
                        </w14:solidFill>
                      </w14:textFill>
                    </w:rPr>
                  </w:pPr>
                </w:p>
              </w:tc>
              <w:tc>
                <w:tcPr>
                  <w:tcW w:w="709" w:type="dxa"/>
                  <w:vMerge w:val="continue"/>
                  <w:vAlign w:val="center"/>
                </w:tcPr>
                <w:p w14:paraId="6DD80DD0">
                  <w:pPr>
                    <w:adjustRightInd w:val="0"/>
                    <w:snapToGrid w:val="0"/>
                    <w:jc w:val="center"/>
                    <w:rPr>
                      <w:color w:val="000000" w:themeColor="text1"/>
                      <w:szCs w:val="21"/>
                      <w14:textFill>
                        <w14:solidFill>
                          <w14:schemeClr w14:val="tx1"/>
                        </w14:solidFill>
                      </w14:textFill>
                    </w:rPr>
                  </w:pPr>
                </w:p>
              </w:tc>
              <w:tc>
                <w:tcPr>
                  <w:tcW w:w="950" w:type="dxa"/>
                  <w:vAlign w:val="center"/>
                </w:tcPr>
                <w:p w14:paraId="7F94D5F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039" w:type="dxa"/>
                  <w:vAlign w:val="center"/>
                </w:tcPr>
                <w:p w14:paraId="024763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5mg/L</w:t>
                  </w:r>
                </w:p>
              </w:tc>
            </w:tr>
            <w:tr w14:paraId="569D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6BA466B6">
                  <w:pPr>
                    <w:adjustRightInd w:val="0"/>
                    <w:snapToGrid w:val="0"/>
                    <w:jc w:val="center"/>
                    <w:rPr>
                      <w:color w:val="000000" w:themeColor="text1"/>
                      <w:szCs w:val="21"/>
                      <w14:textFill>
                        <w14:solidFill>
                          <w14:schemeClr w14:val="tx1"/>
                        </w14:solidFill>
                      </w14:textFill>
                    </w:rPr>
                  </w:pPr>
                </w:p>
              </w:tc>
              <w:tc>
                <w:tcPr>
                  <w:tcW w:w="881" w:type="dxa"/>
                  <w:vMerge w:val="continue"/>
                  <w:vAlign w:val="center"/>
                </w:tcPr>
                <w:p w14:paraId="241B220F">
                  <w:pPr>
                    <w:adjustRightInd w:val="0"/>
                    <w:snapToGrid w:val="0"/>
                    <w:jc w:val="center"/>
                    <w:rPr>
                      <w:color w:val="000000" w:themeColor="text1"/>
                      <w:szCs w:val="21"/>
                      <w14:textFill>
                        <w14:solidFill>
                          <w14:schemeClr w14:val="tx1"/>
                        </w14:solidFill>
                      </w14:textFill>
                    </w:rPr>
                  </w:pPr>
                </w:p>
              </w:tc>
              <w:tc>
                <w:tcPr>
                  <w:tcW w:w="1080" w:type="dxa"/>
                  <w:vMerge w:val="continue"/>
                  <w:vAlign w:val="center"/>
                </w:tcPr>
                <w:p w14:paraId="09DABF68">
                  <w:pPr>
                    <w:adjustRightInd w:val="0"/>
                    <w:snapToGrid w:val="0"/>
                    <w:jc w:val="center"/>
                    <w:rPr>
                      <w:color w:val="000000" w:themeColor="text1"/>
                      <w:szCs w:val="21"/>
                      <w14:textFill>
                        <w14:solidFill>
                          <w14:schemeClr w14:val="tx1"/>
                        </w14:solidFill>
                      </w14:textFill>
                    </w:rPr>
                  </w:pPr>
                </w:p>
              </w:tc>
              <w:tc>
                <w:tcPr>
                  <w:tcW w:w="1021" w:type="dxa"/>
                  <w:vMerge w:val="continue"/>
                  <w:vAlign w:val="center"/>
                </w:tcPr>
                <w:p w14:paraId="2D808D07">
                  <w:pPr>
                    <w:adjustRightInd w:val="0"/>
                    <w:snapToGrid w:val="0"/>
                    <w:jc w:val="center"/>
                    <w:rPr>
                      <w:color w:val="000000" w:themeColor="text1"/>
                      <w:szCs w:val="21"/>
                      <w14:textFill>
                        <w14:solidFill>
                          <w14:schemeClr w14:val="tx1"/>
                        </w14:solidFill>
                      </w14:textFill>
                    </w:rPr>
                  </w:pPr>
                </w:p>
              </w:tc>
              <w:tc>
                <w:tcPr>
                  <w:tcW w:w="995" w:type="dxa"/>
                  <w:vMerge w:val="continue"/>
                  <w:vAlign w:val="center"/>
                </w:tcPr>
                <w:p w14:paraId="499AD000">
                  <w:pPr>
                    <w:adjustRightInd w:val="0"/>
                    <w:snapToGrid w:val="0"/>
                    <w:jc w:val="center"/>
                    <w:rPr>
                      <w:color w:val="000000" w:themeColor="text1"/>
                      <w:szCs w:val="21"/>
                      <w14:textFill>
                        <w14:solidFill>
                          <w14:schemeClr w14:val="tx1"/>
                        </w14:solidFill>
                      </w14:textFill>
                    </w:rPr>
                  </w:pPr>
                </w:p>
              </w:tc>
              <w:tc>
                <w:tcPr>
                  <w:tcW w:w="542" w:type="dxa"/>
                  <w:vMerge w:val="continue"/>
                  <w:vAlign w:val="center"/>
                </w:tcPr>
                <w:p w14:paraId="34F7DE11">
                  <w:pPr>
                    <w:adjustRightInd w:val="0"/>
                    <w:snapToGrid w:val="0"/>
                    <w:jc w:val="center"/>
                    <w:rPr>
                      <w:color w:val="000000" w:themeColor="text1"/>
                      <w:szCs w:val="21"/>
                      <w14:textFill>
                        <w14:solidFill>
                          <w14:schemeClr w14:val="tx1"/>
                        </w14:solidFill>
                      </w14:textFill>
                    </w:rPr>
                  </w:pPr>
                </w:p>
              </w:tc>
              <w:tc>
                <w:tcPr>
                  <w:tcW w:w="537" w:type="dxa"/>
                  <w:vMerge w:val="continue"/>
                  <w:vAlign w:val="center"/>
                </w:tcPr>
                <w:p w14:paraId="3F7214CE">
                  <w:pPr>
                    <w:adjustRightInd w:val="0"/>
                    <w:snapToGrid w:val="0"/>
                    <w:jc w:val="center"/>
                    <w:rPr>
                      <w:color w:val="000000" w:themeColor="text1"/>
                      <w:szCs w:val="21"/>
                      <w14:textFill>
                        <w14:solidFill>
                          <w14:schemeClr w14:val="tx1"/>
                        </w14:solidFill>
                      </w14:textFill>
                    </w:rPr>
                  </w:pPr>
                </w:p>
              </w:tc>
              <w:tc>
                <w:tcPr>
                  <w:tcW w:w="709" w:type="dxa"/>
                  <w:vMerge w:val="continue"/>
                  <w:vAlign w:val="center"/>
                </w:tcPr>
                <w:p w14:paraId="1656CA78">
                  <w:pPr>
                    <w:adjustRightInd w:val="0"/>
                    <w:snapToGrid w:val="0"/>
                    <w:jc w:val="center"/>
                    <w:rPr>
                      <w:color w:val="000000" w:themeColor="text1"/>
                      <w:szCs w:val="21"/>
                      <w14:textFill>
                        <w14:solidFill>
                          <w14:schemeClr w14:val="tx1"/>
                        </w14:solidFill>
                      </w14:textFill>
                    </w:rPr>
                  </w:pPr>
                </w:p>
              </w:tc>
              <w:tc>
                <w:tcPr>
                  <w:tcW w:w="950" w:type="dxa"/>
                  <w:vAlign w:val="center"/>
                </w:tcPr>
                <w:p w14:paraId="715BC4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1039" w:type="dxa"/>
                  <w:vAlign w:val="center"/>
                </w:tcPr>
                <w:p w14:paraId="2613E14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1mg/L</w:t>
                  </w:r>
                </w:p>
              </w:tc>
            </w:tr>
            <w:tr w14:paraId="473E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Merge w:val="continue"/>
                  <w:vAlign w:val="center"/>
                </w:tcPr>
                <w:p w14:paraId="4247F8D8">
                  <w:pPr>
                    <w:adjustRightInd w:val="0"/>
                    <w:snapToGrid w:val="0"/>
                    <w:jc w:val="center"/>
                    <w:rPr>
                      <w:color w:val="000000" w:themeColor="text1"/>
                      <w:szCs w:val="21"/>
                      <w14:textFill>
                        <w14:solidFill>
                          <w14:schemeClr w14:val="tx1"/>
                        </w14:solidFill>
                      </w14:textFill>
                    </w:rPr>
                  </w:pPr>
                </w:p>
              </w:tc>
              <w:tc>
                <w:tcPr>
                  <w:tcW w:w="881" w:type="dxa"/>
                  <w:vMerge w:val="continue"/>
                  <w:vAlign w:val="center"/>
                </w:tcPr>
                <w:p w14:paraId="2FE9868A">
                  <w:pPr>
                    <w:adjustRightInd w:val="0"/>
                    <w:snapToGrid w:val="0"/>
                    <w:jc w:val="center"/>
                    <w:rPr>
                      <w:color w:val="000000" w:themeColor="text1"/>
                      <w:szCs w:val="21"/>
                      <w14:textFill>
                        <w14:solidFill>
                          <w14:schemeClr w14:val="tx1"/>
                        </w14:solidFill>
                      </w14:textFill>
                    </w:rPr>
                  </w:pPr>
                </w:p>
              </w:tc>
              <w:tc>
                <w:tcPr>
                  <w:tcW w:w="1080" w:type="dxa"/>
                  <w:vMerge w:val="continue"/>
                  <w:vAlign w:val="center"/>
                </w:tcPr>
                <w:p w14:paraId="6D76DDF2">
                  <w:pPr>
                    <w:adjustRightInd w:val="0"/>
                    <w:snapToGrid w:val="0"/>
                    <w:jc w:val="center"/>
                    <w:rPr>
                      <w:color w:val="000000" w:themeColor="text1"/>
                      <w:szCs w:val="21"/>
                      <w14:textFill>
                        <w14:solidFill>
                          <w14:schemeClr w14:val="tx1"/>
                        </w14:solidFill>
                      </w14:textFill>
                    </w:rPr>
                  </w:pPr>
                </w:p>
              </w:tc>
              <w:tc>
                <w:tcPr>
                  <w:tcW w:w="1021" w:type="dxa"/>
                  <w:vMerge w:val="continue"/>
                  <w:vAlign w:val="center"/>
                </w:tcPr>
                <w:p w14:paraId="1E26890A">
                  <w:pPr>
                    <w:adjustRightInd w:val="0"/>
                    <w:snapToGrid w:val="0"/>
                    <w:jc w:val="center"/>
                    <w:rPr>
                      <w:color w:val="000000" w:themeColor="text1"/>
                      <w:szCs w:val="21"/>
                      <w14:textFill>
                        <w14:solidFill>
                          <w14:schemeClr w14:val="tx1"/>
                        </w14:solidFill>
                      </w14:textFill>
                    </w:rPr>
                  </w:pPr>
                </w:p>
              </w:tc>
              <w:tc>
                <w:tcPr>
                  <w:tcW w:w="995" w:type="dxa"/>
                  <w:vMerge w:val="continue"/>
                  <w:vAlign w:val="center"/>
                </w:tcPr>
                <w:p w14:paraId="5A4F02C3">
                  <w:pPr>
                    <w:adjustRightInd w:val="0"/>
                    <w:snapToGrid w:val="0"/>
                    <w:jc w:val="center"/>
                    <w:rPr>
                      <w:color w:val="000000" w:themeColor="text1"/>
                      <w:szCs w:val="21"/>
                      <w14:textFill>
                        <w14:solidFill>
                          <w14:schemeClr w14:val="tx1"/>
                        </w14:solidFill>
                      </w14:textFill>
                    </w:rPr>
                  </w:pPr>
                </w:p>
              </w:tc>
              <w:tc>
                <w:tcPr>
                  <w:tcW w:w="542" w:type="dxa"/>
                  <w:vMerge w:val="continue"/>
                  <w:vAlign w:val="center"/>
                </w:tcPr>
                <w:p w14:paraId="11F4B2C0">
                  <w:pPr>
                    <w:adjustRightInd w:val="0"/>
                    <w:snapToGrid w:val="0"/>
                    <w:jc w:val="center"/>
                    <w:rPr>
                      <w:color w:val="000000" w:themeColor="text1"/>
                      <w:szCs w:val="21"/>
                      <w14:textFill>
                        <w14:solidFill>
                          <w14:schemeClr w14:val="tx1"/>
                        </w14:solidFill>
                      </w14:textFill>
                    </w:rPr>
                  </w:pPr>
                </w:p>
              </w:tc>
              <w:tc>
                <w:tcPr>
                  <w:tcW w:w="537" w:type="dxa"/>
                  <w:vMerge w:val="continue"/>
                  <w:vAlign w:val="center"/>
                </w:tcPr>
                <w:p w14:paraId="45DF2298">
                  <w:pPr>
                    <w:adjustRightInd w:val="0"/>
                    <w:snapToGrid w:val="0"/>
                    <w:jc w:val="center"/>
                    <w:rPr>
                      <w:color w:val="000000" w:themeColor="text1"/>
                      <w:szCs w:val="21"/>
                      <w14:textFill>
                        <w14:solidFill>
                          <w14:schemeClr w14:val="tx1"/>
                        </w14:solidFill>
                      </w14:textFill>
                    </w:rPr>
                  </w:pPr>
                </w:p>
              </w:tc>
              <w:tc>
                <w:tcPr>
                  <w:tcW w:w="709" w:type="dxa"/>
                  <w:vMerge w:val="continue"/>
                  <w:vAlign w:val="center"/>
                </w:tcPr>
                <w:p w14:paraId="3453D004">
                  <w:pPr>
                    <w:adjustRightInd w:val="0"/>
                    <w:snapToGrid w:val="0"/>
                    <w:jc w:val="center"/>
                    <w:rPr>
                      <w:color w:val="000000" w:themeColor="text1"/>
                      <w:szCs w:val="21"/>
                      <w14:textFill>
                        <w14:solidFill>
                          <w14:schemeClr w14:val="tx1"/>
                        </w14:solidFill>
                      </w14:textFill>
                    </w:rPr>
                  </w:pPr>
                </w:p>
              </w:tc>
              <w:tc>
                <w:tcPr>
                  <w:tcW w:w="950" w:type="dxa"/>
                  <w:vAlign w:val="center"/>
                </w:tcPr>
                <w:p w14:paraId="3A06E29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1039" w:type="dxa"/>
                  <w:vAlign w:val="center"/>
                </w:tcPr>
                <w:p w14:paraId="75777E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0.5mg/L</w:t>
                  </w:r>
                </w:p>
              </w:tc>
            </w:tr>
          </w:tbl>
          <w:p w14:paraId="1E53394C">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（5）监测计划</w:t>
            </w:r>
          </w:p>
          <w:p w14:paraId="49217E1D">
            <w:pPr>
              <w:pStyle w:val="137"/>
              <w:rPr>
                <w:rFonts w:eastAsia="宋体"/>
                <w:color w:val="000000" w:themeColor="text1"/>
                <w14:textFill>
                  <w14:solidFill>
                    <w14:schemeClr w14:val="tx1"/>
                  </w14:solidFill>
                </w14:textFill>
              </w:rPr>
            </w:pPr>
            <w:r>
              <w:rPr>
                <w:rFonts w:eastAsia="宋体"/>
                <w:bCs/>
                <w:color w:val="000000" w:themeColor="text1"/>
                <w14:textFill>
                  <w14:solidFill>
                    <w14:schemeClr w14:val="tx1"/>
                  </w14:solidFill>
                </w14:textFill>
              </w:rPr>
              <w:t>《排污许可证申请与核发技术规范总则》（HJ942—2018）</w:t>
            </w:r>
            <w:r>
              <w:rPr>
                <w:rFonts w:eastAsia="宋体"/>
                <w:color w:val="000000" w:themeColor="text1"/>
                <w14:textFill>
                  <w14:solidFill>
                    <w14:schemeClr w14:val="tx1"/>
                  </w14:solidFill>
                </w14:textFill>
              </w:rPr>
              <w:t>、《排污单位自行监测技术指南总则》（HJ819-2017）</w:t>
            </w:r>
            <w:r>
              <w:rPr>
                <w:rFonts w:eastAsia="宋体"/>
                <w:bCs/>
                <w:color w:val="000000" w:themeColor="text1"/>
                <w14:textFill>
                  <w14:solidFill>
                    <w14:schemeClr w14:val="tx1"/>
                  </w14:solidFill>
                </w14:textFill>
              </w:rPr>
              <w:t>相关要求</w:t>
            </w:r>
            <w:r>
              <w:rPr>
                <w:rFonts w:eastAsia="宋体"/>
                <w:color w:val="000000" w:themeColor="text1"/>
                <w14:textFill>
                  <w14:solidFill>
                    <w14:schemeClr w14:val="tx1"/>
                  </w14:solidFill>
                </w14:textFill>
              </w:rPr>
              <w:t>，针对项目特点</w:t>
            </w:r>
            <w:r>
              <w:rPr>
                <w:rFonts w:eastAsia="宋体"/>
                <w:bCs/>
                <w:color w:val="000000" w:themeColor="text1"/>
                <w14:textFill>
                  <w14:solidFill>
                    <w14:schemeClr w14:val="tx1"/>
                  </w14:solidFill>
                </w14:textFill>
              </w:rPr>
              <w:t>，提出以下废水监测计划，</w:t>
            </w:r>
            <w:r>
              <w:rPr>
                <w:rFonts w:eastAsia="宋体"/>
                <w:color w:val="000000" w:themeColor="text1"/>
                <w14:textFill>
                  <w14:solidFill>
                    <w14:schemeClr w14:val="tx1"/>
                  </w14:solidFill>
                </w14:textFill>
              </w:rPr>
              <w:t>见表</w:t>
            </w:r>
            <w:r>
              <w:rPr>
                <w:rFonts w:eastAsia="宋体"/>
                <w:b/>
                <w:bCs/>
                <w:color w:val="000000" w:themeColor="text1"/>
                <w14:textFill>
                  <w14:solidFill>
                    <w14:schemeClr w14:val="tx1"/>
                  </w14:solidFill>
                </w14:textFill>
              </w:rPr>
              <w:t>4.2-8</w:t>
            </w:r>
            <w:r>
              <w:rPr>
                <w:rFonts w:eastAsia="宋体"/>
                <w:color w:val="000000" w:themeColor="text1"/>
                <w14:textFill>
                  <w14:solidFill>
                    <w14:schemeClr w14:val="tx1"/>
                  </w14:solidFill>
                </w14:textFill>
              </w:rPr>
              <w:t>。</w:t>
            </w:r>
          </w:p>
          <w:p w14:paraId="5F84FF6C">
            <w:pPr>
              <w:pStyle w:val="40"/>
              <w:spacing w:before="120" w:beforeLines="5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w:t>
            </w:r>
            <w:r>
              <w:rPr>
                <w:rFonts w:ascii="Times New Roman" w:hAnsi="Times New Roman" w:cs="Times New Roman"/>
                <w:b/>
                <w:bCs/>
                <w:color w:val="000000" w:themeColor="text1"/>
                <w14:textFill>
                  <w14:solidFill>
                    <w14:schemeClr w14:val="tx1"/>
                  </w14:solidFill>
                </w14:textFill>
              </w:rPr>
              <w:t>4.2-8</w:t>
            </w:r>
            <w:r>
              <w:rPr>
                <w:rFonts w:ascii="Times New Roman" w:hAnsi="Times New Roman" w:cs="Times New Roman"/>
                <w:b/>
                <w:color w:val="000000" w:themeColor="text1"/>
                <w14:textFill>
                  <w14:solidFill>
                    <w14:schemeClr w14:val="tx1"/>
                  </w14:solidFill>
                </w14:textFill>
              </w:rPr>
              <w:t>废水监测要求一览表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206"/>
              <w:gridCol w:w="2317"/>
              <w:gridCol w:w="1293"/>
              <w:gridCol w:w="2938"/>
            </w:tblGrid>
            <w:tr w14:paraId="0CE6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vAlign w:val="center"/>
                </w:tcPr>
                <w:p w14:paraId="4AF7A39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污染物类型</w:t>
                  </w:r>
                </w:p>
              </w:tc>
              <w:tc>
                <w:tcPr>
                  <w:tcW w:w="694" w:type="pct"/>
                  <w:vAlign w:val="center"/>
                </w:tcPr>
                <w:p w14:paraId="3E61F89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14:paraId="737B72B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点位</w:t>
                  </w:r>
                </w:p>
              </w:tc>
              <w:tc>
                <w:tcPr>
                  <w:tcW w:w="1333" w:type="pct"/>
                  <w:vAlign w:val="center"/>
                </w:tcPr>
                <w:p w14:paraId="0D9D671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监测指标</w:t>
                  </w:r>
                </w:p>
              </w:tc>
              <w:tc>
                <w:tcPr>
                  <w:tcW w:w="744" w:type="pct"/>
                  <w:vAlign w:val="center"/>
                </w:tcPr>
                <w:p w14:paraId="62E712D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14:paraId="3629CB3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频次</w:t>
                  </w:r>
                </w:p>
              </w:tc>
              <w:tc>
                <w:tcPr>
                  <w:tcW w:w="1690" w:type="pct"/>
                  <w:vAlign w:val="center"/>
                </w:tcPr>
                <w:p w14:paraId="6901F4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6A58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537" w:type="pct"/>
                  <w:vMerge w:val="restart"/>
                  <w:vAlign w:val="center"/>
                </w:tcPr>
                <w:p w14:paraId="51E01E4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694" w:type="pct"/>
                  <w:vMerge w:val="restart"/>
                  <w:vAlign w:val="center"/>
                </w:tcPr>
                <w:p w14:paraId="372E4CF0">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小米智能制造产业园生化池</w:t>
                  </w:r>
                  <w:r>
                    <w:rPr>
                      <w:bCs/>
                      <w:color w:val="000000" w:themeColor="text1"/>
                      <w:szCs w:val="21"/>
                      <w14:textFill>
                        <w14:solidFill>
                          <w14:schemeClr w14:val="tx1"/>
                        </w14:solidFill>
                      </w14:textFill>
                    </w:rPr>
                    <w:t>排口</w:t>
                  </w:r>
                </w:p>
              </w:tc>
              <w:tc>
                <w:tcPr>
                  <w:tcW w:w="1333" w:type="pct"/>
                  <w:vAlign w:val="center"/>
                </w:tcPr>
                <w:p w14:paraId="7DD72A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流量、pH、COD、BOD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、SS、石油类</w:t>
                  </w:r>
                </w:p>
              </w:tc>
              <w:tc>
                <w:tcPr>
                  <w:tcW w:w="744" w:type="pct"/>
                  <w:vMerge w:val="restart"/>
                  <w:vAlign w:val="center"/>
                </w:tcPr>
                <w:p w14:paraId="75BBE69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验收时监测一次，后续由园区物管负责</w:t>
                  </w:r>
                </w:p>
              </w:tc>
              <w:tc>
                <w:tcPr>
                  <w:tcW w:w="1690" w:type="pct"/>
                  <w:vAlign w:val="center"/>
                </w:tcPr>
                <w:p w14:paraId="446FCF8D">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《污水综合排放标准》（GB8978-1996）三级标准</w:t>
                  </w:r>
                </w:p>
              </w:tc>
            </w:tr>
            <w:tr w14:paraId="661B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537" w:type="pct"/>
                  <w:vMerge w:val="continue"/>
                  <w:vAlign w:val="center"/>
                </w:tcPr>
                <w:p w14:paraId="52A135C2">
                  <w:pPr>
                    <w:adjustRightInd w:val="0"/>
                    <w:snapToGrid w:val="0"/>
                    <w:jc w:val="center"/>
                    <w:rPr>
                      <w:color w:val="000000" w:themeColor="text1"/>
                      <w:szCs w:val="21"/>
                      <w14:textFill>
                        <w14:solidFill>
                          <w14:schemeClr w14:val="tx1"/>
                        </w14:solidFill>
                      </w14:textFill>
                    </w:rPr>
                  </w:pPr>
                </w:p>
              </w:tc>
              <w:tc>
                <w:tcPr>
                  <w:tcW w:w="694" w:type="pct"/>
                  <w:vMerge w:val="continue"/>
                  <w:vAlign w:val="center"/>
                </w:tcPr>
                <w:p w14:paraId="637DBFF4">
                  <w:pPr>
                    <w:adjustRightInd w:val="0"/>
                    <w:snapToGrid w:val="0"/>
                    <w:jc w:val="center"/>
                    <w:rPr>
                      <w:color w:val="000000" w:themeColor="text1"/>
                      <w14:textFill>
                        <w14:solidFill>
                          <w14:schemeClr w14:val="tx1"/>
                        </w14:solidFill>
                      </w14:textFill>
                    </w:rPr>
                  </w:pPr>
                </w:p>
              </w:tc>
              <w:tc>
                <w:tcPr>
                  <w:tcW w:w="1333" w:type="pct"/>
                  <w:vAlign w:val="center"/>
                </w:tcPr>
                <w:p w14:paraId="538FF53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氨氮、总磷</w:t>
                  </w:r>
                </w:p>
              </w:tc>
              <w:tc>
                <w:tcPr>
                  <w:tcW w:w="744" w:type="pct"/>
                  <w:vMerge w:val="continue"/>
                  <w:vAlign w:val="center"/>
                </w:tcPr>
                <w:p w14:paraId="2DE786D9">
                  <w:pPr>
                    <w:adjustRightInd w:val="0"/>
                    <w:snapToGrid w:val="0"/>
                    <w:jc w:val="center"/>
                    <w:rPr>
                      <w:color w:val="000000" w:themeColor="text1"/>
                      <w:szCs w:val="21"/>
                      <w14:textFill>
                        <w14:solidFill>
                          <w14:schemeClr w14:val="tx1"/>
                        </w14:solidFill>
                      </w14:textFill>
                    </w:rPr>
                  </w:pPr>
                </w:p>
              </w:tc>
              <w:tc>
                <w:tcPr>
                  <w:tcW w:w="1690" w:type="pct"/>
                  <w:vAlign w:val="center"/>
                </w:tcPr>
                <w:p w14:paraId="7EDC5A0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《污水排入城镇下水道水质标准》（GB/T31962-2015）</w:t>
                  </w:r>
                </w:p>
              </w:tc>
            </w:tr>
          </w:tbl>
          <w:p w14:paraId="3EA31A59">
            <w:pPr>
              <w:pStyle w:val="11"/>
              <w:spacing w:line="240" w:lineRule="auto"/>
              <w:ind w:firstLine="480"/>
              <w:rPr>
                <w:color w:val="000000" w:themeColor="text1"/>
                <w:sz w:val="21"/>
                <w:szCs w:val="21"/>
                <w14:textFill>
                  <w14:solidFill>
                    <w14:schemeClr w14:val="tx1"/>
                  </w14:solidFill>
                </w14:textFill>
              </w:rPr>
            </w:pPr>
            <w:r>
              <w:rPr>
                <w:rFonts w:hint="eastAsia" w:eastAsia="宋体"/>
                <w:b/>
                <w:color w:val="000000" w:themeColor="text1"/>
                <w:sz w:val="21"/>
                <w:szCs w:val="21"/>
                <w:lang w:eastAsia="zh-CN"/>
                <w14:textFill>
                  <w14:solidFill>
                    <w14:schemeClr w14:val="tx1"/>
                  </w14:solidFill>
                </w14:textFill>
              </w:rPr>
              <w:t>注：</w:t>
            </w:r>
            <w:r>
              <w:rPr>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产生的废水</w:t>
            </w:r>
            <w:r>
              <w:rPr>
                <w:color w:val="000000" w:themeColor="text1"/>
                <w:sz w:val="21"/>
                <w:szCs w:val="21"/>
                <w14:textFill>
                  <w14:solidFill>
                    <w14:schemeClr w14:val="tx1"/>
                  </w14:solidFill>
                </w14:textFill>
              </w:rPr>
              <w:t>处理依托</w:t>
            </w:r>
            <w:r>
              <w:rPr>
                <w:rFonts w:hint="eastAsia" w:eastAsia="宋体"/>
                <w:color w:val="000000" w:themeColor="text1"/>
                <w:sz w:val="21"/>
                <w:szCs w:val="21"/>
                <w:lang w:eastAsia="zh-CN"/>
                <w14:textFill>
                  <w14:solidFill>
                    <w14:schemeClr w14:val="tx1"/>
                  </w14:solidFill>
                </w14:textFill>
              </w:rPr>
              <w:t>重庆绅鹏商业运营管理有限公司</w:t>
            </w:r>
            <w:r>
              <w:rPr>
                <w:rFonts w:hint="eastAsia"/>
                <w:color w:val="000000" w:themeColor="text1"/>
                <w:sz w:val="21"/>
                <w:szCs w:val="21"/>
                <w:lang w:eastAsia="zh-CN"/>
                <w14:textFill>
                  <w14:solidFill>
                    <w14:schemeClr w14:val="tx1"/>
                  </w14:solidFill>
                </w14:textFill>
              </w:rPr>
              <w:t>管理</w:t>
            </w:r>
            <w:r>
              <w:rPr>
                <w:color w:val="000000" w:themeColor="text1"/>
                <w:sz w:val="21"/>
                <w:szCs w:val="21"/>
                <w14:textFill>
                  <w14:solidFill>
                    <w14:schemeClr w14:val="tx1"/>
                  </w14:solidFill>
                </w14:textFill>
              </w:rPr>
              <w:t>的</w:t>
            </w:r>
            <w:r>
              <w:rPr>
                <w:rFonts w:hint="eastAsia"/>
                <w:color w:val="000000" w:themeColor="text1"/>
                <w:sz w:val="21"/>
                <w:szCs w:val="21"/>
                <w14:textFill>
                  <w14:solidFill>
                    <w14:schemeClr w14:val="tx1"/>
                  </w14:solidFill>
                </w14:textFill>
              </w:rPr>
              <w:t>污水处理设施</w:t>
            </w:r>
            <w:r>
              <w:rPr>
                <w:color w:val="000000" w:themeColor="text1"/>
                <w:sz w:val="21"/>
                <w:szCs w:val="21"/>
                <w14:textFill>
                  <w14:solidFill>
                    <w14:schemeClr w14:val="tx1"/>
                  </w14:solidFill>
                </w14:textFill>
              </w:rPr>
              <w:t>进行处理，环保责任主体为</w:t>
            </w:r>
            <w:r>
              <w:rPr>
                <w:rFonts w:hint="eastAsia" w:eastAsia="宋体"/>
                <w:color w:val="000000" w:themeColor="text1"/>
                <w:sz w:val="21"/>
                <w:szCs w:val="21"/>
                <w:lang w:eastAsia="zh-CN"/>
                <w14:textFill>
                  <w14:solidFill>
                    <w14:schemeClr w14:val="tx1"/>
                  </w14:solidFill>
                </w14:textFill>
              </w:rPr>
              <w:t>重庆绅鹏商业运营管理有限公司</w:t>
            </w:r>
            <w:r>
              <w:rPr>
                <w:rFonts w:hint="eastAsia"/>
                <w:color w:val="000000" w:themeColor="text1"/>
                <w:sz w:val="21"/>
                <w:szCs w:val="21"/>
                <w:lang w:eastAsia="zh-CN"/>
                <w14:textFill>
                  <w14:solidFill>
                    <w14:schemeClr w14:val="tx1"/>
                  </w14:solidFill>
                </w14:textFill>
              </w:rPr>
              <w:t>管理</w:t>
            </w:r>
            <w:r>
              <w:rPr>
                <w:color w:val="000000" w:themeColor="text1"/>
                <w:sz w:val="21"/>
                <w:szCs w:val="21"/>
                <w14:textFill>
                  <w14:solidFill>
                    <w14:schemeClr w14:val="tx1"/>
                  </w14:solidFill>
                </w14:textFill>
              </w:rPr>
              <w:t>，负责</w:t>
            </w:r>
            <w:r>
              <w:rPr>
                <w:rFonts w:hint="eastAsia"/>
                <w:color w:val="000000" w:themeColor="text1"/>
                <w:sz w:val="21"/>
                <w:szCs w:val="21"/>
                <w14:textFill>
                  <w14:solidFill>
                    <w14:schemeClr w14:val="tx1"/>
                  </w14:solidFill>
                </w14:textFill>
              </w:rPr>
              <w:t>污水处理设施</w:t>
            </w:r>
            <w:r>
              <w:rPr>
                <w:color w:val="000000" w:themeColor="text1"/>
                <w:sz w:val="21"/>
                <w:szCs w:val="21"/>
                <w14:textFill>
                  <w14:solidFill>
                    <w14:schemeClr w14:val="tx1"/>
                  </w14:solidFill>
                </w14:textFill>
              </w:rPr>
              <w:t>的日常运营管理</w:t>
            </w:r>
            <w:r>
              <w:rPr>
                <w:rFonts w:hint="eastAsia"/>
                <w:color w:val="000000" w:themeColor="text1"/>
                <w:sz w:val="21"/>
                <w:szCs w:val="21"/>
                <w14:textFill>
                  <w14:solidFill>
                    <w14:schemeClr w14:val="tx1"/>
                  </w14:solidFill>
                </w14:textFill>
              </w:rPr>
              <w:t>。</w:t>
            </w:r>
          </w:p>
          <w:p w14:paraId="5164FA68">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4.2.3噪声</w:t>
            </w:r>
          </w:p>
          <w:p w14:paraId="5F73924A">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（1）污染工序及源强分析</w:t>
            </w:r>
          </w:p>
          <w:p w14:paraId="1FDC4D2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拟建项目的噪声来源于机械加工设备、</w:t>
            </w:r>
            <w:r>
              <w:rPr>
                <w:rFonts w:hint="eastAsia" w:eastAsia="宋体"/>
                <w:color w:val="000000" w:themeColor="text1"/>
                <w:lang w:eastAsia="zh-CN"/>
                <w14:textFill>
                  <w14:solidFill>
                    <w14:schemeClr w14:val="tx1"/>
                  </w14:solidFill>
                </w14:textFill>
              </w:rPr>
              <w:t>电阻炉</w:t>
            </w:r>
            <w:r>
              <w:rPr>
                <w:rFonts w:eastAsia="宋体"/>
                <w:color w:val="000000" w:themeColor="text1"/>
                <w14:textFill>
                  <w14:solidFill>
                    <w14:schemeClr w14:val="tx1"/>
                  </w14:solidFill>
                </w14:textFill>
              </w:rPr>
              <w:t>、</w:t>
            </w:r>
            <w:r>
              <w:rPr>
                <w:rFonts w:hint="eastAsia" w:eastAsia="宋体"/>
                <w:color w:val="000000" w:themeColor="text1"/>
                <w:lang w:eastAsia="zh-CN"/>
                <w14:textFill>
                  <w14:solidFill>
                    <w14:schemeClr w14:val="tx1"/>
                  </w14:solidFill>
                </w14:textFill>
              </w:rPr>
              <w:t>锯床、</w:t>
            </w:r>
            <w:r>
              <w:rPr>
                <w:rFonts w:eastAsia="宋体"/>
                <w:color w:val="000000" w:themeColor="text1"/>
                <w14:textFill>
                  <w14:solidFill>
                    <w14:schemeClr w14:val="tx1"/>
                  </w14:solidFill>
                </w14:textFill>
              </w:rPr>
              <w:t>空压机等设备运行和工作时产生，噪声值范围为75~85dB(A)。主要设备噪声源强见表</w:t>
            </w:r>
            <w:r>
              <w:rPr>
                <w:rFonts w:eastAsia="宋体"/>
                <w:b/>
                <w:bCs/>
                <w:color w:val="000000" w:themeColor="text1"/>
                <w14:textFill>
                  <w14:solidFill>
                    <w14:schemeClr w14:val="tx1"/>
                  </w14:solidFill>
                </w14:textFill>
              </w:rPr>
              <w:t>4.2-9</w:t>
            </w:r>
            <w:r>
              <w:rPr>
                <w:rFonts w:eastAsia="宋体"/>
                <w:color w:val="000000" w:themeColor="text1"/>
                <w14:textFill>
                  <w14:solidFill>
                    <w14:schemeClr w14:val="tx1"/>
                  </w14:solidFill>
                </w14:textFill>
              </w:rPr>
              <w:t>。</w:t>
            </w:r>
          </w:p>
          <w:p w14:paraId="1B4299A8">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表4.2-9项目噪声源调查清单</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407"/>
              <w:gridCol w:w="453"/>
              <w:gridCol w:w="1157"/>
              <w:gridCol w:w="726"/>
              <w:gridCol w:w="407"/>
              <w:gridCol w:w="469"/>
              <w:gridCol w:w="469"/>
              <w:gridCol w:w="453"/>
              <w:gridCol w:w="417"/>
              <w:gridCol w:w="745"/>
              <w:gridCol w:w="1074"/>
              <w:gridCol w:w="745"/>
              <w:gridCol w:w="758"/>
            </w:tblGrid>
            <w:tr w14:paraId="5A53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restart"/>
                  <w:vAlign w:val="center"/>
                </w:tcPr>
                <w:p w14:paraId="501FC92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234" w:type="pct"/>
                  <w:vMerge w:val="restart"/>
                  <w:vAlign w:val="center"/>
                </w:tcPr>
                <w:p w14:paraId="0AA90EF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建筑名称</w:t>
                  </w:r>
                </w:p>
              </w:tc>
              <w:tc>
                <w:tcPr>
                  <w:tcW w:w="261" w:type="pct"/>
                  <w:vMerge w:val="restart"/>
                  <w:vAlign w:val="center"/>
                </w:tcPr>
                <w:p w14:paraId="2468C51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声源名称</w:t>
                  </w:r>
                </w:p>
              </w:tc>
              <w:tc>
                <w:tcPr>
                  <w:tcW w:w="666" w:type="pct"/>
                  <w:vMerge w:val="restart"/>
                  <w:vAlign w:val="center"/>
                </w:tcPr>
                <w:p w14:paraId="3FBA1EA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型号</w:t>
                  </w:r>
                </w:p>
              </w:tc>
              <w:tc>
                <w:tcPr>
                  <w:tcW w:w="418" w:type="pct"/>
                  <w:vMerge w:val="restart"/>
                  <w:vAlign w:val="center"/>
                </w:tcPr>
                <w:p w14:paraId="1BFBA51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声压级/距声源距离（dB（A）/m）</w:t>
                  </w:r>
                </w:p>
              </w:tc>
              <w:tc>
                <w:tcPr>
                  <w:tcW w:w="234" w:type="pct"/>
                  <w:vMerge w:val="restart"/>
                  <w:vAlign w:val="center"/>
                </w:tcPr>
                <w:p w14:paraId="0400D5C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声控制措施</w:t>
                  </w:r>
                </w:p>
              </w:tc>
              <w:tc>
                <w:tcPr>
                  <w:tcW w:w="801" w:type="pct"/>
                  <w:gridSpan w:val="3"/>
                  <w:vAlign w:val="center"/>
                </w:tcPr>
                <w:p w14:paraId="5AF824B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空间相对位置/m</w:t>
                  </w:r>
                </w:p>
              </w:tc>
              <w:tc>
                <w:tcPr>
                  <w:tcW w:w="240" w:type="pct"/>
                  <w:vMerge w:val="restart"/>
                  <w:vAlign w:val="center"/>
                </w:tcPr>
                <w:p w14:paraId="497A8B7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距室内边界距离/m</w:t>
                  </w:r>
                </w:p>
              </w:tc>
              <w:tc>
                <w:tcPr>
                  <w:tcW w:w="429" w:type="pct"/>
                  <w:vMerge w:val="restart"/>
                  <w:vAlign w:val="center"/>
                </w:tcPr>
                <w:p w14:paraId="33B4870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室内边界声级/dB(A)</w:t>
                  </w:r>
                </w:p>
              </w:tc>
              <w:tc>
                <w:tcPr>
                  <w:tcW w:w="618" w:type="pct"/>
                  <w:vMerge w:val="restart"/>
                  <w:vAlign w:val="center"/>
                </w:tcPr>
                <w:p w14:paraId="6845B51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运行时段</w:t>
                  </w:r>
                </w:p>
              </w:tc>
              <w:tc>
                <w:tcPr>
                  <w:tcW w:w="429" w:type="pct"/>
                  <w:vMerge w:val="restart"/>
                  <w:vAlign w:val="center"/>
                </w:tcPr>
                <w:p w14:paraId="564E048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建筑物插入损失/dB(A)</w:t>
                  </w:r>
                </w:p>
              </w:tc>
              <w:tc>
                <w:tcPr>
                  <w:tcW w:w="429" w:type="pct"/>
                  <w:vMerge w:val="restart"/>
                  <w:vAlign w:val="center"/>
                </w:tcPr>
                <w:p w14:paraId="5497CAA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建筑物外噪声</w:t>
                  </w:r>
                </w:p>
                <w:p w14:paraId="799A92E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/dB(A)</w:t>
                  </w:r>
                </w:p>
              </w:tc>
            </w:tr>
            <w:tr w14:paraId="1E9D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34" w:type="pct"/>
                  <w:vMerge w:val="continue"/>
                  <w:vAlign w:val="center"/>
                </w:tcPr>
                <w:p w14:paraId="78889B63">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AEC1D2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F4A68B7">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B55DFA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59CD428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4B4094A">
                  <w:pPr>
                    <w:adjustRightInd w:val="0"/>
                    <w:snapToGrid w:val="0"/>
                    <w:jc w:val="center"/>
                    <w:rPr>
                      <w:color w:val="000000" w:themeColor="text1"/>
                      <w:sz w:val="18"/>
                      <w:szCs w:val="18"/>
                      <w14:textFill>
                        <w14:solidFill>
                          <w14:schemeClr w14:val="tx1"/>
                        </w14:solidFill>
                      </w14:textFill>
                    </w:rPr>
                  </w:pPr>
                </w:p>
              </w:tc>
              <w:tc>
                <w:tcPr>
                  <w:tcW w:w="270" w:type="pct"/>
                  <w:vAlign w:val="center"/>
                </w:tcPr>
                <w:p w14:paraId="06D079D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X</w:t>
                  </w:r>
                </w:p>
              </w:tc>
              <w:tc>
                <w:tcPr>
                  <w:tcW w:w="270" w:type="pct"/>
                  <w:vAlign w:val="center"/>
                </w:tcPr>
                <w:p w14:paraId="79A06E3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Y</w:t>
                  </w:r>
                </w:p>
              </w:tc>
              <w:tc>
                <w:tcPr>
                  <w:tcW w:w="261" w:type="pct"/>
                  <w:vAlign w:val="center"/>
                </w:tcPr>
                <w:p w14:paraId="15F560D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Z</w:t>
                  </w:r>
                </w:p>
              </w:tc>
              <w:tc>
                <w:tcPr>
                  <w:tcW w:w="240" w:type="pct"/>
                  <w:vMerge w:val="continue"/>
                  <w:vAlign w:val="center"/>
                </w:tcPr>
                <w:p w14:paraId="1EA166EF">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92C9F3A">
                  <w:pPr>
                    <w:adjustRightInd w:val="0"/>
                    <w:snapToGrid w:val="0"/>
                    <w:jc w:val="center"/>
                    <w:rPr>
                      <w:color w:val="000000" w:themeColor="text1"/>
                      <w:sz w:val="18"/>
                      <w:szCs w:val="18"/>
                      <w14:textFill>
                        <w14:solidFill>
                          <w14:schemeClr w14:val="tx1"/>
                        </w14:solidFill>
                      </w14:textFill>
                    </w:rPr>
                  </w:pPr>
                </w:p>
              </w:tc>
              <w:tc>
                <w:tcPr>
                  <w:tcW w:w="618" w:type="pct"/>
                  <w:vMerge w:val="continue"/>
                  <w:vAlign w:val="center"/>
                </w:tcPr>
                <w:p w14:paraId="50189041">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65601B6B">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9D04B55">
                  <w:pPr>
                    <w:adjustRightInd w:val="0"/>
                    <w:snapToGrid w:val="0"/>
                    <w:jc w:val="center"/>
                    <w:rPr>
                      <w:color w:val="000000" w:themeColor="text1"/>
                      <w:sz w:val="18"/>
                      <w:szCs w:val="18"/>
                      <w14:textFill>
                        <w14:solidFill>
                          <w14:schemeClr w14:val="tx1"/>
                        </w14:solidFill>
                      </w14:textFill>
                    </w:rPr>
                  </w:pPr>
                </w:p>
              </w:tc>
            </w:tr>
            <w:tr w14:paraId="4699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34" w:type="pct"/>
                  <w:vMerge w:val="restart"/>
                  <w:vAlign w:val="center"/>
                </w:tcPr>
                <w:p w14:paraId="5CFBCAB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234" w:type="pct"/>
                  <w:vMerge w:val="restart"/>
                  <w:vAlign w:val="center"/>
                </w:tcPr>
                <w:p w14:paraId="2E230BF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生产车间</w:t>
                  </w:r>
                </w:p>
              </w:tc>
              <w:tc>
                <w:tcPr>
                  <w:tcW w:w="261" w:type="pct"/>
                  <w:vMerge w:val="restart"/>
                  <w:vAlign w:val="center"/>
                </w:tcPr>
                <w:p w14:paraId="4CE74ED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锯床</w:t>
                  </w:r>
                </w:p>
              </w:tc>
              <w:tc>
                <w:tcPr>
                  <w:tcW w:w="666" w:type="pct"/>
                  <w:vMerge w:val="restart"/>
                  <w:vAlign w:val="center"/>
                </w:tcPr>
                <w:p w14:paraId="6144CA3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JTM850</w:t>
                  </w:r>
                </w:p>
              </w:tc>
              <w:tc>
                <w:tcPr>
                  <w:tcW w:w="418" w:type="pct"/>
                  <w:vMerge w:val="restart"/>
                  <w:vAlign w:val="center"/>
                </w:tcPr>
                <w:p w14:paraId="7E1A2F9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33CC98A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174020B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270" w:type="pct"/>
                  <w:vMerge w:val="restart"/>
                  <w:vAlign w:val="center"/>
                </w:tcPr>
                <w:p w14:paraId="2182F36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261" w:type="pct"/>
                  <w:vMerge w:val="restart"/>
                  <w:vAlign w:val="center"/>
                </w:tcPr>
                <w:p w14:paraId="1482355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c>
                <w:tcPr>
                  <w:tcW w:w="240" w:type="pct"/>
                  <w:vAlign w:val="center"/>
                </w:tcPr>
                <w:p w14:paraId="1A9654F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7132FC54">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65.2</w:t>
                  </w:r>
                </w:p>
              </w:tc>
              <w:tc>
                <w:tcPr>
                  <w:tcW w:w="618" w:type="pct"/>
                  <w:vMerge w:val="restart"/>
                  <w:vAlign w:val="center"/>
                </w:tcPr>
                <w:p w14:paraId="2DE9A0A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065873C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3365F9A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44.2</w:t>
                  </w:r>
                </w:p>
              </w:tc>
            </w:tr>
            <w:tr w14:paraId="2533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34" w:type="pct"/>
                  <w:vMerge w:val="continue"/>
                  <w:vAlign w:val="center"/>
                </w:tcPr>
                <w:p w14:paraId="72D6D27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B0EFD2A">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DA34A23">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5004643A">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71854550">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C9251EE">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616E5AAD">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4E1E788C">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C8C7F73">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1198BF9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w:t>
                  </w:r>
                </w:p>
              </w:tc>
              <w:tc>
                <w:tcPr>
                  <w:tcW w:w="726" w:type="dxa"/>
                  <w:vAlign w:val="bottom"/>
                </w:tcPr>
                <w:p w14:paraId="55B34670">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65.3</w:t>
                  </w:r>
                </w:p>
              </w:tc>
              <w:tc>
                <w:tcPr>
                  <w:tcW w:w="618" w:type="pct"/>
                  <w:vMerge w:val="continue"/>
                  <w:vAlign w:val="center"/>
                </w:tcPr>
                <w:p w14:paraId="454D191F">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011C2AC">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1561BF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44.3</w:t>
                  </w:r>
                </w:p>
              </w:tc>
            </w:tr>
            <w:tr w14:paraId="1037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34" w:type="pct"/>
                  <w:vMerge w:val="continue"/>
                  <w:vAlign w:val="center"/>
                </w:tcPr>
                <w:p w14:paraId="105F838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4CA2DFD">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7928AF9">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16125C8">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B6D727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07F3868">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67C4317">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436CEEF5">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BE07CAD">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3212DAA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22</w:t>
                  </w:r>
                </w:p>
              </w:tc>
              <w:tc>
                <w:tcPr>
                  <w:tcW w:w="726" w:type="dxa"/>
                  <w:vAlign w:val="bottom"/>
                </w:tcPr>
                <w:p w14:paraId="2CA73ABB">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65.3</w:t>
                  </w:r>
                </w:p>
              </w:tc>
              <w:tc>
                <w:tcPr>
                  <w:tcW w:w="618" w:type="pct"/>
                  <w:vMerge w:val="continue"/>
                  <w:vAlign w:val="center"/>
                </w:tcPr>
                <w:p w14:paraId="2AF3A2E6">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73FD6E81">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1104B5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44.3</w:t>
                  </w:r>
                </w:p>
              </w:tc>
            </w:tr>
            <w:tr w14:paraId="495E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34" w:type="pct"/>
                  <w:vMerge w:val="continue"/>
                  <w:vAlign w:val="center"/>
                </w:tcPr>
                <w:p w14:paraId="7DDDAD5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5B6E4E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0EB62D0">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ED4A2FC">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6CA6735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D07D816">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19FEFD09">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48FA04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D29BFB4">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61714DB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w:t>
                  </w:r>
                </w:p>
              </w:tc>
              <w:tc>
                <w:tcPr>
                  <w:tcW w:w="726" w:type="dxa"/>
                  <w:vAlign w:val="bottom"/>
                </w:tcPr>
                <w:p w14:paraId="400AC5DF">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65.2</w:t>
                  </w:r>
                </w:p>
              </w:tc>
              <w:tc>
                <w:tcPr>
                  <w:tcW w:w="618" w:type="pct"/>
                  <w:vMerge w:val="continue"/>
                  <w:vAlign w:val="center"/>
                </w:tcPr>
                <w:p w14:paraId="6373C37D">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99817A4">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CF4BCD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44.2</w:t>
                  </w:r>
                </w:p>
              </w:tc>
            </w:tr>
            <w:tr w14:paraId="112C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restart"/>
                  <w:vAlign w:val="center"/>
                </w:tcPr>
                <w:p w14:paraId="43AD52D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234" w:type="pct"/>
                  <w:vMerge w:val="continue"/>
                  <w:vAlign w:val="center"/>
                </w:tcPr>
                <w:p w14:paraId="678773FC">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40D410CD">
                  <w:pPr>
                    <w:adjustRightInd w:val="0"/>
                    <w:snapToGrid w:val="0"/>
                    <w:jc w:val="cente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电阻炉</w:t>
                  </w:r>
                </w:p>
              </w:tc>
              <w:tc>
                <w:tcPr>
                  <w:tcW w:w="666" w:type="pct"/>
                  <w:vMerge w:val="restart"/>
                  <w:vAlign w:val="center"/>
                </w:tcPr>
                <w:p w14:paraId="7F0A799A">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RX3-1200X</w:t>
                  </w:r>
                </w:p>
                <w:p w14:paraId="217F46A7">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600X400-7</w:t>
                  </w:r>
                </w:p>
              </w:tc>
              <w:tc>
                <w:tcPr>
                  <w:tcW w:w="418" w:type="pct"/>
                  <w:vMerge w:val="restart"/>
                  <w:vAlign w:val="center"/>
                </w:tcPr>
                <w:p w14:paraId="370E731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75/1</w:t>
                  </w:r>
                </w:p>
              </w:tc>
              <w:tc>
                <w:tcPr>
                  <w:tcW w:w="234" w:type="pct"/>
                  <w:vMerge w:val="restart"/>
                  <w:vAlign w:val="center"/>
                </w:tcPr>
                <w:p w14:paraId="769867D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534F2B5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70" w:type="pct"/>
                  <w:vMerge w:val="restart"/>
                  <w:vAlign w:val="center"/>
                </w:tcPr>
                <w:p w14:paraId="70072C8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261" w:type="pct"/>
                  <w:vMerge w:val="restart"/>
                  <w:vAlign w:val="center"/>
                </w:tcPr>
                <w:p w14:paraId="5671F74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240" w:type="pct"/>
                  <w:vAlign w:val="center"/>
                </w:tcPr>
                <w:p w14:paraId="440702A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w:t>
                  </w:r>
                </w:p>
              </w:tc>
              <w:tc>
                <w:tcPr>
                  <w:tcW w:w="726" w:type="dxa"/>
                  <w:vAlign w:val="bottom"/>
                </w:tcPr>
                <w:p w14:paraId="03E119B5">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restart"/>
                  <w:vAlign w:val="center"/>
                </w:tcPr>
                <w:p w14:paraId="7D58107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63E6B7B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69BA713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499D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418B1A97">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D3C6C1E">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224DF31">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2A3EABEA">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A61B46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C3111BB">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436C65D2">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4631BAF5">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ACE5695">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328BA40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43</w:t>
                  </w:r>
                </w:p>
              </w:tc>
              <w:tc>
                <w:tcPr>
                  <w:tcW w:w="726" w:type="dxa"/>
                  <w:vAlign w:val="bottom"/>
                </w:tcPr>
                <w:p w14:paraId="68A63965">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continue"/>
                  <w:vAlign w:val="center"/>
                </w:tcPr>
                <w:p w14:paraId="7B6A735D">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69ACBD6A">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1B65CD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5E4B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6D56711D">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570F927">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2DFABD5">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1AFFCCBF">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D8D13A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639A908">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587770C8">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E54AC1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C97B002">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5760126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726" w:type="dxa"/>
                  <w:vAlign w:val="bottom"/>
                </w:tcPr>
                <w:p w14:paraId="2FD98C82">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55.9</w:t>
                  </w:r>
                </w:p>
              </w:tc>
              <w:tc>
                <w:tcPr>
                  <w:tcW w:w="618" w:type="pct"/>
                  <w:vMerge w:val="continue"/>
                  <w:vAlign w:val="center"/>
                </w:tcPr>
                <w:p w14:paraId="2DF3673F">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2408012">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39C127A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34.9</w:t>
                  </w:r>
                </w:p>
              </w:tc>
            </w:tr>
            <w:tr w14:paraId="504F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465CD713">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408F2E3">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1D77EAB">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148346D3">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1ED67CB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ACC6F99">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B78E733">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C151E34">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B710100">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4CE353B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22</w:t>
                  </w:r>
                </w:p>
              </w:tc>
              <w:tc>
                <w:tcPr>
                  <w:tcW w:w="726" w:type="dxa"/>
                  <w:vAlign w:val="bottom"/>
                </w:tcPr>
                <w:p w14:paraId="1912C915">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55.3</w:t>
                  </w:r>
                </w:p>
              </w:tc>
              <w:tc>
                <w:tcPr>
                  <w:tcW w:w="618" w:type="pct"/>
                  <w:vMerge w:val="continue"/>
                  <w:vAlign w:val="center"/>
                </w:tcPr>
                <w:p w14:paraId="45AE0627">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F0B4D72">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0583AED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34.3</w:t>
                  </w:r>
                </w:p>
              </w:tc>
            </w:tr>
            <w:tr w14:paraId="1E06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restart"/>
                  <w:vAlign w:val="center"/>
                </w:tcPr>
                <w:p w14:paraId="11DA5CB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234" w:type="pct"/>
                  <w:vMerge w:val="continue"/>
                  <w:vAlign w:val="center"/>
                </w:tcPr>
                <w:p w14:paraId="50640ED0">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335D084F">
                  <w:pPr>
                    <w:adjustRightInd w:val="0"/>
                    <w:snapToGrid w:val="0"/>
                    <w:jc w:val="cente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电阻炉</w:t>
                  </w:r>
                </w:p>
              </w:tc>
              <w:tc>
                <w:tcPr>
                  <w:tcW w:w="666" w:type="pct"/>
                  <w:vMerge w:val="restart"/>
                  <w:vAlign w:val="center"/>
                </w:tcPr>
                <w:p w14:paraId="4F1FE25F">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RX3-1200X</w:t>
                  </w:r>
                </w:p>
                <w:p w14:paraId="06C06E6F">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600X400-12</w:t>
                  </w:r>
                </w:p>
              </w:tc>
              <w:tc>
                <w:tcPr>
                  <w:tcW w:w="418" w:type="pct"/>
                  <w:vMerge w:val="restart"/>
                  <w:vAlign w:val="center"/>
                </w:tcPr>
                <w:p w14:paraId="09A1A5C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75/1</w:t>
                  </w:r>
                </w:p>
              </w:tc>
              <w:tc>
                <w:tcPr>
                  <w:tcW w:w="234" w:type="pct"/>
                  <w:vMerge w:val="restart"/>
                  <w:vAlign w:val="center"/>
                </w:tcPr>
                <w:p w14:paraId="4A27209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7B5902F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70" w:type="pct"/>
                  <w:vMerge w:val="restart"/>
                  <w:vAlign w:val="center"/>
                </w:tcPr>
                <w:p w14:paraId="14344C4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c>
                <w:tcPr>
                  <w:tcW w:w="261" w:type="pct"/>
                  <w:vMerge w:val="restart"/>
                  <w:vAlign w:val="center"/>
                </w:tcPr>
                <w:p w14:paraId="34BD98C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240" w:type="pct"/>
                  <w:vAlign w:val="center"/>
                </w:tcPr>
                <w:p w14:paraId="63D0BD3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w:t>
                  </w:r>
                </w:p>
              </w:tc>
              <w:tc>
                <w:tcPr>
                  <w:tcW w:w="726" w:type="dxa"/>
                  <w:vAlign w:val="bottom"/>
                </w:tcPr>
                <w:p w14:paraId="23E794C1">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restart"/>
                  <w:vAlign w:val="center"/>
                </w:tcPr>
                <w:p w14:paraId="0627B2F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55489DD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53DF30C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5F50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5A13C4B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27C055D">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D1B7F4C">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7D00B3BB">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2C0209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0930389">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439B5DBD">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54A11DF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3514B87">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59BED41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46</w:t>
                  </w:r>
                </w:p>
              </w:tc>
              <w:tc>
                <w:tcPr>
                  <w:tcW w:w="726" w:type="dxa"/>
                  <w:vAlign w:val="bottom"/>
                </w:tcPr>
                <w:p w14:paraId="509763F3">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continue"/>
                  <w:vAlign w:val="center"/>
                </w:tcPr>
                <w:p w14:paraId="3196C8F5">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D331968">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CD2AB9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4164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485AE110">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DFA8947">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F9FE0F7">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BC0DC8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529C4AB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B571247">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BC0CE68">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DD8F24A">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BB8E312">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74C4321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726" w:type="dxa"/>
                  <w:vAlign w:val="bottom"/>
                </w:tcPr>
                <w:p w14:paraId="3F108585">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55.9</w:t>
                  </w:r>
                </w:p>
              </w:tc>
              <w:tc>
                <w:tcPr>
                  <w:tcW w:w="618" w:type="pct"/>
                  <w:vMerge w:val="continue"/>
                  <w:vAlign w:val="center"/>
                </w:tcPr>
                <w:p w14:paraId="2AC1D213">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95B3DAB">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372A91F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34.9</w:t>
                  </w:r>
                </w:p>
              </w:tc>
            </w:tr>
            <w:tr w14:paraId="52ED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1329735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1592764">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3B366D5">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66DF3D15">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6495E42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7E5280B">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3978457">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7EB52F8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A4D4F50">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652FC56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19</w:t>
                  </w:r>
                </w:p>
              </w:tc>
              <w:tc>
                <w:tcPr>
                  <w:tcW w:w="726" w:type="dxa"/>
                  <w:vAlign w:val="bottom"/>
                </w:tcPr>
                <w:p w14:paraId="73B38DFD">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55.4</w:t>
                  </w:r>
                </w:p>
              </w:tc>
              <w:tc>
                <w:tcPr>
                  <w:tcW w:w="618" w:type="pct"/>
                  <w:vMerge w:val="continue"/>
                  <w:vAlign w:val="center"/>
                </w:tcPr>
                <w:p w14:paraId="35713C70">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A2B4119">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21E6058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34.4</w:t>
                  </w:r>
                </w:p>
              </w:tc>
            </w:tr>
            <w:tr w14:paraId="54C1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34" w:type="pct"/>
                  <w:vMerge w:val="restart"/>
                  <w:vAlign w:val="center"/>
                </w:tcPr>
                <w:p w14:paraId="1772DB2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234" w:type="pct"/>
                  <w:vMerge w:val="continue"/>
                  <w:vAlign w:val="center"/>
                </w:tcPr>
                <w:p w14:paraId="4E07671A">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55D2E55A">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shd w:val="clear" w:color="auto" w:fill="FFFFFF"/>
                      <w14:textFill>
                        <w14:solidFill>
                          <w14:schemeClr w14:val="tx1"/>
                        </w14:solidFill>
                      </w14:textFill>
                    </w:rPr>
                    <w:t>等离子焊</w:t>
                  </w:r>
                </w:p>
              </w:tc>
              <w:tc>
                <w:tcPr>
                  <w:tcW w:w="666" w:type="pct"/>
                  <w:vMerge w:val="restart"/>
                  <w:vAlign w:val="center"/>
                </w:tcPr>
                <w:p w14:paraId="6BDF1342">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JAGUARF8</w:t>
                  </w:r>
                </w:p>
              </w:tc>
              <w:tc>
                <w:tcPr>
                  <w:tcW w:w="418" w:type="pct"/>
                  <w:vMerge w:val="restart"/>
                  <w:vAlign w:val="center"/>
                </w:tcPr>
                <w:p w14:paraId="4644471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75/1</w:t>
                  </w:r>
                </w:p>
              </w:tc>
              <w:tc>
                <w:tcPr>
                  <w:tcW w:w="234" w:type="pct"/>
                  <w:vMerge w:val="restart"/>
                  <w:vAlign w:val="center"/>
                </w:tcPr>
                <w:p w14:paraId="41E8395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3DC462E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70" w:type="pct"/>
                  <w:vMerge w:val="restart"/>
                  <w:vAlign w:val="center"/>
                </w:tcPr>
                <w:p w14:paraId="3E21E24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w:t>
                  </w:r>
                </w:p>
              </w:tc>
              <w:tc>
                <w:tcPr>
                  <w:tcW w:w="261" w:type="pct"/>
                  <w:vMerge w:val="restart"/>
                  <w:vAlign w:val="center"/>
                </w:tcPr>
                <w:p w14:paraId="2282012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c>
                <w:tcPr>
                  <w:tcW w:w="240" w:type="pct"/>
                  <w:vAlign w:val="center"/>
                </w:tcPr>
                <w:p w14:paraId="479DD94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w:t>
                  </w:r>
                </w:p>
              </w:tc>
              <w:tc>
                <w:tcPr>
                  <w:tcW w:w="726" w:type="dxa"/>
                  <w:vAlign w:val="bottom"/>
                </w:tcPr>
                <w:p w14:paraId="7EA17575">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restart"/>
                  <w:vAlign w:val="center"/>
                </w:tcPr>
                <w:p w14:paraId="50B549A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238E22F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2EE1D73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29.2</w:t>
                  </w:r>
                </w:p>
              </w:tc>
            </w:tr>
            <w:tr w14:paraId="3831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4" w:type="pct"/>
                  <w:vMerge w:val="continue"/>
                  <w:vAlign w:val="center"/>
                </w:tcPr>
                <w:p w14:paraId="5BEB3BC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9541082">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CD4DE04">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6246FBBF">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46CF10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A3CA020">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77ECF849">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6FE663D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A668704">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4444C94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49</w:t>
                  </w:r>
                </w:p>
              </w:tc>
              <w:tc>
                <w:tcPr>
                  <w:tcW w:w="726" w:type="dxa"/>
                  <w:vAlign w:val="bottom"/>
                </w:tcPr>
                <w:p w14:paraId="4639EB4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continue"/>
                  <w:vAlign w:val="center"/>
                </w:tcPr>
                <w:p w14:paraId="45E5DDAD">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70B5CAA7">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2F18CAF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29.2</w:t>
                  </w:r>
                </w:p>
              </w:tc>
            </w:tr>
            <w:tr w14:paraId="753F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4" w:type="pct"/>
                  <w:vMerge w:val="continue"/>
                  <w:vAlign w:val="center"/>
                </w:tcPr>
                <w:p w14:paraId="625A962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32935A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4344996">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5C262A6">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ACC8E9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94A8C51">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926E2DD">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60045F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FBBEA51">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7F41072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726" w:type="dxa"/>
                  <w:vAlign w:val="bottom"/>
                </w:tcPr>
                <w:p w14:paraId="43DED047">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55.9</w:t>
                  </w:r>
                </w:p>
              </w:tc>
              <w:tc>
                <w:tcPr>
                  <w:tcW w:w="618" w:type="pct"/>
                  <w:vMerge w:val="continue"/>
                  <w:vAlign w:val="center"/>
                </w:tcPr>
                <w:p w14:paraId="6E1A52D3">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B6380FD">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0F652E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29.9</w:t>
                  </w:r>
                </w:p>
              </w:tc>
            </w:tr>
            <w:tr w14:paraId="05D3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34" w:type="pct"/>
                  <w:vMerge w:val="continue"/>
                  <w:vAlign w:val="center"/>
                </w:tcPr>
                <w:p w14:paraId="70E56E8B">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F472C13">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D39DB6C">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3E69763">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9895A1D">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1E0133A">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3BE61E3">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5FE83ED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850D420">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7D63AEA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bottom"/>
                </w:tcPr>
                <w:p w14:paraId="5EB5E35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55.5</w:t>
                  </w:r>
                </w:p>
              </w:tc>
              <w:tc>
                <w:tcPr>
                  <w:tcW w:w="618" w:type="pct"/>
                  <w:vMerge w:val="continue"/>
                  <w:vAlign w:val="center"/>
                </w:tcPr>
                <w:p w14:paraId="5788C67E">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9DE3CA6">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3A203D6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29.5</w:t>
                  </w:r>
                </w:p>
              </w:tc>
            </w:tr>
            <w:tr w14:paraId="20D8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restart"/>
                  <w:vAlign w:val="center"/>
                </w:tcPr>
                <w:p w14:paraId="126812A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234" w:type="pct"/>
                  <w:vMerge w:val="continue"/>
                  <w:vAlign w:val="center"/>
                </w:tcPr>
                <w:p w14:paraId="20219A63">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64ED099C">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氩弧焊机</w:t>
                  </w:r>
                </w:p>
              </w:tc>
              <w:tc>
                <w:tcPr>
                  <w:tcW w:w="666" w:type="pct"/>
                  <w:vMerge w:val="restart"/>
                  <w:vAlign w:val="center"/>
                </w:tcPr>
                <w:p w14:paraId="58D9520B">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shd w:val="clear" w:color="auto" w:fill="FFFFFF"/>
                      <w14:textFill>
                        <w14:solidFill>
                          <w14:schemeClr w14:val="tx1"/>
                        </w14:solidFill>
                      </w14:textFill>
                    </w:rPr>
                    <w:t>/</w:t>
                  </w:r>
                </w:p>
              </w:tc>
              <w:tc>
                <w:tcPr>
                  <w:tcW w:w="418" w:type="pct"/>
                  <w:vMerge w:val="restart"/>
                  <w:vAlign w:val="center"/>
                </w:tcPr>
                <w:p w14:paraId="59C4C15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75/1</w:t>
                  </w:r>
                </w:p>
              </w:tc>
              <w:tc>
                <w:tcPr>
                  <w:tcW w:w="234" w:type="pct"/>
                  <w:vMerge w:val="restart"/>
                  <w:vAlign w:val="center"/>
                </w:tcPr>
                <w:p w14:paraId="48CC60B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7F4F87F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70" w:type="pct"/>
                  <w:vMerge w:val="restart"/>
                  <w:vAlign w:val="center"/>
                </w:tcPr>
                <w:p w14:paraId="1F2BF60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261" w:type="pct"/>
                  <w:vMerge w:val="restart"/>
                  <w:vAlign w:val="center"/>
                </w:tcPr>
                <w:p w14:paraId="3277A60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c>
                <w:tcPr>
                  <w:tcW w:w="240" w:type="pct"/>
                  <w:vAlign w:val="center"/>
                </w:tcPr>
                <w:p w14:paraId="0200FB9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w:t>
                  </w:r>
                </w:p>
              </w:tc>
              <w:tc>
                <w:tcPr>
                  <w:tcW w:w="726" w:type="dxa"/>
                  <w:vAlign w:val="bottom"/>
                </w:tcPr>
                <w:p w14:paraId="351B974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restart"/>
                  <w:vAlign w:val="center"/>
                </w:tcPr>
                <w:p w14:paraId="607607A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0103515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6486941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7D1B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14AD922B">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C7EC8A0">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DD686EF">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8C38E4F">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4B932F6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382C817">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148626AE">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A2A6BD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3A034BC">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3C60FDD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51</w:t>
                  </w:r>
                </w:p>
              </w:tc>
              <w:tc>
                <w:tcPr>
                  <w:tcW w:w="726" w:type="dxa"/>
                  <w:vAlign w:val="bottom"/>
                </w:tcPr>
                <w:p w14:paraId="6ACC74FE">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continue"/>
                  <w:vAlign w:val="center"/>
                </w:tcPr>
                <w:p w14:paraId="70700F83">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9890C11">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4DEA7A5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3B87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140485FC">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BDA9203">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0DE0134">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3ABA213">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D10DE1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507C92D">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A9A6B70">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199C9E7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F7BC8EF">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7E64C60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726" w:type="dxa"/>
                  <w:vAlign w:val="bottom"/>
                </w:tcPr>
                <w:p w14:paraId="250B84C8">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55.9</w:t>
                  </w:r>
                </w:p>
              </w:tc>
              <w:tc>
                <w:tcPr>
                  <w:tcW w:w="618" w:type="pct"/>
                  <w:vMerge w:val="continue"/>
                  <w:vAlign w:val="center"/>
                </w:tcPr>
                <w:p w14:paraId="0F576797">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5CD0C6FC">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BD0EA6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34.9</w:t>
                  </w:r>
                </w:p>
              </w:tc>
            </w:tr>
            <w:tr w14:paraId="51F1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continue"/>
                  <w:vAlign w:val="center"/>
                </w:tcPr>
                <w:p w14:paraId="040118CC">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F843EA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0C9A082">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6A3D601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784361FB">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5160BD2">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06D5C0A">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88D26CE">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4C8EA99">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646DFD9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c>
                <w:tcPr>
                  <w:tcW w:w="726" w:type="dxa"/>
                  <w:vAlign w:val="bottom"/>
                </w:tcPr>
                <w:p w14:paraId="09E389A0">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55.6</w:t>
                  </w:r>
                </w:p>
              </w:tc>
              <w:tc>
                <w:tcPr>
                  <w:tcW w:w="618" w:type="pct"/>
                  <w:vMerge w:val="continue"/>
                  <w:vAlign w:val="center"/>
                </w:tcPr>
                <w:p w14:paraId="0C7456DF">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2387FCA">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8973C0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34.6</w:t>
                  </w:r>
                </w:p>
              </w:tc>
            </w:tr>
            <w:tr w14:paraId="43B4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restart"/>
                  <w:vAlign w:val="center"/>
                </w:tcPr>
                <w:p w14:paraId="56635B1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234" w:type="pct"/>
                  <w:vMerge w:val="continue"/>
                  <w:vAlign w:val="center"/>
                </w:tcPr>
                <w:p w14:paraId="2196672A">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0DE97A2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清洗机</w:t>
                  </w:r>
                </w:p>
              </w:tc>
              <w:tc>
                <w:tcPr>
                  <w:tcW w:w="666" w:type="pct"/>
                  <w:vMerge w:val="restart"/>
                  <w:vAlign w:val="center"/>
                </w:tcPr>
                <w:p w14:paraId="7C21558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18" w:type="pct"/>
                  <w:vMerge w:val="restart"/>
                  <w:vAlign w:val="center"/>
                </w:tcPr>
                <w:p w14:paraId="0B81720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75/1</w:t>
                  </w:r>
                </w:p>
              </w:tc>
              <w:tc>
                <w:tcPr>
                  <w:tcW w:w="234" w:type="pct"/>
                  <w:vMerge w:val="restart"/>
                  <w:vAlign w:val="center"/>
                </w:tcPr>
                <w:p w14:paraId="27D3372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05D6BBB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70" w:type="pct"/>
                  <w:vMerge w:val="restart"/>
                  <w:vAlign w:val="center"/>
                </w:tcPr>
                <w:p w14:paraId="6FC4F45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61" w:type="pct"/>
                  <w:vMerge w:val="restart"/>
                  <w:vAlign w:val="center"/>
                </w:tcPr>
                <w:p w14:paraId="2D1E4AB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c>
                <w:tcPr>
                  <w:tcW w:w="240" w:type="pct"/>
                  <w:vAlign w:val="center"/>
                </w:tcPr>
                <w:p w14:paraId="257F507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w:t>
                  </w:r>
                </w:p>
              </w:tc>
              <w:tc>
                <w:tcPr>
                  <w:tcW w:w="726" w:type="dxa"/>
                  <w:vAlign w:val="bottom"/>
                </w:tcPr>
                <w:p w14:paraId="77DAA639">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restart"/>
                  <w:vAlign w:val="center"/>
                </w:tcPr>
                <w:p w14:paraId="5B3ADF1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56D4EA1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24054F7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2624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18DB3327">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AF4A4A2">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D68E74C">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19E4A29">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552CBE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70AF296">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1208FAD0">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77252485">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CB1FE01">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79E1B77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53</w:t>
                  </w:r>
                </w:p>
              </w:tc>
              <w:tc>
                <w:tcPr>
                  <w:tcW w:w="726" w:type="dxa"/>
                  <w:vAlign w:val="bottom"/>
                </w:tcPr>
                <w:p w14:paraId="3DBC54DA">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55.2</w:t>
                  </w:r>
                </w:p>
              </w:tc>
              <w:tc>
                <w:tcPr>
                  <w:tcW w:w="618" w:type="pct"/>
                  <w:vMerge w:val="continue"/>
                  <w:vAlign w:val="center"/>
                </w:tcPr>
                <w:p w14:paraId="4AD21CC8">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1C6F5C2">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8031E8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34.2</w:t>
                  </w:r>
                </w:p>
              </w:tc>
            </w:tr>
            <w:tr w14:paraId="6708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305013E9">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3072C77">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31DCE4C">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D45D64F">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B18D4A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9921B10">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7A501050">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94896B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1B099FC">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7AD550E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726" w:type="dxa"/>
                  <w:vAlign w:val="bottom"/>
                </w:tcPr>
                <w:p w14:paraId="09447DFF">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55.9</w:t>
                  </w:r>
                </w:p>
              </w:tc>
              <w:tc>
                <w:tcPr>
                  <w:tcW w:w="618" w:type="pct"/>
                  <w:vMerge w:val="continue"/>
                  <w:vAlign w:val="center"/>
                </w:tcPr>
                <w:p w14:paraId="2ABC32E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2598E84A">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E40B34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34.9</w:t>
                  </w:r>
                </w:p>
              </w:tc>
            </w:tr>
            <w:tr w14:paraId="5877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continue"/>
                  <w:vAlign w:val="center"/>
                </w:tcPr>
                <w:p w14:paraId="228386BC">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7D0C416">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6FC05FA">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1356DB37">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583D514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7FC7193">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15868115">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19CC42A">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09AD23C">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0DCDBF6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w:t>
                  </w:r>
                </w:p>
              </w:tc>
              <w:tc>
                <w:tcPr>
                  <w:tcW w:w="726" w:type="dxa"/>
                  <w:vAlign w:val="bottom"/>
                </w:tcPr>
                <w:p w14:paraId="55B681E3">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55.7</w:t>
                  </w:r>
                </w:p>
              </w:tc>
              <w:tc>
                <w:tcPr>
                  <w:tcW w:w="618" w:type="pct"/>
                  <w:vMerge w:val="continue"/>
                  <w:vAlign w:val="center"/>
                </w:tcPr>
                <w:p w14:paraId="54B79243">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5AD65225">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04955AD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34.7</w:t>
                  </w:r>
                </w:p>
              </w:tc>
            </w:tr>
            <w:tr w14:paraId="69A5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34" w:type="pct"/>
                  <w:vMerge w:val="restart"/>
                  <w:vAlign w:val="center"/>
                </w:tcPr>
                <w:p w14:paraId="6E62510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w:t>
                  </w:r>
                </w:p>
              </w:tc>
              <w:tc>
                <w:tcPr>
                  <w:tcW w:w="234" w:type="pct"/>
                  <w:vMerge w:val="continue"/>
                  <w:vAlign w:val="center"/>
                </w:tcPr>
                <w:p w14:paraId="18225E6A">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3BDB3DC2">
                  <w:pPr>
                    <w:adjustRightInd w:val="0"/>
                    <w:snapToGrid w:val="0"/>
                    <w:jc w:val="cente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加工中心</w:t>
                  </w:r>
                </w:p>
              </w:tc>
              <w:tc>
                <w:tcPr>
                  <w:tcW w:w="666" w:type="pct"/>
                  <w:vMerge w:val="restart"/>
                  <w:vAlign w:val="center"/>
                </w:tcPr>
                <w:p w14:paraId="64B8E5F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SHCIQ</w:t>
                  </w:r>
                </w:p>
              </w:tc>
              <w:tc>
                <w:tcPr>
                  <w:tcW w:w="418" w:type="pct"/>
                  <w:vMerge w:val="restart"/>
                  <w:vAlign w:val="center"/>
                </w:tcPr>
                <w:p w14:paraId="29F62C4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17BE8D9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39DD686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270" w:type="pct"/>
                  <w:vMerge w:val="restart"/>
                  <w:vAlign w:val="center"/>
                </w:tcPr>
                <w:p w14:paraId="2A7F184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261" w:type="pct"/>
                  <w:vMerge w:val="restart"/>
                  <w:vAlign w:val="center"/>
                </w:tcPr>
                <w:p w14:paraId="3FA056A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240" w:type="pct"/>
                  <w:vAlign w:val="center"/>
                </w:tcPr>
                <w:p w14:paraId="2E1A0DF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16E7A6F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50.2</w:t>
                  </w:r>
                </w:p>
              </w:tc>
              <w:tc>
                <w:tcPr>
                  <w:tcW w:w="618" w:type="pct"/>
                  <w:vMerge w:val="restart"/>
                  <w:vAlign w:val="center"/>
                </w:tcPr>
                <w:p w14:paraId="228455A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567E0E5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061F4D6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29.2</w:t>
                  </w:r>
                </w:p>
              </w:tc>
            </w:tr>
            <w:tr w14:paraId="5619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34" w:type="pct"/>
                  <w:vMerge w:val="continue"/>
                  <w:vAlign w:val="center"/>
                </w:tcPr>
                <w:p w14:paraId="3A5EFB87">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62670A0">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DAD5DAD">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35841EC">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025C10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410035F">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6291B6DD">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A2BCB2C">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F54C514">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6F52FD5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w:t>
                  </w:r>
                </w:p>
              </w:tc>
              <w:tc>
                <w:tcPr>
                  <w:tcW w:w="726" w:type="dxa"/>
                  <w:vAlign w:val="bottom"/>
                </w:tcPr>
                <w:p w14:paraId="2CF88E6B">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50.2</w:t>
                  </w:r>
                </w:p>
              </w:tc>
              <w:tc>
                <w:tcPr>
                  <w:tcW w:w="618" w:type="pct"/>
                  <w:vMerge w:val="continue"/>
                  <w:vAlign w:val="center"/>
                </w:tcPr>
                <w:p w14:paraId="014732EC">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FB446F9">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FFF41D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29.2</w:t>
                  </w:r>
                </w:p>
              </w:tc>
            </w:tr>
            <w:tr w14:paraId="2254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continue"/>
                  <w:vAlign w:val="center"/>
                </w:tcPr>
                <w:p w14:paraId="139D2E4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3C61C1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5646923">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28ED92E1">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17CE58B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EF0DAFF">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18A01C1">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7C146BD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09CB31F">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4FEF6E1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66C2D22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50.4</w:t>
                  </w:r>
                </w:p>
              </w:tc>
              <w:tc>
                <w:tcPr>
                  <w:tcW w:w="618" w:type="pct"/>
                  <w:vMerge w:val="continue"/>
                  <w:vAlign w:val="center"/>
                </w:tcPr>
                <w:p w14:paraId="03E35551">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396BCD8">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76D285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29.4</w:t>
                  </w:r>
                </w:p>
              </w:tc>
            </w:tr>
            <w:tr w14:paraId="7A3C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34" w:type="pct"/>
                  <w:vMerge w:val="continue"/>
                  <w:vAlign w:val="center"/>
                </w:tcPr>
                <w:p w14:paraId="1276178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2118555">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642E853">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ED86863">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5EA6CE4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7AB9752">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35276754">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52C77B24">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16F61CB">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594EA67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2E2602DD">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50.4</w:t>
                  </w:r>
                </w:p>
              </w:tc>
              <w:tc>
                <w:tcPr>
                  <w:tcW w:w="618" w:type="pct"/>
                  <w:vMerge w:val="continue"/>
                  <w:vAlign w:val="center"/>
                </w:tcPr>
                <w:p w14:paraId="03670079">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05CC0C4">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6D46FA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29.4</w:t>
                  </w:r>
                </w:p>
              </w:tc>
            </w:tr>
            <w:tr w14:paraId="6F28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34" w:type="pct"/>
                  <w:vMerge w:val="restart"/>
                  <w:vAlign w:val="center"/>
                </w:tcPr>
                <w:p w14:paraId="64D9584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234" w:type="pct"/>
                  <w:vMerge w:val="continue"/>
                  <w:vAlign w:val="center"/>
                </w:tcPr>
                <w:p w14:paraId="188D7F54">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250346C2">
                  <w:pPr>
                    <w:pStyle w:val="85"/>
                    <w:rPr>
                      <w:rFonts w:cs="Times New Roman"/>
                      <w:color w:val="000000" w:themeColor="text1"/>
                      <w:sz w:val="18"/>
                      <w:szCs w:val="18"/>
                      <w14:textFill>
                        <w14:solidFill>
                          <w14:schemeClr w14:val="tx1"/>
                        </w14:solidFill>
                      </w14:textFill>
                    </w:rPr>
                  </w:pPr>
                  <w:r>
                    <w:rPr>
                      <w:rFonts w:cs="Times New Roman"/>
                      <w:color w:val="000000" w:themeColor="text1"/>
                      <w:sz w:val="18"/>
                      <w:szCs w:val="18"/>
                      <w:shd w:val="clear" w:color="auto" w:fill="FFFFFF"/>
                      <w14:textFill>
                        <w14:solidFill>
                          <w14:schemeClr w14:val="tx1"/>
                        </w14:solidFill>
                      </w14:textFill>
                    </w:rPr>
                    <w:t>普通车床</w:t>
                  </w:r>
                </w:p>
              </w:tc>
              <w:tc>
                <w:tcPr>
                  <w:tcW w:w="666" w:type="pct"/>
                  <w:vMerge w:val="restart"/>
                  <w:vAlign w:val="center"/>
                </w:tcPr>
                <w:p w14:paraId="2E19398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A01</w:t>
                  </w:r>
                </w:p>
              </w:tc>
              <w:tc>
                <w:tcPr>
                  <w:tcW w:w="418" w:type="pct"/>
                  <w:vMerge w:val="restart"/>
                  <w:vAlign w:val="center"/>
                </w:tcPr>
                <w:p w14:paraId="251DF32F">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3AD9F5C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7D3D96F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2FF2799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41" w:type="dxa"/>
                  <w:vMerge w:val="restart"/>
                  <w:vAlign w:val="center"/>
                </w:tcPr>
                <w:p w14:paraId="3A1C881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55CA7A9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66E186CB">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49.9</w:t>
                  </w:r>
                </w:p>
              </w:tc>
              <w:tc>
                <w:tcPr>
                  <w:tcW w:w="618" w:type="pct"/>
                  <w:vMerge w:val="restart"/>
                  <w:vAlign w:val="center"/>
                </w:tcPr>
                <w:p w14:paraId="446DCDA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69A8B09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495104D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28.9</w:t>
                  </w:r>
                </w:p>
              </w:tc>
            </w:tr>
            <w:tr w14:paraId="5FE2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4" w:type="pct"/>
                  <w:vMerge w:val="continue"/>
                  <w:vAlign w:val="center"/>
                </w:tcPr>
                <w:p w14:paraId="5922A30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B9F523B">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8B42A14">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631CB109">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6203834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73B603D">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EE9351D">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6DD76B01">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3172FE78">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78F2C96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w:t>
                  </w:r>
                </w:p>
              </w:tc>
              <w:tc>
                <w:tcPr>
                  <w:tcW w:w="726" w:type="dxa"/>
                  <w:vAlign w:val="bottom"/>
                </w:tcPr>
                <w:p w14:paraId="062E6D71">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41.0</w:t>
                  </w:r>
                </w:p>
              </w:tc>
              <w:tc>
                <w:tcPr>
                  <w:tcW w:w="618" w:type="pct"/>
                  <w:vMerge w:val="continue"/>
                  <w:vAlign w:val="center"/>
                </w:tcPr>
                <w:p w14:paraId="1FECA306">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50FA13D2">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2901C10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r>
            <w:tr w14:paraId="6A07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4" w:type="pct"/>
                  <w:vMerge w:val="continue"/>
                  <w:vAlign w:val="center"/>
                </w:tcPr>
                <w:p w14:paraId="65820D90">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1F05C4A">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937437E">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6CC96FF">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7690FE6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689358B">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1BC9886">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DDD3C33">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A31D90A">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6412BF4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0E7F018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43.0</w:t>
                  </w:r>
                </w:p>
              </w:tc>
              <w:tc>
                <w:tcPr>
                  <w:tcW w:w="618" w:type="pct"/>
                  <w:vMerge w:val="continue"/>
                  <w:vAlign w:val="center"/>
                </w:tcPr>
                <w:p w14:paraId="7B39DC47">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74CE3046">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B6B69D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22</w:t>
                  </w:r>
                </w:p>
              </w:tc>
            </w:tr>
            <w:tr w14:paraId="36F7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34" w:type="pct"/>
                  <w:vMerge w:val="continue"/>
                  <w:vAlign w:val="center"/>
                </w:tcPr>
                <w:p w14:paraId="53709A39">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99B828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88E6057">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A8C25B6">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359CB0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6B16787">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7EA3A38">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12C5AFBA">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250B2BC4">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713A687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5641A217">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49.9</w:t>
                  </w:r>
                </w:p>
              </w:tc>
              <w:tc>
                <w:tcPr>
                  <w:tcW w:w="618" w:type="pct"/>
                  <w:vMerge w:val="continue"/>
                  <w:vAlign w:val="center"/>
                </w:tcPr>
                <w:p w14:paraId="29EDEE1F">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9E21A28">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4A6F08F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28.9</w:t>
                  </w:r>
                </w:p>
              </w:tc>
            </w:tr>
            <w:tr w14:paraId="2A8B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34" w:type="pct"/>
                  <w:vMerge w:val="restart"/>
                  <w:vAlign w:val="center"/>
                </w:tcPr>
                <w:p w14:paraId="30C8788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234" w:type="pct"/>
                  <w:vMerge w:val="continue"/>
                  <w:vAlign w:val="center"/>
                </w:tcPr>
                <w:p w14:paraId="11A1A509">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7A451E99">
                  <w:pPr>
                    <w:pStyle w:val="85"/>
                    <w:rPr>
                      <w:rFonts w:cs="Times New Roman"/>
                      <w:color w:val="000000" w:themeColor="text1"/>
                      <w:sz w:val="18"/>
                      <w:szCs w:val="18"/>
                      <w14:textFill>
                        <w14:solidFill>
                          <w14:schemeClr w14:val="tx1"/>
                        </w14:solidFill>
                      </w14:textFill>
                    </w:rPr>
                  </w:pPr>
                  <w:r>
                    <w:rPr>
                      <w:rFonts w:cs="Times New Roman"/>
                      <w:color w:val="000000" w:themeColor="text1"/>
                      <w:spacing w:val="8"/>
                      <w:sz w:val="18"/>
                      <w:szCs w:val="18"/>
                      <w:shd w:val="clear" w:color="auto" w:fill="FFFFFF"/>
                      <w14:textFill>
                        <w14:solidFill>
                          <w14:schemeClr w14:val="tx1"/>
                        </w14:solidFill>
                      </w14:textFill>
                    </w:rPr>
                    <w:t>摇臂钻床</w:t>
                  </w:r>
                </w:p>
              </w:tc>
              <w:tc>
                <w:tcPr>
                  <w:tcW w:w="666" w:type="pct"/>
                  <w:vMerge w:val="restart"/>
                  <w:vAlign w:val="center"/>
                </w:tcPr>
                <w:p w14:paraId="5CFB985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2G13012</w:t>
                  </w:r>
                </w:p>
              </w:tc>
              <w:tc>
                <w:tcPr>
                  <w:tcW w:w="418" w:type="pct"/>
                  <w:vMerge w:val="restart"/>
                  <w:vAlign w:val="center"/>
                </w:tcPr>
                <w:p w14:paraId="011C037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79B1C82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6EDF514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370E782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441" w:type="dxa"/>
                  <w:vMerge w:val="restart"/>
                  <w:vAlign w:val="center"/>
                </w:tcPr>
                <w:p w14:paraId="1CDC8FE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6169FF5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759F2DA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59.9</w:t>
                  </w:r>
                </w:p>
              </w:tc>
              <w:tc>
                <w:tcPr>
                  <w:tcW w:w="618" w:type="pct"/>
                  <w:vMerge w:val="restart"/>
                  <w:vAlign w:val="center"/>
                </w:tcPr>
                <w:p w14:paraId="19E137C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1790F43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4B60F7F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38.9</w:t>
                  </w:r>
                </w:p>
              </w:tc>
            </w:tr>
            <w:tr w14:paraId="46CB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34" w:type="pct"/>
                  <w:vMerge w:val="continue"/>
                  <w:vAlign w:val="center"/>
                </w:tcPr>
                <w:p w14:paraId="6990B4F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F548A7C">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5ED9165">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740BE5B5">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49883C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95200CE">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6454BE0">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9D5BDC4">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39ABF766">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67F98A9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47</w:t>
                  </w:r>
                </w:p>
              </w:tc>
              <w:tc>
                <w:tcPr>
                  <w:tcW w:w="726" w:type="dxa"/>
                  <w:vAlign w:val="bottom"/>
                </w:tcPr>
                <w:p w14:paraId="00E73FC8">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51.6</w:t>
                  </w:r>
                </w:p>
              </w:tc>
              <w:tc>
                <w:tcPr>
                  <w:tcW w:w="618" w:type="pct"/>
                  <w:vMerge w:val="continue"/>
                  <w:vAlign w:val="center"/>
                </w:tcPr>
                <w:p w14:paraId="04E2C63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2F04C06">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BCA438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30.6</w:t>
                  </w:r>
                </w:p>
              </w:tc>
            </w:tr>
            <w:tr w14:paraId="3396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34" w:type="pct"/>
                  <w:vMerge w:val="continue"/>
                  <w:vAlign w:val="center"/>
                </w:tcPr>
                <w:p w14:paraId="51E06FD0">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F94B8D7">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BA66DE0">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12A3725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B93BEF9">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ABBBDB9">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B234C04">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17E1ADFC">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57758A6C">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4FA53F2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53701DD2">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continue"/>
                  <w:vAlign w:val="center"/>
                </w:tcPr>
                <w:p w14:paraId="7A1A97D8">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2A8C3622">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9336BA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40F4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34" w:type="pct"/>
                  <w:vMerge w:val="continue"/>
                  <w:vAlign w:val="center"/>
                </w:tcPr>
                <w:p w14:paraId="7F0998BC">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3028AD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D07F0F9">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52BB5AE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19EFD71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7394BE6">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A8D148C">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0F83601">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2684A61">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679B4ED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21</w:t>
                  </w:r>
                </w:p>
              </w:tc>
              <w:tc>
                <w:tcPr>
                  <w:tcW w:w="726" w:type="dxa"/>
                  <w:vAlign w:val="bottom"/>
                </w:tcPr>
                <w:p w14:paraId="7E5FB35D">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58.6</w:t>
                  </w:r>
                </w:p>
              </w:tc>
              <w:tc>
                <w:tcPr>
                  <w:tcW w:w="618" w:type="pct"/>
                  <w:vMerge w:val="continue"/>
                  <w:vAlign w:val="center"/>
                </w:tcPr>
                <w:p w14:paraId="17A6CA69">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6CBD25A1">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E76877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37.6</w:t>
                  </w:r>
                </w:p>
              </w:tc>
            </w:tr>
            <w:tr w14:paraId="6304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34" w:type="pct"/>
                  <w:vMerge w:val="restart"/>
                  <w:vAlign w:val="center"/>
                </w:tcPr>
                <w:p w14:paraId="4A5A0A5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234" w:type="pct"/>
                  <w:vMerge w:val="continue"/>
                  <w:vAlign w:val="center"/>
                </w:tcPr>
                <w:p w14:paraId="0B5B6CFC">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2BCCC546">
                  <w:pPr>
                    <w:adjustRightInd w:val="0"/>
                    <w:snapToGrid w:val="0"/>
                    <w:jc w:val="cente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5429F01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6A64BD3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5CC9850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6ABA87A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03223A2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441" w:type="dxa"/>
                  <w:vMerge w:val="restart"/>
                  <w:vAlign w:val="center"/>
                </w:tcPr>
                <w:p w14:paraId="39C2F53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2CCA235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1C5AB658">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restart"/>
                  <w:vAlign w:val="center"/>
                </w:tcPr>
                <w:p w14:paraId="4059666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0D058FD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683AFA0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2327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34" w:type="pct"/>
                  <w:vMerge w:val="continue"/>
                  <w:vAlign w:val="center"/>
                </w:tcPr>
                <w:p w14:paraId="0CE88B2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D107B6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83DA0B2">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01DE3C83">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4EDCFC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1C301CD">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F68D807">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8DA4B05">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481D553">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40919C7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46</w:t>
                  </w:r>
                </w:p>
              </w:tc>
              <w:tc>
                <w:tcPr>
                  <w:tcW w:w="726" w:type="dxa"/>
                  <w:vAlign w:val="bottom"/>
                </w:tcPr>
                <w:p w14:paraId="31064ED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51.7</w:t>
                  </w:r>
                </w:p>
              </w:tc>
              <w:tc>
                <w:tcPr>
                  <w:tcW w:w="618" w:type="pct"/>
                  <w:vMerge w:val="continue"/>
                  <w:vAlign w:val="center"/>
                </w:tcPr>
                <w:p w14:paraId="0ACCDAE0">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ED5B59B">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7F8143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30.7</w:t>
                  </w:r>
                </w:p>
              </w:tc>
            </w:tr>
            <w:tr w14:paraId="4AEC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34" w:type="pct"/>
                  <w:vMerge w:val="continue"/>
                  <w:vAlign w:val="center"/>
                </w:tcPr>
                <w:p w14:paraId="37E1AEC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6749E1A">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20A75C4">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5A07E90C">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AF19FA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09380D0">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A6EF239">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46AC5A53">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3750A78C">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5016967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4A71C518">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59.9</w:t>
                  </w:r>
                </w:p>
              </w:tc>
              <w:tc>
                <w:tcPr>
                  <w:tcW w:w="618" w:type="pct"/>
                  <w:vMerge w:val="continue"/>
                  <w:vAlign w:val="center"/>
                </w:tcPr>
                <w:p w14:paraId="32A8E5E9">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2FB78CB6">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0E1C7F1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38.9</w:t>
                  </w:r>
                </w:p>
              </w:tc>
            </w:tr>
            <w:tr w14:paraId="0266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01422FD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0C9FE7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A709AF6">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1ACC2181">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7E5169A">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FB48C81">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9025A28">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1E2286C">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0F1628F7">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18FB61B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22</w:t>
                  </w:r>
                </w:p>
              </w:tc>
              <w:tc>
                <w:tcPr>
                  <w:tcW w:w="726" w:type="dxa"/>
                  <w:vAlign w:val="bottom"/>
                </w:tcPr>
                <w:p w14:paraId="2F1770AD">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58.2</w:t>
                  </w:r>
                </w:p>
              </w:tc>
              <w:tc>
                <w:tcPr>
                  <w:tcW w:w="618" w:type="pct"/>
                  <w:vMerge w:val="continue"/>
                  <w:vAlign w:val="center"/>
                </w:tcPr>
                <w:p w14:paraId="04C8DEB4">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5907BE68">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37D55CD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37.2</w:t>
                  </w:r>
                </w:p>
              </w:tc>
            </w:tr>
            <w:tr w14:paraId="6B9F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restart"/>
                  <w:vAlign w:val="center"/>
                </w:tcPr>
                <w:p w14:paraId="2D308E2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w:t>
                  </w:r>
                </w:p>
              </w:tc>
              <w:tc>
                <w:tcPr>
                  <w:tcW w:w="234" w:type="pct"/>
                  <w:vMerge w:val="continue"/>
                  <w:vAlign w:val="center"/>
                </w:tcPr>
                <w:p w14:paraId="046B5EC5">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765254CB">
                  <w:pP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7B70896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08E401E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72CCC75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0FBA864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5153D17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441" w:type="dxa"/>
                  <w:vMerge w:val="restart"/>
                  <w:vAlign w:val="center"/>
                </w:tcPr>
                <w:p w14:paraId="4355F49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216BF51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4E88E503">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restart"/>
                  <w:vAlign w:val="center"/>
                </w:tcPr>
                <w:p w14:paraId="64E0F80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43AABA0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48E84DE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0993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06F541ED">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BF339B0">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029D256">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12C1651D">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45A5350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E07B550">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3536E74">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5F4A66C">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1F43E47C">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2F0A5C8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42</w:t>
                  </w:r>
                </w:p>
              </w:tc>
              <w:tc>
                <w:tcPr>
                  <w:tcW w:w="726" w:type="dxa"/>
                  <w:vAlign w:val="bottom"/>
                </w:tcPr>
                <w:p w14:paraId="65B686B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52.5</w:t>
                  </w:r>
                </w:p>
              </w:tc>
              <w:tc>
                <w:tcPr>
                  <w:tcW w:w="618" w:type="pct"/>
                  <w:vMerge w:val="continue"/>
                  <w:vAlign w:val="center"/>
                </w:tcPr>
                <w:p w14:paraId="367DFA41">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6361A125">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22189A3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31.5</w:t>
                  </w:r>
                </w:p>
              </w:tc>
            </w:tr>
            <w:tr w14:paraId="6071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06F8706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382FA16">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F3DB05B">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09E1C556">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02C5827">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0320502">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769C43D">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06447E1">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27247990">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2AF6A1C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1BC87012">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59.9</w:t>
                  </w:r>
                </w:p>
              </w:tc>
              <w:tc>
                <w:tcPr>
                  <w:tcW w:w="618" w:type="pct"/>
                  <w:vMerge w:val="continue"/>
                  <w:vAlign w:val="center"/>
                </w:tcPr>
                <w:p w14:paraId="21C0A598">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3D01B20">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E7C86C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38.9</w:t>
                  </w:r>
                </w:p>
              </w:tc>
            </w:tr>
            <w:tr w14:paraId="7477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442FA4DD">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89C14A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FC4AA6D">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4215DE31">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6BB019F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10A7769">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6D253FC5">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F700386">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27A482FB">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5D31586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w:t>
                  </w:r>
                </w:p>
              </w:tc>
              <w:tc>
                <w:tcPr>
                  <w:tcW w:w="726" w:type="dxa"/>
                  <w:vAlign w:val="bottom"/>
                </w:tcPr>
                <w:p w14:paraId="32EB9D14">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57.0</w:t>
                  </w:r>
                </w:p>
              </w:tc>
              <w:tc>
                <w:tcPr>
                  <w:tcW w:w="618" w:type="pct"/>
                  <w:vMerge w:val="continue"/>
                  <w:vAlign w:val="center"/>
                </w:tcPr>
                <w:p w14:paraId="50C67FFE">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736977EC">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469A8A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36</w:t>
                  </w:r>
                </w:p>
              </w:tc>
            </w:tr>
            <w:tr w14:paraId="4EBB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restart"/>
                  <w:vAlign w:val="center"/>
                </w:tcPr>
                <w:p w14:paraId="78AE404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234" w:type="pct"/>
                  <w:vMerge w:val="continue"/>
                  <w:vAlign w:val="center"/>
                </w:tcPr>
                <w:p w14:paraId="292C2B35">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1F26B27E">
                  <w:pP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6D6E5C0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47BF43D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5899DBD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19598A3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71CA43C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441" w:type="dxa"/>
                  <w:vMerge w:val="restart"/>
                  <w:vAlign w:val="center"/>
                </w:tcPr>
                <w:p w14:paraId="1774BC3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172A69B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62A55B53">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restart"/>
                  <w:vAlign w:val="center"/>
                </w:tcPr>
                <w:p w14:paraId="5B15B39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65D00AE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3378F44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1352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2478611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DA9FE7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BD85060">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62876441">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5F63B2B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8211162">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9F015E4">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0DF6835">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17038D3F">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2FC52EE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39</w:t>
                  </w:r>
                </w:p>
              </w:tc>
              <w:tc>
                <w:tcPr>
                  <w:tcW w:w="726" w:type="dxa"/>
                  <w:vAlign w:val="bottom"/>
                </w:tcPr>
                <w:p w14:paraId="41ABD1B0">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53.2</w:t>
                  </w:r>
                </w:p>
              </w:tc>
              <w:tc>
                <w:tcPr>
                  <w:tcW w:w="618" w:type="pct"/>
                  <w:vMerge w:val="continue"/>
                  <w:vAlign w:val="center"/>
                </w:tcPr>
                <w:p w14:paraId="7DB93C63">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8F65EBA">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6AEC90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32.2</w:t>
                  </w:r>
                </w:p>
              </w:tc>
            </w:tr>
            <w:tr w14:paraId="6046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00B381A9">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B6CD553">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A56F5B3">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027BDB63">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171117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CF9496B">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6355A50F">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3BAFCB0">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75E223BB">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7DA8B7D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28907F72">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59.9</w:t>
                  </w:r>
                </w:p>
              </w:tc>
              <w:tc>
                <w:tcPr>
                  <w:tcW w:w="618" w:type="pct"/>
                  <w:vMerge w:val="continue"/>
                  <w:vAlign w:val="center"/>
                </w:tcPr>
                <w:p w14:paraId="6A449F31">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70CFACA">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D98F5D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38.9</w:t>
                  </w:r>
                </w:p>
              </w:tc>
            </w:tr>
            <w:tr w14:paraId="4111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63712E62">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8740A3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47F92BE">
                  <w:pPr>
                    <w:adjustRightInd w:val="0"/>
                    <w:snapToGrid w:val="0"/>
                    <w:jc w:val="center"/>
                    <w:rPr>
                      <w:bCs/>
                      <w:color w:val="000000" w:themeColor="text1"/>
                      <w:sz w:val="18"/>
                      <w:szCs w:val="18"/>
                      <w14:textFill>
                        <w14:solidFill>
                          <w14:schemeClr w14:val="tx1"/>
                        </w14:solidFill>
                      </w14:textFill>
                    </w:rPr>
                  </w:pPr>
                </w:p>
              </w:tc>
              <w:tc>
                <w:tcPr>
                  <w:tcW w:w="666" w:type="pct"/>
                  <w:vMerge w:val="continue"/>
                  <w:vAlign w:val="center"/>
                </w:tcPr>
                <w:p w14:paraId="238B5F1A">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18F5726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35D597F">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3014C86">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55D5AFA">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1223FA39">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0F06D50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28</w:t>
                  </w:r>
                </w:p>
              </w:tc>
              <w:tc>
                <w:tcPr>
                  <w:tcW w:w="726" w:type="dxa"/>
                  <w:vAlign w:val="bottom"/>
                </w:tcPr>
                <w:p w14:paraId="77689A7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56.1</w:t>
                  </w:r>
                </w:p>
              </w:tc>
              <w:tc>
                <w:tcPr>
                  <w:tcW w:w="618" w:type="pct"/>
                  <w:vMerge w:val="continue"/>
                  <w:vAlign w:val="center"/>
                </w:tcPr>
                <w:p w14:paraId="16005BF0">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2D1274F">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0A30D31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35.1</w:t>
                  </w:r>
                </w:p>
              </w:tc>
            </w:tr>
            <w:tr w14:paraId="5E70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restart"/>
                  <w:vAlign w:val="center"/>
                </w:tcPr>
                <w:p w14:paraId="64E7483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c>
                <w:tcPr>
                  <w:tcW w:w="234" w:type="pct"/>
                  <w:vMerge w:val="continue"/>
                  <w:vAlign w:val="center"/>
                </w:tcPr>
                <w:p w14:paraId="05D7A8ED">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6B99031D">
                  <w:pPr>
                    <w:adjustRightInd w:val="0"/>
                    <w:snapToGrid w:val="0"/>
                    <w:jc w:val="cente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283463D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3D53DA2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4A4351F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140C064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509B4D0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441" w:type="dxa"/>
                  <w:vMerge w:val="restart"/>
                  <w:vAlign w:val="center"/>
                </w:tcPr>
                <w:p w14:paraId="1F952F7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1CBDCA8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64FB2822">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59.9</w:t>
                  </w:r>
                </w:p>
              </w:tc>
              <w:tc>
                <w:tcPr>
                  <w:tcW w:w="618" w:type="pct"/>
                  <w:vMerge w:val="restart"/>
                  <w:vAlign w:val="center"/>
                </w:tcPr>
                <w:p w14:paraId="27C2302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6F3F5E4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38ECBDC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38.9</w:t>
                  </w:r>
                </w:p>
              </w:tc>
            </w:tr>
            <w:tr w14:paraId="527C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3A1ACC8A">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710636A">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16C6DD8">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6BC40C0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4CDF2DE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898E2AE">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51DBDB2">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A68075E">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37CFB819">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546E7F3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w:t>
                  </w:r>
                </w:p>
              </w:tc>
              <w:tc>
                <w:tcPr>
                  <w:tcW w:w="726" w:type="dxa"/>
                  <w:vAlign w:val="bottom"/>
                </w:tcPr>
                <w:p w14:paraId="03D4D23A">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52.1</w:t>
                  </w:r>
                </w:p>
              </w:tc>
              <w:tc>
                <w:tcPr>
                  <w:tcW w:w="618" w:type="pct"/>
                  <w:vMerge w:val="continue"/>
                  <w:vAlign w:val="center"/>
                </w:tcPr>
                <w:p w14:paraId="3766852D">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F686995">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61EFB5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31.1</w:t>
                  </w:r>
                </w:p>
              </w:tc>
            </w:tr>
            <w:tr w14:paraId="48FD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69EF41E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24B836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21E0E6E3">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35946E0">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D52873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B45796D">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01F09DA">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F73C5DE">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0BB4186E">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0713142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3DD62609">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continue"/>
                  <w:vAlign w:val="center"/>
                </w:tcPr>
                <w:p w14:paraId="3D402FAE">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1C57ADD5">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0E92A8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4969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53B13C1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7545A43">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0717A1A">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2F7BA7E">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62AA1173">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AA5E21A">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E93260F">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8071A7A">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2502AC8F">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60505AB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w:t>
                  </w:r>
                </w:p>
              </w:tc>
              <w:tc>
                <w:tcPr>
                  <w:tcW w:w="726" w:type="dxa"/>
                  <w:vAlign w:val="bottom"/>
                </w:tcPr>
                <w:p w14:paraId="6948BFFA">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57.4</w:t>
                  </w:r>
                </w:p>
              </w:tc>
              <w:tc>
                <w:tcPr>
                  <w:tcW w:w="618" w:type="pct"/>
                  <w:vMerge w:val="continue"/>
                  <w:vAlign w:val="center"/>
                </w:tcPr>
                <w:p w14:paraId="6D0D9166">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15E9F7F">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2624EB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36.4</w:t>
                  </w:r>
                </w:p>
              </w:tc>
            </w:tr>
            <w:tr w14:paraId="2BE7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restart"/>
                  <w:vAlign w:val="center"/>
                </w:tcPr>
                <w:p w14:paraId="5EF4701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14</w:t>
                  </w:r>
                </w:p>
              </w:tc>
              <w:tc>
                <w:tcPr>
                  <w:tcW w:w="234" w:type="pct"/>
                  <w:vMerge w:val="continue"/>
                  <w:vAlign w:val="center"/>
                </w:tcPr>
                <w:p w14:paraId="367E52A1">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4A3B3329">
                  <w:pP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4B44BF9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735CCFE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08A9282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3AD5369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456" w:type="dxa"/>
                  <w:vMerge w:val="restart"/>
                  <w:vAlign w:val="center"/>
                </w:tcPr>
                <w:p w14:paraId="76C2E86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441" w:type="dxa"/>
                  <w:vMerge w:val="restart"/>
                  <w:vAlign w:val="center"/>
                </w:tcPr>
                <w:p w14:paraId="3EC5F35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0709A92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21</w:t>
                  </w:r>
                </w:p>
              </w:tc>
              <w:tc>
                <w:tcPr>
                  <w:tcW w:w="726" w:type="dxa"/>
                  <w:vAlign w:val="bottom"/>
                </w:tcPr>
                <w:p w14:paraId="1BF70865">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58.6</w:t>
                  </w:r>
                </w:p>
              </w:tc>
              <w:tc>
                <w:tcPr>
                  <w:tcW w:w="618" w:type="pct"/>
                  <w:vMerge w:val="restart"/>
                  <w:vAlign w:val="center"/>
                </w:tcPr>
                <w:p w14:paraId="6A9F145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4BFFF31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52DE3F2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37.6</w:t>
                  </w:r>
                </w:p>
              </w:tc>
            </w:tr>
            <w:tr w14:paraId="01FB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23ECE439">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3C9FA0E">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5BE090F">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2639A09">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5416A407">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D177909">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44A11234">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16301894">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2EFA14ED">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256D014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w:t>
                  </w:r>
                </w:p>
              </w:tc>
              <w:tc>
                <w:tcPr>
                  <w:tcW w:w="726" w:type="dxa"/>
                  <w:vAlign w:val="bottom"/>
                </w:tcPr>
                <w:p w14:paraId="0637A129">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52.1</w:t>
                  </w:r>
                </w:p>
              </w:tc>
              <w:tc>
                <w:tcPr>
                  <w:tcW w:w="618" w:type="pct"/>
                  <w:vMerge w:val="continue"/>
                  <w:vAlign w:val="center"/>
                </w:tcPr>
                <w:p w14:paraId="254A172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5193869">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0987899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31.1</w:t>
                  </w:r>
                </w:p>
              </w:tc>
            </w:tr>
            <w:tr w14:paraId="7C4B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1BAECB6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7637F87">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C657713">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15873141">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4A72667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0B97F96">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598B935">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9F409F6">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04148A2">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09F4FFD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w:t>
                  </w:r>
                </w:p>
              </w:tc>
              <w:tc>
                <w:tcPr>
                  <w:tcW w:w="726" w:type="dxa"/>
                  <w:vAlign w:val="bottom"/>
                </w:tcPr>
                <w:p w14:paraId="1B8026F8">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53.6</w:t>
                  </w:r>
                </w:p>
              </w:tc>
              <w:tc>
                <w:tcPr>
                  <w:tcW w:w="618" w:type="pct"/>
                  <w:vMerge w:val="continue"/>
                  <w:vAlign w:val="center"/>
                </w:tcPr>
                <w:p w14:paraId="17E903FE">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52D0C427">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0ACDE9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32.6</w:t>
                  </w:r>
                </w:p>
              </w:tc>
            </w:tr>
            <w:tr w14:paraId="2478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646C3B7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D76E686">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EE6EC4B">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D728F47">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3A4614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5A1100A">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83D2129">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44816EA4">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A2ACE9F">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3E5E027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w:t>
                  </w:r>
                </w:p>
              </w:tc>
              <w:tc>
                <w:tcPr>
                  <w:tcW w:w="726" w:type="dxa"/>
                  <w:vAlign w:val="bottom"/>
                </w:tcPr>
                <w:p w14:paraId="12EFB1A0">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57.4</w:t>
                  </w:r>
                </w:p>
              </w:tc>
              <w:tc>
                <w:tcPr>
                  <w:tcW w:w="618" w:type="pct"/>
                  <w:vMerge w:val="continue"/>
                  <w:vAlign w:val="center"/>
                </w:tcPr>
                <w:p w14:paraId="68FF4BD0">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7ECA74E0">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58C427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36.4</w:t>
                  </w:r>
                </w:p>
              </w:tc>
            </w:tr>
            <w:tr w14:paraId="39B7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restart"/>
                  <w:vAlign w:val="center"/>
                </w:tcPr>
                <w:p w14:paraId="69B73D0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234" w:type="pct"/>
                  <w:vMerge w:val="continue"/>
                  <w:vAlign w:val="center"/>
                </w:tcPr>
                <w:p w14:paraId="2C7225FD">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0CDD4FB8">
                  <w:pP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78D728B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4B7BFDB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79AC24C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49CB6F4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456" w:type="dxa"/>
                  <w:vMerge w:val="restart"/>
                  <w:vAlign w:val="center"/>
                </w:tcPr>
                <w:p w14:paraId="050DFDC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441" w:type="dxa"/>
                  <w:vMerge w:val="restart"/>
                  <w:vAlign w:val="center"/>
                </w:tcPr>
                <w:p w14:paraId="0EE5E55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263BB33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726" w:type="dxa"/>
                  <w:vAlign w:val="bottom"/>
                </w:tcPr>
                <w:p w14:paraId="59D04728">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59.9</w:t>
                  </w:r>
                </w:p>
              </w:tc>
              <w:tc>
                <w:tcPr>
                  <w:tcW w:w="618" w:type="pct"/>
                  <w:vMerge w:val="restart"/>
                  <w:vAlign w:val="center"/>
                </w:tcPr>
                <w:p w14:paraId="130C635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7FAB10D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3F34E16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38.9</w:t>
                  </w:r>
                </w:p>
              </w:tc>
            </w:tr>
            <w:tr w14:paraId="469F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5E0272E3">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2B554D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5A172C29">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77E37C7">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1055D7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A6D5BF8">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104AFD8E">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8FE51C9">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17FC59E1">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241F2B4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0939713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continue"/>
                  <w:vAlign w:val="center"/>
                </w:tcPr>
                <w:p w14:paraId="0254E715">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3A3D0948">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5654CD3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068C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2878EBD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09DA045">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19024A8">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7F5D5F32">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316BBD1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45C257CB">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4144A299">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186F305">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50D2CCAF">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4B09CF2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7000B1F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continue"/>
                  <w:vAlign w:val="center"/>
                </w:tcPr>
                <w:p w14:paraId="784A5BB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50EFE2AB">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179ED57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0E71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 w:type="pct"/>
                  <w:vMerge w:val="continue"/>
                  <w:vAlign w:val="center"/>
                </w:tcPr>
                <w:p w14:paraId="4CBB8266">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FF2357F">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755E896D">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3BD1B8E4">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0EFCA02F">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81076AE">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462D658">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7A0EB46F">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FA5A9BA">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4223AFE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27</w:t>
                  </w:r>
                </w:p>
              </w:tc>
              <w:tc>
                <w:tcPr>
                  <w:tcW w:w="726" w:type="dxa"/>
                  <w:vAlign w:val="bottom"/>
                </w:tcPr>
                <w:p w14:paraId="5C4D5553">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56.4</w:t>
                  </w:r>
                </w:p>
              </w:tc>
              <w:tc>
                <w:tcPr>
                  <w:tcW w:w="618" w:type="pct"/>
                  <w:vMerge w:val="continue"/>
                  <w:vAlign w:val="center"/>
                </w:tcPr>
                <w:p w14:paraId="727E0DFA">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2DB21C2">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754230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35.4</w:t>
                  </w:r>
                </w:p>
              </w:tc>
            </w:tr>
            <w:tr w14:paraId="1A55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34" w:type="pct"/>
                  <w:vMerge w:val="restart"/>
                  <w:vAlign w:val="center"/>
                </w:tcPr>
                <w:p w14:paraId="3439DC3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w:t>
                  </w:r>
                </w:p>
              </w:tc>
              <w:tc>
                <w:tcPr>
                  <w:tcW w:w="234" w:type="pct"/>
                  <w:vMerge w:val="continue"/>
                  <w:vAlign w:val="center"/>
                </w:tcPr>
                <w:p w14:paraId="39DD5FBB">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42E4D956">
                  <w:pPr>
                    <w:adjustRightInd w:val="0"/>
                    <w:snapToGrid w:val="0"/>
                    <w:jc w:val="center"/>
                    <w:rPr>
                      <w:color w:val="000000" w:themeColor="text1"/>
                      <w:sz w:val="18"/>
                      <w:szCs w:val="18"/>
                      <w14:textFill>
                        <w14:solidFill>
                          <w14:schemeClr w14:val="tx1"/>
                        </w14:solidFill>
                      </w14:textFill>
                    </w:rPr>
                  </w:pPr>
                  <w:r>
                    <w:rPr>
                      <w:color w:val="000000" w:themeColor="text1"/>
                      <w:sz w:val="18"/>
                      <w:szCs w:val="18"/>
                      <w:shd w:val="clear" w:color="auto" w:fill="FFFFFF"/>
                      <w14:textFill>
                        <w14:solidFill>
                          <w14:schemeClr w14:val="tx1"/>
                        </w14:solidFill>
                      </w14:textFill>
                    </w:rPr>
                    <w:t>数控车床</w:t>
                  </w:r>
                </w:p>
              </w:tc>
              <w:tc>
                <w:tcPr>
                  <w:tcW w:w="666" w:type="pct"/>
                  <w:vMerge w:val="restart"/>
                  <w:vAlign w:val="center"/>
                </w:tcPr>
                <w:p w14:paraId="6ED10CE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SA01</w:t>
                  </w:r>
                </w:p>
              </w:tc>
              <w:tc>
                <w:tcPr>
                  <w:tcW w:w="418" w:type="pct"/>
                  <w:vMerge w:val="restart"/>
                  <w:vAlign w:val="center"/>
                </w:tcPr>
                <w:p w14:paraId="03871CE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22773ED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56" w:type="dxa"/>
                  <w:vMerge w:val="restart"/>
                  <w:vAlign w:val="center"/>
                </w:tcPr>
                <w:p w14:paraId="723F220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456" w:type="dxa"/>
                  <w:vMerge w:val="restart"/>
                  <w:vAlign w:val="center"/>
                </w:tcPr>
                <w:p w14:paraId="4A4403B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441" w:type="dxa"/>
                  <w:vMerge w:val="restart"/>
                  <w:vAlign w:val="center"/>
                </w:tcPr>
                <w:p w14:paraId="620B040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407" w:type="dxa"/>
                  <w:vAlign w:val="center"/>
                </w:tcPr>
                <w:p w14:paraId="4F421C4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21</w:t>
                  </w:r>
                </w:p>
              </w:tc>
              <w:tc>
                <w:tcPr>
                  <w:tcW w:w="726" w:type="dxa"/>
                  <w:vAlign w:val="bottom"/>
                </w:tcPr>
                <w:p w14:paraId="6E745E1D">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58.6</w:t>
                  </w:r>
                </w:p>
              </w:tc>
              <w:tc>
                <w:tcPr>
                  <w:tcW w:w="618" w:type="pct"/>
                  <w:vMerge w:val="restart"/>
                  <w:vAlign w:val="center"/>
                </w:tcPr>
                <w:p w14:paraId="2C7CF3A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4FE36B2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02ACBFB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37.6</w:t>
                  </w:r>
                </w:p>
              </w:tc>
            </w:tr>
            <w:tr w14:paraId="727F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34" w:type="pct"/>
                  <w:vMerge w:val="continue"/>
                  <w:vAlign w:val="center"/>
                </w:tcPr>
                <w:p w14:paraId="4673442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66474A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120DCC09">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53BCE2B5">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7F74982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476EB3F">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12C299BC">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278D7CDA">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6AFAFDBF">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5BEFD91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726" w:type="dxa"/>
                  <w:vAlign w:val="bottom"/>
                </w:tcPr>
                <w:p w14:paraId="457E365C">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53.0</w:t>
                  </w:r>
                </w:p>
              </w:tc>
              <w:tc>
                <w:tcPr>
                  <w:tcW w:w="618" w:type="pct"/>
                  <w:vMerge w:val="continue"/>
                  <w:vAlign w:val="center"/>
                </w:tcPr>
                <w:p w14:paraId="2FB0E4D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B508BDC">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319D6D0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r w14:paraId="7B10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34" w:type="pct"/>
                  <w:vMerge w:val="continue"/>
                  <w:vAlign w:val="center"/>
                </w:tcPr>
                <w:p w14:paraId="21CC27F1">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A6D96E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592CC96">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46127BD6">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22A475E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5F7F3276">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56E8366A">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B4C56D0">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02E419C6">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79746B9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37</w:t>
                  </w:r>
                </w:p>
              </w:tc>
              <w:tc>
                <w:tcPr>
                  <w:tcW w:w="726" w:type="dxa"/>
                  <w:vAlign w:val="bottom"/>
                </w:tcPr>
                <w:p w14:paraId="53EB8D67">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53.6</w:t>
                  </w:r>
                </w:p>
              </w:tc>
              <w:tc>
                <w:tcPr>
                  <w:tcW w:w="618" w:type="pct"/>
                  <w:vMerge w:val="continue"/>
                  <w:vAlign w:val="center"/>
                </w:tcPr>
                <w:p w14:paraId="61C1FEB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60078F80">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2A76719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32.6</w:t>
                  </w:r>
                </w:p>
              </w:tc>
            </w:tr>
            <w:tr w14:paraId="0114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34" w:type="pct"/>
                  <w:vMerge w:val="continue"/>
                  <w:vAlign w:val="center"/>
                </w:tcPr>
                <w:p w14:paraId="2D936684">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2B1B7CD">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6F516385">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6E147EF8">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67C43F79">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6D29073E">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0D2BFD0A">
                  <w:pPr>
                    <w:adjustRightInd w:val="0"/>
                    <w:snapToGrid w:val="0"/>
                    <w:jc w:val="center"/>
                    <w:rPr>
                      <w:color w:val="000000" w:themeColor="text1"/>
                      <w:sz w:val="18"/>
                      <w:szCs w:val="18"/>
                      <w14:textFill>
                        <w14:solidFill>
                          <w14:schemeClr w14:val="tx1"/>
                        </w14:solidFill>
                      </w14:textFill>
                    </w:rPr>
                  </w:pPr>
                </w:p>
              </w:tc>
              <w:tc>
                <w:tcPr>
                  <w:tcW w:w="456" w:type="dxa"/>
                  <w:vMerge w:val="continue"/>
                  <w:vAlign w:val="center"/>
                </w:tcPr>
                <w:p w14:paraId="3C56DCF1">
                  <w:pPr>
                    <w:adjustRightInd w:val="0"/>
                    <w:snapToGrid w:val="0"/>
                    <w:jc w:val="center"/>
                    <w:rPr>
                      <w:color w:val="000000" w:themeColor="text1"/>
                      <w:sz w:val="18"/>
                      <w:szCs w:val="18"/>
                      <w14:textFill>
                        <w14:solidFill>
                          <w14:schemeClr w14:val="tx1"/>
                        </w14:solidFill>
                      </w14:textFill>
                    </w:rPr>
                  </w:pPr>
                </w:p>
              </w:tc>
              <w:tc>
                <w:tcPr>
                  <w:tcW w:w="441" w:type="dxa"/>
                  <w:vMerge w:val="continue"/>
                  <w:vAlign w:val="center"/>
                </w:tcPr>
                <w:p w14:paraId="4E734178">
                  <w:pPr>
                    <w:adjustRightInd w:val="0"/>
                    <w:snapToGrid w:val="0"/>
                    <w:jc w:val="center"/>
                    <w:rPr>
                      <w:color w:val="000000" w:themeColor="text1"/>
                      <w:sz w:val="18"/>
                      <w:szCs w:val="18"/>
                      <w14:textFill>
                        <w14:solidFill>
                          <w14:schemeClr w14:val="tx1"/>
                        </w14:solidFill>
                      </w14:textFill>
                    </w:rPr>
                  </w:pPr>
                </w:p>
              </w:tc>
              <w:tc>
                <w:tcPr>
                  <w:tcW w:w="407" w:type="dxa"/>
                  <w:vAlign w:val="center"/>
                </w:tcPr>
                <w:p w14:paraId="30DB604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27</w:t>
                  </w:r>
                </w:p>
              </w:tc>
              <w:tc>
                <w:tcPr>
                  <w:tcW w:w="726" w:type="dxa"/>
                  <w:vAlign w:val="bottom"/>
                </w:tcPr>
                <w:p w14:paraId="7BF28D07">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56.4</w:t>
                  </w:r>
                </w:p>
              </w:tc>
              <w:tc>
                <w:tcPr>
                  <w:tcW w:w="618" w:type="pct"/>
                  <w:vMerge w:val="continue"/>
                  <w:vAlign w:val="center"/>
                </w:tcPr>
                <w:p w14:paraId="2A595AB1">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4C18F660">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7CBC44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35.4</w:t>
                  </w:r>
                </w:p>
              </w:tc>
            </w:tr>
            <w:tr w14:paraId="6B79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restart"/>
                  <w:vAlign w:val="center"/>
                </w:tcPr>
                <w:p w14:paraId="4D6E9DA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w:t>
                  </w:r>
                </w:p>
              </w:tc>
              <w:tc>
                <w:tcPr>
                  <w:tcW w:w="234" w:type="pct"/>
                  <w:vMerge w:val="continue"/>
                  <w:vAlign w:val="center"/>
                </w:tcPr>
                <w:p w14:paraId="3F0FD82B">
                  <w:pPr>
                    <w:adjustRightInd w:val="0"/>
                    <w:snapToGrid w:val="0"/>
                    <w:jc w:val="center"/>
                    <w:rPr>
                      <w:color w:val="000000" w:themeColor="text1"/>
                      <w:sz w:val="18"/>
                      <w:szCs w:val="18"/>
                      <w14:textFill>
                        <w14:solidFill>
                          <w14:schemeClr w14:val="tx1"/>
                        </w14:solidFill>
                      </w14:textFill>
                    </w:rPr>
                  </w:pPr>
                </w:p>
              </w:tc>
              <w:tc>
                <w:tcPr>
                  <w:tcW w:w="261" w:type="pct"/>
                  <w:vMerge w:val="restart"/>
                  <w:vAlign w:val="center"/>
                </w:tcPr>
                <w:p w14:paraId="59DA542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空压机</w:t>
                  </w:r>
                </w:p>
              </w:tc>
              <w:tc>
                <w:tcPr>
                  <w:tcW w:w="666" w:type="pct"/>
                  <w:vMerge w:val="restart"/>
                  <w:vAlign w:val="center"/>
                </w:tcPr>
                <w:p w14:paraId="660BCE8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GF150B</w:t>
                  </w:r>
                </w:p>
              </w:tc>
              <w:tc>
                <w:tcPr>
                  <w:tcW w:w="418" w:type="pct"/>
                  <w:vMerge w:val="restart"/>
                  <w:vAlign w:val="center"/>
                </w:tcPr>
                <w:p w14:paraId="273B318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85/1</w:t>
                  </w:r>
                </w:p>
              </w:tc>
              <w:tc>
                <w:tcPr>
                  <w:tcW w:w="234" w:type="pct"/>
                  <w:vMerge w:val="restart"/>
                  <w:vAlign w:val="center"/>
                </w:tcPr>
                <w:p w14:paraId="377A657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270" w:type="pct"/>
                  <w:vMerge w:val="restart"/>
                  <w:vAlign w:val="center"/>
                </w:tcPr>
                <w:p w14:paraId="2E9AD5B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270" w:type="pct"/>
                  <w:vMerge w:val="restart"/>
                  <w:vAlign w:val="center"/>
                </w:tcPr>
                <w:p w14:paraId="4FC73D9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w:t>
                  </w:r>
                </w:p>
              </w:tc>
              <w:tc>
                <w:tcPr>
                  <w:tcW w:w="261" w:type="pct"/>
                  <w:vMerge w:val="restart"/>
                  <w:vAlign w:val="center"/>
                </w:tcPr>
                <w:p w14:paraId="2B303BC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w:t>
                  </w:r>
                </w:p>
              </w:tc>
              <w:tc>
                <w:tcPr>
                  <w:tcW w:w="240" w:type="pct"/>
                  <w:vAlign w:val="center"/>
                </w:tcPr>
                <w:p w14:paraId="056BCEB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48</w:t>
                  </w:r>
                </w:p>
              </w:tc>
              <w:tc>
                <w:tcPr>
                  <w:tcW w:w="726" w:type="dxa"/>
                  <w:vAlign w:val="bottom"/>
                </w:tcPr>
                <w:p w14:paraId="0BFACD06">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51.4</w:t>
                  </w:r>
                </w:p>
              </w:tc>
              <w:tc>
                <w:tcPr>
                  <w:tcW w:w="618" w:type="pct"/>
                  <w:vMerge w:val="restart"/>
                  <w:vAlign w:val="center"/>
                </w:tcPr>
                <w:p w14:paraId="15C960B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8:00~18:00</w:t>
                  </w:r>
                </w:p>
              </w:tc>
              <w:tc>
                <w:tcPr>
                  <w:tcW w:w="429" w:type="pct"/>
                  <w:vMerge w:val="restart"/>
                  <w:vAlign w:val="center"/>
                </w:tcPr>
                <w:p w14:paraId="1E0EFBD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726" w:type="dxa"/>
                  <w:vAlign w:val="center"/>
                </w:tcPr>
                <w:p w14:paraId="775CF9C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30.4</w:t>
                  </w:r>
                </w:p>
              </w:tc>
            </w:tr>
            <w:tr w14:paraId="6FAE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066D4A9E">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2EC1C78E">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3BB18F3F">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5BC914E5">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1D23048C">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06840A68">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6781CE3A">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020C4F21">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ADF3D7A">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665F1D7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726" w:type="dxa"/>
                  <w:vAlign w:val="bottom"/>
                </w:tcPr>
                <w:p w14:paraId="44B1287A">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66.9</w:t>
                  </w:r>
                </w:p>
              </w:tc>
              <w:tc>
                <w:tcPr>
                  <w:tcW w:w="618" w:type="pct"/>
                  <w:vMerge w:val="continue"/>
                  <w:vAlign w:val="center"/>
                </w:tcPr>
                <w:p w14:paraId="690DC2D2">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2481CBAF">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6C7BD40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45.9</w:t>
                  </w:r>
                </w:p>
              </w:tc>
            </w:tr>
            <w:tr w14:paraId="08B2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4CED6755">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BBCDA60">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A96AA14">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7AD75176">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41964728">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7D3DF0A1">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53372532">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70C2AAD3">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06E3824C">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4097804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726" w:type="dxa"/>
                  <w:vAlign w:val="bottom"/>
                </w:tcPr>
                <w:p w14:paraId="271AC924">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65.9</w:t>
                  </w:r>
                </w:p>
              </w:tc>
              <w:tc>
                <w:tcPr>
                  <w:tcW w:w="618" w:type="pct"/>
                  <w:vMerge w:val="continue"/>
                  <w:vAlign w:val="center"/>
                </w:tcPr>
                <w:p w14:paraId="663A4135">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21CB7854">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46634E5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44.9</w:t>
                  </w:r>
                </w:p>
              </w:tc>
            </w:tr>
            <w:tr w14:paraId="714F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4" w:type="pct"/>
                  <w:vMerge w:val="continue"/>
                  <w:vAlign w:val="center"/>
                </w:tcPr>
                <w:p w14:paraId="209202AC">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1D7A8AF7">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A55F625">
                  <w:pPr>
                    <w:adjustRightInd w:val="0"/>
                    <w:snapToGrid w:val="0"/>
                    <w:jc w:val="center"/>
                    <w:rPr>
                      <w:color w:val="000000" w:themeColor="text1"/>
                      <w:sz w:val="18"/>
                      <w:szCs w:val="18"/>
                      <w14:textFill>
                        <w14:solidFill>
                          <w14:schemeClr w14:val="tx1"/>
                        </w14:solidFill>
                      </w14:textFill>
                    </w:rPr>
                  </w:pPr>
                </w:p>
              </w:tc>
              <w:tc>
                <w:tcPr>
                  <w:tcW w:w="666" w:type="pct"/>
                  <w:vMerge w:val="continue"/>
                  <w:vAlign w:val="center"/>
                </w:tcPr>
                <w:p w14:paraId="089AC129">
                  <w:pPr>
                    <w:adjustRightInd w:val="0"/>
                    <w:snapToGrid w:val="0"/>
                    <w:jc w:val="center"/>
                    <w:rPr>
                      <w:color w:val="000000" w:themeColor="text1"/>
                      <w:sz w:val="18"/>
                      <w:szCs w:val="18"/>
                      <w14:textFill>
                        <w14:solidFill>
                          <w14:schemeClr w14:val="tx1"/>
                        </w14:solidFill>
                      </w14:textFill>
                    </w:rPr>
                  </w:pPr>
                </w:p>
              </w:tc>
              <w:tc>
                <w:tcPr>
                  <w:tcW w:w="418" w:type="pct"/>
                  <w:vMerge w:val="continue"/>
                  <w:vAlign w:val="center"/>
                </w:tcPr>
                <w:p w14:paraId="7CF75DE3">
                  <w:pPr>
                    <w:adjustRightInd w:val="0"/>
                    <w:snapToGrid w:val="0"/>
                    <w:jc w:val="center"/>
                    <w:rPr>
                      <w:color w:val="000000" w:themeColor="text1"/>
                      <w:sz w:val="18"/>
                      <w:szCs w:val="18"/>
                      <w14:textFill>
                        <w14:solidFill>
                          <w14:schemeClr w14:val="tx1"/>
                        </w14:solidFill>
                      </w14:textFill>
                    </w:rPr>
                  </w:pPr>
                </w:p>
              </w:tc>
              <w:tc>
                <w:tcPr>
                  <w:tcW w:w="234" w:type="pct"/>
                  <w:vMerge w:val="continue"/>
                  <w:vAlign w:val="center"/>
                </w:tcPr>
                <w:p w14:paraId="311F87D7">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11AB59BD">
                  <w:pPr>
                    <w:adjustRightInd w:val="0"/>
                    <w:snapToGrid w:val="0"/>
                    <w:jc w:val="center"/>
                    <w:rPr>
                      <w:color w:val="000000" w:themeColor="text1"/>
                      <w:sz w:val="18"/>
                      <w:szCs w:val="18"/>
                      <w14:textFill>
                        <w14:solidFill>
                          <w14:schemeClr w14:val="tx1"/>
                        </w14:solidFill>
                      </w14:textFill>
                    </w:rPr>
                  </w:pPr>
                </w:p>
              </w:tc>
              <w:tc>
                <w:tcPr>
                  <w:tcW w:w="270" w:type="pct"/>
                  <w:vMerge w:val="continue"/>
                  <w:vAlign w:val="center"/>
                </w:tcPr>
                <w:p w14:paraId="23462158">
                  <w:pPr>
                    <w:adjustRightInd w:val="0"/>
                    <w:snapToGrid w:val="0"/>
                    <w:jc w:val="center"/>
                    <w:rPr>
                      <w:color w:val="000000" w:themeColor="text1"/>
                      <w:sz w:val="18"/>
                      <w:szCs w:val="18"/>
                      <w14:textFill>
                        <w14:solidFill>
                          <w14:schemeClr w14:val="tx1"/>
                        </w14:solidFill>
                      </w14:textFill>
                    </w:rPr>
                  </w:pPr>
                </w:p>
              </w:tc>
              <w:tc>
                <w:tcPr>
                  <w:tcW w:w="261" w:type="pct"/>
                  <w:vMerge w:val="continue"/>
                  <w:vAlign w:val="center"/>
                </w:tcPr>
                <w:p w14:paraId="48E05AAC">
                  <w:pPr>
                    <w:adjustRightInd w:val="0"/>
                    <w:snapToGrid w:val="0"/>
                    <w:jc w:val="center"/>
                    <w:rPr>
                      <w:color w:val="000000" w:themeColor="text1"/>
                      <w:sz w:val="18"/>
                      <w:szCs w:val="18"/>
                      <w14:textFill>
                        <w14:solidFill>
                          <w14:schemeClr w14:val="tx1"/>
                        </w14:solidFill>
                      </w14:textFill>
                    </w:rPr>
                  </w:pPr>
                </w:p>
              </w:tc>
              <w:tc>
                <w:tcPr>
                  <w:tcW w:w="240" w:type="pct"/>
                  <w:vAlign w:val="center"/>
                </w:tcPr>
                <w:p w14:paraId="60BD233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60</w:t>
                  </w:r>
                </w:p>
              </w:tc>
              <w:tc>
                <w:tcPr>
                  <w:tcW w:w="726" w:type="dxa"/>
                  <w:vAlign w:val="bottom"/>
                </w:tcPr>
                <w:p w14:paraId="03DF1870">
                  <w:pPr>
                    <w:adjustRightInd w:val="0"/>
                    <w:snapToGrid w:val="0"/>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49.4</w:t>
                  </w:r>
                </w:p>
              </w:tc>
              <w:tc>
                <w:tcPr>
                  <w:tcW w:w="618" w:type="pct"/>
                  <w:vMerge w:val="continue"/>
                  <w:vAlign w:val="center"/>
                </w:tcPr>
                <w:p w14:paraId="6A5C7A46">
                  <w:pPr>
                    <w:adjustRightInd w:val="0"/>
                    <w:snapToGrid w:val="0"/>
                    <w:jc w:val="center"/>
                    <w:rPr>
                      <w:color w:val="000000" w:themeColor="text1"/>
                      <w:sz w:val="18"/>
                      <w:szCs w:val="18"/>
                      <w14:textFill>
                        <w14:solidFill>
                          <w14:schemeClr w14:val="tx1"/>
                        </w14:solidFill>
                      </w14:textFill>
                    </w:rPr>
                  </w:pPr>
                </w:p>
              </w:tc>
              <w:tc>
                <w:tcPr>
                  <w:tcW w:w="429" w:type="pct"/>
                  <w:vMerge w:val="continue"/>
                  <w:vAlign w:val="center"/>
                </w:tcPr>
                <w:p w14:paraId="0C5CE92B">
                  <w:pPr>
                    <w:adjustRightInd w:val="0"/>
                    <w:snapToGrid w:val="0"/>
                    <w:jc w:val="center"/>
                    <w:rPr>
                      <w:color w:val="000000" w:themeColor="text1"/>
                      <w:sz w:val="18"/>
                      <w:szCs w:val="18"/>
                      <w14:textFill>
                        <w14:solidFill>
                          <w14:schemeClr w14:val="tx1"/>
                        </w14:solidFill>
                      </w14:textFill>
                    </w:rPr>
                  </w:pPr>
                </w:p>
              </w:tc>
              <w:tc>
                <w:tcPr>
                  <w:tcW w:w="726" w:type="dxa"/>
                  <w:vAlign w:val="center"/>
                </w:tcPr>
                <w:p w14:paraId="74EC782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28.4</w:t>
                  </w:r>
                </w:p>
              </w:tc>
            </w:tr>
            <w:tr w14:paraId="7AF2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4"/>
                  <w:vAlign w:val="center"/>
                </w:tcPr>
                <w:p w14:paraId="37F0C88E">
                  <w:pPr>
                    <w:adjustRightInd w:val="0"/>
                    <w:snapToGri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备注：项目以生产厂房中心为空间相对位置坐标原点，东西走向X轴，南北走向Y轴；从上至下距离依次为到东、南、西、北室内边界距离。</w:t>
                  </w:r>
                </w:p>
              </w:tc>
            </w:tr>
          </w:tbl>
          <w:p w14:paraId="154993A7">
            <w:pPr>
              <w:spacing w:before="120" w:beforeLines="50"/>
              <w:jc w:val="center"/>
              <w:outlineLvl w:val="0"/>
              <w:rPr>
                <w:b/>
                <w:color w:val="000000" w:themeColor="text1"/>
                <w14:textFill>
                  <w14:solidFill>
                    <w14:schemeClr w14:val="tx1"/>
                  </w14:solidFill>
                </w14:textFill>
              </w:rPr>
            </w:pPr>
            <w:r>
              <w:rPr>
                <w:b/>
                <w:color w:val="000000" w:themeColor="text1"/>
                <w14:textFill>
                  <w14:solidFill>
                    <w14:schemeClr w14:val="tx1"/>
                  </w14:solidFill>
                </w14:textFill>
              </w:rPr>
              <w:t>表4.2-10噪声源调查清单（室外声源）</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68"/>
              <w:gridCol w:w="1402"/>
              <w:gridCol w:w="864"/>
              <w:gridCol w:w="717"/>
              <w:gridCol w:w="948"/>
              <w:gridCol w:w="847"/>
              <w:gridCol w:w="1199"/>
            </w:tblGrid>
            <w:tr w14:paraId="2390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10" w:type="pct"/>
                  <w:vMerge w:val="restart"/>
                  <w:shd w:val="clear" w:color="auto" w:fill="auto"/>
                  <w:vAlign w:val="center"/>
                </w:tcPr>
                <w:p w14:paraId="7B65C231">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声源名称</w:t>
                  </w:r>
                </w:p>
              </w:tc>
              <w:tc>
                <w:tcPr>
                  <w:tcW w:w="846" w:type="pct"/>
                  <w:vMerge w:val="restart"/>
                  <w:shd w:val="clear" w:color="auto" w:fill="auto"/>
                  <w:vAlign w:val="center"/>
                </w:tcPr>
                <w:p w14:paraId="213C1A9B">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设备数量/台</w:t>
                  </w:r>
                </w:p>
              </w:tc>
              <w:tc>
                <w:tcPr>
                  <w:tcW w:w="808" w:type="pct"/>
                  <w:vMerge w:val="restart"/>
                  <w:shd w:val="clear" w:color="auto" w:fill="auto"/>
                  <w:vAlign w:val="center"/>
                </w:tcPr>
                <w:p w14:paraId="0EA423EB">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声压级/距声源距离（dB（A）/m）</w:t>
                  </w:r>
                </w:p>
              </w:tc>
              <w:tc>
                <w:tcPr>
                  <w:tcW w:w="498" w:type="pct"/>
                  <w:vMerge w:val="restart"/>
                  <w:shd w:val="clear" w:color="auto" w:fill="auto"/>
                  <w:vAlign w:val="center"/>
                </w:tcPr>
                <w:p w14:paraId="297594A8">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声控制措施</w:t>
                  </w:r>
                </w:p>
              </w:tc>
              <w:tc>
                <w:tcPr>
                  <w:tcW w:w="1447" w:type="pct"/>
                  <w:gridSpan w:val="3"/>
                  <w:shd w:val="clear" w:color="auto" w:fill="auto"/>
                  <w:vAlign w:val="center"/>
                </w:tcPr>
                <w:p w14:paraId="7B1EDC2C">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空间相对位置/m</w:t>
                  </w:r>
                </w:p>
              </w:tc>
              <w:tc>
                <w:tcPr>
                  <w:tcW w:w="688" w:type="pct"/>
                  <w:vMerge w:val="restart"/>
                  <w:shd w:val="clear" w:color="auto" w:fill="auto"/>
                  <w:vAlign w:val="center"/>
                </w:tcPr>
                <w:p w14:paraId="001CA1D0">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运行时段</w:t>
                  </w:r>
                </w:p>
              </w:tc>
            </w:tr>
            <w:tr w14:paraId="2542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10" w:type="pct"/>
                  <w:vMerge w:val="continue"/>
                  <w:shd w:val="clear" w:color="auto" w:fill="auto"/>
                  <w:vAlign w:val="center"/>
                </w:tcPr>
                <w:p w14:paraId="6606802E">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p>
              </w:tc>
              <w:tc>
                <w:tcPr>
                  <w:tcW w:w="846" w:type="pct"/>
                  <w:vMerge w:val="continue"/>
                  <w:shd w:val="clear" w:color="auto" w:fill="auto"/>
                  <w:vAlign w:val="center"/>
                </w:tcPr>
                <w:p w14:paraId="003FCC11">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p>
              </w:tc>
              <w:tc>
                <w:tcPr>
                  <w:tcW w:w="808" w:type="pct"/>
                  <w:vMerge w:val="continue"/>
                  <w:shd w:val="clear" w:color="auto" w:fill="auto"/>
                  <w:vAlign w:val="center"/>
                </w:tcPr>
                <w:p w14:paraId="45340BAE">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p>
              </w:tc>
              <w:tc>
                <w:tcPr>
                  <w:tcW w:w="498" w:type="pct"/>
                  <w:vMerge w:val="continue"/>
                  <w:shd w:val="clear" w:color="auto" w:fill="auto"/>
                  <w:vAlign w:val="center"/>
                </w:tcPr>
                <w:p w14:paraId="236CC982">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p>
              </w:tc>
              <w:tc>
                <w:tcPr>
                  <w:tcW w:w="413" w:type="pct"/>
                  <w:shd w:val="clear" w:color="auto" w:fill="auto"/>
                  <w:vAlign w:val="center"/>
                </w:tcPr>
                <w:p w14:paraId="1633D28B">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X</w:t>
                  </w:r>
                </w:p>
              </w:tc>
              <w:tc>
                <w:tcPr>
                  <w:tcW w:w="546" w:type="pct"/>
                  <w:shd w:val="clear" w:color="auto" w:fill="auto"/>
                  <w:vAlign w:val="center"/>
                </w:tcPr>
                <w:p w14:paraId="7117B7D4">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Y</w:t>
                  </w:r>
                </w:p>
              </w:tc>
              <w:tc>
                <w:tcPr>
                  <w:tcW w:w="487" w:type="pct"/>
                  <w:shd w:val="clear" w:color="auto" w:fill="auto"/>
                  <w:vAlign w:val="center"/>
                </w:tcPr>
                <w:p w14:paraId="39214440">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Z</w:t>
                  </w:r>
                </w:p>
              </w:tc>
              <w:tc>
                <w:tcPr>
                  <w:tcW w:w="688" w:type="pct"/>
                  <w:vMerge w:val="continue"/>
                  <w:shd w:val="clear" w:color="auto" w:fill="auto"/>
                  <w:vAlign w:val="center"/>
                </w:tcPr>
                <w:p w14:paraId="7097C479">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p>
              </w:tc>
            </w:tr>
            <w:tr w14:paraId="71AD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10" w:type="pct"/>
                  <w:shd w:val="clear" w:color="auto" w:fill="auto"/>
                  <w:vAlign w:val="center"/>
                </w:tcPr>
                <w:p w14:paraId="554B1839">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废气处理设施风机</w:t>
                  </w:r>
                </w:p>
              </w:tc>
              <w:tc>
                <w:tcPr>
                  <w:tcW w:w="846" w:type="pct"/>
                  <w:shd w:val="clear" w:color="auto" w:fill="auto"/>
                  <w:vAlign w:val="center"/>
                </w:tcPr>
                <w:p w14:paraId="5EBB96EF">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val="en-US"/>
                      <w14:textFill>
                        <w14:solidFill>
                          <w14:schemeClr w14:val="tx1"/>
                        </w14:solidFill>
                      </w14:textFill>
                    </w:rPr>
                    <w:t>2</w:t>
                  </w:r>
                  <w:r>
                    <w:rPr>
                      <w:rFonts w:ascii="Times New Roman" w:hAnsi="Times New Roman"/>
                      <w:color w:val="000000" w:themeColor="text1"/>
                      <w:sz w:val="21"/>
                      <w:szCs w:val="21"/>
                      <w14:textFill>
                        <w14:solidFill>
                          <w14:schemeClr w14:val="tx1"/>
                        </w14:solidFill>
                      </w14:textFill>
                    </w:rPr>
                    <w:t>000m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/h/(1)</w:t>
                  </w:r>
                </w:p>
              </w:tc>
              <w:tc>
                <w:tcPr>
                  <w:tcW w:w="808" w:type="pct"/>
                  <w:shd w:val="clear" w:color="auto" w:fill="auto"/>
                  <w:vAlign w:val="center"/>
                </w:tcPr>
                <w:p w14:paraId="0D8D7D2D">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80/1</w:t>
                  </w:r>
                </w:p>
              </w:tc>
              <w:tc>
                <w:tcPr>
                  <w:tcW w:w="498" w:type="pct"/>
                  <w:vMerge w:val="restart"/>
                  <w:shd w:val="clear" w:color="auto" w:fill="auto"/>
                  <w:vAlign w:val="center"/>
                </w:tcPr>
                <w:p w14:paraId="52A8570A">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减振、消音</w:t>
                  </w:r>
                </w:p>
              </w:tc>
              <w:tc>
                <w:tcPr>
                  <w:tcW w:w="413" w:type="pct"/>
                  <w:shd w:val="clear" w:color="auto" w:fill="auto"/>
                  <w:vAlign w:val="center"/>
                </w:tcPr>
                <w:p w14:paraId="32035124">
                  <w:pPr>
                    <w:pStyle w:val="3"/>
                    <w:adjustRightInd w:val="0"/>
                    <w:snapToGrid w:val="0"/>
                    <w:spacing w:line="240" w:lineRule="auto"/>
                    <w:ind w:firstLine="0" w:firstLineChars="0"/>
                    <w:rPr>
                      <w:rFonts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lang w:val="en-US"/>
                      <w14:textFill>
                        <w14:solidFill>
                          <w14:schemeClr w14:val="tx1"/>
                        </w14:solidFill>
                      </w14:textFill>
                    </w:rPr>
                    <w:t>-15</w:t>
                  </w:r>
                </w:p>
              </w:tc>
              <w:tc>
                <w:tcPr>
                  <w:tcW w:w="546" w:type="pct"/>
                  <w:shd w:val="clear" w:color="auto" w:fill="auto"/>
                  <w:vAlign w:val="center"/>
                </w:tcPr>
                <w:p w14:paraId="792641A2">
                  <w:pPr>
                    <w:pStyle w:val="3"/>
                    <w:adjustRightInd w:val="0"/>
                    <w:snapToGrid w:val="0"/>
                    <w:spacing w:line="240" w:lineRule="auto"/>
                    <w:ind w:firstLine="0" w:firstLineChars="0"/>
                    <w:rPr>
                      <w:rFonts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lang w:val="en-US"/>
                      <w14:textFill>
                        <w14:solidFill>
                          <w14:schemeClr w14:val="tx1"/>
                        </w14:solidFill>
                      </w14:textFill>
                    </w:rPr>
                    <w:t>-20</w:t>
                  </w:r>
                </w:p>
              </w:tc>
              <w:tc>
                <w:tcPr>
                  <w:tcW w:w="487" w:type="pct"/>
                  <w:shd w:val="clear" w:color="auto" w:fill="auto"/>
                  <w:vAlign w:val="center"/>
                </w:tcPr>
                <w:p w14:paraId="5B867D04">
                  <w:pPr>
                    <w:pStyle w:val="3"/>
                    <w:adjustRightInd w:val="0"/>
                    <w:snapToGrid w:val="0"/>
                    <w:spacing w:line="240" w:lineRule="auto"/>
                    <w:ind w:firstLine="0" w:firstLineChars="0"/>
                    <w:rPr>
                      <w:rFonts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lang w:val="en-US"/>
                      <w14:textFill>
                        <w14:solidFill>
                          <w14:schemeClr w14:val="tx1"/>
                        </w14:solidFill>
                      </w14:textFill>
                    </w:rPr>
                    <w:t>23</w:t>
                  </w:r>
                </w:p>
              </w:tc>
              <w:tc>
                <w:tcPr>
                  <w:tcW w:w="688" w:type="pct"/>
                  <w:shd w:val="clear" w:color="auto" w:fill="auto"/>
                  <w:vAlign w:val="center"/>
                </w:tcPr>
                <w:p w14:paraId="60AFFFFC">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昼间</w:t>
                  </w:r>
                </w:p>
              </w:tc>
            </w:tr>
            <w:tr w14:paraId="722D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10" w:type="pct"/>
                  <w:shd w:val="clear" w:color="auto" w:fill="auto"/>
                  <w:vAlign w:val="center"/>
                </w:tcPr>
                <w:p w14:paraId="394668C7">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废气处理设施风机</w:t>
                  </w:r>
                </w:p>
              </w:tc>
              <w:tc>
                <w:tcPr>
                  <w:tcW w:w="846" w:type="pct"/>
                  <w:shd w:val="clear" w:color="auto" w:fill="auto"/>
                  <w:vAlign w:val="center"/>
                </w:tcPr>
                <w:p w14:paraId="6BACA954">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r>
                    <w:rPr>
                      <w:rFonts w:ascii="Times New Roman" w:hAnsi="Times New Roman"/>
                      <w:color w:val="000000" w:themeColor="text1"/>
                      <w:sz w:val="21"/>
                      <w:szCs w:val="21"/>
                      <w14:textFill>
                        <w14:solidFill>
                          <w14:schemeClr w14:val="tx1"/>
                        </w14:solidFill>
                      </w14:textFill>
                    </w:rPr>
                    <w:t>000m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/h/(1)</w:t>
                  </w:r>
                </w:p>
              </w:tc>
              <w:tc>
                <w:tcPr>
                  <w:tcW w:w="808" w:type="pct"/>
                  <w:shd w:val="clear" w:color="auto" w:fill="auto"/>
                  <w:vAlign w:val="center"/>
                </w:tcPr>
                <w:p w14:paraId="2E530FCC">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w:t>
                  </w:r>
                  <w:r>
                    <w:rPr>
                      <w:rFonts w:hint="eastAsia" w:ascii="Times New Roman" w:hAnsi="Times New Roman"/>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/1</w:t>
                  </w:r>
                </w:p>
              </w:tc>
              <w:tc>
                <w:tcPr>
                  <w:tcW w:w="498" w:type="pct"/>
                  <w:vMerge w:val="continue"/>
                  <w:shd w:val="clear" w:color="auto" w:fill="auto"/>
                  <w:vAlign w:val="center"/>
                </w:tcPr>
                <w:p w14:paraId="4464D1A9">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p>
              </w:tc>
              <w:tc>
                <w:tcPr>
                  <w:tcW w:w="413" w:type="pct"/>
                  <w:shd w:val="clear" w:color="auto" w:fill="auto"/>
                  <w:vAlign w:val="center"/>
                </w:tcPr>
                <w:p w14:paraId="5A8D70F9">
                  <w:pPr>
                    <w:pStyle w:val="3"/>
                    <w:adjustRightInd w:val="0"/>
                    <w:snapToGrid w:val="0"/>
                    <w:spacing w:line="240" w:lineRule="auto"/>
                    <w:ind w:firstLine="0" w:firstLineChars="0"/>
                    <w:rPr>
                      <w:rFonts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lang w:val="en-US"/>
                      <w14:textFill>
                        <w14:solidFill>
                          <w14:schemeClr w14:val="tx1"/>
                        </w14:solidFill>
                      </w14:textFill>
                    </w:rPr>
                    <w:t>13</w:t>
                  </w:r>
                </w:p>
              </w:tc>
              <w:tc>
                <w:tcPr>
                  <w:tcW w:w="546" w:type="pct"/>
                  <w:shd w:val="clear" w:color="auto" w:fill="auto"/>
                  <w:vAlign w:val="center"/>
                </w:tcPr>
                <w:p w14:paraId="22152C38">
                  <w:pPr>
                    <w:pStyle w:val="3"/>
                    <w:adjustRightInd w:val="0"/>
                    <w:snapToGrid w:val="0"/>
                    <w:spacing w:line="240" w:lineRule="auto"/>
                    <w:ind w:firstLine="0" w:firstLineChars="0"/>
                    <w:rPr>
                      <w:rFonts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lang w:val="en-US"/>
                      <w14:textFill>
                        <w14:solidFill>
                          <w14:schemeClr w14:val="tx1"/>
                        </w14:solidFill>
                      </w14:textFill>
                    </w:rPr>
                    <w:t>18</w:t>
                  </w:r>
                </w:p>
              </w:tc>
              <w:tc>
                <w:tcPr>
                  <w:tcW w:w="487" w:type="pct"/>
                  <w:shd w:val="clear" w:color="auto" w:fill="auto"/>
                  <w:vAlign w:val="center"/>
                </w:tcPr>
                <w:p w14:paraId="1DA6342D">
                  <w:pPr>
                    <w:pStyle w:val="3"/>
                    <w:adjustRightInd w:val="0"/>
                    <w:snapToGrid w:val="0"/>
                    <w:spacing w:line="240" w:lineRule="auto"/>
                    <w:ind w:firstLine="0" w:firstLineChars="0"/>
                    <w:rPr>
                      <w:rFonts w:ascii="Times New Roman" w:hAnsi="Times New Roman"/>
                      <w:color w:val="000000" w:themeColor="text1"/>
                      <w:sz w:val="21"/>
                      <w:szCs w:val="21"/>
                      <w:lang w:val="en-US"/>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r>
                    <w:rPr>
                      <w:rFonts w:ascii="Times New Roman" w:hAnsi="Times New Roman"/>
                      <w:color w:val="000000" w:themeColor="text1"/>
                      <w:sz w:val="21"/>
                      <w:szCs w:val="21"/>
                      <w:lang w:val="en-US"/>
                      <w14:textFill>
                        <w14:solidFill>
                          <w14:schemeClr w14:val="tx1"/>
                        </w14:solidFill>
                      </w14:textFill>
                    </w:rPr>
                    <w:t>3</w:t>
                  </w:r>
                </w:p>
              </w:tc>
              <w:tc>
                <w:tcPr>
                  <w:tcW w:w="688" w:type="pct"/>
                  <w:shd w:val="clear" w:color="auto" w:fill="auto"/>
                  <w:vAlign w:val="center"/>
                </w:tcPr>
                <w:p w14:paraId="7D35206D">
                  <w:pPr>
                    <w:pStyle w:val="3"/>
                    <w:adjustRightInd w:val="0"/>
                    <w:snapToGrid w:val="0"/>
                    <w:spacing w:line="240" w:lineRule="auto"/>
                    <w:ind w:firstLine="0" w:firstLineChars="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昼间</w:t>
                  </w:r>
                </w:p>
              </w:tc>
            </w:tr>
            <w:tr w14:paraId="5C31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000" w:type="pct"/>
                  <w:gridSpan w:val="8"/>
                  <w:shd w:val="clear" w:color="auto" w:fill="auto"/>
                  <w:vAlign w:val="center"/>
                </w:tcPr>
                <w:p w14:paraId="1073C661">
                  <w:pPr>
                    <w:pStyle w:val="3"/>
                    <w:adjustRightInd w:val="0"/>
                    <w:snapToGrid w:val="0"/>
                    <w:spacing w:line="240" w:lineRule="auto"/>
                    <w:ind w:firstLine="0" w:firstLineChars="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注：设备空间相对位置以厂房为中心，厂房地面位于高程点统计。</w:t>
                  </w:r>
                </w:p>
              </w:tc>
            </w:tr>
          </w:tbl>
          <w:p w14:paraId="5BFC3ED1">
            <w:pPr>
              <w:jc w:val="center"/>
              <w:rPr>
                <w:b/>
                <w:bCs/>
                <w:color w:val="000000" w:themeColor="text1"/>
                <w:sz w:val="24"/>
                <w14:textFill>
                  <w14:solidFill>
                    <w14:schemeClr w14:val="tx1"/>
                  </w14:solidFill>
                </w14:textFill>
              </w:rPr>
            </w:pPr>
          </w:p>
          <w:p w14:paraId="42884454">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（2）预测模式</w:t>
            </w:r>
          </w:p>
          <w:p w14:paraId="0EDA9AEE">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采用《环境影响评价技术导则声环境》（HJ2.4-2021）中推荐的噪声预测计算模式。</w:t>
            </w:r>
          </w:p>
          <w:p w14:paraId="2E5941D1">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室内声源靠近围护结构处产生的A声级：</w:t>
            </w:r>
          </w:p>
          <w:p w14:paraId="4294485D">
            <w:pPr>
              <w:pStyle w:val="137"/>
              <w:ind w:firstLine="0"/>
              <w:jc w:val="center"/>
              <w:rPr>
                <w:rFonts w:eastAsia="宋体"/>
                <w:color w:val="000000" w:themeColor="text1"/>
                <w:lang w:bidi="ar"/>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2039620" cy="386715"/>
                  <wp:effectExtent l="0" t="0" r="17780" b="13335"/>
                  <wp:docPr id="46" name="图片 46" descr="QQ截图2022062710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截图202206271020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9620" cy="386715"/>
                          </a:xfrm>
                          <a:prstGeom prst="rect">
                            <a:avLst/>
                          </a:prstGeom>
                          <a:noFill/>
                          <a:ln>
                            <a:noFill/>
                          </a:ln>
                        </pic:spPr>
                      </pic:pic>
                    </a:graphicData>
                  </a:graphic>
                </wp:inline>
              </w:drawing>
            </w:r>
          </w:p>
          <w:p w14:paraId="4EE9C4B0">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式中：</w:t>
            </w: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p1</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靠近开口处（或窗户）室内某A声级，dB；</w:t>
            </w:r>
          </w:p>
          <w:p w14:paraId="516D2AA3">
            <w:pPr>
              <w:pStyle w:val="137"/>
              <w:ind w:firstLine="1200" w:firstLineChars="500"/>
              <w:rPr>
                <w:rFonts w:eastAsia="宋体"/>
                <w:color w:val="000000" w:themeColor="text1"/>
                <w:lang w:bidi="ar"/>
                <w14:textFill>
                  <w14:solidFill>
                    <w14:schemeClr w14:val="tx1"/>
                  </w14:solidFill>
                </w14:textFill>
              </w:rPr>
            </w:pP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w</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点声源声功率级，dB；</w:t>
            </w:r>
          </w:p>
          <w:p w14:paraId="754D32FE">
            <w:pPr>
              <w:pStyle w:val="137"/>
              <w:ind w:firstLine="1200" w:firstLineChars="500"/>
              <w:rPr>
                <w:rFonts w:eastAsia="宋体"/>
                <w:color w:val="000000" w:themeColor="text1"/>
                <w:lang w:bidi="ar"/>
                <w14:textFill>
                  <w14:solidFill>
                    <w14:schemeClr w14:val="tx1"/>
                  </w14:solidFill>
                </w14:textFill>
              </w:rPr>
            </w:pPr>
            <w:r>
              <w:rPr>
                <w:rFonts w:eastAsia="宋体"/>
                <w:i/>
                <w:iCs/>
                <w:color w:val="000000" w:themeColor="text1"/>
                <w:lang w:bidi="ar"/>
                <w14:textFill>
                  <w14:solidFill>
                    <w14:schemeClr w14:val="tx1"/>
                  </w14:solidFill>
                </w14:textFill>
              </w:rPr>
              <w:t>Q</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指向性因数；</w:t>
            </w:r>
          </w:p>
          <w:p w14:paraId="258632E0">
            <w:pPr>
              <w:pStyle w:val="137"/>
              <w:ind w:firstLine="1200" w:firstLineChars="500"/>
              <w:rPr>
                <w:rFonts w:eastAsia="宋体"/>
                <w:color w:val="000000" w:themeColor="text1"/>
                <w:lang w:bidi="ar"/>
                <w14:textFill>
                  <w14:solidFill>
                    <w14:schemeClr w14:val="tx1"/>
                  </w14:solidFill>
                </w14:textFill>
              </w:rPr>
            </w:pPr>
            <w:r>
              <w:rPr>
                <w:rFonts w:eastAsia="宋体"/>
                <w:i/>
                <w:iCs/>
                <w:color w:val="000000" w:themeColor="text1"/>
                <w:lang w:bidi="ar"/>
                <w14:textFill>
                  <w14:solidFill>
                    <w14:schemeClr w14:val="tx1"/>
                  </w14:solidFill>
                </w14:textFill>
              </w:rPr>
              <w:t>R</w:t>
            </w:r>
            <w:r>
              <w:rPr>
                <w:rFonts w:eastAsia="宋体"/>
                <w:i/>
                <w:iCs/>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房间常数；</w:t>
            </w:r>
          </w:p>
          <w:p w14:paraId="12951459">
            <w:pPr>
              <w:pStyle w:val="137"/>
              <w:ind w:firstLine="1200" w:firstLineChars="500"/>
              <w:rPr>
                <w:rFonts w:eastAsia="宋体"/>
                <w:color w:val="000000" w:themeColor="text1"/>
                <w:lang w:bidi="ar"/>
                <w14:textFill>
                  <w14:solidFill>
                    <w14:schemeClr w14:val="tx1"/>
                  </w14:solidFill>
                </w14:textFill>
              </w:rPr>
            </w:pPr>
            <w:r>
              <w:rPr>
                <w:rFonts w:eastAsia="宋体"/>
                <w:i/>
                <w:iCs/>
                <w:color w:val="000000" w:themeColor="text1"/>
                <w:lang w:bidi="ar"/>
                <w14:textFill>
                  <w14:solidFill>
                    <w14:schemeClr w14:val="tx1"/>
                  </w14:solidFill>
                </w14:textFill>
              </w:rPr>
              <w:t>r</w:t>
            </w:r>
            <w:r>
              <w:rPr>
                <w:rFonts w:eastAsia="宋体"/>
                <w:i/>
                <w:iCs/>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声源到靠近围护结构某点处的距离。</w:t>
            </w:r>
          </w:p>
          <w:p w14:paraId="5723EE1F">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室内声源在围护结构处产生的i倍频带叠加声压级：</w:t>
            </w:r>
          </w:p>
          <w:p w14:paraId="776BA2BB">
            <w:pPr>
              <w:pStyle w:val="137"/>
              <w:ind w:firstLine="0"/>
              <w:jc w:val="center"/>
              <w:rPr>
                <w:rFonts w:eastAsia="宋体"/>
                <w:color w:val="000000" w:themeColor="text1"/>
                <w:lang w:bidi="ar"/>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1696720" cy="466090"/>
                  <wp:effectExtent l="0" t="0" r="17780" b="10160"/>
                  <wp:docPr id="26" name="图片 26" descr="QQ截图2022062710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206271030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96720" cy="466090"/>
                          </a:xfrm>
                          <a:prstGeom prst="rect">
                            <a:avLst/>
                          </a:prstGeom>
                          <a:noFill/>
                          <a:ln>
                            <a:noFill/>
                          </a:ln>
                        </pic:spPr>
                      </pic:pic>
                    </a:graphicData>
                  </a:graphic>
                </wp:inline>
              </w:drawing>
            </w:r>
          </w:p>
          <w:p w14:paraId="13C2A53F">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式中：</w:t>
            </w: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p1i</w:t>
            </w:r>
            <w:r>
              <w:rPr>
                <w:rFonts w:eastAsia="宋体"/>
                <w:i/>
                <w:iCs/>
                <w:color w:val="000000" w:themeColor="text1"/>
                <w:lang w:bidi="ar"/>
                <w14:textFill>
                  <w14:solidFill>
                    <w14:schemeClr w14:val="tx1"/>
                  </w14:solidFill>
                </w14:textFill>
              </w:rPr>
              <w:t>（T）</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靠近围护结构处室内N个声源i倍频带的叠加声压级，dB；</w:t>
            </w:r>
          </w:p>
          <w:p w14:paraId="3E10E9F4">
            <w:pPr>
              <w:pStyle w:val="137"/>
              <w:ind w:firstLine="1200" w:firstLineChars="500"/>
              <w:rPr>
                <w:rFonts w:eastAsia="宋体"/>
                <w:color w:val="000000" w:themeColor="text1"/>
                <w:lang w:bidi="ar"/>
                <w14:textFill>
                  <w14:solidFill>
                    <w14:schemeClr w14:val="tx1"/>
                  </w14:solidFill>
                </w14:textFill>
              </w:rPr>
            </w:pP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p1ij</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室内j声源i倍频带的声压级，dB；</w:t>
            </w:r>
          </w:p>
          <w:p w14:paraId="4FE8627D">
            <w:pPr>
              <w:pStyle w:val="137"/>
              <w:ind w:firstLine="1200" w:firstLineChars="500"/>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N</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室内声源总数。</w:t>
            </w:r>
          </w:p>
          <w:p w14:paraId="7580F4E8">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靠近室外围护结构处的声压级：</w:t>
            </w:r>
          </w:p>
          <w:p w14:paraId="7FC28FE7">
            <w:pPr>
              <w:pStyle w:val="137"/>
              <w:ind w:firstLine="0"/>
              <w:jc w:val="center"/>
              <w:rPr>
                <w:rFonts w:eastAsia="宋体"/>
                <w:i/>
                <w:iCs/>
                <w:color w:val="000000" w:themeColor="text1"/>
                <w:lang w:bidi="ar"/>
                <w14:textFill>
                  <w14:solidFill>
                    <w14:schemeClr w14:val="tx1"/>
                  </w14:solidFill>
                </w14:textFill>
              </w:rPr>
            </w:pPr>
            <w:r>
              <w:rPr>
                <w:rFonts w:eastAsia="宋体"/>
                <w:i/>
                <w:iCs/>
                <w:color w:val="000000" w:themeColor="text1"/>
                <w14:textFill>
                  <w14:solidFill>
                    <w14:schemeClr w14:val="tx1"/>
                  </w14:solidFill>
                </w14:textFill>
              </w:rPr>
              <w:drawing>
                <wp:inline distT="0" distB="0" distL="0" distR="0">
                  <wp:extent cx="1635125" cy="281305"/>
                  <wp:effectExtent l="0" t="0" r="3175" b="4445"/>
                  <wp:docPr id="25" name="图片 25" descr="QQ截图202206271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220627110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35125" cy="281305"/>
                          </a:xfrm>
                          <a:prstGeom prst="rect">
                            <a:avLst/>
                          </a:prstGeom>
                          <a:noFill/>
                          <a:ln>
                            <a:noFill/>
                          </a:ln>
                        </pic:spPr>
                      </pic:pic>
                    </a:graphicData>
                  </a:graphic>
                </wp:inline>
              </w:drawing>
            </w:r>
          </w:p>
          <w:p w14:paraId="33AD6D70">
            <w:pPr>
              <w:pStyle w:val="137"/>
              <w:rPr>
                <w:rFonts w:eastAsia="宋体"/>
                <w:iCs/>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式中：</w:t>
            </w: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p2i</w:t>
            </w:r>
            <w:r>
              <w:rPr>
                <w:rFonts w:eastAsia="宋体"/>
                <w:i/>
                <w:iCs/>
                <w:color w:val="000000" w:themeColor="text1"/>
                <w:lang w:bidi="ar"/>
                <w14:textFill>
                  <w14:solidFill>
                    <w14:schemeClr w14:val="tx1"/>
                  </w14:solidFill>
                </w14:textFill>
              </w:rPr>
              <w:t>（T）</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靠近围护结构处室外N个声源i倍频带的叠加声压级，dB；</w:t>
            </w:r>
          </w:p>
          <w:p w14:paraId="13980D70">
            <w:pPr>
              <w:pStyle w:val="137"/>
              <w:ind w:firstLine="1200" w:firstLineChars="500"/>
              <w:rPr>
                <w:rFonts w:eastAsia="宋体"/>
                <w:color w:val="000000" w:themeColor="text1"/>
                <w:lang w:bidi="ar"/>
                <w14:textFill>
                  <w14:solidFill>
                    <w14:schemeClr w14:val="tx1"/>
                  </w14:solidFill>
                </w14:textFill>
              </w:rPr>
            </w:pP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p1i</w:t>
            </w:r>
            <w:r>
              <w:rPr>
                <w:rFonts w:eastAsia="宋体"/>
                <w:i/>
                <w:iCs/>
                <w:color w:val="000000" w:themeColor="text1"/>
                <w:lang w:bidi="ar"/>
                <w14:textFill>
                  <w14:solidFill>
                    <w14:schemeClr w14:val="tx1"/>
                  </w14:solidFill>
                </w14:textFill>
              </w:rPr>
              <w:t>（T）</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靠近围护结构处室内N个声源i倍频带的叠加声压级，dB；</w:t>
            </w:r>
          </w:p>
          <w:p w14:paraId="2D6C0B70">
            <w:pPr>
              <w:pStyle w:val="137"/>
              <w:ind w:firstLine="1200" w:firstLineChars="500"/>
              <w:rPr>
                <w:rFonts w:eastAsia="宋体"/>
                <w:color w:val="000000" w:themeColor="text1"/>
                <w:lang w:bidi="ar"/>
                <w14:textFill>
                  <w14:solidFill>
                    <w14:schemeClr w14:val="tx1"/>
                  </w14:solidFill>
                </w14:textFill>
              </w:rPr>
            </w:pPr>
            <w:r>
              <w:rPr>
                <w:rFonts w:eastAsia="宋体"/>
                <w:iCs/>
                <w:color w:val="000000" w:themeColor="text1"/>
                <w:lang w:bidi="ar"/>
                <w14:textFill>
                  <w14:solidFill>
                    <w14:schemeClr w14:val="tx1"/>
                  </w14:solidFill>
                </w14:textFill>
              </w:rPr>
              <w:t>T</w:t>
            </w:r>
            <w:r>
              <w:rPr>
                <w:rFonts w:eastAsia="宋体"/>
                <w:i/>
                <w:iCs/>
                <w:color w:val="000000" w:themeColor="text1"/>
                <w:lang w:bidi="ar"/>
                <w14:textFill>
                  <w14:solidFill>
                    <w14:schemeClr w14:val="tx1"/>
                  </w14:solidFill>
                </w14:textFill>
              </w:rPr>
              <w:t>L</w:t>
            </w:r>
            <w:r>
              <w:rPr>
                <w:rFonts w:eastAsia="宋体"/>
                <w:i/>
                <w:iCs/>
                <w:color w:val="000000" w:themeColor="text1"/>
                <w:vertAlign w:val="subscript"/>
                <w:lang w:bidi="ar"/>
                <w14:textFill>
                  <w14:solidFill>
                    <w14:schemeClr w14:val="tx1"/>
                  </w14:solidFill>
                </w14:textFill>
              </w:rPr>
              <w:t>i</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围护结构i倍频带的隔声量，dB。</w:t>
            </w:r>
          </w:p>
          <w:p w14:paraId="19586D91">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预测点产生的贡献值（Leqg）为：</w:t>
            </w:r>
          </w:p>
          <w:p w14:paraId="4742ACC0">
            <w:pPr>
              <w:pStyle w:val="137"/>
              <w:ind w:firstLine="0"/>
              <w:jc w:val="center"/>
              <w:rPr>
                <w:rFonts w:eastAsia="宋体"/>
                <w:color w:val="000000" w:themeColor="text1"/>
                <w:lang w:bidi="ar"/>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2400300" cy="492125"/>
                  <wp:effectExtent l="0" t="0" r="0" b="3175"/>
                  <wp:docPr id="24" name="图片 24" descr="QQ截图2022062710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206271059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00300" cy="492125"/>
                          </a:xfrm>
                          <a:prstGeom prst="rect">
                            <a:avLst/>
                          </a:prstGeom>
                          <a:noFill/>
                          <a:ln>
                            <a:noFill/>
                          </a:ln>
                        </pic:spPr>
                      </pic:pic>
                    </a:graphicData>
                  </a:graphic>
                </wp:inline>
              </w:drawing>
            </w:r>
          </w:p>
          <w:p w14:paraId="7BE5BE29">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式中：</w:t>
            </w:r>
            <w:r>
              <w:rPr>
                <w:rFonts w:eastAsia="宋体"/>
                <w:i/>
                <w:color w:val="000000" w:themeColor="text1"/>
                <w:lang w:bidi="ar"/>
                <w14:textFill>
                  <w14:solidFill>
                    <w14:schemeClr w14:val="tx1"/>
                  </w14:solidFill>
                </w14:textFill>
              </w:rPr>
              <w:t>L</w:t>
            </w:r>
            <w:r>
              <w:rPr>
                <w:rFonts w:eastAsia="宋体"/>
                <w:i/>
                <w:color w:val="000000" w:themeColor="text1"/>
                <w:vertAlign w:val="subscript"/>
                <w:lang w:bidi="ar"/>
                <w14:textFill>
                  <w14:solidFill>
                    <w14:schemeClr w14:val="tx1"/>
                  </w14:solidFill>
                </w14:textFill>
              </w:rPr>
              <w:t>eqg</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建设项目声源在预测点产生的噪声贡献值，dB；</w:t>
            </w:r>
          </w:p>
          <w:p w14:paraId="20A39138">
            <w:pPr>
              <w:pStyle w:val="137"/>
              <w:ind w:firstLine="1200" w:firstLineChars="500"/>
              <w:rPr>
                <w:rFonts w:eastAsia="宋体"/>
                <w:color w:val="000000" w:themeColor="text1"/>
                <w:lang w:bidi="ar"/>
                <w14:textFill>
                  <w14:solidFill>
                    <w14:schemeClr w14:val="tx1"/>
                  </w14:solidFill>
                </w14:textFill>
              </w:rPr>
            </w:pPr>
            <w:r>
              <w:rPr>
                <w:rFonts w:eastAsia="宋体"/>
                <w:i/>
                <w:color w:val="000000" w:themeColor="text1"/>
                <w:lang w:bidi="ar"/>
                <w14:textFill>
                  <w14:solidFill>
                    <w14:schemeClr w14:val="tx1"/>
                  </w14:solidFill>
                </w14:textFill>
              </w:rPr>
              <w:t>T</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用于计算等效声级的时间，s；</w:t>
            </w:r>
          </w:p>
          <w:p w14:paraId="43171893">
            <w:pPr>
              <w:pStyle w:val="137"/>
              <w:ind w:firstLine="1200" w:firstLineChars="500"/>
              <w:rPr>
                <w:rFonts w:eastAsia="宋体"/>
                <w:color w:val="000000" w:themeColor="text1"/>
                <w:lang w:bidi="ar"/>
                <w14:textFill>
                  <w14:solidFill>
                    <w14:schemeClr w14:val="tx1"/>
                  </w14:solidFill>
                </w14:textFill>
              </w:rPr>
            </w:pPr>
            <w:r>
              <w:rPr>
                <w:rFonts w:eastAsia="宋体"/>
                <w:i/>
                <w:color w:val="000000" w:themeColor="text1"/>
                <w:lang w:bidi="ar"/>
                <w14:textFill>
                  <w14:solidFill>
                    <w14:schemeClr w14:val="tx1"/>
                  </w14:solidFill>
                </w14:textFill>
              </w:rPr>
              <w:t>N</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室外声源个数；</w:t>
            </w:r>
          </w:p>
          <w:p w14:paraId="4D1EF9B7">
            <w:pPr>
              <w:pStyle w:val="137"/>
              <w:ind w:firstLine="1200" w:firstLineChars="500"/>
              <w:rPr>
                <w:rFonts w:eastAsia="宋体"/>
                <w:color w:val="000000" w:themeColor="text1"/>
                <w:lang w:bidi="ar"/>
                <w14:textFill>
                  <w14:solidFill>
                    <w14:schemeClr w14:val="tx1"/>
                  </w14:solidFill>
                </w14:textFill>
              </w:rPr>
            </w:pPr>
            <w:r>
              <w:rPr>
                <w:rFonts w:eastAsia="宋体"/>
                <w:i/>
                <w:color w:val="000000" w:themeColor="text1"/>
                <w:lang w:bidi="ar"/>
                <w14:textFill>
                  <w14:solidFill>
                    <w14:schemeClr w14:val="tx1"/>
                  </w14:solidFill>
                </w14:textFill>
              </w:rPr>
              <w:t>t</w:t>
            </w:r>
            <w:r>
              <w:rPr>
                <w:rFonts w:eastAsia="宋体"/>
                <w:i/>
                <w:color w:val="000000" w:themeColor="text1"/>
                <w:vertAlign w:val="subscript"/>
                <w:lang w:bidi="ar"/>
                <w14:textFill>
                  <w14:solidFill>
                    <w14:schemeClr w14:val="tx1"/>
                  </w14:solidFill>
                </w14:textFill>
              </w:rPr>
              <w:t>i</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在T时间内i声源工作时间，s；</w:t>
            </w:r>
          </w:p>
          <w:p w14:paraId="3A92BB3A">
            <w:pPr>
              <w:pStyle w:val="137"/>
              <w:ind w:firstLine="1200" w:firstLineChars="500"/>
              <w:rPr>
                <w:rFonts w:eastAsia="宋体"/>
                <w:color w:val="000000" w:themeColor="text1"/>
                <w:lang w:bidi="ar"/>
                <w14:textFill>
                  <w14:solidFill>
                    <w14:schemeClr w14:val="tx1"/>
                  </w14:solidFill>
                </w14:textFill>
              </w:rPr>
            </w:pPr>
            <w:r>
              <w:rPr>
                <w:rFonts w:eastAsia="宋体"/>
                <w:i/>
                <w:color w:val="000000" w:themeColor="text1"/>
                <w:lang w:bidi="ar"/>
                <w14:textFill>
                  <w14:solidFill>
                    <w14:schemeClr w14:val="tx1"/>
                  </w14:solidFill>
                </w14:textFill>
              </w:rPr>
              <w:t>M</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等效室外声源个数；</w:t>
            </w:r>
          </w:p>
          <w:p w14:paraId="5FA34DEE">
            <w:pPr>
              <w:pStyle w:val="137"/>
              <w:ind w:firstLine="1200" w:firstLineChars="500"/>
              <w:rPr>
                <w:rFonts w:eastAsia="宋体"/>
                <w:color w:val="000000" w:themeColor="text1"/>
                <w:lang w:bidi="ar"/>
                <w14:textFill>
                  <w14:solidFill>
                    <w14:schemeClr w14:val="tx1"/>
                  </w14:solidFill>
                </w14:textFill>
              </w:rPr>
            </w:pPr>
            <w:r>
              <w:rPr>
                <w:rFonts w:eastAsia="宋体"/>
                <w:i/>
                <w:color w:val="000000" w:themeColor="text1"/>
                <w:lang w:bidi="ar"/>
                <w14:textFill>
                  <w14:solidFill>
                    <w14:schemeClr w14:val="tx1"/>
                  </w14:solidFill>
                </w14:textFill>
              </w:rPr>
              <w:t>t</w:t>
            </w:r>
            <w:r>
              <w:rPr>
                <w:rFonts w:eastAsia="宋体"/>
                <w:i/>
                <w:color w:val="000000" w:themeColor="text1"/>
                <w:vertAlign w:val="subscript"/>
                <w:lang w:bidi="ar"/>
                <w14:textFill>
                  <w14:solidFill>
                    <w14:schemeClr w14:val="tx1"/>
                  </w14:solidFill>
                </w14:textFill>
              </w:rPr>
              <w:t>j</w:t>
            </w:r>
            <w:r>
              <w:rPr>
                <w:rFonts w:eastAsia="宋体"/>
                <w:color w:val="000000" w:themeColor="text1"/>
                <w:lang w:bidi="ar"/>
                <w14:textFill>
                  <w14:solidFill>
                    <w14:schemeClr w14:val="tx1"/>
                  </w14:solidFill>
                </w14:textFill>
              </w:rPr>
              <w:sym w:font="Symbol" w:char="F0BE"/>
            </w:r>
            <w:r>
              <w:rPr>
                <w:rFonts w:eastAsia="宋体"/>
                <w:color w:val="000000" w:themeColor="text1"/>
                <w:lang w:bidi="ar"/>
                <w14:textFill>
                  <w14:solidFill>
                    <w14:schemeClr w14:val="tx1"/>
                  </w14:solidFill>
                </w14:textFill>
              </w:rPr>
              <w:t>在T时间内j声源工作时间，s。</w:t>
            </w:r>
          </w:p>
          <w:p w14:paraId="5A4D83D9">
            <w:pPr>
              <w:pStyle w:val="137"/>
              <w:rPr>
                <w:rFonts w:eastAsia="宋体"/>
                <w:b/>
                <w:color w:val="000000" w:themeColor="text1"/>
                <w:lang w:bidi="ar"/>
                <w14:textFill>
                  <w14:solidFill>
                    <w14:schemeClr w14:val="tx1"/>
                  </w14:solidFill>
                </w14:textFill>
              </w:rPr>
            </w:pPr>
            <w:r>
              <w:rPr>
                <w:rFonts w:eastAsia="宋体"/>
                <w:b/>
                <w:color w:val="000000" w:themeColor="text1"/>
                <w:lang w:bidi="ar"/>
                <w14:textFill>
                  <w14:solidFill>
                    <w14:schemeClr w14:val="tx1"/>
                  </w14:solidFill>
                </w14:textFill>
              </w:rPr>
              <w:t>（3）预测结果</w:t>
            </w:r>
          </w:p>
          <w:p w14:paraId="04A2444F">
            <w:pPr>
              <w:pStyle w:val="137"/>
              <w:rPr>
                <w:rFonts w:eastAsia="宋体"/>
                <w:color w:val="000000" w:themeColor="text1"/>
                <w:lang w:bidi="ar"/>
                <w14:textFill>
                  <w14:solidFill>
                    <w14:schemeClr w14:val="tx1"/>
                  </w14:solidFill>
                </w14:textFill>
              </w:rPr>
            </w:pPr>
            <w:r>
              <w:rPr>
                <w:rFonts w:eastAsia="宋体"/>
                <w:color w:val="000000" w:themeColor="text1"/>
                <w:lang w:bidi="ar"/>
                <w14:textFill>
                  <w14:solidFill>
                    <w14:schemeClr w14:val="tx1"/>
                  </w14:solidFill>
                </w14:textFill>
              </w:rPr>
              <w:t>拟建项目夜间不生产，且项目周边</w:t>
            </w:r>
            <w:r>
              <w:rPr>
                <w:rFonts w:hint="eastAsia" w:eastAsia="宋体"/>
                <w:color w:val="000000" w:themeColor="text1"/>
                <w:lang w:val="en-US" w:eastAsia="zh-CN" w:bidi="ar"/>
                <w14:textFill>
                  <w14:solidFill>
                    <w14:schemeClr w14:val="tx1"/>
                  </w14:solidFill>
                </w14:textFill>
              </w:rPr>
              <w:t>20</w:t>
            </w:r>
            <w:r>
              <w:rPr>
                <w:rFonts w:eastAsia="宋体"/>
                <w:color w:val="000000" w:themeColor="text1"/>
                <w:lang w:bidi="ar"/>
                <w14:textFill>
                  <w14:solidFill>
                    <w14:schemeClr w14:val="tx1"/>
                  </w14:solidFill>
                </w14:textFill>
              </w:rPr>
              <w:t>0m范围内无声环境保护目标，仅对昼间厂界噪声进行预测。根据上述预测模式计算得项目厂界噪声贡献值，结果详见表4.2-11所示。</w:t>
            </w:r>
          </w:p>
          <w:p w14:paraId="3CA95774">
            <w:pPr>
              <w:pStyle w:val="40"/>
              <w:autoSpaceDE/>
              <w:autoSpaceDN/>
              <w:jc w:val="center"/>
              <w:rPr>
                <w:rFonts w:ascii="Times New Roman" w:hAnsi="Times New Roman" w:cs="Times New Roman"/>
                <w:b/>
                <w:bCs/>
                <w:color w:val="000000" w:themeColor="text1"/>
                <w:lang w:bidi="ar"/>
                <w14:textFill>
                  <w14:solidFill>
                    <w14:schemeClr w14:val="tx1"/>
                  </w14:solidFill>
                </w14:textFill>
              </w:rPr>
            </w:pPr>
            <w:r>
              <w:rPr>
                <w:rFonts w:ascii="Times New Roman" w:hAnsi="Times New Roman" w:cs="Times New Roman"/>
                <w:b/>
                <w:bCs/>
                <w:color w:val="000000" w:themeColor="text1"/>
                <w:lang w:bidi="ar"/>
                <w14:textFill>
                  <w14:solidFill>
                    <w14:schemeClr w14:val="tx1"/>
                  </w14:solidFill>
                </w14:textFill>
              </w:rPr>
              <w:t>表4.2-11噪声预测结果</w:t>
            </w:r>
          </w:p>
          <w:tbl>
            <w:tblPr>
              <w:tblStyle w:val="25"/>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1"/>
              <w:gridCol w:w="1564"/>
              <w:gridCol w:w="892"/>
              <w:gridCol w:w="917"/>
              <w:gridCol w:w="4323"/>
            </w:tblGrid>
            <w:tr w14:paraId="2AE5E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tblHeader/>
                <w:jc w:val="center"/>
              </w:trPr>
              <w:tc>
                <w:tcPr>
                  <w:tcW w:w="565" w:type="pct"/>
                  <w:vMerge w:val="restart"/>
                  <w:vAlign w:val="center"/>
                </w:tcPr>
                <w:p w14:paraId="3A4305E2">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预测点位</w:t>
                  </w:r>
                </w:p>
              </w:tc>
              <w:tc>
                <w:tcPr>
                  <w:tcW w:w="901" w:type="pct"/>
                  <w:vAlign w:val="center"/>
                </w:tcPr>
                <w:p w14:paraId="6DF7007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514" w:type="pct"/>
                  <w:vMerge w:val="restart"/>
                  <w:vAlign w:val="center"/>
                </w:tcPr>
                <w:p w14:paraId="42675E0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昼间标准值</w:t>
                  </w:r>
                </w:p>
              </w:tc>
              <w:tc>
                <w:tcPr>
                  <w:tcW w:w="528" w:type="pct"/>
                  <w:vMerge w:val="restart"/>
                  <w:vAlign w:val="center"/>
                </w:tcPr>
                <w:p w14:paraId="3C2CD37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2490" w:type="pct"/>
                  <w:vMerge w:val="restart"/>
                  <w:vAlign w:val="center"/>
                </w:tcPr>
                <w:p w14:paraId="74EB924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执行环境噪声标准</w:t>
                  </w:r>
                </w:p>
              </w:tc>
            </w:tr>
            <w:tr w14:paraId="5A2E6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tblHeader/>
                <w:jc w:val="center"/>
              </w:trPr>
              <w:tc>
                <w:tcPr>
                  <w:tcW w:w="565" w:type="pct"/>
                  <w:vMerge w:val="continue"/>
                  <w:vAlign w:val="center"/>
                </w:tcPr>
                <w:p w14:paraId="3CE63A94">
                  <w:pPr>
                    <w:adjustRightInd w:val="0"/>
                    <w:snapToGrid w:val="0"/>
                    <w:jc w:val="center"/>
                    <w:rPr>
                      <w:color w:val="000000" w:themeColor="text1"/>
                      <w:szCs w:val="21"/>
                      <w14:textFill>
                        <w14:solidFill>
                          <w14:schemeClr w14:val="tx1"/>
                        </w14:solidFill>
                      </w14:textFill>
                    </w:rPr>
                  </w:pPr>
                </w:p>
              </w:tc>
              <w:tc>
                <w:tcPr>
                  <w:tcW w:w="901" w:type="pct"/>
                  <w:vAlign w:val="center"/>
                </w:tcPr>
                <w:p w14:paraId="4821EDC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514" w:type="pct"/>
                  <w:vMerge w:val="continue"/>
                  <w:vAlign w:val="center"/>
                </w:tcPr>
                <w:p w14:paraId="2E768AF7">
                  <w:pPr>
                    <w:adjustRightInd w:val="0"/>
                    <w:snapToGrid w:val="0"/>
                    <w:jc w:val="center"/>
                    <w:rPr>
                      <w:b/>
                      <w:bCs/>
                      <w:color w:val="000000" w:themeColor="text1"/>
                      <w:szCs w:val="21"/>
                      <w14:textFill>
                        <w14:solidFill>
                          <w14:schemeClr w14:val="tx1"/>
                        </w14:solidFill>
                      </w14:textFill>
                    </w:rPr>
                  </w:pPr>
                </w:p>
              </w:tc>
              <w:tc>
                <w:tcPr>
                  <w:tcW w:w="528" w:type="pct"/>
                  <w:vMerge w:val="continue"/>
                  <w:vAlign w:val="center"/>
                </w:tcPr>
                <w:p w14:paraId="6FF5EF6F">
                  <w:pPr>
                    <w:adjustRightInd w:val="0"/>
                    <w:snapToGrid w:val="0"/>
                    <w:jc w:val="center"/>
                    <w:rPr>
                      <w:b/>
                      <w:bCs/>
                      <w:color w:val="000000" w:themeColor="text1"/>
                      <w:szCs w:val="21"/>
                      <w14:textFill>
                        <w14:solidFill>
                          <w14:schemeClr w14:val="tx1"/>
                        </w14:solidFill>
                      </w14:textFill>
                    </w:rPr>
                  </w:pPr>
                </w:p>
              </w:tc>
              <w:tc>
                <w:tcPr>
                  <w:tcW w:w="2490" w:type="pct"/>
                  <w:vMerge w:val="continue"/>
                  <w:vAlign w:val="center"/>
                </w:tcPr>
                <w:p w14:paraId="2C738A4B">
                  <w:pPr>
                    <w:adjustRightInd w:val="0"/>
                    <w:snapToGrid w:val="0"/>
                    <w:jc w:val="center"/>
                    <w:rPr>
                      <w:b/>
                      <w:bCs/>
                      <w:color w:val="000000" w:themeColor="text1"/>
                      <w:szCs w:val="21"/>
                      <w14:textFill>
                        <w14:solidFill>
                          <w14:schemeClr w14:val="tx1"/>
                        </w14:solidFill>
                      </w14:textFill>
                    </w:rPr>
                  </w:pPr>
                </w:p>
              </w:tc>
            </w:tr>
            <w:tr w14:paraId="06BF3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565" w:type="pct"/>
                  <w:vAlign w:val="center"/>
                </w:tcPr>
                <w:p w14:paraId="6E1D8B1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w:t>
                  </w:r>
                </w:p>
              </w:tc>
              <w:tc>
                <w:tcPr>
                  <w:tcW w:w="901" w:type="pct"/>
                  <w:vAlign w:val="center"/>
                </w:tcPr>
                <w:p w14:paraId="258A43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514" w:type="pct"/>
                  <w:vAlign w:val="center"/>
                </w:tcPr>
                <w:p w14:paraId="33DE20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28" w:type="pct"/>
                  <w:vMerge w:val="restart"/>
                  <w:vAlign w:val="center"/>
                </w:tcPr>
                <w:p w14:paraId="4C4C204C">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昼间达标</w:t>
                  </w:r>
                </w:p>
              </w:tc>
              <w:tc>
                <w:tcPr>
                  <w:tcW w:w="2490" w:type="pct"/>
                  <w:vMerge w:val="restart"/>
                  <w:vAlign w:val="center"/>
                </w:tcPr>
                <w:p w14:paraId="6A2AE13B">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《工业企业厂界环境噪声排放标准》（GB12348-2008）3类标准</w:t>
                  </w:r>
                </w:p>
              </w:tc>
            </w:tr>
            <w:tr w14:paraId="4FDBB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65" w:type="pct"/>
                  <w:vAlign w:val="center"/>
                </w:tcPr>
                <w:p w14:paraId="7A02E52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w:t>
                  </w:r>
                </w:p>
              </w:tc>
              <w:tc>
                <w:tcPr>
                  <w:tcW w:w="901" w:type="pct"/>
                  <w:vAlign w:val="center"/>
                </w:tcPr>
                <w:p w14:paraId="7D05BA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59.3</w:t>
                  </w:r>
                </w:p>
              </w:tc>
              <w:tc>
                <w:tcPr>
                  <w:tcW w:w="514" w:type="pct"/>
                  <w:vAlign w:val="center"/>
                </w:tcPr>
                <w:p w14:paraId="18AE51A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28" w:type="pct"/>
                  <w:vMerge w:val="continue"/>
                  <w:vAlign w:val="center"/>
                </w:tcPr>
                <w:p w14:paraId="7A22A1DB">
                  <w:pPr>
                    <w:rPr>
                      <w:color w:val="000000" w:themeColor="text1"/>
                      <w:szCs w:val="21"/>
                      <w14:textFill>
                        <w14:solidFill>
                          <w14:schemeClr w14:val="tx1"/>
                        </w14:solidFill>
                      </w14:textFill>
                    </w:rPr>
                  </w:pPr>
                </w:p>
              </w:tc>
              <w:tc>
                <w:tcPr>
                  <w:tcW w:w="2490" w:type="pct"/>
                  <w:vMerge w:val="continue"/>
                  <w:vAlign w:val="center"/>
                </w:tcPr>
                <w:p w14:paraId="45865138">
                  <w:pPr>
                    <w:rPr>
                      <w:color w:val="000000" w:themeColor="text1"/>
                      <w:szCs w:val="21"/>
                      <w14:textFill>
                        <w14:solidFill>
                          <w14:schemeClr w14:val="tx1"/>
                        </w14:solidFill>
                      </w14:textFill>
                    </w:rPr>
                  </w:pPr>
                </w:p>
              </w:tc>
            </w:tr>
            <w:tr w14:paraId="33E5B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565" w:type="pct"/>
                  <w:vAlign w:val="center"/>
                </w:tcPr>
                <w:p w14:paraId="1FBB08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w:t>
                  </w:r>
                </w:p>
              </w:tc>
              <w:tc>
                <w:tcPr>
                  <w:tcW w:w="901" w:type="pct"/>
                  <w:vAlign w:val="center"/>
                </w:tcPr>
                <w:p w14:paraId="066B70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61.7</w:t>
                  </w:r>
                </w:p>
              </w:tc>
              <w:tc>
                <w:tcPr>
                  <w:tcW w:w="514" w:type="pct"/>
                  <w:vAlign w:val="center"/>
                </w:tcPr>
                <w:p w14:paraId="6663A2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28" w:type="pct"/>
                  <w:vMerge w:val="continue"/>
                  <w:vAlign w:val="center"/>
                </w:tcPr>
                <w:p w14:paraId="2021F518">
                  <w:pPr>
                    <w:rPr>
                      <w:color w:val="000000" w:themeColor="text1"/>
                      <w:szCs w:val="21"/>
                      <w14:textFill>
                        <w14:solidFill>
                          <w14:schemeClr w14:val="tx1"/>
                        </w14:solidFill>
                      </w14:textFill>
                    </w:rPr>
                  </w:pPr>
                </w:p>
              </w:tc>
              <w:tc>
                <w:tcPr>
                  <w:tcW w:w="2490" w:type="pct"/>
                  <w:vMerge w:val="continue"/>
                  <w:vAlign w:val="center"/>
                </w:tcPr>
                <w:p w14:paraId="474E27E8">
                  <w:pPr>
                    <w:rPr>
                      <w:color w:val="000000" w:themeColor="text1"/>
                      <w:szCs w:val="21"/>
                      <w14:textFill>
                        <w14:solidFill>
                          <w14:schemeClr w14:val="tx1"/>
                        </w14:solidFill>
                      </w14:textFill>
                    </w:rPr>
                  </w:pPr>
                </w:p>
              </w:tc>
            </w:tr>
            <w:tr w14:paraId="57C78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565" w:type="pct"/>
                  <w:vAlign w:val="center"/>
                </w:tcPr>
                <w:p w14:paraId="5676E55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w:t>
                  </w:r>
                </w:p>
              </w:tc>
              <w:tc>
                <w:tcPr>
                  <w:tcW w:w="901" w:type="pct"/>
                  <w:vAlign w:val="center"/>
                </w:tcPr>
                <w:p w14:paraId="5109FF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60.4</w:t>
                  </w:r>
                </w:p>
              </w:tc>
              <w:tc>
                <w:tcPr>
                  <w:tcW w:w="514" w:type="pct"/>
                  <w:vAlign w:val="center"/>
                </w:tcPr>
                <w:p w14:paraId="234ED6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528" w:type="pct"/>
                  <w:vMerge w:val="continue"/>
                  <w:vAlign w:val="center"/>
                </w:tcPr>
                <w:p w14:paraId="18FC4A97">
                  <w:pPr>
                    <w:rPr>
                      <w:color w:val="000000" w:themeColor="text1"/>
                      <w:szCs w:val="21"/>
                      <w14:textFill>
                        <w14:solidFill>
                          <w14:schemeClr w14:val="tx1"/>
                        </w14:solidFill>
                      </w14:textFill>
                    </w:rPr>
                  </w:pPr>
                </w:p>
              </w:tc>
              <w:tc>
                <w:tcPr>
                  <w:tcW w:w="2490" w:type="pct"/>
                  <w:vMerge w:val="continue"/>
                  <w:vAlign w:val="center"/>
                </w:tcPr>
                <w:p w14:paraId="474148E1">
                  <w:pPr>
                    <w:rPr>
                      <w:color w:val="000000" w:themeColor="text1"/>
                      <w:szCs w:val="21"/>
                      <w14:textFill>
                        <w14:solidFill>
                          <w14:schemeClr w14:val="tx1"/>
                        </w14:solidFill>
                      </w14:textFill>
                    </w:rPr>
                  </w:pPr>
                </w:p>
              </w:tc>
            </w:tr>
          </w:tbl>
          <w:p w14:paraId="26ACBFF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由表4.2-16可知，拟建项目运营期各厂界均能满足《工业企业厂界环境噪声排放标准》（GB12348-2008）3类昼间标准（项目夜间不生产），拟建项目位于园区内，</w:t>
            </w:r>
            <w:r>
              <w:rPr>
                <w:rFonts w:hint="eastAsia" w:eastAsia="宋体"/>
                <w:color w:val="000000" w:themeColor="text1"/>
                <w:lang w:eastAsia="zh-CN"/>
                <w14:textFill>
                  <w14:solidFill>
                    <w14:schemeClr w14:val="tx1"/>
                  </w14:solidFill>
                </w14:textFill>
              </w:rPr>
              <w:t>项目厂界周边</w:t>
            </w:r>
            <w:r>
              <w:rPr>
                <w:rFonts w:hint="eastAsia" w:eastAsia="宋体"/>
                <w:color w:val="000000" w:themeColor="text1"/>
                <w:lang w:val="en-US" w:eastAsia="zh-CN"/>
                <w14:textFill>
                  <w14:solidFill>
                    <w14:schemeClr w14:val="tx1"/>
                  </w14:solidFill>
                </w14:textFill>
              </w:rPr>
              <w:t>20</w:t>
            </w:r>
            <w:r>
              <w:rPr>
                <w:rFonts w:eastAsia="宋体"/>
                <w:color w:val="000000" w:themeColor="text1"/>
                <w14:textFill>
                  <w14:solidFill>
                    <w14:schemeClr w14:val="tx1"/>
                  </w14:solidFill>
                </w14:textFill>
              </w:rPr>
              <w:t>0m范围无声环境敏感目标，拟建项目噪声对周边影响小。</w:t>
            </w:r>
          </w:p>
          <w:p w14:paraId="5DE3D216">
            <w:pPr>
              <w:pStyle w:val="137"/>
              <w:rPr>
                <w:rFonts w:eastAsia="宋体"/>
                <w:color w:val="000000" w:themeColor="text1"/>
                <w14:textFill>
                  <w14:solidFill>
                    <w14:schemeClr w14:val="tx1"/>
                  </w14:solidFill>
                </w14:textFill>
              </w:rPr>
            </w:pPr>
            <w:r>
              <w:rPr>
                <w:rFonts w:eastAsia="宋体"/>
                <w:b/>
                <w:snapToGrid w:val="0"/>
                <w:color w:val="000000" w:themeColor="text1"/>
                <w14:textFill>
                  <w14:solidFill>
                    <w14:schemeClr w14:val="tx1"/>
                  </w14:solidFill>
                </w14:textFill>
              </w:rPr>
              <w:t>（4）</w:t>
            </w:r>
            <w:r>
              <w:rPr>
                <w:rFonts w:eastAsia="宋体"/>
                <w:b/>
                <w:bCs/>
                <w:color w:val="000000" w:themeColor="text1"/>
                <w:kern w:val="44"/>
                <w14:textFill>
                  <w14:solidFill>
                    <w14:schemeClr w14:val="tx1"/>
                  </w14:solidFill>
                </w14:textFill>
              </w:rPr>
              <w:t>噪声防治措施</w:t>
            </w:r>
          </w:p>
          <w:p w14:paraId="3165C3F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噪声的防治主要从噪声源和噪声源的布置两方面考虑，设计中严格按照《工业企业噪声控制设计规范》（GBJ87-85）的要求，项目运营后应妥善管理避免对周围环境造成不利影响，评价提出以下措施：</w:t>
            </w:r>
          </w:p>
          <w:p w14:paraId="4C3E9F5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①设备选型时，优先选择高效、低噪声的设备，做好设备的安装调试，同时加强运营期间对各种机械的维修保养，保持其良好的运行效果；</w:t>
            </w:r>
          </w:p>
          <w:p w14:paraId="6DDF80BD">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②合理布局，高噪声设备布置在车间内部，屋顶废气治理设施优先选用转速低、效率高、噪声低、振动小的风机设备，同时对风管采取消声措施；</w:t>
            </w:r>
          </w:p>
          <w:p w14:paraId="7FE0DFA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③设备底部安装减震装置降低设备与地面摩擦产生的噪声，设备底部采取</w:t>
            </w:r>
            <w:r>
              <w:rPr>
                <w:rFonts w:hint="eastAsia" w:eastAsia="宋体"/>
                <w:color w:val="000000" w:themeColor="text1"/>
                <w14:textFill>
                  <w14:solidFill>
                    <w14:schemeClr w14:val="tx1"/>
                  </w14:solidFill>
                </w14:textFill>
              </w:rPr>
              <w:t>减振</w:t>
            </w:r>
            <w:r>
              <w:rPr>
                <w:rFonts w:eastAsia="宋体"/>
                <w:color w:val="000000" w:themeColor="text1"/>
                <w14:textFill>
                  <w14:solidFill>
                    <w14:schemeClr w14:val="tx1"/>
                  </w14:solidFill>
                </w14:textFill>
              </w:rPr>
              <w:t>措施后噪声可降低15分贝左右。</w:t>
            </w:r>
          </w:p>
          <w:p w14:paraId="31E40F8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在采取以上有效的减振、隔声、消声措施后，厂界噪声可达《工业企业厂界环境噪声排放标准》（GB12348-2008）3类标准，项目噪声防治措施合理、可行。</w:t>
            </w:r>
          </w:p>
          <w:p w14:paraId="544F5425">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（5）监测计划</w:t>
            </w:r>
          </w:p>
          <w:p w14:paraId="22F74147">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根据《排污许可证申请与核发技术规范工业噪声》（HJ1301—2023）提出的要求，拟建项目噪声监测计划：</w:t>
            </w:r>
          </w:p>
          <w:p w14:paraId="155CA6ED">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表4.2-12项目噪声环境监测计划一览表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331"/>
              <w:gridCol w:w="1505"/>
              <w:gridCol w:w="1958"/>
              <w:gridCol w:w="2936"/>
            </w:tblGrid>
            <w:tr w14:paraId="2D89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1" w:type="pct"/>
                  <w:vAlign w:val="center"/>
                </w:tcPr>
                <w:p w14:paraId="02C5F45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污染物类型</w:t>
                  </w:r>
                </w:p>
              </w:tc>
              <w:tc>
                <w:tcPr>
                  <w:tcW w:w="766" w:type="pct"/>
                  <w:vAlign w:val="center"/>
                </w:tcPr>
                <w:p w14:paraId="5C9C31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866" w:type="pct"/>
                  <w:vAlign w:val="center"/>
                </w:tcPr>
                <w:p w14:paraId="4451FE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监测指标</w:t>
                  </w:r>
                </w:p>
              </w:tc>
              <w:tc>
                <w:tcPr>
                  <w:tcW w:w="1127" w:type="pct"/>
                  <w:vAlign w:val="center"/>
                </w:tcPr>
                <w:p w14:paraId="7E45363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c>
                <w:tcPr>
                  <w:tcW w:w="1690" w:type="pct"/>
                  <w:vAlign w:val="center"/>
                </w:tcPr>
                <w:p w14:paraId="6A4C5D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53DD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1" w:type="pct"/>
                  <w:vAlign w:val="center"/>
                </w:tcPr>
                <w:p w14:paraId="6892F7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766" w:type="pct"/>
                  <w:vAlign w:val="center"/>
                </w:tcPr>
                <w:p w14:paraId="79ED381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四周厂界外1m</w:t>
                  </w:r>
                </w:p>
              </w:tc>
              <w:tc>
                <w:tcPr>
                  <w:tcW w:w="866" w:type="pct"/>
                  <w:vAlign w:val="center"/>
                </w:tcPr>
                <w:p w14:paraId="4252BA1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1127" w:type="pct"/>
                  <w:vAlign w:val="center"/>
                </w:tcPr>
                <w:p w14:paraId="522F7FF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验收时监测一次，之后1次/季度</w:t>
                  </w:r>
                </w:p>
              </w:tc>
              <w:tc>
                <w:tcPr>
                  <w:tcW w:w="1690" w:type="pct"/>
                  <w:vAlign w:val="center"/>
                </w:tcPr>
                <w:p w14:paraId="70671F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《工业企业厂界环境噪声排放标准》（GB12348-2008）中的3类标准</w:t>
                  </w:r>
                </w:p>
              </w:tc>
            </w:tr>
          </w:tbl>
          <w:p w14:paraId="1AC45987">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4.2.4固体废物</w:t>
            </w:r>
          </w:p>
          <w:p w14:paraId="66D0BE4B">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（1）污染工序及固废产生情况</w:t>
            </w:r>
          </w:p>
          <w:p w14:paraId="3FEF2828">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①一般工业固废</w:t>
            </w:r>
          </w:p>
          <w:p w14:paraId="50A7F47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废包装材料S</w:t>
            </w:r>
            <w:r>
              <w:rPr>
                <w:rFonts w:hint="eastAsia" w:eastAsia="宋体"/>
                <w:color w:val="000000" w:themeColor="text1"/>
                <w:lang w:val="en-US" w:eastAsia="zh-CN"/>
                <w14:textFill>
                  <w14:solidFill>
                    <w14:schemeClr w14:val="tx1"/>
                  </w14:solidFill>
                </w14:textFill>
              </w:rPr>
              <w:t>8</w:t>
            </w:r>
            <w:r>
              <w:rPr>
                <w:rFonts w:eastAsia="宋体"/>
                <w:color w:val="000000" w:themeColor="text1"/>
                <w14:textFill>
                  <w14:solidFill>
                    <w14:schemeClr w14:val="tx1"/>
                  </w14:solidFill>
                </w14:textFill>
              </w:rPr>
              <w:t>：主要是包装环节产生的废纸板等，根据业主提供资料，项目废包装材料产生量约为0.1t/a，对照《固体废物分类与代码目录》（2024年版），属于SW62类可回收物，代码为900-002-S62。暂存于一般固废暂存区后外售物资回收单位回收利用。</w:t>
            </w:r>
          </w:p>
          <w:p w14:paraId="6AFACE11">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废气瓶S5：项目低温处理、焊接气体产生的废气瓶量约为0.2t/a，对照《固体废物分类与代码目录》（2024年版），属于SW62类可回收物，代码为900-003-S62，由厂家回收利用处置。</w:t>
            </w:r>
          </w:p>
          <w:p w14:paraId="243B5AC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除尘器收尘S</w:t>
            </w:r>
            <w:r>
              <w:rPr>
                <w:rFonts w:hint="eastAsia"/>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：经核算，项目布袋除尘器收尘量约为0.288t/a，对照《固体废物分类与代码目录》（2024年版），属于SW59类废物，代码为900-099-S59，暂存于一般固废暂存区，外售废品回收站处置。</w:t>
            </w:r>
          </w:p>
          <w:p w14:paraId="3F10BE9F">
            <w:pPr>
              <w:pStyle w:val="6"/>
              <w:spacing w:before="0" w:after="0"/>
              <w:ind w:firstLine="480"/>
              <w:rPr>
                <w:rFonts w:ascii="Times New Roman" w:hAnsi="Times New Roman" w:eastAsia="宋体" w:cs="Times New Roman"/>
                <w:b w:val="0"/>
                <w:color w:val="000000" w:themeColor="text1"/>
                <w:sz w:val="24"/>
                <w:szCs w:val="24"/>
                <w14:textFill>
                  <w14:solidFill>
                    <w14:schemeClr w14:val="tx1"/>
                  </w14:solidFill>
                </w14:textFill>
              </w:rPr>
            </w:pPr>
            <w:r>
              <w:rPr>
                <w:rFonts w:ascii="Times New Roman" w:hAnsi="Times New Roman" w:eastAsia="宋体" w:cs="Times New Roman"/>
                <w:b w:val="0"/>
                <w:color w:val="000000" w:themeColor="text1"/>
                <w:sz w:val="24"/>
                <w:szCs w:val="24"/>
                <w14:textFill>
                  <w14:solidFill>
                    <w14:schemeClr w14:val="tx1"/>
                  </w14:solidFill>
                </w14:textFill>
              </w:rPr>
              <w:t>废焊渣S6：项目在焊接工序会产生少量焊渣（包括废焊丝），焊渣产生量约2.0t/a对照《固体废物分类与代码目录》（2024年版），属于SW59类废物，代码为900-099-S59，统一收集后交物资回收单位处置。</w:t>
            </w:r>
          </w:p>
          <w:p w14:paraId="510F6CEE">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②危险废物</w:t>
            </w:r>
          </w:p>
          <w:p w14:paraId="00A06FD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含油废金属（S1废边角料、S</w:t>
            </w:r>
            <w:r>
              <w:rPr>
                <w:rFonts w:hint="eastAsia" w:eastAsia="宋体"/>
                <w:color w:val="000000" w:themeColor="text1"/>
                <w:lang w:val="en-US" w:eastAsia="zh-CN"/>
                <w14:textFill>
                  <w14:solidFill>
                    <w14:schemeClr w14:val="tx1"/>
                  </w14:solidFill>
                </w14:textFill>
              </w:rPr>
              <w:t>7</w:t>
            </w:r>
            <w:r>
              <w:rPr>
                <w:rFonts w:eastAsia="宋体"/>
                <w:color w:val="000000" w:themeColor="text1"/>
                <w14:textFill>
                  <w14:solidFill>
                    <w14:schemeClr w14:val="tx1"/>
                  </w14:solidFill>
                </w14:textFill>
              </w:rPr>
              <w:t>不合格产品）：下料、机加过程均采取湿式加工，会产生含油废金属屑，项目不合格产品表面含油，均属于含油废金属，合计产生量约1%，即为约12.2t/a。根据《国家危险废物名录》（2021年），属于HW08900-200-08类危险废物，经压榨、压滤、过滤除油达到静置无滴漏后打包压块用于金属冶炼。处理后的金属在厂区按危废暂存于危废贮存库，后交有资质的金属熔炼单位处置</w:t>
            </w:r>
            <w:r>
              <w:rPr>
                <w:rFonts w:eastAsia="宋体"/>
                <w:color w:val="000000" w:themeColor="text1"/>
                <w:kern w:val="0"/>
                <w14:textFill>
                  <w14:solidFill>
                    <w14:schemeClr w14:val="tx1"/>
                  </w14:solidFill>
                </w14:textFill>
              </w:rPr>
              <w:t>。</w:t>
            </w:r>
          </w:p>
          <w:p w14:paraId="5B393D0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废弃的含油棉纱、劳保用品（S1</w:t>
            </w:r>
            <w:r>
              <w:rPr>
                <w:rFonts w:hint="eastAsia" w:eastAsia="宋体"/>
                <w:color w:val="000000" w:themeColor="text1"/>
                <w:lang w:val="en-US" w:eastAsia="zh-CN"/>
                <w14:textFill>
                  <w14:solidFill>
                    <w14:schemeClr w14:val="tx1"/>
                  </w14:solidFill>
                </w14:textFill>
              </w:rPr>
              <w:t>1</w:t>
            </w:r>
            <w:r>
              <w:rPr>
                <w:rFonts w:eastAsia="宋体"/>
                <w:color w:val="000000" w:themeColor="text1"/>
                <w14:textFill>
                  <w14:solidFill>
                    <w14:schemeClr w14:val="tx1"/>
                  </w14:solidFill>
                </w14:textFill>
              </w:rPr>
              <w:t>）：拟建项目日常机械设备维修均要使用手套、棉纱，会产生维修废弃的含油抹布、劳保用品，产生量约为0.05t/a，根据《国家危险废物名录》（2021年），属于HW49900-041-49类危险废物，定期交由有资质单位处理。</w:t>
            </w:r>
          </w:p>
          <w:p w14:paraId="70882EE8">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废油桶</w:t>
            </w:r>
            <w:r>
              <w:rPr>
                <w:rFonts w:hint="eastAsia"/>
                <w:color w:val="000000" w:themeColor="text1"/>
                <w:sz w:val="24"/>
                <w:lang w:val="en-US" w:eastAsia="zh-CN"/>
                <w14:textFill>
                  <w14:solidFill>
                    <w14:schemeClr w14:val="tx1"/>
                  </w14:solidFill>
                </w14:textFill>
              </w:rPr>
              <w:t>S2</w:t>
            </w:r>
            <w:r>
              <w:rPr>
                <w:color w:val="000000" w:themeColor="text1"/>
                <w:sz w:val="24"/>
                <w14:textFill>
                  <w14:solidFill>
                    <w14:schemeClr w14:val="tx1"/>
                  </w14:solidFill>
                </w14:textFill>
              </w:rPr>
              <w:t>：项目生产过程使用的油料会产生一定量的废油桶，产生量约为0.2t/a，对照《国家危险废物名录（2021年版）》，废油桶属于HW08900-249-08类危险废物。</w:t>
            </w:r>
          </w:p>
          <w:p w14:paraId="6F7B8882">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废油渣（S4、S1</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淬火槽、隔油沉淀池均定期清掏，会产生废油渣，产生量约为1t/a，对照《国家危险废物名录（2021年版）》，废油桶属于HW08900-210-08类危险废物。分类收集暂存危废贮存点暂存后，定期交由有资质的单位收运处置。</w:t>
            </w:r>
          </w:p>
          <w:p w14:paraId="74DD7389">
            <w:pPr>
              <w:adjustRightInd w:val="0"/>
              <w:snapToGrid w:val="0"/>
              <w:spacing w:line="360" w:lineRule="auto"/>
              <w:ind w:firstLine="48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废切削液</w:t>
            </w:r>
            <w:r>
              <w:rPr>
                <w:rFonts w:hint="eastAsia"/>
                <w:b/>
                <w:color w:val="000000" w:themeColor="text1"/>
                <w:sz w:val="24"/>
                <w:szCs w:val="24"/>
                <w:lang w:val="en-US" w:eastAsia="zh-CN"/>
                <w14:textFill>
                  <w14:solidFill>
                    <w14:schemeClr w14:val="tx1"/>
                  </w14:solidFill>
                </w14:textFill>
              </w:rPr>
              <w:t>S3</w:t>
            </w:r>
            <w:r>
              <w:rPr>
                <w:b/>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废切削液平均每</w:t>
            </w:r>
            <w:r>
              <w:rPr>
                <w:rFonts w:hint="eastAsia"/>
                <w:bCs/>
                <w:color w:val="000000" w:themeColor="text1"/>
                <w:sz w:val="24"/>
                <w:szCs w:val="24"/>
                <w:lang w:val="en-US" w:eastAsia="zh-CN"/>
                <w14:textFill>
                  <w14:solidFill>
                    <w14:schemeClr w14:val="tx1"/>
                  </w14:solidFill>
                </w14:textFill>
              </w:rPr>
              <w:t>3</w:t>
            </w:r>
            <w:r>
              <w:rPr>
                <w:bCs/>
                <w:color w:val="000000" w:themeColor="text1"/>
                <w:sz w:val="24"/>
                <w:szCs w:val="24"/>
                <w14:textFill>
                  <w14:solidFill>
                    <w14:schemeClr w14:val="tx1"/>
                  </w14:solidFill>
                </w14:textFill>
              </w:rPr>
              <w:t>月更换1次（年更换</w:t>
            </w:r>
            <w:r>
              <w:rPr>
                <w:rFonts w:hint="eastAsia"/>
                <w:bCs/>
                <w:color w:val="000000" w:themeColor="text1"/>
                <w:sz w:val="24"/>
                <w:szCs w:val="24"/>
                <w:lang w:val="en-US" w:eastAsia="zh-CN"/>
                <w14:textFill>
                  <w14:solidFill>
                    <w14:schemeClr w14:val="tx1"/>
                  </w14:solidFill>
                </w14:textFill>
              </w:rPr>
              <w:t>4</w:t>
            </w:r>
            <w:r>
              <w:rPr>
                <w:bCs/>
                <w:color w:val="000000" w:themeColor="text1"/>
                <w:sz w:val="24"/>
                <w:szCs w:val="24"/>
                <w14:textFill>
                  <w14:solidFill>
                    <w14:schemeClr w14:val="tx1"/>
                  </w14:solidFill>
                </w14:textFill>
              </w:rPr>
              <w:t>次），用专用容器收集，设备内切削液总容量约为</w:t>
            </w:r>
            <w:r>
              <w:rPr>
                <w:rFonts w:hint="eastAsia"/>
                <w:bCs/>
                <w:color w:val="000000" w:themeColor="text1"/>
                <w:sz w:val="24"/>
                <w:szCs w:val="24"/>
                <w:lang w:val="en-US" w:eastAsia="zh-CN"/>
                <w14:textFill>
                  <w14:solidFill>
                    <w14:schemeClr w14:val="tx1"/>
                  </w14:solidFill>
                </w14:textFill>
              </w:rPr>
              <w:t>0.375</w:t>
            </w:r>
            <w:r>
              <w:rPr>
                <w:bCs/>
                <w:color w:val="000000" w:themeColor="text1"/>
                <w:sz w:val="24"/>
                <w:szCs w:val="24"/>
                <w14:textFill>
                  <w14:solidFill>
                    <w14:schemeClr w14:val="tx1"/>
                  </w14:solidFill>
                </w14:textFill>
              </w:rPr>
              <w:t>t，</w:t>
            </w:r>
            <w:r>
              <w:rPr>
                <w:color w:val="000000" w:themeColor="text1"/>
                <w:sz w:val="24"/>
                <w:szCs w:val="24"/>
                <w14:textFill>
                  <w14:solidFill>
                    <w14:schemeClr w14:val="tx1"/>
                  </w14:solidFill>
                </w14:textFill>
              </w:rPr>
              <w:t>切削废液产生量为0.</w:t>
            </w:r>
            <w:r>
              <w:rPr>
                <w:rFonts w:hint="eastAsia"/>
                <w:color w:val="000000" w:themeColor="text1"/>
                <w:sz w:val="24"/>
                <w:szCs w:val="24"/>
                <w:lang w:val="en-US" w:eastAsia="zh-CN"/>
                <w14:textFill>
                  <w14:solidFill>
                    <w14:schemeClr w14:val="tx1"/>
                  </w14:solidFill>
                </w14:textFill>
              </w:rPr>
              <w:t>37</w:t>
            </w:r>
            <w:r>
              <w:rPr>
                <w:color w:val="000000" w:themeColor="text1"/>
                <w:sz w:val="24"/>
                <w:szCs w:val="24"/>
                <w14:textFill>
                  <w14:solidFill>
                    <w14:schemeClr w14:val="tx1"/>
                  </w14:solidFill>
                </w14:textFill>
              </w:rPr>
              <w:t>5t/次，1.5t/a。对照《国家危险废物名录（2021年版）》，废油桶属于HW09900-006-09类危险废物。</w:t>
            </w:r>
            <w:r>
              <w:rPr>
                <w:bCs/>
                <w:color w:val="000000" w:themeColor="text1"/>
                <w:sz w:val="24"/>
                <w:szCs w:val="24"/>
                <w14:textFill>
                  <w14:solidFill>
                    <w14:schemeClr w14:val="tx1"/>
                  </w14:solidFill>
                </w14:textFill>
              </w:rPr>
              <w:t>作为危废交由具有危废处理资质的单位处理。</w:t>
            </w:r>
          </w:p>
          <w:p w14:paraId="5B673D00">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③生活垃圾</w:t>
            </w:r>
          </w:p>
          <w:p w14:paraId="7C2E404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拟建项目建成投产后，员工人数为20人，生活垃圾产生量按0.5kg/人•天计算，则日产生活垃圾10kg/d，全年约3t/a，生活垃圾经垃圾桶袋装收集后定期交环卫部门统一处理。</w:t>
            </w:r>
          </w:p>
          <w:p w14:paraId="6657B412">
            <w:pPr>
              <w:pStyle w:val="40"/>
              <w:autoSpaceDE/>
              <w:autoSpaceDN/>
              <w:ind w:firstLine="482"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表4.2-13危险废物汇总</w:t>
            </w:r>
          </w:p>
          <w:tbl>
            <w:tblPr>
              <w:tblStyle w:val="2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4"/>
              <w:gridCol w:w="1050"/>
              <w:gridCol w:w="795"/>
              <w:gridCol w:w="877"/>
              <w:gridCol w:w="726"/>
              <w:gridCol w:w="1012"/>
              <w:gridCol w:w="606"/>
              <w:gridCol w:w="668"/>
              <w:gridCol w:w="672"/>
              <w:gridCol w:w="502"/>
              <w:gridCol w:w="521"/>
              <w:gridCol w:w="837"/>
            </w:tblGrid>
            <w:tr w14:paraId="11389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 w:type="pct"/>
                  <w:vAlign w:val="center"/>
                </w:tcPr>
                <w:p w14:paraId="58C7E748">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序号</w:t>
                  </w:r>
                </w:p>
              </w:tc>
              <w:tc>
                <w:tcPr>
                  <w:tcW w:w="605" w:type="pct"/>
                  <w:vAlign w:val="center"/>
                </w:tcPr>
                <w:p w14:paraId="74745226">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危险废物名称</w:t>
                  </w:r>
                </w:p>
              </w:tc>
              <w:tc>
                <w:tcPr>
                  <w:tcW w:w="458" w:type="pct"/>
                  <w:vAlign w:val="center"/>
                </w:tcPr>
                <w:p w14:paraId="3252226C">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危险废物类别</w:t>
                  </w:r>
                </w:p>
              </w:tc>
              <w:tc>
                <w:tcPr>
                  <w:tcW w:w="505" w:type="pct"/>
                  <w:vAlign w:val="center"/>
                </w:tcPr>
                <w:p w14:paraId="12866A20">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危险废物</w:t>
                  </w:r>
                </w:p>
                <w:p w14:paraId="47E75A9C">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代码</w:t>
                  </w:r>
                </w:p>
              </w:tc>
              <w:tc>
                <w:tcPr>
                  <w:tcW w:w="418" w:type="pct"/>
                  <w:vAlign w:val="center"/>
                </w:tcPr>
                <w:p w14:paraId="0AB2FDD2">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产生量t/a</w:t>
                  </w:r>
                </w:p>
              </w:tc>
              <w:tc>
                <w:tcPr>
                  <w:tcW w:w="583" w:type="pct"/>
                  <w:vAlign w:val="center"/>
                </w:tcPr>
                <w:p w14:paraId="0759BFFC">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产生工序及装置</w:t>
                  </w:r>
                </w:p>
              </w:tc>
              <w:tc>
                <w:tcPr>
                  <w:tcW w:w="349" w:type="pct"/>
                  <w:vAlign w:val="center"/>
                </w:tcPr>
                <w:p w14:paraId="0B4B2E53">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形态</w:t>
                  </w:r>
                </w:p>
              </w:tc>
              <w:tc>
                <w:tcPr>
                  <w:tcW w:w="385" w:type="pct"/>
                  <w:vAlign w:val="center"/>
                </w:tcPr>
                <w:p w14:paraId="2320D9AA">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主要成分</w:t>
                  </w:r>
                </w:p>
              </w:tc>
              <w:tc>
                <w:tcPr>
                  <w:tcW w:w="387" w:type="pct"/>
                  <w:vAlign w:val="center"/>
                </w:tcPr>
                <w:p w14:paraId="6D8046F0">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有害成分</w:t>
                  </w:r>
                </w:p>
              </w:tc>
              <w:tc>
                <w:tcPr>
                  <w:tcW w:w="289" w:type="pct"/>
                  <w:vAlign w:val="center"/>
                </w:tcPr>
                <w:p w14:paraId="633631ED">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产废</w:t>
                  </w:r>
                </w:p>
                <w:p w14:paraId="4C31ADA3">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周期</w:t>
                  </w:r>
                </w:p>
              </w:tc>
              <w:tc>
                <w:tcPr>
                  <w:tcW w:w="300" w:type="pct"/>
                  <w:vAlign w:val="center"/>
                </w:tcPr>
                <w:p w14:paraId="16B023A1">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w:t>
                  </w:r>
                </w:p>
                <w:p w14:paraId="17819F56">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特性</w:t>
                  </w:r>
                </w:p>
              </w:tc>
              <w:tc>
                <w:tcPr>
                  <w:tcW w:w="476" w:type="pct"/>
                  <w:vAlign w:val="center"/>
                </w:tcPr>
                <w:p w14:paraId="75086A87">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污染防治措施</w:t>
                  </w:r>
                </w:p>
              </w:tc>
            </w:tr>
            <w:tr w14:paraId="52849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 w:type="pct"/>
                  <w:vAlign w:val="center"/>
                </w:tcPr>
                <w:p w14:paraId="339C6124">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605" w:type="pct"/>
                  <w:vAlign w:val="center"/>
                </w:tcPr>
                <w:p w14:paraId="761BEB9D">
                  <w:pPr>
                    <w:pStyle w:val="99"/>
                    <w:spacing w:line="240" w:lineRule="auto"/>
                    <w:ind w:firstLine="0" w:firstLineChars="0"/>
                    <w:rPr>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废油桶</w:t>
                  </w:r>
                </w:p>
              </w:tc>
              <w:tc>
                <w:tcPr>
                  <w:tcW w:w="458" w:type="pct"/>
                  <w:vAlign w:val="center"/>
                </w:tcPr>
                <w:p w14:paraId="7E650620">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HW08</w:t>
                  </w:r>
                </w:p>
              </w:tc>
              <w:tc>
                <w:tcPr>
                  <w:tcW w:w="505" w:type="pct"/>
                  <w:vAlign w:val="center"/>
                </w:tcPr>
                <w:p w14:paraId="320EF21A">
                  <w:pPr>
                    <w:pStyle w:val="99"/>
                    <w:spacing w:line="240" w:lineRule="auto"/>
                    <w:ind w:firstLine="0" w:firstLineChars="0"/>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900-249-08</w:t>
                  </w:r>
                </w:p>
              </w:tc>
              <w:tc>
                <w:tcPr>
                  <w:tcW w:w="418" w:type="pct"/>
                  <w:vAlign w:val="center"/>
                </w:tcPr>
                <w:p w14:paraId="5C1386C1">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w:t>
                  </w:r>
                </w:p>
              </w:tc>
              <w:tc>
                <w:tcPr>
                  <w:tcW w:w="583" w:type="pct"/>
                  <w:vAlign w:val="center"/>
                </w:tcPr>
                <w:p w14:paraId="29FC7B38">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生产设备</w:t>
                  </w:r>
                </w:p>
              </w:tc>
              <w:tc>
                <w:tcPr>
                  <w:tcW w:w="349" w:type="pct"/>
                  <w:vAlign w:val="center"/>
                </w:tcPr>
                <w:p w14:paraId="1104642A">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液态</w:t>
                  </w:r>
                </w:p>
              </w:tc>
              <w:tc>
                <w:tcPr>
                  <w:tcW w:w="385" w:type="pct"/>
                  <w:vAlign w:val="center"/>
                </w:tcPr>
                <w:p w14:paraId="5E35C6BF">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387" w:type="pct"/>
                  <w:vAlign w:val="center"/>
                </w:tcPr>
                <w:p w14:paraId="18A4A354">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289" w:type="pct"/>
                  <w:vAlign w:val="center"/>
                </w:tcPr>
                <w:p w14:paraId="5669DCD6">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10d</w:t>
                  </w:r>
                </w:p>
              </w:tc>
              <w:tc>
                <w:tcPr>
                  <w:tcW w:w="300" w:type="pct"/>
                  <w:vAlign w:val="center"/>
                </w:tcPr>
                <w:p w14:paraId="7F193803">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T，I</w:t>
                  </w:r>
                </w:p>
              </w:tc>
              <w:tc>
                <w:tcPr>
                  <w:tcW w:w="476" w:type="pct"/>
                  <w:vMerge w:val="restart"/>
                  <w:vAlign w:val="center"/>
                </w:tcPr>
                <w:p w14:paraId="4EDA4169">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分类收集暂存后于危废贮存点，定期交由有资质的单位收运处置。</w:t>
                  </w:r>
                </w:p>
              </w:tc>
            </w:tr>
            <w:tr w14:paraId="4CE64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 w:type="pct"/>
                  <w:vAlign w:val="center"/>
                </w:tcPr>
                <w:p w14:paraId="3C5F19AB">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w:t>
                  </w:r>
                </w:p>
              </w:tc>
              <w:tc>
                <w:tcPr>
                  <w:tcW w:w="605" w:type="pct"/>
                  <w:vAlign w:val="center"/>
                </w:tcPr>
                <w:p w14:paraId="33225DDF">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废切削液</w:t>
                  </w:r>
                </w:p>
              </w:tc>
              <w:tc>
                <w:tcPr>
                  <w:tcW w:w="458" w:type="pct"/>
                  <w:vAlign w:val="center"/>
                </w:tcPr>
                <w:p w14:paraId="403CC5EC">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HW09</w:t>
                  </w:r>
                </w:p>
              </w:tc>
              <w:tc>
                <w:tcPr>
                  <w:tcW w:w="505" w:type="pct"/>
                  <w:vAlign w:val="center"/>
                </w:tcPr>
                <w:p w14:paraId="3BBFAD17">
                  <w:pPr>
                    <w:pStyle w:val="99"/>
                    <w:spacing w:line="240" w:lineRule="auto"/>
                    <w:ind w:firstLine="0" w:firstLineChars="0"/>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900-006-09</w:t>
                  </w:r>
                </w:p>
              </w:tc>
              <w:tc>
                <w:tcPr>
                  <w:tcW w:w="418" w:type="pct"/>
                  <w:vAlign w:val="center"/>
                </w:tcPr>
                <w:p w14:paraId="0FA2CB29">
                  <w:pPr>
                    <w:pStyle w:val="99"/>
                    <w:spacing w:line="240" w:lineRule="auto"/>
                    <w:ind w:firstLine="0" w:firstLineChars="0"/>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1.</w:t>
                  </w:r>
                  <w:r>
                    <w:rPr>
                      <w:rFonts w:hint="eastAsia"/>
                      <w:color w:val="000000" w:themeColor="text1"/>
                      <w:kern w:val="0"/>
                      <w:sz w:val="18"/>
                      <w:szCs w:val="18"/>
                      <w:lang w:val="en-US" w:eastAsia="zh-CN"/>
                      <w14:textFill>
                        <w14:solidFill>
                          <w14:schemeClr w14:val="tx1"/>
                        </w14:solidFill>
                      </w14:textFill>
                    </w:rPr>
                    <w:t>5</w:t>
                  </w:r>
                </w:p>
              </w:tc>
              <w:tc>
                <w:tcPr>
                  <w:tcW w:w="583" w:type="pct"/>
                  <w:vAlign w:val="center"/>
                </w:tcPr>
                <w:p w14:paraId="43A98C90">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有机废气治理设备</w:t>
                  </w:r>
                </w:p>
              </w:tc>
              <w:tc>
                <w:tcPr>
                  <w:tcW w:w="349" w:type="pct"/>
                  <w:vAlign w:val="center"/>
                </w:tcPr>
                <w:p w14:paraId="64872038">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85" w:type="pct"/>
                  <w:vAlign w:val="center"/>
                </w:tcPr>
                <w:p w14:paraId="54396FC5">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废活性炭</w:t>
                  </w:r>
                </w:p>
              </w:tc>
              <w:tc>
                <w:tcPr>
                  <w:tcW w:w="387" w:type="pct"/>
                  <w:vAlign w:val="center"/>
                </w:tcPr>
                <w:p w14:paraId="4341841E">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有机物</w:t>
                  </w:r>
                </w:p>
              </w:tc>
              <w:tc>
                <w:tcPr>
                  <w:tcW w:w="289" w:type="pct"/>
                  <w:vAlign w:val="center"/>
                </w:tcPr>
                <w:p w14:paraId="747F4729">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1月</w:t>
                  </w:r>
                </w:p>
              </w:tc>
              <w:tc>
                <w:tcPr>
                  <w:tcW w:w="300" w:type="pct"/>
                  <w:vAlign w:val="center"/>
                </w:tcPr>
                <w:p w14:paraId="0D8A4EC4">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T</w:t>
                  </w:r>
                </w:p>
              </w:tc>
              <w:tc>
                <w:tcPr>
                  <w:tcW w:w="476" w:type="pct"/>
                  <w:vMerge w:val="continue"/>
                  <w:vAlign w:val="center"/>
                </w:tcPr>
                <w:p w14:paraId="1FE2D065">
                  <w:pPr>
                    <w:adjustRightInd w:val="0"/>
                    <w:snapToGrid w:val="0"/>
                    <w:jc w:val="center"/>
                    <w:rPr>
                      <w:color w:val="000000" w:themeColor="text1"/>
                      <w:kern w:val="0"/>
                      <w:sz w:val="18"/>
                      <w:szCs w:val="18"/>
                      <w14:textFill>
                        <w14:solidFill>
                          <w14:schemeClr w14:val="tx1"/>
                        </w14:solidFill>
                      </w14:textFill>
                    </w:rPr>
                  </w:pPr>
                </w:p>
              </w:tc>
            </w:tr>
            <w:tr w14:paraId="5DF55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 w:type="pct"/>
                  <w:vAlign w:val="center"/>
                </w:tcPr>
                <w:p w14:paraId="6709EFF4">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w:t>
                  </w:r>
                </w:p>
              </w:tc>
              <w:tc>
                <w:tcPr>
                  <w:tcW w:w="605" w:type="pct"/>
                  <w:vAlign w:val="center"/>
                </w:tcPr>
                <w:p w14:paraId="700EC0A1">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含油废金属屑</w:t>
                  </w:r>
                </w:p>
              </w:tc>
              <w:tc>
                <w:tcPr>
                  <w:tcW w:w="458" w:type="pct"/>
                  <w:vAlign w:val="center"/>
                </w:tcPr>
                <w:p w14:paraId="3F026BD3">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HW08</w:t>
                  </w:r>
                </w:p>
              </w:tc>
              <w:tc>
                <w:tcPr>
                  <w:tcW w:w="505" w:type="pct"/>
                  <w:vAlign w:val="center"/>
                </w:tcPr>
                <w:p w14:paraId="6C17977C">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900-200-08</w:t>
                  </w:r>
                </w:p>
              </w:tc>
              <w:tc>
                <w:tcPr>
                  <w:tcW w:w="418" w:type="pct"/>
                  <w:vAlign w:val="center"/>
                </w:tcPr>
                <w:p w14:paraId="3F6E7C27">
                  <w:pPr>
                    <w:pStyle w:val="99"/>
                    <w:spacing w:line="240" w:lineRule="auto"/>
                    <w:ind w:firstLine="0" w:firstLineChars="0"/>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12.2</w:t>
                  </w:r>
                </w:p>
              </w:tc>
              <w:tc>
                <w:tcPr>
                  <w:tcW w:w="583" w:type="pct"/>
                  <w:vAlign w:val="center"/>
                </w:tcPr>
                <w:p w14:paraId="49A9609F">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生产设备</w:t>
                  </w:r>
                </w:p>
              </w:tc>
              <w:tc>
                <w:tcPr>
                  <w:tcW w:w="349" w:type="pct"/>
                  <w:vAlign w:val="center"/>
                </w:tcPr>
                <w:p w14:paraId="39EE4162">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85" w:type="pct"/>
                  <w:vAlign w:val="center"/>
                </w:tcPr>
                <w:p w14:paraId="235F8503">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387" w:type="pct"/>
                  <w:vAlign w:val="center"/>
                </w:tcPr>
                <w:p w14:paraId="01DD49EB">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289" w:type="pct"/>
                  <w:vAlign w:val="center"/>
                </w:tcPr>
                <w:p w14:paraId="5B7CEC27">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1天</w:t>
                  </w:r>
                </w:p>
              </w:tc>
              <w:tc>
                <w:tcPr>
                  <w:tcW w:w="300" w:type="pct"/>
                  <w:vAlign w:val="center"/>
                </w:tcPr>
                <w:p w14:paraId="03DDC43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T，I</w:t>
                  </w:r>
                </w:p>
              </w:tc>
              <w:tc>
                <w:tcPr>
                  <w:tcW w:w="476" w:type="pct"/>
                  <w:vMerge w:val="continue"/>
                  <w:vAlign w:val="center"/>
                </w:tcPr>
                <w:p w14:paraId="5BFB4905">
                  <w:pPr>
                    <w:adjustRightInd w:val="0"/>
                    <w:snapToGrid w:val="0"/>
                    <w:jc w:val="center"/>
                    <w:rPr>
                      <w:color w:val="000000" w:themeColor="text1"/>
                      <w:kern w:val="0"/>
                      <w:sz w:val="18"/>
                      <w:szCs w:val="18"/>
                      <w14:textFill>
                        <w14:solidFill>
                          <w14:schemeClr w14:val="tx1"/>
                        </w14:solidFill>
                      </w14:textFill>
                    </w:rPr>
                  </w:pPr>
                </w:p>
              </w:tc>
            </w:tr>
            <w:tr w14:paraId="418FA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 w:type="pct"/>
                  <w:vAlign w:val="center"/>
                </w:tcPr>
                <w:p w14:paraId="1726D322">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p>
              </w:tc>
              <w:tc>
                <w:tcPr>
                  <w:tcW w:w="605" w:type="pct"/>
                  <w:vAlign w:val="center"/>
                </w:tcPr>
                <w:p w14:paraId="324DC1B4">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废弃的含油棉纱、劳保用品</w:t>
                  </w:r>
                </w:p>
              </w:tc>
              <w:tc>
                <w:tcPr>
                  <w:tcW w:w="458" w:type="pct"/>
                  <w:vAlign w:val="center"/>
                </w:tcPr>
                <w:p w14:paraId="218ED38A">
                  <w:pPr>
                    <w:pStyle w:val="40"/>
                    <w:autoSpaceDE/>
                    <w:autoSpaceDN/>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HW49</w:t>
                  </w:r>
                </w:p>
              </w:tc>
              <w:tc>
                <w:tcPr>
                  <w:tcW w:w="505" w:type="pct"/>
                  <w:vAlign w:val="center"/>
                </w:tcPr>
                <w:p w14:paraId="196489B8">
                  <w:pPr>
                    <w:pStyle w:val="99"/>
                    <w:spacing w:line="240" w:lineRule="auto"/>
                    <w:ind w:firstLine="0" w:firstLineChars="0"/>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900-041-49</w:t>
                  </w:r>
                </w:p>
              </w:tc>
              <w:tc>
                <w:tcPr>
                  <w:tcW w:w="418" w:type="pct"/>
                  <w:vAlign w:val="center"/>
                </w:tcPr>
                <w:p w14:paraId="3563A5BD">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w:t>
                  </w:r>
                </w:p>
              </w:tc>
              <w:tc>
                <w:tcPr>
                  <w:tcW w:w="583" w:type="pct"/>
                  <w:vAlign w:val="center"/>
                </w:tcPr>
                <w:p w14:paraId="6A52F4CC">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生产设备</w:t>
                  </w:r>
                </w:p>
              </w:tc>
              <w:tc>
                <w:tcPr>
                  <w:tcW w:w="349" w:type="pct"/>
                  <w:vAlign w:val="center"/>
                </w:tcPr>
                <w:p w14:paraId="14176CB1">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固态</w:t>
                  </w:r>
                </w:p>
              </w:tc>
              <w:tc>
                <w:tcPr>
                  <w:tcW w:w="385" w:type="pct"/>
                  <w:vAlign w:val="center"/>
                </w:tcPr>
                <w:p w14:paraId="690BF4E4">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387" w:type="pct"/>
                  <w:vAlign w:val="center"/>
                </w:tcPr>
                <w:p w14:paraId="7C56C1C9">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289" w:type="pct"/>
                  <w:vAlign w:val="center"/>
                </w:tcPr>
                <w:p w14:paraId="2BE737E3">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1天</w:t>
                  </w:r>
                </w:p>
              </w:tc>
              <w:tc>
                <w:tcPr>
                  <w:tcW w:w="300" w:type="pct"/>
                  <w:vAlign w:val="center"/>
                </w:tcPr>
                <w:p w14:paraId="31DD89CF">
                  <w:pPr>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T，I</w:t>
                  </w:r>
                </w:p>
              </w:tc>
              <w:tc>
                <w:tcPr>
                  <w:tcW w:w="476" w:type="pct"/>
                  <w:vMerge w:val="continue"/>
                  <w:vAlign w:val="center"/>
                </w:tcPr>
                <w:p w14:paraId="1B3237BF">
                  <w:pPr>
                    <w:adjustRightInd w:val="0"/>
                    <w:snapToGrid w:val="0"/>
                    <w:jc w:val="center"/>
                    <w:rPr>
                      <w:color w:val="000000" w:themeColor="text1"/>
                      <w:kern w:val="0"/>
                      <w:sz w:val="18"/>
                      <w:szCs w:val="18"/>
                      <w14:textFill>
                        <w14:solidFill>
                          <w14:schemeClr w14:val="tx1"/>
                        </w14:solidFill>
                      </w14:textFill>
                    </w:rPr>
                  </w:pPr>
                </w:p>
              </w:tc>
            </w:tr>
            <w:tr w14:paraId="2CEF0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 w:type="pct"/>
                  <w:vAlign w:val="center"/>
                </w:tcPr>
                <w:p w14:paraId="01BF43E7">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w:t>
                  </w:r>
                </w:p>
              </w:tc>
              <w:tc>
                <w:tcPr>
                  <w:tcW w:w="605" w:type="pct"/>
                  <w:vAlign w:val="center"/>
                </w:tcPr>
                <w:p w14:paraId="4557F2BB">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废油渣</w:t>
                  </w:r>
                </w:p>
              </w:tc>
              <w:tc>
                <w:tcPr>
                  <w:tcW w:w="458" w:type="pct"/>
                  <w:vAlign w:val="center"/>
                </w:tcPr>
                <w:p w14:paraId="11E25DE1">
                  <w:pPr>
                    <w:pStyle w:val="40"/>
                    <w:autoSpaceDE/>
                    <w:autoSpaceDN/>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HW08</w:t>
                  </w:r>
                </w:p>
              </w:tc>
              <w:tc>
                <w:tcPr>
                  <w:tcW w:w="505" w:type="pct"/>
                  <w:vAlign w:val="center"/>
                </w:tcPr>
                <w:p w14:paraId="2A1B18AE">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900-210-08</w:t>
                  </w:r>
                </w:p>
              </w:tc>
              <w:tc>
                <w:tcPr>
                  <w:tcW w:w="418" w:type="pct"/>
                  <w:vAlign w:val="center"/>
                </w:tcPr>
                <w:p w14:paraId="77E10CB2">
                  <w:pPr>
                    <w:pStyle w:val="99"/>
                    <w:spacing w:line="240" w:lineRule="auto"/>
                    <w:ind w:firstLine="0" w:firstLineChars="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583" w:type="pct"/>
                  <w:vAlign w:val="center"/>
                </w:tcPr>
                <w:p w14:paraId="0401E12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生产设备</w:t>
                  </w:r>
                </w:p>
              </w:tc>
              <w:tc>
                <w:tcPr>
                  <w:tcW w:w="349" w:type="pct"/>
                  <w:vAlign w:val="center"/>
                </w:tcPr>
                <w:p w14:paraId="728C2A8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固态</w:t>
                  </w:r>
                </w:p>
              </w:tc>
              <w:tc>
                <w:tcPr>
                  <w:tcW w:w="385" w:type="pct"/>
                  <w:vAlign w:val="center"/>
                </w:tcPr>
                <w:p w14:paraId="52413574">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387" w:type="pct"/>
                  <w:vAlign w:val="center"/>
                </w:tcPr>
                <w:p w14:paraId="7EFC0E4F">
                  <w:pPr>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矿物油</w:t>
                  </w:r>
                </w:p>
              </w:tc>
              <w:tc>
                <w:tcPr>
                  <w:tcW w:w="289" w:type="pct"/>
                  <w:vAlign w:val="center"/>
                </w:tcPr>
                <w:p w14:paraId="327B8BE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1天</w:t>
                  </w:r>
                </w:p>
              </w:tc>
              <w:tc>
                <w:tcPr>
                  <w:tcW w:w="300" w:type="pct"/>
                  <w:vAlign w:val="center"/>
                </w:tcPr>
                <w:p w14:paraId="47BB6AE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T，I</w:t>
                  </w:r>
                </w:p>
              </w:tc>
              <w:tc>
                <w:tcPr>
                  <w:tcW w:w="476" w:type="pct"/>
                  <w:vMerge w:val="continue"/>
                  <w:vAlign w:val="center"/>
                </w:tcPr>
                <w:p w14:paraId="3B6EC514">
                  <w:pPr>
                    <w:adjustRightInd w:val="0"/>
                    <w:snapToGrid w:val="0"/>
                    <w:jc w:val="center"/>
                    <w:rPr>
                      <w:color w:val="000000" w:themeColor="text1"/>
                      <w:kern w:val="0"/>
                      <w:sz w:val="18"/>
                      <w:szCs w:val="18"/>
                      <w14:textFill>
                        <w14:solidFill>
                          <w14:schemeClr w14:val="tx1"/>
                        </w14:solidFill>
                      </w14:textFill>
                    </w:rPr>
                  </w:pPr>
                </w:p>
              </w:tc>
            </w:tr>
            <w:tr w14:paraId="1884F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12"/>
                  <w:vAlign w:val="center"/>
                </w:tcPr>
                <w:p w14:paraId="4C029680">
                  <w:pPr>
                    <w:adjustRightInd w:val="0"/>
                    <w:snapToGrid w:val="0"/>
                    <w:ind w:firstLine="360" w:firstLineChars="200"/>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注：T表示毒性，I表示易燃性，In表示感染性。</w:t>
                  </w:r>
                </w:p>
              </w:tc>
            </w:tr>
          </w:tbl>
          <w:p w14:paraId="0F5FDE93">
            <w:pPr>
              <w:spacing w:before="120" w:beforeLines="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b/>
                <w:bCs/>
                <w:color w:val="000000" w:themeColor="text1"/>
                <w14:textFill>
                  <w14:solidFill>
                    <w14:schemeClr w14:val="tx1"/>
                  </w14:solidFill>
                </w14:textFill>
              </w:rPr>
              <w:t>4.2-14</w:t>
            </w:r>
            <w:r>
              <w:rPr>
                <w:b/>
                <w:bCs/>
                <w:color w:val="000000" w:themeColor="text1"/>
                <w:sz w:val="24"/>
                <w14:textFill>
                  <w14:solidFill>
                    <w14:schemeClr w14:val="tx1"/>
                  </w14:solidFill>
                </w14:textFill>
              </w:rPr>
              <w:t>固废产生情况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819"/>
              <w:gridCol w:w="1656"/>
              <w:gridCol w:w="900"/>
              <w:gridCol w:w="1206"/>
              <w:gridCol w:w="2486"/>
            </w:tblGrid>
            <w:tr w14:paraId="61A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Align w:val="center"/>
                </w:tcPr>
                <w:p w14:paraId="3C38C0AF">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类别</w:t>
                  </w:r>
                </w:p>
              </w:tc>
              <w:tc>
                <w:tcPr>
                  <w:tcW w:w="1047" w:type="pct"/>
                  <w:vAlign w:val="center"/>
                </w:tcPr>
                <w:p w14:paraId="3E974CB3">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固废名称</w:t>
                  </w:r>
                </w:p>
              </w:tc>
              <w:tc>
                <w:tcPr>
                  <w:tcW w:w="953" w:type="pct"/>
                  <w:vAlign w:val="center"/>
                </w:tcPr>
                <w:p w14:paraId="706BB0A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代码</w:t>
                  </w:r>
                </w:p>
              </w:tc>
              <w:tc>
                <w:tcPr>
                  <w:tcW w:w="518" w:type="pct"/>
                  <w:vAlign w:val="center"/>
                </w:tcPr>
                <w:p w14:paraId="57DDEEA7">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产生量（t/a）</w:t>
                  </w:r>
                </w:p>
              </w:tc>
              <w:tc>
                <w:tcPr>
                  <w:tcW w:w="694" w:type="pct"/>
                  <w:vAlign w:val="center"/>
                </w:tcPr>
                <w:p w14:paraId="68C6B02F">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处理量（t/a）</w:t>
                  </w:r>
                </w:p>
              </w:tc>
              <w:tc>
                <w:tcPr>
                  <w:tcW w:w="1430" w:type="pct"/>
                  <w:vAlign w:val="center"/>
                </w:tcPr>
                <w:p w14:paraId="0FEAD69B">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处理措施</w:t>
                  </w:r>
                </w:p>
              </w:tc>
            </w:tr>
            <w:tr w14:paraId="6AFA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vAlign w:val="center"/>
                </w:tcPr>
                <w:p w14:paraId="548FAD7B">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一般工业固废</w:t>
                  </w:r>
                </w:p>
              </w:tc>
              <w:tc>
                <w:tcPr>
                  <w:tcW w:w="1047" w:type="pct"/>
                  <w:vAlign w:val="center"/>
                </w:tcPr>
                <w:p w14:paraId="3CD27724">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废气瓶</w:t>
                  </w:r>
                </w:p>
              </w:tc>
              <w:tc>
                <w:tcPr>
                  <w:tcW w:w="953" w:type="pct"/>
                  <w:vAlign w:val="center"/>
                </w:tcPr>
                <w:p w14:paraId="0B04682E">
                  <w:pPr>
                    <w:pStyle w:val="99"/>
                    <w:spacing w:line="240" w:lineRule="auto"/>
                    <w:ind w:firstLine="0" w:firstLineChars="0"/>
                    <w:rPr>
                      <w:bCs/>
                      <w:color w:val="000000" w:themeColor="text1"/>
                      <w:sz w:val="21"/>
                      <w14:textFill>
                        <w14:solidFill>
                          <w14:schemeClr w14:val="tx1"/>
                        </w14:solidFill>
                      </w14:textFill>
                    </w:rPr>
                  </w:pPr>
                  <w:r>
                    <w:rPr>
                      <w:color w:val="000000" w:themeColor="text1"/>
                      <w:sz w:val="21"/>
                      <w14:textFill>
                        <w14:solidFill>
                          <w14:schemeClr w14:val="tx1"/>
                        </w14:solidFill>
                      </w14:textFill>
                    </w:rPr>
                    <w:t>900-003-S62</w:t>
                  </w:r>
                </w:p>
              </w:tc>
              <w:tc>
                <w:tcPr>
                  <w:tcW w:w="518" w:type="pct"/>
                  <w:vAlign w:val="center"/>
                </w:tcPr>
                <w:p w14:paraId="09E3E3A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694" w:type="pct"/>
                  <w:vAlign w:val="center"/>
                </w:tcPr>
                <w:p w14:paraId="7BCD9621">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1430" w:type="pct"/>
                  <w:vMerge w:val="restart"/>
                  <w:vAlign w:val="center"/>
                </w:tcPr>
                <w:p w14:paraId="34F4F982">
                  <w:pPr>
                    <w:pStyle w:val="99"/>
                    <w:spacing w:line="240" w:lineRule="auto"/>
                    <w:ind w:firstLine="0" w:firstLineChars="0"/>
                    <w:rPr>
                      <w:bCs/>
                      <w:color w:val="000000" w:themeColor="text1"/>
                      <w:sz w:val="21"/>
                      <w14:textFill>
                        <w14:solidFill>
                          <w14:schemeClr w14:val="tx1"/>
                        </w14:solidFill>
                      </w14:textFill>
                    </w:rPr>
                  </w:pPr>
                  <w:r>
                    <w:rPr>
                      <w:color w:val="000000" w:themeColor="text1"/>
                      <w:sz w:val="21"/>
                      <w14:textFill>
                        <w14:solidFill>
                          <w14:schemeClr w14:val="tx1"/>
                        </w14:solidFill>
                      </w14:textFill>
                    </w:rPr>
                    <w:t>分区收集于一般固废暂存间，定期交物资回收单位处理。</w:t>
                  </w:r>
                </w:p>
              </w:tc>
            </w:tr>
            <w:tr w14:paraId="2D58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6F887DB2">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62C6D98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除尘器收尘</w:t>
                  </w:r>
                </w:p>
              </w:tc>
              <w:tc>
                <w:tcPr>
                  <w:tcW w:w="953" w:type="pct"/>
                  <w:vAlign w:val="center"/>
                </w:tcPr>
                <w:p w14:paraId="30F09398">
                  <w:pPr>
                    <w:pStyle w:val="99"/>
                    <w:spacing w:line="240" w:lineRule="auto"/>
                    <w:ind w:firstLine="0" w:firstLineChars="0"/>
                    <w:rPr>
                      <w:bCs/>
                      <w:color w:val="000000" w:themeColor="text1"/>
                      <w:sz w:val="21"/>
                      <w14:textFill>
                        <w14:solidFill>
                          <w14:schemeClr w14:val="tx1"/>
                        </w14:solidFill>
                      </w14:textFill>
                    </w:rPr>
                  </w:pPr>
                  <w:r>
                    <w:rPr>
                      <w:color w:val="000000" w:themeColor="text1"/>
                      <w:sz w:val="21"/>
                      <w14:textFill>
                        <w14:solidFill>
                          <w14:schemeClr w14:val="tx1"/>
                        </w14:solidFill>
                      </w14:textFill>
                    </w:rPr>
                    <w:t>900-099-S59</w:t>
                  </w:r>
                </w:p>
              </w:tc>
              <w:tc>
                <w:tcPr>
                  <w:tcW w:w="518" w:type="pct"/>
                  <w:vAlign w:val="center"/>
                </w:tcPr>
                <w:p w14:paraId="3B614F7D">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0.288</w:t>
                  </w:r>
                </w:p>
              </w:tc>
              <w:tc>
                <w:tcPr>
                  <w:tcW w:w="694" w:type="pct"/>
                  <w:vAlign w:val="center"/>
                </w:tcPr>
                <w:p w14:paraId="530225B3">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0.288</w:t>
                  </w:r>
                </w:p>
              </w:tc>
              <w:tc>
                <w:tcPr>
                  <w:tcW w:w="1430" w:type="pct"/>
                  <w:vMerge w:val="continue"/>
                  <w:vAlign w:val="center"/>
                </w:tcPr>
                <w:p w14:paraId="412C7021">
                  <w:pPr>
                    <w:pStyle w:val="99"/>
                    <w:spacing w:line="240" w:lineRule="auto"/>
                    <w:ind w:firstLine="0" w:firstLineChars="0"/>
                    <w:rPr>
                      <w:color w:val="000000" w:themeColor="text1"/>
                      <w:sz w:val="21"/>
                      <w14:textFill>
                        <w14:solidFill>
                          <w14:schemeClr w14:val="tx1"/>
                        </w14:solidFill>
                      </w14:textFill>
                    </w:rPr>
                  </w:pPr>
                </w:p>
              </w:tc>
            </w:tr>
            <w:tr w14:paraId="475E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3CA11C99">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04FCE98D">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废包装材料</w:t>
                  </w:r>
                </w:p>
              </w:tc>
              <w:tc>
                <w:tcPr>
                  <w:tcW w:w="953" w:type="pct"/>
                  <w:vAlign w:val="center"/>
                </w:tcPr>
                <w:p w14:paraId="6029EBD5">
                  <w:pPr>
                    <w:pStyle w:val="99"/>
                    <w:spacing w:line="240" w:lineRule="auto"/>
                    <w:ind w:firstLine="0" w:firstLineChars="0"/>
                    <w:rPr>
                      <w:bCs/>
                      <w:color w:val="000000" w:themeColor="text1"/>
                      <w:sz w:val="21"/>
                      <w14:textFill>
                        <w14:solidFill>
                          <w14:schemeClr w14:val="tx1"/>
                        </w14:solidFill>
                      </w14:textFill>
                    </w:rPr>
                  </w:pPr>
                  <w:r>
                    <w:rPr>
                      <w:color w:val="000000" w:themeColor="text1"/>
                      <w:sz w:val="21"/>
                      <w14:textFill>
                        <w14:solidFill>
                          <w14:schemeClr w14:val="tx1"/>
                        </w14:solidFill>
                      </w14:textFill>
                    </w:rPr>
                    <w:t>900-002-S62</w:t>
                  </w:r>
                </w:p>
              </w:tc>
              <w:tc>
                <w:tcPr>
                  <w:tcW w:w="518" w:type="pct"/>
                  <w:vAlign w:val="center"/>
                </w:tcPr>
                <w:p w14:paraId="04F9D1CB">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0.1</w:t>
                  </w:r>
                </w:p>
              </w:tc>
              <w:tc>
                <w:tcPr>
                  <w:tcW w:w="694" w:type="pct"/>
                  <w:vAlign w:val="center"/>
                </w:tcPr>
                <w:p w14:paraId="25489A08">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0.1</w:t>
                  </w:r>
                </w:p>
              </w:tc>
              <w:tc>
                <w:tcPr>
                  <w:tcW w:w="1430" w:type="pct"/>
                  <w:vMerge w:val="continue"/>
                  <w:vAlign w:val="center"/>
                </w:tcPr>
                <w:p w14:paraId="6703E1A7">
                  <w:pPr>
                    <w:pStyle w:val="99"/>
                    <w:spacing w:line="240" w:lineRule="auto"/>
                    <w:ind w:firstLine="0" w:firstLineChars="0"/>
                    <w:rPr>
                      <w:color w:val="000000" w:themeColor="text1"/>
                      <w:sz w:val="21"/>
                      <w14:textFill>
                        <w14:solidFill>
                          <w14:schemeClr w14:val="tx1"/>
                        </w14:solidFill>
                      </w14:textFill>
                    </w:rPr>
                  </w:pPr>
                </w:p>
              </w:tc>
            </w:tr>
            <w:tr w14:paraId="3EF9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5CCD814E">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6E8FCBA4">
                  <w:pPr>
                    <w:pStyle w:val="99"/>
                    <w:spacing w:line="240" w:lineRule="auto"/>
                    <w:ind w:firstLine="0" w:firstLineChars="0"/>
                    <w:rPr>
                      <w:color w:val="000000" w:themeColor="text1"/>
                      <w:sz w:val="21"/>
                      <w14:textFill>
                        <w14:solidFill>
                          <w14:schemeClr w14:val="tx1"/>
                        </w14:solidFill>
                      </w14:textFill>
                    </w:rPr>
                  </w:pPr>
                  <w:r>
                    <w:rPr>
                      <w:bCs/>
                      <w:color w:val="000000" w:themeColor="text1"/>
                      <w:sz w:val="21"/>
                      <w14:textFill>
                        <w14:solidFill>
                          <w14:schemeClr w14:val="tx1"/>
                        </w14:solidFill>
                      </w14:textFill>
                    </w:rPr>
                    <w:t>废焊渣</w:t>
                  </w:r>
                </w:p>
              </w:tc>
              <w:tc>
                <w:tcPr>
                  <w:tcW w:w="953" w:type="pct"/>
                  <w:vAlign w:val="center"/>
                </w:tcPr>
                <w:p w14:paraId="1138CA7C">
                  <w:pPr>
                    <w:pStyle w:val="99"/>
                    <w:spacing w:line="240" w:lineRule="auto"/>
                    <w:ind w:firstLine="0" w:firstLineChars="0"/>
                    <w:rPr>
                      <w:bCs/>
                      <w:color w:val="000000" w:themeColor="text1"/>
                      <w:sz w:val="21"/>
                      <w14:textFill>
                        <w14:solidFill>
                          <w14:schemeClr w14:val="tx1"/>
                        </w14:solidFill>
                      </w14:textFill>
                    </w:rPr>
                  </w:pPr>
                  <w:r>
                    <w:rPr>
                      <w:bCs/>
                      <w:color w:val="000000" w:themeColor="text1"/>
                      <w:sz w:val="21"/>
                      <w14:textFill>
                        <w14:solidFill>
                          <w14:schemeClr w14:val="tx1"/>
                        </w14:solidFill>
                      </w14:textFill>
                    </w:rPr>
                    <w:t>900-099-S59</w:t>
                  </w:r>
                </w:p>
              </w:tc>
              <w:tc>
                <w:tcPr>
                  <w:tcW w:w="518" w:type="pct"/>
                  <w:vAlign w:val="center"/>
                </w:tcPr>
                <w:p w14:paraId="62A5C935">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2.0</w:t>
                  </w:r>
                </w:p>
              </w:tc>
              <w:tc>
                <w:tcPr>
                  <w:tcW w:w="694" w:type="pct"/>
                  <w:vAlign w:val="center"/>
                </w:tcPr>
                <w:p w14:paraId="1801F2E1">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2.0</w:t>
                  </w:r>
                </w:p>
              </w:tc>
              <w:tc>
                <w:tcPr>
                  <w:tcW w:w="1430" w:type="pct"/>
                  <w:vMerge w:val="continue"/>
                  <w:vAlign w:val="center"/>
                </w:tcPr>
                <w:p w14:paraId="210CE778">
                  <w:pPr>
                    <w:pStyle w:val="99"/>
                    <w:spacing w:line="240" w:lineRule="auto"/>
                    <w:ind w:firstLine="0" w:firstLineChars="0"/>
                    <w:rPr>
                      <w:color w:val="000000" w:themeColor="text1"/>
                      <w:sz w:val="21"/>
                      <w14:textFill>
                        <w14:solidFill>
                          <w14:schemeClr w14:val="tx1"/>
                        </w14:solidFill>
                      </w14:textFill>
                    </w:rPr>
                  </w:pPr>
                </w:p>
              </w:tc>
            </w:tr>
            <w:tr w14:paraId="3407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pct"/>
                  <w:gridSpan w:val="3"/>
                  <w:vAlign w:val="center"/>
                </w:tcPr>
                <w:p w14:paraId="5F94BA00">
                  <w:pPr>
                    <w:pStyle w:val="99"/>
                    <w:spacing w:line="240" w:lineRule="auto"/>
                    <w:ind w:firstLine="0" w:firstLineChars="0"/>
                    <w:rPr>
                      <w:bCs/>
                      <w:color w:val="000000" w:themeColor="text1"/>
                      <w:sz w:val="21"/>
                      <w14:textFill>
                        <w14:solidFill>
                          <w14:schemeClr w14:val="tx1"/>
                        </w14:solidFill>
                      </w14:textFill>
                    </w:rPr>
                  </w:pPr>
                  <w:r>
                    <w:rPr>
                      <w:color w:val="000000" w:themeColor="text1"/>
                      <w:sz w:val="21"/>
                      <w14:textFill>
                        <w14:solidFill>
                          <w14:schemeClr w14:val="tx1"/>
                        </w14:solidFill>
                      </w14:textFill>
                    </w:rPr>
                    <w:t>一般工业固废合计</w:t>
                  </w:r>
                </w:p>
              </w:tc>
              <w:tc>
                <w:tcPr>
                  <w:tcW w:w="2642" w:type="pct"/>
                  <w:gridSpan w:val="3"/>
                  <w:vAlign w:val="center"/>
                </w:tcPr>
                <w:p w14:paraId="57C89D9A">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2.588</w:t>
                  </w:r>
                </w:p>
              </w:tc>
            </w:tr>
            <w:tr w14:paraId="2CCC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vAlign w:val="center"/>
                </w:tcPr>
                <w:p w14:paraId="7721E244">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危险废物</w:t>
                  </w:r>
                </w:p>
              </w:tc>
              <w:tc>
                <w:tcPr>
                  <w:tcW w:w="1047" w:type="pct"/>
                  <w:vAlign w:val="center"/>
                </w:tcPr>
                <w:p w14:paraId="6840B49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废液压油</w:t>
                  </w:r>
                </w:p>
              </w:tc>
              <w:tc>
                <w:tcPr>
                  <w:tcW w:w="1604" w:type="dxa"/>
                  <w:vAlign w:val="center"/>
                </w:tcPr>
                <w:p w14:paraId="31EF2874">
                  <w:pPr>
                    <w:pStyle w:val="99"/>
                    <w:spacing w:line="240" w:lineRule="auto"/>
                    <w:ind w:firstLine="0" w:firstLineChars="0"/>
                    <w:rPr>
                      <w:color w:val="000000" w:themeColor="text1"/>
                      <w:sz w:val="21"/>
                      <w14:textFill>
                        <w14:solidFill>
                          <w14:schemeClr w14:val="tx1"/>
                        </w14:solidFill>
                      </w14:textFill>
                    </w:rPr>
                  </w:pPr>
                  <w:r>
                    <w:rPr>
                      <w:color w:val="000000" w:themeColor="text1"/>
                      <w:kern w:val="0"/>
                      <w:sz w:val="21"/>
                      <w14:textFill>
                        <w14:solidFill>
                          <w14:schemeClr w14:val="tx1"/>
                        </w14:solidFill>
                      </w14:textFill>
                    </w:rPr>
                    <w:t>900-218-08</w:t>
                  </w:r>
                </w:p>
              </w:tc>
              <w:tc>
                <w:tcPr>
                  <w:tcW w:w="872" w:type="dxa"/>
                  <w:vAlign w:val="center"/>
                </w:tcPr>
                <w:p w14:paraId="17CF1924">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1168" w:type="dxa"/>
                  <w:vAlign w:val="center"/>
                </w:tcPr>
                <w:p w14:paraId="76E628E7">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1430" w:type="pct"/>
                  <w:vMerge w:val="restart"/>
                  <w:vAlign w:val="center"/>
                </w:tcPr>
                <w:p w14:paraId="24A6E32F">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分类暂存于危废贮存点，定期交由有资质的单位收运处置。</w:t>
                  </w:r>
                </w:p>
              </w:tc>
            </w:tr>
            <w:tr w14:paraId="1BA7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387BBE9E">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3F28873A">
                  <w:pPr>
                    <w:pStyle w:val="99"/>
                    <w:spacing w:line="240" w:lineRule="auto"/>
                    <w:ind w:firstLine="0" w:firstLineChars="0"/>
                    <w:rPr>
                      <w:color w:val="000000" w:themeColor="text1"/>
                      <w:sz w:val="21"/>
                      <w14:textFill>
                        <w14:solidFill>
                          <w14:schemeClr w14:val="tx1"/>
                        </w14:solidFill>
                      </w14:textFill>
                    </w:rPr>
                  </w:pPr>
                  <w:r>
                    <w:rPr>
                      <w:bCs/>
                      <w:color w:val="000000" w:themeColor="text1"/>
                      <w:sz w:val="21"/>
                      <w14:textFill>
                        <w14:solidFill>
                          <w14:schemeClr w14:val="tx1"/>
                        </w14:solidFill>
                      </w14:textFill>
                    </w:rPr>
                    <w:t>废油桶</w:t>
                  </w:r>
                </w:p>
              </w:tc>
              <w:tc>
                <w:tcPr>
                  <w:tcW w:w="1604" w:type="dxa"/>
                  <w:vAlign w:val="center"/>
                </w:tcPr>
                <w:p w14:paraId="5D236C1A">
                  <w:pPr>
                    <w:pStyle w:val="99"/>
                    <w:spacing w:line="240" w:lineRule="auto"/>
                    <w:ind w:firstLine="0" w:firstLineChars="0"/>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900-249-08</w:t>
                  </w:r>
                </w:p>
              </w:tc>
              <w:tc>
                <w:tcPr>
                  <w:tcW w:w="872" w:type="dxa"/>
                  <w:vAlign w:val="center"/>
                </w:tcPr>
                <w:p w14:paraId="48CC9A4E">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1168" w:type="dxa"/>
                  <w:vAlign w:val="center"/>
                </w:tcPr>
                <w:p w14:paraId="643226C6">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1430" w:type="pct"/>
                  <w:vMerge w:val="continue"/>
                  <w:vAlign w:val="center"/>
                </w:tcPr>
                <w:p w14:paraId="1CED89C8">
                  <w:pPr>
                    <w:pStyle w:val="99"/>
                    <w:spacing w:line="240" w:lineRule="auto"/>
                    <w:ind w:firstLine="0" w:firstLineChars="0"/>
                    <w:rPr>
                      <w:color w:val="000000" w:themeColor="text1"/>
                      <w:sz w:val="21"/>
                      <w14:textFill>
                        <w14:solidFill>
                          <w14:schemeClr w14:val="tx1"/>
                        </w14:solidFill>
                      </w14:textFill>
                    </w:rPr>
                  </w:pPr>
                </w:p>
              </w:tc>
            </w:tr>
            <w:tr w14:paraId="7DE7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7B515BEA">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385A3AD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废切削液</w:t>
                  </w:r>
                </w:p>
              </w:tc>
              <w:tc>
                <w:tcPr>
                  <w:tcW w:w="1604" w:type="dxa"/>
                  <w:vAlign w:val="center"/>
                </w:tcPr>
                <w:p w14:paraId="6129C15D">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900-006-09</w:t>
                  </w:r>
                </w:p>
              </w:tc>
              <w:tc>
                <w:tcPr>
                  <w:tcW w:w="872" w:type="dxa"/>
                  <w:vAlign w:val="center"/>
                </w:tcPr>
                <w:p w14:paraId="39997768">
                  <w:pPr>
                    <w:pStyle w:val="99"/>
                    <w:spacing w:line="240" w:lineRule="auto"/>
                    <w:ind w:firstLine="0" w:firstLineChars="0"/>
                    <w:rPr>
                      <w:color w:val="000000" w:themeColor="text1"/>
                      <w:sz w:val="21"/>
                      <w14:textFill>
                        <w14:solidFill>
                          <w14:schemeClr w14:val="tx1"/>
                        </w14:solidFill>
                      </w14:textFill>
                    </w:rPr>
                  </w:pPr>
                  <w:r>
                    <w:rPr>
                      <w:color w:val="000000" w:themeColor="text1"/>
                      <w:kern w:val="0"/>
                      <w:sz w:val="21"/>
                      <w14:textFill>
                        <w14:solidFill>
                          <w14:schemeClr w14:val="tx1"/>
                        </w14:solidFill>
                      </w14:textFill>
                    </w:rPr>
                    <w:t>1.5</w:t>
                  </w:r>
                </w:p>
              </w:tc>
              <w:tc>
                <w:tcPr>
                  <w:tcW w:w="1168" w:type="dxa"/>
                  <w:vAlign w:val="center"/>
                </w:tcPr>
                <w:p w14:paraId="032EE48F">
                  <w:pPr>
                    <w:pStyle w:val="99"/>
                    <w:spacing w:line="240" w:lineRule="auto"/>
                    <w:ind w:firstLine="0" w:firstLineChars="0"/>
                    <w:rPr>
                      <w:color w:val="000000" w:themeColor="text1"/>
                      <w:sz w:val="21"/>
                      <w14:textFill>
                        <w14:solidFill>
                          <w14:schemeClr w14:val="tx1"/>
                        </w14:solidFill>
                      </w14:textFill>
                    </w:rPr>
                  </w:pPr>
                  <w:r>
                    <w:rPr>
                      <w:color w:val="000000" w:themeColor="text1"/>
                      <w:kern w:val="0"/>
                      <w:sz w:val="21"/>
                      <w14:textFill>
                        <w14:solidFill>
                          <w14:schemeClr w14:val="tx1"/>
                        </w14:solidFill>
                      </w14:textFill>
                    </w:rPr>
                    <w:t>1.5</w:t>
                  </w:r>
                </w:p>
              </w:tc>
              <w:tc>
                <w:tcPr>
                  <w:tcW w:w="1430" w:type="pct"/>
                  <w:vMerge w:val="continue"/>
                  <w:vAlign w:val="center"/>
                </w:tcPr>
                <w:p w14:paraId="74CD18A5">
                  <w:pPr>
                    <w:pStyle w:val="99"/>
                    <w:spacing w:line="240" w:lineRule="auto"/>
                    <w:ind w:firstLine="0" w:firstLineChars="0"/>
                    <w:rPr>
                      <w:color w:val="000000" w:themeColor="text1"/>
                      <w:sz w:val="21"/>
                      <w14:textFill>
                        <w14:solidFill>
                          <w14:schemeClr w14:val="tx1"/>
                        </w14:solidFill>
                      </w14:textFill>
                    </w:rPr>
                  </w:pPr>
                </w:p>
              </w:tc>
            </w:tr>
            <w:tr w14:paraId="4AEB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59B9EF5B">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30A9D9E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含油废金属屑</w:t>
                  </w:r>
                </w:p>
              </w:tc>
              <w:tc>
                <w:tcPr>
                  <w:tcW w:w="1604" w:type="dxa"/>
                  <w:vAlign w:val="center"/>
                </w:tcPr>
                <w:p w14:paraId="4CA07484">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900-200-08</w:t>
                  </w:r>
                </w:p>
              </w:tc>
              <w:tc>
                <w:tcPr>
                  <w:tcW w:w="872" w:type="dxa"/>
                  <w:vAlign w:val="center"/>
                </w:tcPr>
                <w:p w14:paraId="1CBA35A3">
                  <w:pPr>
                    <w:pStyle w:val="99"/>
                    <w:spacing w:line="240" w:lineRule="auto"/>
                    <w:ind w:firstLine="0" w:firstLineChars="0"/>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12.2</w:t>
                  </w:r>
                </w:p>
              </w:tc>
              <w:tc>
                <w:tcPr>
                  <w:tcW w:w="1168" w:type="dxa"/>
                  <w:vAlign w:val="center"/>
                </w:tcPr>
                <w:p w14:paraId="6943CFA5">
                  <w:pPr>
                    <w:pStyle w:val="99"/>
                    <w:spacing w:line="240" w:lineRule="auto"/>
                    <w:ind w:firstLine="0" w:firstLineChars="0"/>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12.2</w:t>
                  </w:r>
                </w:p>
              </w:tc>
              <w:tc>
                <w:tcPr>
                  <w:tcW w:w="1430" w:type="pct"/>
                  <w:vMerge w:val="continue"/>
                  <w:vAlign w:val="center"/>
                </w:tcPr>
                <w:p w14:paraId="3BA2A67F">
                  <w:pPr>
                    <w:pStyle w:val="99"/>
                    <w:spacing w:line="240" w:lineRule="auto"/>
                    <w:ind w:firstLine="0" w:firstLineChars="0"/>
                    <w:rPr>
                      <w:color w:val="000000" w:themeColor="text1"/>
                      <w:sz w:val="21"/>
                      <w14:textFill>
                        <w14:solidFill>
                          <w14:schemeClr w14:val="tx1"/>
                        </w14:solidFill>
                      </w14:textFill>
                    </w:rPr>
                  </w:pPr>
                </w:p>
              </w:tc>
            </w:tr>
            <w:tr w14:paraId="61B0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4729D995">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654BC340">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废弃的含油棉纱、劳保用品</w:t>
                  </w:r>
                </w:p>
              </w:tc>
              <w:tc>
                <w:tcPr>
                  <w:tcW w:w="1604" w:type="dxa"/>
                  <w:vAlign w:val="center"/>
                </w:tcPr>
                <w:p w14:paraId="648A253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872" w:type="dxa"/>
                  <w:vAlign w:val="center"/>
                </w:tcPr>
                <w:p w14:paraId="1472696F">
                  <w:pPr>
                    <w:pStyle w:val="99"/>
                    <w:spacing w:line="240" w:lineRule="auto"/>
                    <w:ind w:firstLine="0" w:firstLineChars="0"/>
                    <w:rPr>
                      <w:color w:val="000000" w:themeColor="text1"/>
                      <w:kern w:val="0"/>
                      <w:sz w:val="21"/>
                      <w14:textFill>
                        <w14:solidFill>
                          <w14:schemeClr w14:val="tx1"/>
                        </w14:solidFill>
                      </w14:textFill>
                    </w:rPr>
                  </w:pPr>
                  <w:r>
                    <w:rPr>
                      <w:color w:val="000000" w:themeColor="text1"/>
                      <w:sz w:val="21"/>
                      <w14:textFill>
                        <w14:solidFill>
                          <w14:schemeClr w14:val="tx1"/>
                        </w14:solidFill>
                      </w14:textFill>
                    </w:rPr>
                    <w:t>0.05</w:t>
                  </w:r>
                </w:p>
              </w:tc>
              <w:tc>
                <w:tcPr>
                  <w:tcW w:w="1168" w:type="dxa"/>
                  <w:vAlign w:val="center"/>
                </w:tcPr>
                <w:p w14:paraId="6CE8FBEC">
                  <w:pPr>
                    <w:pStyle w:val="99"/>
                    <w:spacing w:line="240" w:lineRule="auto"/>
                    <w:ind w:firstLine="0" w:firstLineChars="0"/>
                    <w:rPr>
                      <w:color w:val="000000" w:themeColor="text1"/>
                      <w:kern w:val="0"/>
                      <w:sz w:val="21"/>
                      <w14:textFill>
                        <w14:solidFill>
                          <w14:schemeClr w14:val="tx1"/>
                        </w14:solidFill>
                      </w14:textFill>
                    </w:rPr>
                  </w:pPr>
                  <w:r>
                    <w:rPr>
                      <w:color w:val="000000" w:themeColor="text1"/>
                      <w:sz w:val="21"/>
                      <w14:textFill>
                        <w14:solidFill>
                          <w14:schemeClr w14:val="tx1"/>
                        </w14:solidFill>
                      </w14:textFill>
                    </w:rPr>
                    <w:t>0.05</w:t>
                  </w:r>
                </w:p>
              </w:tc>
              <w:tc>
                <w:tcPr>
                  <w:tcW w:w="1430" w:type="pct"/>
                  <w:vMerge w:val="continue"/>
                  <w:vAlign w:val="center"/>
                </w:tcPr>
                <w:p w14:paraId="6946CA1A">
                  <w:pPr>
                    <w:pStyle w:val="99"/>
                    <w:spacing w:line="240" w:lineRule="auto"/>
                    <w:ind w:firstLine="0" w:firstLineChars="0"/>
                    <w:rPr>
                      <w:color w:val="000000" w:themeColor="text1"/>
                      <w:sz w:val="21"/>
                      <w14:textFill>
                        <w14:solidFill>
                          <w14:schemeClr w14:val="tx1"/>
                        </w14:solidFill>
                      </w14:textFill>
                    </w:rPr>
                  </w:pPr>
                </w:p>
              </w:tc>
            </w:tr>
            <w:tr w14:paraId="162C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vAlign w:val="center"/>
                </w:tcPr>
                <w:p w14:paraId="70A40CB4">
                  <w:pPr>
                    <w:pStyle w:val="99"/>
                    <w:spacing w:line="240" w:lineRule="auto"/>
                    <w:ind w:firstLine="0" w:firstLineChars="0"/>
                    <w:rPr>
                      <w:color w:val="000000" w:themeColor="text1"/>
                      <w:sz w:val="21"/>
                      <w14:textFill>
                        <w14:solidFill>
                          <w14:schemeClr w14:val="tx1"/>
                        </w14:solidFill>
                      </w14:textFill>
                    </w:rPr>
                  </w:pPr>
                </w:p>
              </w:tc>
              <w:tc>
                <w:tcPr>
                  <w:tcW w:w="1047" w:type="pct"/>
                  <w:vAlign w:val="center"/>
                </w:tcPr>
                <w:p w14:paraId="3ED75DC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1604" w:type="dxa"/>
                  <w:vAlign w:val="center"/>
                </w:tcPr>
                <w:p w14:paraId="30097EDE">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900-210-08</w:t>
                  </w:r>
                </w:p>
              </w:tc>
              <w:tc>
                <w:tcPr>
                  <w:tcW w:w="872" w:type="dxa"/>
                  <w:vAlign w:val="center"/>
                </w:tcPr>
                <w:p w14:paraId="7B6C353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1168" w:type="dxa"/>
                  <w:vAlign w:val="center"/>
                </w:tcPr>
                <w:p w14:paraId="17C1D05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1430" w:type="pct"/>
                  <w:vMerge w:val="continue"/>
                  <w:vAlign w:val="center"/>
                </w:tcPr>
                <w:p w14:paraId="7352BFDD">
                  <w:pPr>
                    <w:pStyle w:val="99"/>
                    <w:spacing w:line="240" w:lineRule="auto"/>
                    <w:ind w:firstLine="0" w:firstLineChars="0"/>
                    <w:rPr>
                      <w:color w:val="000000" w:themeColor="text1"/>
                      <w:sz w:val="21"/>
                      <w14:textFill>
                        <w14:solidFill>
                          <w14:schemeClr w14:val="tx1"/>
                        </w14:solidFill>
                      </w14:textFill>
                    </w:rPr>
                  </w:pPr>
                </w:p>
              </w:tc>
            </w:tr>
            <w:tr w14:paraId="24C1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7" w:type="pct"/>
                  <w:gridSpan w:val="3"/>
                  <w:vAlign w:val="center"/>
                </w:tcPr>
                <w:p w14:paraId="72F202D4">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危险废物合计</w:t>
                  </w:r>
                </w:p>
              </w:tc>
              <w:tc>
                <w:tcPr>
                  <w:tcW w:w="2642" w:type="pct"/>
                  <w:gridSpan w:val="3"/>
                  <w:vAlign w:val="center"/>
                </w:tcPr>
                <w:p w14:paraId="4566657E">
                  <w:pPr>
                    <w:pStyle w:val="99"/>
                    <w:spacing w:line="240" w:lineRule="auto"/>
                    <w:ind w:firstLine="0" w:firstLineChars="0"/>
                    <w:rPr>
                      <w:rFonts w:hint="default" w:eastAsia="宋体"/>
                      <w:color w:val="000000" w:themeColor="text1"/>
                      <w:sz w:val="21"/>
                      <w:lang w:val="en-US" w:eastAsia="zh-CN"/>
                      <w14:textFill>
                        <w14:solidFill>
                          <w14:schemeClr w14:val="tx1"/>
                        </w14:solidFill>
                      </w14:textFill>
                    </w:rPr>
                  </w:pPr>
                  <w:r>
                    <w:rPr>
                      <w:color w:val="000000" w:themeColor="text1"/>
                      <w:sz w:val="21"/>
                      <w14:textFill>
                        <w14:solidFill>
                          <w14:schemeClr w14:val="tx1"/>
                        </w14:solidFill>
                      </w14:textFill>
                    </w:rPr>
                    <w:t>1</w:t>
                  </w:r>
                  <w:r>
                    <w:rPr>
                      <w:rFonts w:hint="eastAsia"/>
                      <w:color w:val="000000" w:themeColor="text1"/>
                      <w:sz w:val="21"/>
                      <w:lang w:val="en-US" w:eastAsia="zh-CN"/>
                      <w14:textFill>
                        <w14:solidFill>
                          <w14:schemeClr w14:val="tx1"/>
                        </w14:solidFill>
                      </w14:textFill>
                    </w:rPr>
                    <w:t>5.95</w:t>
                  </w:r>
                </w:p>
              </w:tc>
            </w:tr>
            <w:tr w14:paraId="5662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4" w:type="pct"/>
                  <w:gridSpan w:val="2"/>
                  <w:vAlign w:val="center"/>
                </w:tcPr>
                <w:p w14:paraId="52B729CB">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953" w:type="pct"/>
                  <w:vAlign w:val="center"/>
                </w:tcPr>
                <w:p w14:paraId="08F26DFB">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518" w:type="pct"/>
                  <w:vAlign w:val="center"/>
                </w:tcPr>
                <w:p w14:paraId="6E65F952">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694" w:type="pct"/>
                  <w:vAlign w:val="center"/>
                </w:tcPr>
                <w:p w14:paraId="07DA1606">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1430" w:type="pct"/>
                  <w:vAlign w:val="center"/>
                </w:tcPr>
                <w:p w14:paraId="0D61C498">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分类收集后定期交环卫部门统一处理</w:t>
                  </w:r>
                </w:p>
              </w:tc>
            </w:tr>
          </w:tbl>
          <w:p w14:paraId="57D5914A">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（2）固体废物污染防治措施分析</w:t>
            </w:r>
          </w:p>
          <w:p w14:paraId="30424F1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拟建项目运营期间产生的固体废物主要包括一般工业固废、危险废物和生活垃圾。</w:t>
            </w:r>
          </w:p>
          <w:p w14:paraId="499DF7C2">
            <w:pPr>
              <w:pStyle w:val="137"/>
              <w:rPr>
                <w:rFonts w:eastAsia="宋体"/>
                <w:color w:val="000000" w:themeColor="text1"/>
                <w14:textFill>
                  <w14:solidFill>
                    <w14:schemeClr w14:val="tx1"/>
                  </w14:solidFill>
                </w14:textFill>
              </w:rPr>
            </w:pPr>
            <w:r>
              <w:rPr>
                <w:rFonts w:eastAsia="宋体"/>
                <w:b/>
                <w:bCs/>
                <w:color w:val="000000" w:themeColor="text1"/>
                <w14:textFill>
                  <w14:solidFill>
                    <w14:schemeClr w14:val="tx1"/>
                  </w14:solidFill>
                </w14:textFill>
              </w:rPr>
              <w:t>一般固体废物：</w:t>
            </w:r>
            <w:r>
              <w:rPr>
                <w:rFonts w:eastAsia="宋体"/>
                <w:color w:val="000000" w:themeColor="text1"/>
                <w14:textFill>
                  <w14:solidFill>
                    <w14:schemeClr w14:val="tx1"/>
                  </w14:solidFill>
                </w14:textFill>
              </w:rPr>
              <w:t>生产产生的废包装材料、废气瓶等一般工业固废，分区收集于一般固废暂存区，定期交物资回收单位处理。项目于</w:t>
            </w:r>
            <w:r>
              <w:rPr>
                <w:rFonts w:eastAsia="宋体"/>
                <w:color w:val="000000" w:themeColor="text1"/>
                <w:szCs w:val="21"/>
                <w14:textFill>
                  <w14:solidFill>
                    <w14:schemeClr w14:val="tx1"/>
                  </w14:solidFill>
                </w14:textFill>
              </w:rPr>
              <w:t>厂房南侧</w:t>
            </w:r>
            <w:r>
              <w:rPr>
                <w:rFonts w:eastAsia="宋体"/>
                <w:color w:val="000000" w:themeColor="text1"/>
                <w14:textFill>
                  <w14:solidFill>
                    <w14:schemeClr w14:val="tx1"/>
                  </w14:solidFill>
                </w14:textFill>
              </w:rPr>
              <w:t>设置约20m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的一般固废暂存区，按照《一般工业固体废物储存、处置场污染控制标准》(GB18599-2020</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设置，设置标识标牌等措施，做防渗、防流失处置。</w:t>
            </w:r>
          </w:p>
          <w:p w14:paraId="282ECD00">
            <w:pPr>
              <w:pStyle w:val="137"/>
              <w:rPr>
                <w:rFonts w:eastAsia="宋体"/>
                <w:color w:val="000000" w:themeColor="text1"/>
                <w14:textFill>
                  <w14:solidFill>
                    <w14:schemeClr w14:val="tx1"/>
                  </w14:solidFill>
                </w14:textFill>
              </w:rPr>
            </w:pPr>
            <w:r>
              <w:rPr>
                <w:rFonts w:eastAsia="宋体"/>
                <w:b/>
                <w:bCs/>
                <w:color w:val="000000" w:themeColor="text1"/>
                <w14:textFill>
                  <w14:solidFill>
                    <w14:schemeClr w14:val="tx1"/>
                  </w14:solidFill>
                </w14:textFill>
              </w:rPr>
              <w:t>危险废物：</w:t>
            </w:r>
            <w:r>
              <w:rPr>
                <w:rFonts w:eastAsia="宋体"/>
                <w:color w:val="000000" w:themeColor="text1"/>
                <w14:textFill>
                  <w14:solidFill>
                    <w14:schemeClr w14:val="tx1"/>
                  </w14:solidFill>
                </w14:textFill>
              </w:rPr>
              <w:t>厂区设置面积为10m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的危废贮存点（其中</w:t>
            </w:r>
            <w:bookmarkStart w:id="3" w:name="OLE_LINK2"/>
            <w:r>
              <w:rPr>
                <w:rFonts w:eastAsia="宋体"/>
                <w:color w:val="000000" w:themeColor="text1"/>
                <w14:textFill>
                  <w14:solidFill>
                    <w14:schemeClr w14:val="tx1"/>
                  </w14:solidFill>
                </w14:textFill>
              </w:rPr>
              <w:t>5m</w:t>
            </w:r>
            <w:r>
              <w:rPr>
                <w:rFonts w:eastAsia="宋体"/>
                <w:color w:val="000000" w:themeColor="text1"/>
                <w:vertAlign w:val="superscript"/>
                <w14:textFill>
                  <w14:solidFill>
                    <w14:schemeClr w14:val="tx1"/>
                  </w14:solidFill>
                </w14:textFill>
              </w:rPr>
              <w:t>2</w:t>
            </w:r>
            <w:bookmarkEnd w:id="3"/>
            <w:r>
              <w:rPr>
                <w:rFonts w:eastAsia="宋体"/>
                <w:color w:val="000000" w:themeColor="text1"/>
                <w14:textFill>
                  <w14:solidFill>
                    <w14:schemeClr w14:val="tx1"/>
                  </w14:solidFill>
                </w14:textFill>
              </w:rPr>
              <w:t>用于暂存含油废金属屑，并于贮存点地坪四周设置接油沟和收集井，用于收集渗滤油料</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5m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用于暂存其他危险废物），分类收集车间产生的危废。危废贮存点将做好“六防”措施（防风、防雨、防晒、防渗、防晒、防腐）要求，并设置托盘。含油废金属经压榨、压滤、过滤除油达到静置无滴漏后打包压块用于金属冶炼。处理后的金属在厂区按危废暂存于危废贮存库，后交有资质的金属熔炼单位处置</w:t>
            </w:r>
            <w:r>
              <w:rPr>
                <w:rFonts w:eastAsia="宋体"/>
                <w:color w:val="000000" w:themeColor="text1"/>
                <w:kern w:val="0"/>
                <w14:textFill>
                  <w14:solidFill>
                    <w14:schemeClr w14:val="tx1"/>
                  </w14:solidFill>
                </w14:textFill>
              </w:rPr>
              <w:t>。</w:t>
            </w:r>
            <w:r>
              <w:rPr>
                <w:rFonts w:eastAsia="宋体"/>
                <w:color w:val="000000" w:themeColor="text1"/>
                <w:szCs w:val="21"/>
                <w14:textFill>
                  <w14:solidFill>
                    <w14:schemeClr w14:val="tx1"/>
                  </w14:solidFill>
                </w14:textFill>
              </w:rPr>
              <w:t>其他危险废物</w:t>
            </w:r>
            <w:r>
              <w:rPr>
                <w:rFonts w:eastAsia="宋体"/>
                <w:color w:val="000000" w:themeColor="text1"/>
                <w14:textFill>
                  <w14:solidFill>
                    <w14:schemeClr w14:val="tx1"/>
                  </w14:solidFill>
                </w14:textFill>
              </w:rPr>
              <w:t>定期交由有资质的单位收运处置。</w:t>
            </w:r>
          </w:p>
          <w:p w14:paraId="2992540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项目厂区东南侧设置面积为10m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的危废贮存点，分类收集、分区存放拟建项目产生的各类危废，危废贮存点基本情况见表4.2-15。</w:t>
            </w:r>
          </w:p>
          <w:p w14:paraId="2BC882D4">
            <w:pPr>
              <w:pStyle w:val="40"/>
              <w:autoSpaceDE/>
              <w:autoSpaceDN/>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表4.2-15建设项目危险废物贮存场所基本情况</w:t>
            </w:r>
          </w:p>
          <w:tbl>
            <w:tblPr>
              <w:tblStyle w:val="2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015"/>
              <w:gridCol w:w="1154"/>
              <w:gridCol w:w="763"/>
              <w:gridCol w:w="1522"/>
              <w:gridCol w:w="453"/>
              <w:gridCol w:w="700"/>
              <w:gridCol w:w="1032"/>
              <w:gridCol w:w="730"/>
              <w:gridCol w:w="862"/>
            </w:tblGrid>
            <w:tr w14:paraId="40130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Align w:val="center"/>
                </w:tcPr>
                <w:p w14:paraId="489FE83C">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序号</w:t>
                  </w:r>
                </w:p>
              </w:tc>
              <w:tc>
                <w:tcPr>
                  <w:tcW w:w="584" w:type="pct"/>
                  <w:vAlign w:val="center"/>
                </w:tcPr>
                <w:p w14:paraId="25A2EF90">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贮存场所（设施）名称</w:t>
                  </w:r>
                </w:p>
              </w:tc>
              <w:tc>
                <w:tcPr>
                  <w:tcW w:w="664" w:type="pct"/>
                  <w:vAlign w:val="center"/>
                </w:tcPr>
                <w:p w14:paraId="2FC9D5E1">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危险废物名称</w:t>
                  </w:r>
                </w:p>
              </w:tc>
              <w:tc>
                <w:tcPr>
                  <w:tcW w:w="439" w:type="pct"/>
                  <w:vAlign w:val="center"/>
                </w:tcPr>
                <w:p w14:paraId="7B9D8D06">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危险废物类别</w:t>
                  </w:r>
                </w:p>
              </w:tc>
              <w:tc>
                <w:tcPr>
                  <w:tcW w:w="876" w:type="pct"/>
                  <w:vAlign w:val="center"/>
                </w:tcPr>
                <w:p w14:paraId="1852EEEE">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危险废物代码</w:t>
                  </w:r>
                </w:p>
              </w:tc>
              <w:tc>
                <w:tcPr>
                  <w:tcW w:w="261" w:type="pct"/>
                  <w:vAlign w:val="center"/>
                </w:tcPr>
                <w:p w14:paraId="70C5DFE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位置</w:t>
                  </w:r>
                </w:p>
              </w:tc>
              <w:tc>
                <w:tcPr>
                  <w:tcW w:w="403" w:type="pct"/>
                  <w:vAlign w:val="center"/>
                </w:tcPr>
                <w:p w14:paraId="20630F2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占地面积</w:t>
                  </w:r>
                </w:p>
              </w:tc>
              <w:tc>
                <w:tcPr>
                  <w:tcW w:w="594" w:type="pct"/>
                  <w:vAlign w:val="center"/>
                </w:tcPr>
                <w:p w14:paraId="7DDBDFA8">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贮存方式</w:t>
                  </w:r>
                </w:p>
              </w:tc>
              <w:tc>
                <w:tcPr>
                  <w:tcW w:w="420" w:type="pct"/>
                  <w:vAlign w:val="center"/>
                </w:tcPr>
                <w:p w14:paraId="02941B41">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贮存</w:t>
                  </w:r>
                </w:p>
                <w:p w14:paraId="6A4FF20A">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能力t/a</w:t>
                  </w:r>
                </w:p>
              </w:tc>
              <w:tc>
                <w:tcPr>
                  <w:tcW w:w="496" w:type="pct"/>
                  <w:vAlign w:val="center"/>
                </w:tcPr>
                <w:p w14:paraId="48F5BA00">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贮存</w:t>
                  </w:r>
                </w:p>
                <w:p w14:paraId="1669458D">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周期</w:t>
                  </w:r>
                </w:p>
              </w:tc>
            </w:tr>
            <w:tr w14:paraId="691CA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Align w:val="center"/>
                </w:tcPr>
                <w:p w14:paraId="206B19E5">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w:t>
                  </w:r>
                </w:p>
              </w:tc>
              <w:tc>
                <w:tcPr>
                  <w:tcW w:w="584" w:type="pct"/>
                  <w:vMerge w:val="restart"/>
                  <w:vAlign w:val="center"/>
                </w:tcPr>
                <w:p w14:paraId="591023F6">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危废贮存点</w:t>
                  </w:r>
                </w:p>
              </w:tc>
              <w:tc>
                <w:tcPr>
                  <w:tcW w:w="664" w:type="pct"/>
                  <w:vAlign w:val="center"/>
                </w:tcPr>
                <w:p w14:paraId="0E04B302">
                  <w:pPr>
                    <w:pStyle w:val="99"/>
                    <w:spacing w:line="240" w:lineRule="auto"/>
                    <w:ind w:firstLine="0" w:firstLineChars="0"/>
                    <w:rPr>
                      <w:color w:val="000000" w:themeColor="text1"/>
                      <w:sz w:val="21"/>
                      <w14:textFill>
                        <w14:solidFill>
                          <w14:schemeClr w14:val="tx1"/>
                        </w14:solidFill>
                      </w14:textFill>
                    </w:rPr>
                  </w:pPr>
                  <w:r>
                    <w:rPr>
                      <w:bCs/>
                      <w:color w:val="000000" w:themeColor="text1"/>
                      <w:sz w:val="21"/>
                      <w14:textFill>
                        <w14:solidFill>
                          <w14:schemeClr w14:val="tx1"/>
                        </w14:solidFill>
                      </w14:textFill>
                    </w:rPr>
                    <w:t>废油桶</w:t>
                  </w:r>
                </w:p>
              </w:tc>
              <w:tc>
                <w:tcPr>
                  <w:tcW w:w="439" w:type="pct"/>
                  <w:vAlign w:val="center"/>
                </w:tcPr>
                <w:p w14:paraId="02982F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876" w:type="pct"/>
                  <w:vAlign w:val="center"/>
                </w:tcPr>
                <w:p w14:paraId="7FDE12EE">
                  <w:pPr>
                    <w:pStyle w:val="99"/>
                    <w:spacing w:line="240" w:lineRule="auto"/>
                    <w:ind w:firstLine="0" w:firstLineChars="0"/>
                    <w:rPr>
                      <w:color w:val="000000" w:themeColor="text1"/>
                      <w:sz w:val="21"/>
                      <w14:textFill>
                        <w14:solidFill>
                          <w14:schemeClr w14:val="tx1"/>
                        </w14:solidFill>
                      </w14:textFill>
                    </w:rPr>
                  </w:pPr>
                  <w:r>
                    <w:rPr>
                      <w:color w:val="000000" w:themeColor="text1"/>
                      <w:kern w:val="0"/>
                      <w:sz w:val="21"/>
                      <w14:textFill>
                        <w14:solidFill>
                          <w14:schemeClr w14:val="tx1"/>
                        </w14:solidFill>
                      </w14:textFill>
                    </w:rPr>
                    <w:t>900-249-08</w:t>
                  </w:r>
                </w:p>
              </w:tc>
              <w:tc>
                <w:tcPr>
                  <w:tcW w:w="261" w:type="pct"/>
                  <w:vMerge w:val="restart"/>
                  <w:vAlign w:val="center"/>
                </w:tcPr>
                <w:p w14:paraId="123239E3">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厂区东南侧</w:t>
                  </w:r>
                </w:p>
              </w:tc>
              <w:tc>
                <w:tcPr>
                  <w:tcW w:w="403" w:type="pct"/>
                  <w:vMerge w:val="restart"/>
                  <w:vAlign w:val="center"/>
                </w:tcPr>
                <w:p w14:paraId="34085B92">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10m</w:t>
                  </w:r>
                  <w:r>
                    <w:rPr>
                      <w:rFonts w:cs="Times New Roman"/>
                      <w:color w:val="000000" w:themeColor="text1"/>
                      <w:szCs w:val="21"/>
                      <w:vertAlign w:val="superscript"/>
                      <w14:textFill>
                        <w14:solidFill>
                          <w14:schemeClr w14:val="tx1"/>
                        </w14:solidFill>
                      </w14:textFill>
                    </w:rPr>
                    <w:t>2</w:t>
                  </w:r>
                </w:p>
              </w:tc>
              <w:tc>
                <w:tcPr>
                  <w:tcW w:w="594" w:type="pct"/>
                  <w:vAlign w:val="center"/>
                </w:tcPr>
                <w:p w14:paraId="39E852F8">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专用容器</w:t>
                  </w:r>
                </w:p>
              </w:tc>
              <w:tc>
                <w:tcPr>
                  <w:tcW w:w="420" w:type="pct"/>
                  <w:vMerge w:val="restart"/>
                  <w:vAlign w:val="center"/>
                </w:tcPr>
                <w:p w14:paraId="6BC11EF8">
                  <w:pPr>
                    <w:pStyle w:val="99"/>
                    <w:spacing w:line="240" w:lineRule="auto"/>
                    <w:ind w:firstLine="0" w:firstLineChars="0"/>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3t</w:t>
                  </w:r>
                </w:p>
              </w:tc>
              <w:tc>
                <w:tcPr>
                  <w:tcW w:w="496" w:type="pct"/>
                  <w:vAlign w:val="center"/>
                </w:tcPr>
                <w:p w14:paraId="43F2DCF9">
                  <w:pPr>
                    <w:pStyle w:val="85"/>
                    <w:rPr>
                      <w:rFonts w:cs="Times New Roman"/>
                      <w:color w:val="000000" w:themeColor="text1"/>
                      <w:szCs w:val="21"/>
                      <w14:textFill>
                        <w14:solidFill>
                          <w14:schemeClr w14:val="tx1"/>
                        </w14:solidFill>
                      </w14:textFill>
                    </w:rPr>
                  </w:pPr>
                  <w:r>
                    <w:rPr>
                      <w:color w:val="000000" w:themeColor="text1"/>
                      <w:szCs w:val="21"/>
                      <w14:textFill>
                        <w14:solidFill>
                          <w14:schemeClr w14:val="tx1"/>
                        </w14:solidFill>
                      </w14:textFill>
                    </w:rPr>
                    <w:t>1年</w:t>
                  </w:r>
                </w:p>
              </w:tc>
            </w:tr>
            <w:tr w14:paraId="7C3EA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Align w:val="center"/>
                </w:tcPr>
                <w:p w14:paraId="6D7CCB0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w:t>
                  </w:r>
                </w:p>
              </w:tc>
              <w:tc>
                <w:tcPr>
                  <w:tcW w:w="584" w:type="pct"/>
                  <w:vMerge w:val="continue"/>
                  <w:vAlign w:val="center"/>
                </w:tcPr>
                <w:p w14:paraId="06A7914D">
                  <w:pPr>
                    <w:pStyle w:val="85"/>
                    <w:rPr>
                      <w:rFonts w:cs="Times New Roman"/>
                      <w:color w:val="000000" w:themeColor="text1"/>
                      <w:szCs w:val="21"/>
                      <w14:textFill>
                        <w14:solidFill>
                          <w14:schemeClr w14:val="tx1"/>
                        </w14:solidFill>
                      </w14:textFill>
                    </w:rPr>
                  </w:pPr>
                </w:p>
              </w:tc>
              <w:tc>
                <w:tcPr>
                  <w:tcW w:w="664" w:type="pct"/>
                  <w:vAlign w:val="center"/>
                </w:tcPr>
                <w:p w14:paraId="7B66372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废切削液</w:t>
                  </w:r>
                </w:p>
              </w:tc>
              <w:tc>
                <w:tcPr>
                  <w:tcW w:w="439" w:type="pct"/>
                  <w:vAlign w:val="center"/>
                </w:tcPr>
                <w:p w14:paraId="58B3938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HW09</w:t>
                  </w:r>
                </w:p>
              </w:tc>
              <w:tc>
                <w:tcPr>
                  <w:tcW w:w="876" w:type="pct"/>
                  <w:vAlign w:val="center"/>
                </w:tcPr>
                <w:p w14:paraId="6FF02F09">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900-006-09</w:t>
                  </w:r>
                </w:p>
              </w:tc>
              <w:tc>
                <w:tcPr>
                  <w:tcW w:w="261" w:type="pct"/>
                  <w:vMerge w:val="continue"/>
                  <w:vAlign w:val="center"/>
                </w:tcPr>
                <w:p w14:paraId="4D154C9A">
                  <w:pPr>
                    <w:pStyle w:val="85"/>
                    <w:rPr>
                      <w:rFonts w:cs="Times New Roman"/>
                      <w:color w:val="000000" w:themeColor="text1"/>
                      <w:szCs w:val="21"/>
                      <w14:textFill>
                        <w14:solidFill>
                          <w14:schemeClr w14:val="tx1"/>
                        </w14:solidFill>
                      </w14:textFill>
                    </w:rPr>
                  </w:pPr>
                </w:p>
              </w:tc>
              <w:tc>
                <w:tcPr>
                  <w:tcW w:w="403" w:type="pct"/>
                  <w:vMerge w:val="continue"/>
                  <w:vAlign w:val="center"/>
                </w:tcPr>
                <w:p w14:paraId="47751DC8">
                  <w:pPr>
                    <w:pStyle w:val="85"/>
                    <w:rPr>
                      <w:rFonts w:cs="Times New Roman"/>
                      <w:color w:val="000000" w:themeColor="text1"/>
                      <w:szCs w:val="21"/>
                      <w14:textFill>
                        <w14:solidFill>
                          <w14:schemeClr w14:val="tx1"/>
                        </w14:solidFill>
                      </w14:textFill>
                    </w:rPr>
                  </w:pPr>
                </w:p>
              </w:tc>
              <w:tc>
                <w:tcPr>
                  <w:tcW w:w="594" w:type="pct"/>
                  <w:vAlign w:val="center"/>
                </w:tcPr>
                <w:p w14:paraId="3D3AB9EE">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专用容器</w:t>
                  </w:r>
                </w:p>
              </w:tc>
              <w:tc>
                <w:tcPr>
                  <w:tcW w:w="420" w:type="pct"/>
                  <w:vMerge w:val="continue"/>
                  <w:vAlign w:val="center"/>
                </w:tcPr>
                <w:p w14:paraId="44C12DA2">
                  <w:pPr>
                    <w:pStyle w:val="99"/>
                    <w:spacing w:line="240" w:lineRule="auto"/>
                    <w:ind w:firstLine="0" w:firstLineChars="0"/>
                    <w:rPr>
                      <w:color w:val="000000" w:themeColor="text1"/>
                      <w:sz w:val="21"/>
                      <w14:textFill>
                        <w14:solidFill>
                          <w14:schemeClr w14:val="tx1"/>
                        </w14:solidFill>
                      </w14:textFill>
                    </w:rPr>
                  </w:pPr>
                </w:p>
              </w:tc>
              <w:tc>
                <w:tcPr>
                  <w:tcW w:w="496" w:type="pct"/>
                  <w:vAlign w:val="center"/>
                </w:tcPr>
                <w:p w14:paraId="76CDF582">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1年</w:t>
                  </w:r>
                </w:p>
              </w:tc>
            </w:tr>
            <w:tr w14:paraId="1019F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Align w:val="center"/>
                </w:tcPr>
                <w:p w14:paraId="4F3668A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w:t>
                  </w:r>
                </w:p>
              </w:tc>
              <w:tc>
                <w:tcPr>
                  <w:tcW w:w="584" w:type="pct"/>
                  <w:vMerge w:val="continue"/>
                  <w:vAlign w:val="center"/>
                </w:tcPr>
                <w:p w14:paraId="08FDD9A5">
                  <w:pPr>
                    <w:pStyle w:val="85"/>
                    <w:rPr>
                      <w:rFonts w:cs="Times New Roman"/>
                      <w:color w:val="000000" w:themeColor="text1"/>
                      <w:szCs w:val="21"/>
                      <w14:textFill>
                        <w14:solidFill>
                          <w14:schemeClr w14:val="tx1"/>
                        </w14:solidFill>
                      </w14:textFill>
                    </w:rPr>
                  </w:pPr>
                </w:p>
              </w:tc>
              <w:tc>
                <w:tcPr>
                  <w:tcW w:w="664" w:type="pct"/>
                  <w:vAlign w:val="center"/>
                </w:tcPr>
                <w:p w14:paraId="4F05AEAF">
                  <w:pPr>
                    <w:pStyle w:val="99"/>
                    <w:spacing w:line="240" w:lineRule="auto"/>
                    <w:ind w:firstLine="0" w:firstLineChars="0"/>
                    <w:rPr>
                      <w:bCs/>
                      <w:color w:val="000000" w:themeColor="text1"/>
                      <w:sz w:val="21"/>
                      <w14:textFill>
                        <w14:solidFill>
                          <w14:schemeClr w14:val="tx1"/>
                        </w14:solidFill>
                      </w14:textFill>
                    </w:rPr>
                  </w:pPr>
                  <w:r>
                    <w:rPr>
                      <w:color w:val="000000" w:themeColor="text1"/>
                      <w:sz w:val="21"/>
                      <w14:textFill>
                        <w14:solidFill>
                          <w14:schemeClr w14:val="tx1"/>
                        </w14:solidFill>
                      </w14:textFill>
                    </w:rPr>
                    <w:t>含油废金属屑</w:t>
                  </w:r>
                </w:p>
              </w:tc>
              <w:tc>
                <w:tcPr>
                  <w:tcW w:w="439" w:type="pct"/>
                  <w:vAlign w:val="center"/>
                </w:tcPr>
                <w:p w14:paraId="0FC2750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876" w:type="pct"/>
                  <w:vAlign w:val="center"/>
                </w:tcPr>
                <w:p w14:paraId="23F5C043">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900-200-08</w:t>
                  </w:r>
                </w:p>
              </w:tc>
              <w:tc>
                <w:tcPr>
                  <w:tcW w:w="261" w:type="pct"/>
                  <w:vMerge w:val="continue"/>
                  <w:vAlign w:val="center"/>
                </w:tcPr>
                <w:p w14:paraId="3C58A96E">
                  <w:pPr>
                    <w:pStyle w:val="85"/>
                    <w:rPr>
                      <w:rFonts w:cs="Times New Roman"/>
                      <w:color w:val="000000" w:themeColor="text1"/>
                      <w:szCs w:val="21"/>
                      <w14:textFill>
                        <w14:solidFill>
                          <w14:schemeClr w14:val="tx1"/>
                        </w14:solidFill>
                      </w14:textFill>
                    </w:rPr>
                  </w:pPr>
                </w:p>
              </w:tc>
              <w:tc>
                <w:tcPr>
                  <w:tcW w:w="403" w:type="pct"/>
                  <w:vMerge w:val="continue"/>
                  <w:vAlign w:val="center"/>
                </w:tcPr>
                <w:p w14:paraId="77BA5791">
                  <w:pPr>
                    <w:pStyle w:val="85"/>
                    <w:rPr>
                      <w:rFonts w:cs="Times New Roman"/>
                      <w:color w:val="000000" w:themeColor="text1"/>
                      <w:szCs w:val="21"/>
                      <w14:textFill>
                        <w14:solidFill>
                          <w14:schemeClr w14:val="tx1"/>
                        </w14:solidFill>
                      </w14:textFill>
                    </w:rPr>
                  </w:pPr>
                </w:p>
              </w:tc>
              <w:tc>
                <w:tcPr>
                  <w:tcW w:w="594" w:type="pct"/>
                  <w:vAlign w:val="center"/>
                </w:tcPr>
                <w:p w14:paraId="3851E843">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专用容器</w:t>
                  </w:r>
                </w:p>
              </w:tc>
              <w:tc>
                <w:tcPr>
                  <w:tcW w:w="420" w:type="pct"/>
                  <w:vMerge w:val="continue"/>
                  <w:vAlign w:val="center"/>
                </w:tcPr>
                <w:p w14:paraId="7091321F">
                  <w:pPr>
                    <w:pStyle w:val="99"/>
                    <w:spacing w:line="240" w:lineRule="auto"/>
                    <w:ind w:firstLine="0" w:firstLineChars="0"/>
                    <w:rPr>
                      <w:color w:val="000000" w:themeColor="text1"/>
                      <w:sz w:val="21"/>
                      <w14:textFill>
                        <w14:solidFill>
                          <w14:schemeClr w14:val="tx1"/>
                        </w14:solidFill>
                      </w14:textFill>
                    </w:rPr>
                  </w:pPr>
                </w:p>
              </w:tc>
              <w:tc>
                <w:tcPr>
                  <w:tcW w:w="496" w:type="pct"/>
                  <w:vAlign w:val="center"/>
                </w:tcPr>
                <w:p w14:paraId="1ADF834A">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1季度</w:t>
                  </w:r>
                </w:p>
              </w:tc>
            </w:tr>
            <w:tr w14:paraId="66BAA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Align w:val="center"/>
                </w:tcPr>
                <w:p w14:paraId="65340B20">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584" w:type="pct"/>
                  <w:vMerge w:val="continue"/>
                  <w:vAlign w:val="center"/>
                </w:tcPr>
                <w:p w14:paraId="320AB1C0">
                  <w:pPr>
                    <w:pStyle w:val="85"/>
                    <w:rPr>
                      <w:rFonts w:cs="Times New Roman"/>
                      <w:color w:val="000000" w:themeColor="text1"/>
                      <w:szCs w:val="21"/>
                      <w14:textFill>
                        <w14:solidFill>
                          <w14:schemeClr w14:val="tx1"/>
                        </w14:solidFill>
                      </w14:textFill>
                    </w:rPr>
                  </w:pPr>
                </w:p>
              </w:tc>
              <w:tc>
                <w:tcPr>
                  <w:tcW w:w="664" w:type="pct"/>
                  <w:vAlign w:val="center"/>
                </w:tcPr>
                <w:p w14:paraId="415C9768">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废弃的含油棉纱、劳保用品</w:t>
                  </w:r>
                </w:p>
              </w:tc>
              <w:tc>
                <w:tcPr>
                  <w:tcW w:w="439" w:type="pct"/>
                  <w:vAlign w:val="center"/>
                </w:tcPr>
                <w:p w14:paraId="3B4197A1">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HW49</w:t>
                  </w:r>
                </w:p>
              </w:tc>
              <w:tc>
                <w:tcPr>
                  <w:tcW w:w="876" w:type="pct"/>
                  <w:vAlign w:val="center"/>
                </w:tcPr>
                <w:p w14:paraId="7E2CA03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261" w:type="pct"/>
                  <w:vMerge w:val="continue"/>
                  <w:vAlign w:val="center"/>
                </w:tcPr>
                <w:p w14:paraId="5CF6E839">
                  <w:pPr>
                    <w:pStyle w:val="85"/>
                    <w:rPr>
                      <w:rFonts w:cs="Times New Roman"/>
                      <w:color w:val="000000" w:themeColor="text1"/>
                      <w:szCs w:val="21"/>
                      <w14:textFill>
                        <w14:solidFill>
                          <w14:schemeClr w14:val="tx1"/>
                        </w14:solidFill>
                      </w14:textFill>
                    </w:rPr>
                  </w:pPr>
                </w:p>
              </w:tc>
              <w:tc>
                <w:tcPr>
                  <w:tcW w:w="403" w:type="pct"/>
                  <w:vMerge w:val="continue"/>
                  <w:vAlign w:val="center"/>
                </w:tcPr>
                <w:p w14:paraId="58F2A92E">
                  <w:pPr>
                    <w:pStyle w:val="85"/>
                    <w:rPr>
                      <w:rFonts w:cs="Times New Roman"/>
                      <w:color w:val="000000" w:themeColor="text1"/>
                      <w:szCs w:val="21"/>
                      <w14:textFill>
                        <w14:solidFill>
                          <w14:schemeClr w14:val="tx1"/>
                        </w14:solidFill>
                      </w14:textFill>
                    </w:rPr>
                  </w:pPr>
                </w:p>
              </w:tc>
              <w:tc>
                <w:tcPr>
                  <w:tcW w:w="594" w:type="pct"/>
                  <w:vAlign w:val="center"/>
                </w:tcPr>
                <w:p w14:paraId="18A1D58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专用容器</w:t>
                  </w:r>
                </w:p>
              </w:tc>
              <w:tc>
                <w:tcPr>
                  <w:tcW w:w="420" w:type="pct"/>
                  <w:vMerge w:val="continue"/>
                  <w:vAlign w:val="center"/>
                </w:tcPr>
                <w:p w14:paraId="2358BA2C">
                  <w:pPr>
                    <w:pStyle w:val="99"/>
                    <w:spacing w:line="240" w:lineRule="auto"/>
                    <w:ind w:firstLine="0" w:firstLineChars="0"/>
                    <w:rPr>
                      <w:color w:val="000000" w:themeColor="text1"/>
                      <w:sz w:val="21"/>
                      <w14:textFill>
                        <w14:solidFill>
                          <w14:schemeClr w14:val="tx1"/>
                        </w14:solidFill>
                      </w14:textFill>
                    </w:rPr>
                  </w:pPr>
                </w:p>
              </w:tc>
              <w:tc>
                <w:tcPr>
                  <w:tcW w:w="496" w:type="pct"/>
                  <w:vAlign w:val="center"/>
                </w:tcPr>
                <w:p w14:paraId="10C2C01E">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1年</w:t>
                  </w:r>
                </w:p>
              </w:tc>
            </w:tr>
            <w:tr w14:paraId="573B1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Align w:val="center"/>
                </w:tcPr>
                <w:p w14:paraId="1FA85BA3">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w:t>
                  </w:r>
                </w:p>
              </w:tc>
              <w:tc>
                <w:tcPr>
                  <w:tcW w:w="584" w:type="pct"/>
                  <w:vMerge w:val="continue"/>
                  <w:vAlign w:val="center"/>
                </w:tcPr>
                <w:p w14:paraId="388C4871">
                  <w:pPr>
                    <w:pStyle w:val="85"/>
                    <w:rPr>
                      <w:rFonts w:cs="Times New Roman"/>
                      <w:color w:val="000000" w:themeColor="text1"/>
                      <w:szCs w:val="21"/>
                      <w14:textFill>
                        <w14:solidFill>
                          <w14:schemeClr w14:val="tx1"/>
                        </w14:solidFill>
                      </w14:textFill>
                    </w:rPr>
                  </w:pPr>
                </w:p>
              </w:tc>
              <w:tc>
                <w:tcPr>
                  <w:tcW w:w="664" w:type="pct"/>
                  <w:vAlign w:val="center"/>
                </w:tcPr>
                <w:p w14:paraId="77DC192C">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439" w:type="pct"/>
                  <w:vAlign w:val="center"/>
                </w:tcPr>
                <w:p w14:paraId="5FFF6911">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HW08</w:t>
                  </w:r>
                </w:p>
              </w:tc>
              <w:tc>
                <w:tcPr>
                  <w:tcW w:w="876" w:type="pct"/>
                  <w:vAlign w:val="center"/>
                </w:tcPr>
                <w:p w14:paraId="0F8D19B3">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900-210-08</w:t>
                  </w:r>
                </w:p>
              </w:tc>
              <w:tc>
                <w:tcPr>
                  <w:tcW w:w="261" w:type="pct"/>
                  <w:vMerge w:val="continue"/>
                  <w:vAlign w:val="center"/>
                </w:tcPr>
                <w:p w14:paraId="0E1972B7">
                  <w:pPr>
                    <w:pStyle w:val="85"/>
                    <w:rPr>
                      <w:rFonts w:cs="Times New Roman"/>
                      <w:color w:val="000000" w:themeColor="text1"/>
                      <w:szCs w:val="21"/>
                      <w14:textFill>
                        <w14:solidFill>
                          <w14:schemeClr w14:val="tx1"/>
                        </w14:solidFill>
                      </w14:textFill>
                    </w:rPr>
                  </w:pPr>
                </w:p>
              </w:tc>
              <w:tc>
                <w:tcPr>
                  <w:tcW w:w="403" w:type="pct"/>
                  <w:vMerge w:val="continue"/>
                  <w:vAlign w:val="center"/>
                </w:tcPr>
                <w:p w14:paraId="586452EB">
                  <w:pPr>
                    <w:pStyle w:val="85"/>
                    <w:rPr>
                      <w:rFonts w:cs="Times New Roman"/>
                      <w:color w:val="000000" w:themeColor="text1"/>
                      <w:szCs w:val="21"/>
                      <w14:textFill>
                        <w14:solidFill>
                          <w14:schemeClr w14:val="tx1"/>
                        </w14:solidFill>
                      </w14:textFill>
                    </w:rPr>
                  </w:pPr>
                </w:p>
              </w:tc>
              <w:tc>
                <w:tcPr>
                  <w:tcW w:w="594" w:type="pct"/>
                  <w:vAlign w:val="center"/>
                </w:tcPr>
                <w:p w14:paraId="078D6EC9">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专用容器</w:t>
                  </w:r>
                </w:p>
              </w:tc>
              <w:tc>
                <w:tcPr>
                  <w:tcW w:w="420" w:type="pct"/>
                  <w:vMerge w:val="continue"/>
                  <w:vAlign w:val="center"/>
                </w:tcPr>
                <w:p w14:paraId="55508947">
                  <w:pPr>
                    <w:pStyle w:val="99"/>
                    <w:spacing w:line="240" w:lineRule="auto"/>
                    <w:ind w:firstLine="0" w:firstLineChars="0"/>
                    <w:rPr>
                      <w:color w:val="000000" w:themeColor="text1"/>
                      <w:sz w:val="21"/>
                      <w14:textFill>
                        <w14:solidFill>
                          <w14:schemeClr w14:val="tx1"/>
                        </w14:solidFill>
                      </w14:textFill>
                    </w:rPr>
                  </w:pPr>
                </w:p>
              </w:tc>
              <w:tc>
                <w:tcPr>
                  <w:tcW w:w="496" w:type="pct"/>
                  <w:vAlign w:val="center"/>
                </w:tcPr>
                <w:p w14:paraId="7DA39AA3">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1年</w:t>
                  </w:r>
                </w:p>
              </w:tc>
            </w:tr>
          </w:tbl>
          <w:p w14:paraId="6A220786">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危废环境管理要求：</w:t>
            </w:r>
          </w:p>
          <w:p w14:paraId="587B0D2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危废贮存点的设置必须严格按照《危险废物贮存污染控制标准》（GB18597-2023）要求处置，具体防治措施包括：</w:t>
            </w:r>
          </w:p>
          <w:p w14:paraId="7C7432B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①危废严禁露天堆放，应切实采取防扬散、防流失、防渗漏、防风、防雨、防晒等措施，派专人进行管理；</w:t>
            </w:r>
          </w:p>
          <w:p w14:paraId="5C4ABD57">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②不同种类的危险废物采用密闭容器分类储存，不能混合存放，不同种类危废存放点之间应设隔断；</w:t>
            </w:r>
          </w:p>
          <w:p w14:paraId="169AE942">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③对于废活性炭、过滤材料，企业不能随意处理，也不能乱堆乱放，必须密闭转移，及时清运，在生产过程中要注意对危险废物的收集和储运；</w:t>
            </w:r>
          </w:p>
          <w:p w14:paraId="1AAA352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④危废贮存点、暂存容器必须按GB15562.2的规定设置警示标志设置危险废物标识；</w:t>
            </w:r>
          </w:p>
          <w:p w14:paraId="705ADA3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⑤企业内部需建立危险废物台账管理，由公司专人联系有危险废物处理资质单位，进行危险废物回收，危险废物的储存和运输过程中必须防泄漏、防抛洒，交接时严格执行危险废物转移联单登记制度。</w:t>
            </w:r>
          </w:p>
          <w:p w14:paraId="756C7B1B">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⑥根据企业生产情况定期转移危险废物，贮存期限一般不超过1年，超过1年需补办延期转移批复。</w:t>
            </w:r>
          </w:p>
          <w:p w14:paraId="2E3F46B2">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⑦危废贮存点地面与裙脚要用坚固、防渗的材料建造，避免造成渗漏。</w:t>
            </w:r>
          </w:p>
          <w:p w14:paraId="34F26C83">
            <w:pPr>
              <w:pStyle w:val="137"/>
              <w:rPr>
                <w:rFonts w:eastAsia="宋体"/>
                <w:color w:val="000000" w:themeColor="text1"/>
                <w14:textFill>
                  <w14:solidFill>
                    <w14:schemeClr w14:val="tx1"/>
                  </w14:solidFill>
                </w14:textFill>
              </w:rPr>
            </w:pPr>
            <w:r>
              <w:rPr>
                <w:rFonts w:eastAsia="宋体"/>
                <w:b/>
                <w:color w:val="000000" w:themeColor="text1"/>
                <w14:textFill>
                  <w14:solidFill>
                    <w14:schemeClr w14:val="tx1"/>
                  </w14:solidFill>
                </w14:textFill>
              </w:rPr>
              <w:t>生活垃圾：</w:t>
            </w:r>
            <w:r>
              <w:rPr>
                <w:rFonts w:eastAsia="宋体"/>
                <w:color w:val="000000" w:themeColor="text1"/>
                <w14:textFill>
                  <w14:solidFill>
                    <w14:schemeClr w14:val="tx1"/>
                  </w14:solidFill>
                </w14:textFill>
              </w:rPr>
              <w:t>项目生活垃圾产生量约3t/a，生活垃圾使用垃圾桶分类收集后，送小米智能制造产业园现有生活垃圾收集点，由市政环卫部门统一清运处理。拟建项目生活垃圾收集率为100%，不随意丢弃，对环境影响较小。</w:t>
            </w:r>
          </w:p>
          <w:p w14:paraId="7229646F">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评价认为项目在采取上述固体废弃物处理措施后，均能达到环境标准和生产要求，因此，项目建设对当地环境影响甚微。</w:t>
            </w:r>
          </w:p>
          <w:p w14:paraId="7EE4D58C">
            <w:pPr>
              <w:spacing w:line="360" w:lineRule="auto"/>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4.2.5</w:t>
            </w:r>
            <w:r>
              <w:rPr>
                <w:b/>
                <w:snapToGrid w:val="0"/>
                <w:color w:val="000000" w:themeColor="text1"/>
                <w:sz w:val="24"/>
                <w:szCs w:val="24"/>
                <w14:textFill>
                  <w14:solidFill>
                    <w14:schemeClr w14:val="tx1"/>
                  </w14:solidFill>
                </w14:textFill>
              </w:rPr>
              <w:t>地下水及土壤</w:t>
            </w:r>
          </w:p>
          <w:p w14:paraId="7D7FA313">
            <w:pPr>
              <w:spacing w:line="360" w:lineRule="auto"/>
              <w:ind w:firstLine="480" w:firstLineChars="200"/>
              <w:rPr>
                <w:color w:val="000000" w:themeColor="text1"/>
                <w:sz w:val="24"/>
                <w14:textFill>
                  <w14:solidFill>
                    <w14:schemeClr w14:val="tx1"/>
                  </w14:solidFill>
                </w14:textFill>
              </w:rPr>
            </w:pPr>
            <w:r>
              <w:rPr>
                <w:rStyle w:val="30"/>
                <w:color w:val="000000" w:themeColor="text1"/>
                <w:sz w:val="24"/>
                <w:szCs w:val="24"/>
                <w14:textFill>
                  <w14:solidFill>
                    <w14:schemeClr w14:val="tx1"/>
                  </w14:solidFill>
                </w14:textFill>
              </w:rPr>
              <w:t>项目位于工业园区内，厂房为砖混结构，厂房内地坪及周边道路等均已做防渗处理，</w:t>
            </w:r>
            <w:r>
              <w:rPr>
                <w:color w:val="000000" w:themeColor="text1"/>
                <w:sz w:val="24"/>
                <w14:textFill>
                  <w14:solidFill>
                    <w14:schemeClr w14:val="tx1"/>
                  </w14:solidFill>
                </w14:textFill>
              </w:rPr>
              <w:t>周边为工业企业，根据调查厂界500m范围内不存在地下水环境敏感目标，项目危废贮存点设于室内，地坪已做防腐、防渗、防泄漏处理，且油料库房及危废贮存点上方设置有托盘，液态危险废物泄漏后进入可由托盘进行收集，基本无直接泄漏至地下水和土壤的途径。</w:t>
            </w:r>
          </w:p>
          <w:p w14:paraId="2AACAAC0">
            <w:pPr>
              <w:spacing w:line="360" w:lineRule="auto"/>
              <w:ind w:firstLine="442" w:firstLineChars="200"/>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分区防控措施：</w:t>
            </w:r>
          </w:p>
          <w:p w14:paraId="05D778AE">
            <w:pPr>
              <w:adjustRightInd w:val="0"/>
              <w:snapToGrid w:val="0"/>
              <w:spacing w:line="360" w:lineRule="auto"/>
              <w:ind w:firstLine="520"/>
              <w:rPr>
                <w:color w:val="000000" w:themeColor="text1"/>
                <w:sz w:val="24"/>
                <w14:textFill>
                  <w14:solidFill>
                    <w14:schemeClr w14:val="tx1"/>
                  </w14:solidFill>
                </w14:textFill>
              </w:rPr>
            </w:pPr>
            <w:r>
              <w:rPr>
                <w:bCs/>
                <w:color w:val="000000" w:themeColor="text1"/>
                <w:spacing w:val="-10"/>
                <w:sz w:val="24"/>
                <w14:textFill>
                  <w14:solidFill>
                    <w14:schemeClr w14:val="tx1"/>
                  </w14:solidFill>
                </w14:textFill>
              </w:rPr>
              <w:t>厂区针对地下水、土壤污染源采取分区防控，</w:t>
            </w:r>
            <w:r>
              <w:rPr>
                <w:color w:val="000000" w:themeColor="text1"/>
                <w:sz w:val="24"/>
                <w14:textFill>
                  <w14:solidFill>
                    <w14:schemeClr w14:val="tx1"/>
                  </w14:solidFill>
                </w14:textFill>
              </w:rPr>
              <w:t>将厂区分为简单防控区、一般防控区、重点防控区，分别采取不同的防控方案：</w:t>
            </w:r>
          </w:p>
          <w:p w14:paraId="07CE5AC1">
            <w:pPr>
              <w:pStyle w:val="109"/>
              <w:numPr>
                <w:ilvl w:val="0"/>
                <w:numId w:val="9"/>
              </w:num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简单防控区：</w:t>
            </w:r>
            <w:r>
              <w:rPr>
                <w:rFonts w:ascii="Times New Roman" w:hAnsi="Times New Roman"/>
                <w:color w:val="000000" w:themeColor="text1"/>
                <w:kern w:val="0"/>
                <w14:textFill>
                  <w14:solidFill>
                    <w14:schemeClr w14:val="tx1"/>
                  </w14:solidFill>
                </w14:textFill>
              </w:rPr>
              <w:t>除一般防控区、重点防控区以外的其他区域</w:t>
            </w:r>
            <w:r>
              <w:rPr>
                <w:rFonts w:ascii="Times New Roman" w:hAnsi="Times New Roman"/>
                <w:color w:val="000000" w:themeColor="text1"/>
                <w14:textFill>
                  <w14:solidFill>
                    <w14:schemeClr w14:val="tx1"/>
                  </w14:solidFill>
                </w14:textFill>
              </w:rPr>
              <w:t>。</w:t>
            </w:r>
          </w:p>
          <w:p w14:paraId="5DACE963">
            <w:pPr>
              <w:pStyle w:val="109"/>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防控方案：地面采取水泥硬化。</w:t>
            </w:r>
          </w:p>
          <w:p w14:paraId="59754316">
            <w:pPr>
              <w:pStyle w:val="109"/>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B.一般防控区：一般固废暂存区、机加工区域、隔油沉淀池等。</w:t>
            </w:r>
          </w:p>
          <w:p w14:paraId="634FDA27">
            <w:pPr>
              <w:pStyle w:val="109"/>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防控方案：地坪采取水泥硬化并做基础防渗处理，参照《环境影响评价技术导则地下水环境》（HJ610-2016）的防渗技术要求，一般防渗区的防渗性能不应低于1.5m厚渗透系数1×10—</w:t>
            </w:r>
            <w:r>
              <w:rPr>
                <w:rFonts w:ascii="Times New Roman" w:hAnsi="Times New Roman"/>
                <w:color w:val="000000" w:themeColor="text1"/>
                <w:vertAlign w:val="superscript"/>
                <w14:textFill>
                  <w14:solidFill>
                    <w14:schemeClr w14:val="tx1"/>
                  </w14:solidFill>
                </w14:textFill>
              </w:rPr>
              <w:t>7</w:t>
            </w:r>
            <w:r>
              <w:rPr>
                <w:rFonts w:ascii="Times New Roman" w:hAnsi="Times New Roman"/>
                <w:color w:val="000000" w:themeColor="text1"/>
                <w14:textFill>
                  <w14:solidFill>
                    <w14:schemeClr w14:val="tx1"/>
                  </w14:solidFill>
                </w14:textFill>
              </w:rPr>
              <w:t>cm/s的等效黏土层的防渗性能；</w:t>
            </w:r>
          </w:p>
          <w:p w14:paraId="0B35C0D6">
            <w:pPr>
              <w:pStyle w:val="109"/>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C.重点防控区：危废贮存点、油料库房、淬火区。</w:t>
            </w:r>
          </w:p>
          <w:p w14:paraId="397F5A38">
            <w:pPr>
              <w:pStyle w:val="109"/>
              <w:spacing w:line="360" w:lineRule="auto"/>
              <w:rPr>
                <w:rFonts w:ascii="Times New Roman" w:hAnsi="Times New Roman"/>
                <w:b/>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防控方案：油料库房、淬火区按照《环境影响评价技术导则—地下水环境》（HJ610-2016）要求，重点防渗区的防渗性能要求不低6.0m、厚渗透系数为1.0×10—</w:t>
            </w:r>
            <w:r>
              <w:rPr>
                <w:rFonts w:ascii="Times New Roman" w:hAnsi="Times New Roman"/>
                <w:color w:val="000000" w:themeColor="text1"/>
                <w:vertAlign w:val="superscript"/>
                <w14:textFill>
                  <w14:solidFill>
                    <w14:schemeClr w14:val="tx1"/>
                  </w14:solidFill>
                </w14:textFill>
              </w:rPr>
              <w:t>7</w:t>
            </w:r>
            <w:r>
              <w:rPr>
                <w:rFonts w:ascii="Times New Roman" w:hAnsi="Times New Roman"/>
                <w:color w:val="000000" w:themeColor="text1"/>
                <w14:textFill>
                  <w14:solidFill>
                    <w14:schemeClr w14:val="tx1"/>
                  </w14:solidFill>
                </w14:textFill>
              </w:rPr>
              <w:t>cm/s的黏土层防渗性能，并采取防腐措施；危废贮存点应按照《危险废物贮存污染控制标准》（GB18597-2023）的防渗要求，地面和墙脚30cm要求进行防渗处理，防渗层为至少1米厚黏土层（渗透系数&lt;10—</w:t>
            </w:r>
            <w:r>
              <w:rPr>
                <w:rFonts w:ascii="Times New Roman" w:hAnsi="Times New Roman"/>
                <w:color w:val="000000" w:themeColor="text1"/>
                <w:vertAlign w:val="superscript"/>
                <w14:textFill>
                  <w14:solidFill>
                    <w14:schemeClr w14:val="tx1"/>
                  </w14:solidFill>
                </w14:textFill>
              </w:rPr>
              <w:t>7</w:t>
            </w:r>
            <w:r>
              <w:rPr>
                <w:rFonts w:ascii="Times New Roman" w:hAnsi="Times New Roman"/>
                <w:color w:val="000000" w:themeColor="text1"/>
                <w14:textFill>
                  <w14:solidFill>
                    <w14:schemeClr w14:val="tx1"/>
                  </w14:solidFill>
                </w14:textFill>
              </w:rPr>
              <w:t>厘米/秒），或2毫米厚高密度聚乙烯，或至少2毫米厚的其它人工材料，渗透系数≤10—</w:t>
            </w:r>
            <w:r>
              <w:rPr>
                <w:rFonts w:ascii="Times New Roman" w:hAnsi="Times New Roman"/>
                <w:color w:val="000000" w:themeColor="text1"/>
                <w:vertAlign w:val="superscript"/>
                <w14:textFill>
                  <w14:solidFill>
                    <w14:schemeClr w14:val="tx1"/>
                  </w14:solidFill>
                </w14:textFill>
              </w:rPr>
              <w:t>10</w:t>
            </w:r>
            <w:r>
              <w:rPr>
                <w:rFonts w:ascii="Times New Roman" w:hAnsi="Times New Roman"/>
                <w:color w:val="000000" w:themeColor="text1"/>
                <w14:textFill>
                  <w14:solidFill>
                    <w14:schemeClr w14:val="tx1"/>
                  </w14:solidFill>
                </w14:textFill>
              </w:rPr>
              <w:t>厘米/秒的防渗要求。</w:t>
            </w:r>
          </w:p>
          <w:p w14:paraId="45A4580C">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4.2.6环境风险分析</w:t>
            </w:r>
          </w:p>
          <w:p w14:paraId="1346C83E">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（1）环境风险物质</w:t>
            </w:r>
          </w:p>
          <w:p w14:paraId="37D73FF8">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拟建项目涉及的风险物质主要为切削液、</w:t>
            </w:r>
            <w:r>
              <w:rPr>
                <w:rFonts w:eastAsia="宋体"/>
                <w:color w:val="000000" w:themeColor="text1"/>
                <w:kern w:val="0"/>
                <w14:textFill>
                  <w14:solidFill>
                    <w14:schemeClr w14:val="tx1"/>
                  </w14:solidFill>
                </w14:textFill>
              </w:rPr>
              <w:t>液压油、淬火油等，根据《建设项目环境风险评价技术导则》（HJ169-2018）附录B，拟建项目各物质理化性质见表2-6，涉及的主要生产原辅料、产品和“三废”危险性判别，风险物质及储存情况，见下表</w:t>
            </w:r>
            <w:r>
              <w:rPr>
                <w:rFonts w:eastAsia="宋体"/>
                <w:color w:val="000000" w:themeColor="text1"/>
                <w14:textFill>
                  <w14:solidFill>
                    <w14:schemeClr w14:val="tx1"/>
                  </w14:solidFill>
                </w14:textFill>
              </w:rPr>
              <w:t>。</w:t>
            </w:r>
          </w:p>
          <w:p w14:paraId="729AAAB2">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表4.2-16主要生产原辅料、产品和“三废”危险性判别</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789"/>
              <w:gridCol w:w="1099"/>
              <w:gridCol w:w="1045"/>
              <w:gridCol w:w="1045"/>
              <w:gridCol w:w="1045"/>
              <w:gridCol w:w="1055"/>
              <w:gridCol w:w="1043"/>
            </w:tblGrid>
            <w:tr w14:paraId="3875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restart"/>
                  <w:tcBorders>
                    <w:top w:val="single" w:color="auto" w:sz="4" w:space="0"/>
                    <w:left w:val="single" w:color="auto" w:sz="4" w:space="0"/>
                    <w:bottom w:val="single" w:color="auto" w:sz="4" w:space="0"/>
                    <w:right w:val="single" w:color="auto" w:sz="4" w:space="0"/>
                  </w:tcBorders>
                  <w:vAlign w:val="center"/>
                </w:tcPr>
                <w:p w14:paraId="50891CD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序号</w:t>
                  </w:r>
                </w:p>
              </w:tc>
              <w:tc>
                <w:tcPr>
                  <w:tcW w:w="1029" w:type="pct"/>
                  <w:vMerge w:val="restart"/>
                  <w:tcBorders>
                    <w:top w:val="single" w:color="auto" w:sz="4" w:space="0"/>
                    <w:left w:val="nil"/>
                    <w:bottom w:val="single" w:color="auto" w:sz="4" w:space="0"/>
                    <w:right w:val="single" w:color="auto" w:sz="4" w:space="0"/>
                  </w:tcBorders>
                  <w:vAlign w:val="center"/>
                </w:tcPr>
                <w:p w14:paraId="4BB59FD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物质名称</w:t>
                  </w:r>
                </w:p>
              </w:tc>
              <w:tc>
                <w:tcPr>
                  <w:tcW w:w="632" w:type="pct"/>
                  <w:vMerge w:val="restart"/>
                  <w:tcBorders>
                    <w:top w:val="single" w:color="auto" w:sz="4" w:space="0"/>
                    <w:left w:val="nil"/>
                    <w:bottom w:val="single" w:color="auto" w:sz="4" w:space="0"/>
                    <w:right w:val="single" w:color="auto" w:sz="4" w:space="0"/>
                  </w:tcBorders>
                  <w:vAlign w:val="center"/>
                </w:tcPr>
                <w:p w14:paraId="2BBD20D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CAS号</w:t>
                  </w:r>
                </w:p>
              </w:tc>
              <w:tc>
                <w:tcPr>
                  <w:tcW w:w="2410" w:type="pct"/>
                  <w:gridSpan w:val="4"/>
                  <w:tcBorders>
                    <w:top w:val="single" w:color="auto" w:sz="4" w:space="0"/>
                    <w:left w:val="nil"/>
                    <w:bottom w:val="single" w:color="auto" w:sz="4" w:space="0"/>
                    <w:right w:val="single" w:color="auto" w:sz="4" w:space="0"/>
                  </w:tcBorders>
                  <w:vAlign w:val="center"/>
                </w:tcPr>
                <w:p w14:paraId="2F0529E5">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主要危险性</w:t>
                  </w:r>
                </w:p>
              </w:tc>
              <w:tc>
                <w:tcPr>
                  <w:tcW w:w="600" w:type="pct"/>
                  <w:vMerge w:val="restart"/>
                  <w:tcBorders>
                    <w:top w:val="single" w:color="auto" w:sz="4" w:space="0"/>
                    <w:left w:val="nil"/>
                    <w:bottom w:val="single" w:color="auto" w:sz="4" w:space="0"/>
                    <w:right w:val="single" w:color="auto" w:sz="4" w:space="0"/>
                  </w:tcBorders>
                  <w:vAlign w:val="center"/>
                </w:tcPr>
                <w:p w14:paraId="463310D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是否风</w:t>
                  </w:r>
                </w:p>
                <w:p w14:paraId="5A9C34D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险物质</w:t>
                  </w:r>
                </w:p>
              </w:tc>
            </w:tr>
            <w:tr w14:paraId="7801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continue"/>
                  <w:tcBorders>
                    <w:top w:val="single" w:color="auto" w:sz="4" w:space="0"/>
                    <w:left w:val="single" w:color="auto" w:sz="4" w:space="0"/>
                    <w:bottom w:val="single" w:color="auto" w:sz="4" w:space="0"/>
                    <w:right w:val="single" w:color="auto" w:sz="4" w:space="0"/>
                  </w:tcBorders>
                  <w:vAlign w:val="center"/>
                </w:tcPr>
                <w:p w14:paraId="20CDF337">
                  <w:pPr>
                    <w:widowControl/>
                    <w:ind w:firstLine="420"/>
                    <w:jc w:val="center"/>
                    <w:rPr>
                      <w:color w:val="000000" w:themeColor="text1"/>
                      <w:szCs w:val="21"/>
                      <w14:textFill>
                        <w14:solidFill>
                          <w14:schemeClr w14:val="tx1"/>
                        </w14:solidFill>
                      </w14:textFill>
                    </w:rPr>
                  </w:pPr>
                </w:p>
              </w:tc>
              <w:tc>
                <w:tcPr>
                  <w:tcW w:w="1029" w:type="pct"/>
                  <w:vMerge w:val="continue"/>
                  <w:tcBorders>
                    <w:top w:val="single" w:color="auto" w:sz="4" w:space="0"/>
                    <w:left w:val="nil"/>
                    <w:bottom w:val="single" w:color="auto" w:sz="4" w:space="0"/>
                    <w:right w:val="single" w:color="auto" w:sz="4" w:space="0"/>
                  </w:tcBorders>
                  <w:vAlign w:val="center"/>
                </w:tcPr>
                <w:p w14:paraId="7D72927E">
                  <w:pPr>
                    <w:widowControl/>
                    <w:ind w:firstLine="420"/>
                    <w:jc w:val="center"/>
                    <w:rPr>
                      <w:color w:val="000000" w:themeColor="text1"/>
                      <w:szCs w:val="21"/>
                      <w14:textFill>
                        <w14:solidFill>
                          <w14:schemeClr w14:val="tx1"/>
                        </w14:solidFill>
                      </w14:textFill>
                    </w:rPr>
                  </w:pPr>
                </w:p>
              </w:tc>
              <w:tc>
                <w:tcPr>
                  <w:tcW w:w="632" w:type="pct"/>
                  <w:vMerge w:val="continue"/>
                  <w:tcBorders>
                    <w:top w:val="single" w:color="auto" w:sz="4" w:space="0"/>
                    <w:left w:val="nil"/>
                    <w:bottom w:val="single" w:color="auto" w:sz="4" w:space="0"/>
                    <w:right w:val="single" w:color="auto" w:sz="4" w:space="0"/>
                  </w:tcBorders>
                  <w:vAlign w:val="center"/>
                </w:tcPr>
                <w:p w14:paraId="182D4E5A">
                  <w:pPr>
                    <w:widowControl/>
                    <w:ind w:firstLine="420"/>
                    <w:jc w:val="center"/>
                    <w:rPr>
                      <w:color w:val="000000" w:themeColor="text1"/>
                      <w:szCs w:val="21"/>
                      <w14:textFill>
                        <w14:solidFill>
                          <w14:schemeClr w14:val="tx1"/>
                        </w14:solidFill>
                      </w14:textFill>
                    </w:rPr>
                  </w:pPr>
                </w:p>
              </w:tc>
              <w:tc>
                <w:tcPr>
                  <w:tcW w:w="601" w:type="pct"/>
                  <w:tcBorders>
                    <w:top w:val="single" w:color="auto" w:sz="4" w:space="0"/>
                    <w:left w:val="nil"/>
                    <w:bottom w:val="single" w:color="auto" w:sz="4" w:space="0"/>
                    <w:right w:val="single" w:color="auto" w:sz="4" w:space="0"/>
                  </w:tcBorders>
                  <w:vAlign w:val="center"/>
                </w:tcPr>
                <w:p w14:paraId="4E9C124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毒害性</w:t>
                  </w:r>
                </w:p>
              </w:tc>
              <w:tc>
                <w:tcPr>
                  <w:tcW w:w="601" w:type="pct"/>
                  <w:tcBorders>
                    <w:top w:val="single" w:color="auto" w:sz="4" w:space="0"/>
                    <w:left w:val="nil"/>
                    <w:bottom w:val="single" w:color="auto" w:sz="4" w:space="0"/>
                    <w:right w:val="single" w:color="auto" w:sz="4" w:space="0"/>
                  </w:tcBorders>
                  <w:vAlign w:val="center"/>
                </w:tcPr>
                <w:p w14:paraId="78BF97C8">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易燃性</w:t>
                  </w:r>
                </w:p>
              </w:tc>
              <w:tc>
                <w:tcPr>
                  <w:tcW w:w="601" w:type="pct"/>
                  <w:tcBorders>
                    <w:top w:val="single" w:color="auto" w:sz="4" w:space="0"/>
                    <w:left w:val="nil"/>
                    <w:bottom w:val="single" w:color="auto" w:sz="4" w:space="0"/>
                    <w:right w:val="single" w:color="auto" w:sz="4" w:space="0"/>
                  </w:tcBorders>
                  <w:vAlign w:val="center"/>
                </w:tcPr>
                <w:p w14:paraId="56DB44B4">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易爆性</w:t>
                  </w:r>
                </w:p>
              </w:tc>
              <w:tc>
                <w:tcPr>
                  <w:tcW w:w="604" w:type="pct"/>
                  <w:tcBorders>
                    <w:top w:val="single" w:color="auto" w:sz="4" w:space="0"/>
                    <w:left w:val="nil"/>
                    <w:bottom w:val="single" w:color="auto" w:sz="4" w:space="0"/>
                    <w:right w:val="single" w:color="auto" w:sz="4" w:space="0"/>
                  </w:tcBorders>
                  <w:vAlign w:val="center"/>
                </w:tcPr>
                <w:p w14:paraId="1F97C538">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腐蚀性</w:t>
                  </w:r>
                </w:p>
              </w:tc>
              <w:tc>
                <w:tcPr>
                  <w:tcW w:w="600" w:type="pct"/>
                  <w:vMerge w:val="continue"/>
                  <w:tcBorders>
                    <w:top w:val="single" w:color="auto" w:sz="4" w:space="0"/>
                    <w:left w:val="nil"/>
                    <w:bottom w:val="single" w:color="auto" w:sz="4" w:space="0"/>
                    <w:right w:val="single" w:color="auto" w:sz="4" w:space="0"/>
                  </w:tcBorders>
                  <w:vAlign w:val="center"/>
                </w:tcPr>
                <w:p w14:paraId="738CD88F">
                  <w:pPr>
                    <w:widowControl/>
                    <w:ind w:firstLine="420"/>
                    <w:jc w:val="center"/>
                    <w:rPr>
                      <w:color w:val="000000" w:themeColor="text1"/>
                      <w:szCs w:val="21"/>
                      <w14:textFill>
                        <w14:solidFill>
                          <w14:schemeClr w14:val="tx1"/>
                        </w14:solidFill>
                      </w14:textFill>
                    </w:rPr>
                  </w:pPr>
                </w:p>
              </w:tc>
            </w:tr>
            <w:tr w14:paraId="2DB9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tcBorders>
                    <w:top w:val="single" w:color="auto" w:sz="4" w:space="0"/>
                    <w:left w:val="single" w:color="auto" w:sz="4" w:space="0"/>
                    <w:bottom w:val="single" w:color="auto" w:sz="4" w:space="0"/>
                    <w:right w:val="single" w:color="auto" w:sz="4" w:space="0"/>
                  </w:tcBorders>
                  <w:vAlign w:val="center"/>
                </w:tcPr>
                <w:p w14:paraId="252EDDF2">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029" w:type="pct"/>
                  <w:tcBorders>
                    <w:top w:val="single" w:color="auto" w:sz="4" w:space="0"/>
                    <w:left w:val="nil"/>
                    <w:bottom w:val="single" w:color="auto" w:sz="4" w:space="0"/>
                    <w:right w:val="single" w:color="auto" w:sz="4" w:space="0"/>
                  </w:tcBorders>
                  <w:vAlign w:val="center"/>
                </w:tcPr>
                <w:p w14:paraId="179FAAAB">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切削液</w:t>
                  </w:r>
                </w:p>
              </w:tc>
              <w:tc>
                <w:tcPr>
                  <w:tcW w:w="632" w:type="pct"/>
                  <w:tcBorders>
                    <w:top w:val="single" w:color="auto" w:sz="4" w:space="0"/>
                    <w:left w:val="nil"/>
                    <w:bottom w:val="single" w:color="auto" w:sz="4" w:space="0"/>
                    <w:right w:val="single" w:color="auto" w:sz="4" w:space="0"/>
                  </w:tcBorders>
                  <w:vAlign w:val="center"/>
                </w:tcPr>
                <w:p w14:paraId="3BA30557">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25C751C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43B8AFE8">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30A2EAA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4" w:type="pct"/>
                  <w:tcBorders>
                    <w:top w:val="single" w:color="auto" w:sz="4" w:space="0"/>
                    <w:left w:val="nil"/>
                    <w:bottom w:val="single" w:color="auto" w:sz="4" w:space="0"/>
                    <w:right w:val="single" w:color="auto" w:sz="4" w:space="0"/>
                  </w:tcBorders>
                  <w:vAlign w:val="center"/>
                </w:tcPr>
                <w:p w14:paraId="50F7D733">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0" w:type="pct"/>
                  <w:tcBorders>
                    <w:top w:val="single" w:color="auto" w:sz="4" w:space="0"/>
                    <w:left w:val="nil"/>
                    <w:bottom w:val="single" w:color="auto" w:sz="4" w:space="0"/>
                    <w:right w:val="single" w:color="auto" w:sz="4" w:space="0"/>
                  </w:tcBorders>
                  <w:vAlign w:val="center"/>
                </w:tcPr>
                <w:p w14:paraId="257CDA66">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w:t>
                  </w:r>
                </w:p>
              </w:tc>
            </w:tr>
            <w:tr w14:paraId="5545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tcBorders>
                    <w:top w:val="single" w:color="auto" w:sz="4" w:space="0"/>
                    <w:left w:val="single" w:color="auto" w:sz="4" w:space="0"/>
                    <w:bottom w:val="single" w:color="auto" w:sz="4" w:space="0"/>
                    <w:right w:val="single" w:color="auto" w:sz="4" w:space="0"/>
                  </w:tcBorders>
                  <w:vAlign w:val="center"/>
                </w:tcPr>
                <w:p w14:paraId="1D15EF1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029" w:type="pct"/>
                  <w:tcBorders>
                    <w:top w:val="single" w:color="auto" w:sz="4" w:space="0"/>
                    <w:left w:val="nil"/>
                    <w:bottom w:val="single" w:color="auto" w:sz="4" w:space="0"/>
                    <w:right w:val="single" w:color="auto" w:sz="4" w:space="0"/>
                  </w:tcBorders>
                  <w:vAlign w:val="center"/>
                </w:tcPr>
                <w:p w14:paraId="387DEE19">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液压油</w:t>
                  </w:r>
                </w:p>
              </w:tc>
              <w:tc>
                <w:tcPr>
                  <w:tcW w:w="632" w:type="pct"/>
                  <w:tcBorders>
                    <w:top w:val="single" w:color="auto" w:sz="4" w:space="0"/>
                    <w:left w:val="nil"/>
                    <w:bottom w:val="single" w:color="auto" w:sz="4" w:space="0"/>
                    <w:right w:val="single" w:color="auto" w:sz="4" w:space="0"/>
                  </w:tcBorders>
                  <w:vAlign w:val="center"/>
                </w:tcPr>
                <w:p w14:paraId="75DD50F3">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68F9A888">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33B6F562">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30B7F8CA">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4" w:type="pct"/>
                  <w:tcBorders>
                    <w:top w:val="single" w:color="auto" w:sz="4" w:space="0"/>
                    <w:left w:val="nil"/>
                    <w:bottom w:val="single" w:color="auto" w:sz="4" w:space="0"/>
                    <w:right w:val="single" w:color="auto" w:sz="4" w:space="0"/>
                  </w:tcBorders>
                  <w:vAlign w:val="center"/>
                </w:tcPr>
                <w:p w14:paraId="5DBD9E6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0" w:type="pct"/>
                  <w:tcBorders>
                    <w:top w:val="single" w:color="auto" w:sz="4" w:space="0"/>
                    <w:left w:val="nil"/>
                    <w:bottom w:val="single" w:color="auto" w:sz="4" w:space="0"/>
                    <w:right w:val="single" w:color="auto" w:sz="4" w:space="0"/>
                  </w:tcBorders>
                  <w:vAlign w:val="center"/>
                </w:tcPr>
                <w:p w14:paraId="55E58CA5">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w:t>
                  </w:r>
                </w:p>
              </w:tc>
            </w:tr>
            <w:tr w14:paraId="1F8E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tcBorders>
                    <w:top w:val="single" w:color="auto" w:sz="4" w:space="0"/>
                    <w:left w:val="single" w:color="auto" w:sz="4" w:space="0"/>
                    <w:bottom w:val="single" w:color="auto" w:sz="4" w:space="0"/>
                    <w:right w:val="single" w:color="auto" w:sz="4" w:space="0"/>
                  </w:tcBorders>
                  <w:vAlign w:val="center"/>
                </w:tcPr>
                <w:p w14:paraId="6272FDDF">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029" w:type="pct"/>
                  <w:tcBorders>
                    <w:top w:val="single" w:color="auto" w:sz="4" w:space="0"/>
                    <w:left w:val="nil"/>
                    <w:bottom w:val="single" w:color="auto" w:sz="4" w:space="0"/>
                    <w:right w:val="single" w:color="auto" w:sz="4" w:space="0"/>
                  </w:tcBorders>
                  <w:vAlign w:val="center"/>
                </w:tcPr>
                <w:p w14:paraId="3E7FB3DA">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淬火油</w:t>
                  </w:r>
                </w:p>
              </w:tc>
              <w:tc>
                <w:tcPr>
                  <w:tcW w:w="632" w:type="pct"/>
                  <w:tcBorders>
                    <w:top w:val="single" w:color="auto" w:sz="4" w:space="0"/>
                    <w:left w:val="nil"/>
                    <w:bottom w:val="single" w:color="auto" w:sz="4" w:space="0"/>
                    <w:right w:val="single" w:color="auto" w:sz="4" w:space="0"/>
                  </w:tcBorders>
                  <w:vAlign w:val="center"/>
                </w:tcPr>
                <w:p w14:paraId="600DFAB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267A85F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764F09D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21A54A53">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4" w:type="pct"/>
                  <w:tcBorders>
                    <w:top w:val="single" w:color="auto" w:sz="4" w:space="0"/>
                    <w:left w:val="nil"/>
                    <w:bottom w:val="single" w:color="auto" w:sz="4" w:space="0"/>
                    <w:right w:val="single" w:color="auto" w:sz="4" w:space="0"/>
                  </w:tcBorders>
                  <w:vAlign w:val="center"/>
                </w:tcPr>
                <w:p w14:paraId="58994277">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0" w:type="pct"/>
                  <w:tcBorders>
                    <w:top w:val="single" w:color="auto" w:sz="4" w:space="0"/>
                    <w:left w:val="nil"/>
                    <w:bottom w:val="single" w:color="auto" w:sz="4" w:space="0"/>
                    <w:right w:val="single" w:color="auto" w:sz="4" w:space="0"/>
                  </w:tcBorders>
                  <w:vAlign w:val="center"/>
                </w:tcPr>
                <w:p w14:paraId="15690816">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w:t>
                  </w:r>
                </w:p>
              </w:tc>
            </w:tr>
            <w:tr w14:paraId="70D7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tcBorders>
                    <w:top w:val="single" w:color="auto" w:sz="4" w:space="0"/>
                    <w:left w:val="single" w:color="auto" w:sz="4" w:space="0"/>
                    <w:bottom w:val="single" w:color="auto" w:sz="4" w:space="0"/>
                    <w:right w:val="single" w:color="auto" w:sz="4" w:space="0"/>
                  </w:tcBorders>
                  <w:vAlign w:val="center"/>
                </w:tcPr>
                <w:p w14:paraId="34067F34">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029" w:type="pct"/>
                  <w:tcBorders>
                    <w:top w:val="single" w:color="auto" w:sz="4" w:space="0"/>
                    <w:left w:val="nil"/>
                    <w:bottom w:val="single" w:color="auto" w:sz="4" w:space="0"/>
                    <w:right w:val="single" w:color="auto" w:sz="4" w:space="0"/>
                  </w:tcBorders>
                  <w:vAlign w:val="center"/>
                </w:tcPr>
                <w:p w14:paraId="6A2BD8B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液态危废</w:t>
                  </w:r>
                </w:p>
              </w:tc>
              <w:tc>
                <w:tcPr>
                  <w:tcW w:w="632" w:type="pct"/>
                  <w:tcBorders>
                    <w:top w:val="single" w:color="auto" w:sz="4" w:space="0"/>
                    <w:left w:val="nil"/>
                    <w:bottom w:val="single" w:color="auto" w:sz="4" w:space="0"/>
                    <w:right w:val="single" w:color="auto" w:sz="4" w:space="0"/>
                  </w:tcBorders>
                  <w:vAlign w:val="center"/>
                </w:tcPr>
                <w:p w14:paraId="72DC2B93">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741428D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2EE2D554">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1" w:type="pct"/>
                  <w:tcBorders>
                    <w:top w:val="single" w:color="auto" w:sz="4" w:space="0"/>
                    <w:left w:val="nil"/>
                    <w:bottom w:val="single" w:color="auto" w:sz="4" w:space="0"/>
                    <w:right w:val="single" w:color="auto" w:sz="4" w:space="0"/>
                  </w:tcBorders>
                  <w:vAlign w:val="center"/>
                </w:tcPr>
                <w:p w14:paraId="5818422F">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4" w:type="pct"/>
                  <w:tcBorders>
                    <w:top w:val="single" w:color="auto" w:sz="4" w:space="0"/>
                    <w:left w:val="nil"/>
                    <w:bottom w:val="single" w:color="auto" w:sz="4" w:space="0"/>
                    <w:right w:val="single" w:color="auto" w:sz="4" w:space="0"/>
                  </w:tcBorders>
                  <w:vAlign w:val="center"/>
                </w:tcPr>
                <w:p w14:paraId="6451171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00" w:type="pct"/>
                  <w:tcBorders>
                    <w:top w:val="single" w:color="auto" w:sz="4" w:space="0"/>
                    <w:left w:val="nil"/>
                    <w:bottom w:val="single" w:color="auto" w:sz="4" w:space="0"/>
                    <w:right w:val="single" w:color="auto" w:sz="4" w:space="0"/>
                  </w:tcBorders>
                  <w:vAlign w:val="center"/>
                </w:tcPr>
                <w:p w14:paraId="6929D4F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w:t>
                  </w:r>
                </w:p>
              </w:tc>
            </w:tr>
          </w:tbl>
          <w:p w14:paraId="780F05D6">
            <w:pPr>
              <w:spacing w:before="120" w:beforeLines="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表4.2-17</w:t>
            </w:r>
            <w:r>
              <w:rPr>
                <w:b/>
                <w:bCs/>
                <w:color w:val="000000" w:themeColor="text1"/>
                <w:kern w:val="0"/>
                <w:sz w:val="24"/>
                <w14:textFill>
                  <w14:solidFill>
                    <w14:schemeClr w14:val="tx1"/>
                  </w14:solidFill>
                </w14:textFill>
              </w:rPr>
              <w:t>风险物质储存情况</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151"/>
              <w:gridCol w:w="1221"/>
              <w:gridCol w:w="1066"/>
              <w:gridCol w:w="2183"/>
              <w:gridCol w:w="1065"/>
              <w:gridCol w:w="1426"/>
            </w:tblGrid>
            <w:tr w14:paraId="4E65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14:paraId="3E3C5AE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663" w:type="pct"/>
                  <w:vAlign w:val="center"/>
                </w:tcPr>
                <w:p w14:paraId="59FFE31D">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703" w:type="pct"/>
                  <w:vAlign w:val="center"/>
                </w:tcPr>
                <w:p w14:paraId="59E6B69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储存位置</w:t>
                  </w:r>
                </w:p>
              </w:tc>
              <w:tc>
                <w:tcPr>
                  <w:tcW w:w="614" w:type="pct"/>
                  <w:vAlign w:val="center"/>
                </w:tcPr>
                <w:p w14:paraId="60034DC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储存方式</w:t>
                  </w:r>
                </w:p>
              </w:tc>
              <w:tc>
                <w:tcPr>
                  <w:tcW w:w="1257" w:type="pct"/>
                  <w:vAlign w:val="center"/>
                </w:tcPr>
                <w:p w14:paraId="008637B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最大储存量（t）</w:t>
                  </w:r>
                </w:p>
              </w:tc>
              <w:tc>
                <w:tcPr>
                  <w:tcW w:w="612" w:type="pct"/>
                  <w:vAlign w:val="center"/>
                </w:tcPr>
                <w:p w14:paraId="47FD576A">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bCs/>
                      <w:color w:val="000000" w:themeColor="text1"/>
                      <w:sz w:val="21"/>
                      <w14:textFill>
                        <w14:solidFill>
                          <w14:schemeClr w14:val="tx1"/>
                        </w14:solidFill>
                      </w14:textFill>
                    </w:rPr>
                    <w:t>临界量</w:t>
                  </w:r>
                  <w:r>
                    <w:rPr>
                      <w:rFonts w:hint="eastAsia" w:eastAsia="宋体"/>
                      <w:bCs/>
                      <w:color w:val="000000" w:themeColor="text1"/>
                      <w:sz w:val="21"/>
                      <w14:textFill>
                        <w14:solidFill>
                          <w14:schemeClr w14:val="tx1"/>
                        </w14:solidFill>
                      </w14:textFill>
                    </w:rPr>
                    <w:t>（</w:t>
                  </w:r>
                  <w:r>
                    <w:rPr>
                      <w:rFonts w:eastAsia="宋体"/>
                      <w:bCs/>
                      <w:color w:val="000000" w:themeColor="text1"/>
                      <w:sz w:val="21"/>
                      <w14:textFill>
                        <w14:solidFill>
                          <w14:schemeClr w14:val="tx1"/>
                        </w14:solidFill>
                      </w14:textFill>
                    </w:rPr>
                    <w:t>t)</w:t>
                  </w:r>
                </w:p>
              </w:tc>
              <w:tc>
                <w:tcPr>
                  <w:tcW w:w="821" w:type="pct"/>
                  <w:vAlign w:val="center"/>
                </w:tcPr>
                <w:p w14:paraId="4807615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Q值</w:t>
                  </w:r>
                </w:p>
              </w:tc>
            </w:tr>
            <w:tr w14:paraId="3418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14:paraId="266B37A3">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663" w:type="pct"/>
                  <w:vAlign w:val="center"/>
                </w:tcPr>
                <w:p w14:paraId="0EE2D66A">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切削液</w:t>
                  </w:r>
                </w:p>
              </w:tc>
              <w:tc>
                <w:tcPr>
                  <w:tcW w:w="703" w:type="pct"/>
                  <w:vMerge w:val="restart"/>
                  <w:vAlign w:val="center"/>
                </w:tcPr>
                <w:p w14:paraId="4C7D429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油料库房、淬火槽、设备</w:t>
                  </w:r>
                </w:p>
              </w:tc>
              <w:tc>
                <w:tcPr>
                  <w:tcW w:w="614" w:type="pct"/>
                  <w:vAlign w:val="center"/>
                </w:tcPr>
                <w:p w14:paraId="39233409">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桶装</w:t>
                  </w:r>
                </w:p>
              </w:tc>
              <w:tc>
                <w:tcPr>
                  <w:tcW w:w="1257" w:type="pct"/>
                  <w:vAlign w:val="center"/>
                </w:tcPr>
                <w:p w14:paraId="5E98A8C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储存量0.3t</w:t>
                  </w:r>
                </w:p>
              </w:tc>
              <w:tc>
                <w:tcPr>
                  <w:tcW w:w="612" w:type="pct"/>
                  <w:vAlign w:val="center"/>
                </w:tcPr>
                <w:p w14:paraId="7F2B41E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2500</w:t>
                  </w:r>
                </w:p>
              </w:tc>
              <w:tc>
                <w:tcPr>
                  <w:tcW w:w="821" w:type="pct"/>
                  <w:vAlign w:val="center"/>
                </w:tcPr>
                <w:p w14:paraId="25F50C5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0.00012</w:t>
                  </w:r>
                </w:p>
              </w:tc>
            </w:tr>
            <w:tr w14:paraId="023B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14:paraId="5C2BD0A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663" w:type="pct"/>
                  <w:vAlign w:val="center"/>
                </w:tcPr>
                <w:p w14:paraId="1F79C04F">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淬火油</w:t>
                  </w:r>
                </w:p>
              </w:tc>
              <w:tc>
                <w:tcPr>
                  <w:tcW w:w="703" w:type="pct"/>
                  <w:vMerge w:val="continue"/>
                  <w:vAlign w:val="center"/>
                </w:tcPr>
                <w:p w14:paraId="5A83F8ED">
                  <w:pPr>
                    <w:pStyle w:val="79"/>
                    <w:spacing w:line="240" w:lineRule="auto"/>
                    <w:ind w:firstLine="0" w:firstLineChars="0"/>
                    <w:rPr>
                      <w:rFonts w:eastAsia="宋体"/>
                      <w:color w:val="000000" w:themeColor="text1"/>
                      <w:sz w:val="21"/>
                      <w:szCs w:val="21"/>
                      <w14:textFill>
                        <w14:solidFill>
                          <w14:schemeClr w14:val="tx1"/>
                        </w14:solidFill>
                      </w14:textFill>
                    </w:rPr>
                  </w:pPr>
                </w:p>
              </w:tc>
              <w:tc>
                <w:tcPr>
                  <w:tcW w:w="614" w:type="pct"/>
                  <w:vAlign w:val="center"/>
                </w:tcPr>
                <w:p w14:paraId="681D154F">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桶装、在线</w:t>
                  </w:r>
                </w:p>
              </w:tc>
              <w:tc>
                <w:tcPr>
                  <w:tcW w:w="1257" w:type="pct"/>
                  <w:vAlign w:val="center"/>
                </w:tcPr>
                <w:p w14:paraId="0B6A3695">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储存量0.5t、在线量约</w:t>
                  </w:r>
                  <w:r>
                    <w:rPr>
                      <w:rFonts w:hint="eastAsia" w:eastAsia="宋体"/>
                      <w:color w:val="000000" w:themeColor="text1"/>
                      <w:sz w:val="21"/>
                      <w:szCs w:val="21"/>
                      <w:lang w:val="en-US" w:eastAsia="zh-CN"/>
                      <w14:textFill>
                        <w14:solidFill>
                          <w14:schemeClr w14:val="tx1"/>
                        </w14:solidFill>
                      </w14:textFill>
                    </w:rPr>
                    <w:t>1.2</w:t>
                  </w:r>
                  <w:r>
                    <w:rPr>
                      <w:rFonts w:eastAsia="宋体"/>
                      <w:color w:val="000000" w:themeColor="text1"/>
                      <w:sz w:val="21"/>
                      <w:szCs w:val="21"/>
                      <w14:textFill>
                        <w14:solidFill>
                          <w14:schemeClr w14:val="tx1"/>
                        </w14:solidFill>
                      </w14:textFill>
                    </w:rPr>
                    <w:t>t</w:t>
                  </w:r>
                </w:p>
              </w:tc>
              <w:tc>
                <w:tcPr>
                  <w:tcW w:w="612" w:type="pct"/>
                  <w:vAlign w:val="center"/>
                </w:tcPr>
                <w:p w14:paraId="27E15A9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2500</w:t>
                  </w:r>
                </w:p>
              </w:tc>
              <w:tc>
                <w:tcPr>
                  <w:tcW w:w="821" w:type="pct"/>
                  <w:vAlign w:val="center"/>
                </w:tcPr>
                <w:p w14:paraId="6C143BC3">
                  <w:pPr>
                    <w:pStyle w:val="79"/>
                    <w:spacing w:line="240" w:lineRule="auto"/>
                    <w:ind w:firstLine="0" w:firstLineChars="0"/>
                    <w:rPr>
                      <w:rFonts w:hint="default" w:eastAsia="宋体"/>
                      <w:color w:val="000000" w:themeColor="text1"/>
                      <w:sz w:val="21"/>
                      <w:szCs w:val="21"/>
                      <w:lang w:val="en-US" w:eastAsia="zh-CN"/>
                      <w14:textFill>
                        <w14:solidFill>
                          <w14:schemeClr w14:val="tx1"/>
                        </w14:solidFill>
                      </w14:textFill>
                    </w:rPr>
                  </w:pPr>
                  <w:r>
                    <w:rPr>
                      <w:rFonts w:eastAsia="宋体"/>
                      <w:color w:val="000000" w:themeColor="text1"/>
                      <w:sz w:val="21"/>
                      <w:szCs w:val="21"/>
                      <w14:textFill>
                        <w14:solidFill>
                          <w14:schemeClr w14:val="tx1"/>
                        </w14:solidFill>
                      </w14:textFill>
                    </w:rPr>
                    <w:t>0.000</w:t>
                  </w:r>
                  <w:r>
                    <w:rPr>
                      <w:rFonts w:hint="eastAsia" w:eastAsia="宋体"/>
                      <w:color w:val="000000" w:themeColor="text1"/>
                      <w:sz w:val="21"/>
                      <w:szCs w:val="21"/>
                      <w:lang w:val="en-US" w:eastAsia="zh-CN"/>
                      <w14:textFill>
                        <w14:solidFill>
                          <w14:schemeClr w14:val="tx1"/>
                        </w14:solidFill>
                      </w14:textFill>
                    </w:rPr>
                    <w:t>68</w:t>
                  </w:r>
                </w:p>
              </w:tc>
            </w:tr>
            <w:tr w14:paraId="7D08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14:paraId="049AEEA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663" w:type="pct"/>
                  <w:vAlign w:val="center"/>
                </w:tcPr>
                <w:p w14:paraId="191E51F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液压油</w:t>
                  </w:r>
                </w:p>
              </w:tc>
              <w:tc>
                <w:tcPr>
                  <w:tcW w:w="703" w:type="pct"/>
                  <w:vMerge w:val="continue"/>
                  <w:vAlign w:val="center"/>
                </w:tcPr>
                <w:p w14:paraId="2C9BF58B">
                  <w:pPr>
                    <w:pStyle w:val="79"/>
                    <w:spacing w:line="240" w:lineRule="auto"/>
                    <w:ind w:firstLine="0" w:firstLineChars="0"/>
                    <w:rPr>
                      <w:rFonts w:eastAsia="宋体"/>
                      <w:color w:val="000000" w:themeColor="text1"/>
                      <w:sz w:val="21"/>
                      <w:szCs w:val="21"/>
                      <w14:textFill>
                        <w14:solidFill>
                          <w14:schemeClr w14:val="tx1"/>
                        </w14:solidFill>
                      </w14:textFill>
                    </w:rPr>
                  </w:pPr>
                </w:p>
              </w:tc>
              <w:tc>
                <w:tcPr>
                  <w:tcW w:w="614" w:type="pct"/>
                  <w:vAlign w:val="center"/>
                </w:tcPr>
                <w:p w14:paraId="002E6190">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桶装、在线</w:t>
                  </w:r>
                </w:p>
              </w:tc>
              <w:tc>
                <w:tcPr>
                  <w:tcW w:w="1257" w:type="pct"/>
                  <w:vAlign w:val="center"/>
                </w:tcPr>
                <w:p w14:paraId="502A3DA5">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储存量0.36t、</w:t>
                  </w:r>
                </w:p>
                <w:p w14:paraId="6213CDF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在线量约0.55t</w:t>
                  </w:r>
                </w:p>
              </w:tc>
              <w:tc>
                <w:tcPr>
                  <w:tcW w:w="612" w:type="pct"/>
                  <w:vAlign w:val="center"/>
                </w:tcPr>
                <w:p w14:paraId="3AFDE8D5">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2500</w:t>
                  </w:r>
                </w:p>
              </w:tc>
              <w:tc>
                <w:tcPr>
                  <w:tcW w:w="821" w:type="pct"/>
                  <w:vAlign w:val="center"/>
                </w:tcPr>
                <w:p w14:paraId="2B0F117F">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0.000364</w:t>
                  </w:r>
                </w:p>
              </w:tc>
            </w:tr>
            <w:tr w14:paraId="4C6F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14:paraId="76C4530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663" w:type="pct"/>
                  <w:vAlign w:val="center"/>
                </w:tcPr>
                <w:p w14:paraId="195B0648">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危废</w:t>
                  </w:r>
                </w:p>
              </w:tc>
              <w:tc>
                <w:tcPr>
                  <w:tcW w:w="703" w:type="pct"/>
                  <w:vAlign w:val="center"/>
                </w:tcPr>
                <w:p w14:paraId="6BEA0029">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危废贮存点</w:t>
                  </w:r>
                </w:p>
              </w:tc>
              <w:tc>
                <w:tcPr>
                  <w:tcW w:w="614" w:type="pct"/>
                  <w:vAlign w:val="center"/>
                </w:tcPr>
                <w:p w14:paraId="6BA1F701">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桶装</w:t>
                  </w:r>
                </w:p>
              </w:tc>
              <w:tc>
                <w:tcPr>
                  <w:tcW w:w="1257" w:type="pct"/>
                  <w:vAlign w:val="center"/>
                </w:tcPr>
                <w:p w14:paraId="13E387ED">
                  <w:pPr>
                    <w:pStyle w:val="79"/>
                    <w:spacing w:line="240" w:lineRule="auto"/>
                    <w:ind w:firstLine="0" w:firstLineChars="0"/>
                    <w:rPr>
                      <w:rFonts w:eastAsia="宋体"/>
                      <w:color w:val="000000" w:themeColor="text1"/>
                      <w:sz w:val="21"/>
                      <w:szCs w:val="21"/>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最大</w:t>
                  </w:r>
                  <w:r>
                    <w:rPr>
                      <w:rFonts w:eastAsia="宋体"/>
                      <w:color w:val="000000" w:themeColor="text1"/>
                      <w:sz w:val="21"/>
                      <w:szCs w:val="21"/>
                      <w14:textFill>
                        <w14:solidFill>
                          <w14:schemeClr w14:val="tx1"/>
                        </w14:solidFill>
                      </w14:textFill>
                    </w:rPr>
                    <w:t>暂存量</w:t>
                  </w:r>
                  <w:r>
                    <w:rPr>
                      <w:rFonts w:hint="eastAsia" w:eastAsia="宋体"/>
                      <w:color w:val="000000" w:themeColor="text1"/>
                      <w:sz w:val="21"/>
                      <w:szCs w:val="21"/>
                      <w:lang w:val="en-US" w:eastAsia="zh-CN"/>
                      <w14:textFill>
                        <w14:solidFill>
                          <w14:schemeClr w14:val="tx1"/>
                        </w14:solidFill>
                      </w14:textFill>
                    </w:rPr>
                    <w:t>3.0</w:t>
                  </w:r>
                  <w:r>
                    <w:rPr>
                      <w:rFonts w:eastAsia="宋体"/>
                      <w:color w:val="000000" w:themeColor="text1"/>
                      <w:sz w:val="21"/>
                      <w:szCs w:val="21"/>
                      <w14:textFill>
                        <w14:solidFill>
                          <w14:schemeClr w14:val="tx1"/>
                        </w14:solidFill>
                      </w14:textFill>
                    </w:rPr>
                    <w:t>t</w:t>
                  </w:r>
                </w:p>
              </w:tc>
              <w:tc>
                <w:tcPr>
                  <w:tcW w:w="612" w:type="pct"/>
                  <w:vAlign w:val="center"/>
                </w:tcPr>
                <w:p w14:paraId="57CE50F9">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821" w:type="pct"/>
                  <w:vAlign w:val="center"/>
                </w:tcPr>
                <w:p w14:paraId="2EF86063">
                  <w:pPr>
                    <w:pStyle w:val="79"/>
                    <w:spacing w:line="240" w:lineRule="auto"/>
                    <w:ind w:firstLine="0" w:firstLineChars="0"/>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0.06</w:t>
                  </w:r>
                </w:p>
              </w:tc>
            </w:tr>
            <w:tr w14:paraId="6028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8" w:type="pct"/>
                  <w:vAlign w:val="center"/>
                </w:tcPr>
                <w:p w14:paraId="2CC3F3A4">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3850" w:type="pct"/>
                  <w:gridSpan w:val="5"/>
                  <w:vAlign w:val="center"/>
                </w:tcPr>
                <w:p w14:paraId="76101DAF">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Q值总计</w:t>
                  </w:r>
                </w:p>
              </w:tc>
              <w:tc>
                <w:tcPr>
                  <w:tcW w:w="821" w:type="pct"/>
                  <w:vAlign w:val="center"/>
                </w:tcPr>
                <w:p w14:paraId="7B8D2348">
                  <w:pPr>
                    <w:pStyle w:val="79"/>
                    <w:spacing w:line="240" w:lineRule="auto"/>
                    <w:ind w:firstLine="0" w:firstLineChars="0"/>
                    <w:rPr>
                      <w:rFonts w:hint="default" w:eastAsia="宋体"/>
                      <w:color w:val="000000" w:themeColor="text1"/>
                      <w:sz w:val="21"/>
                      <w:szCs w:val="21"/>
                      <w:lang w:val="en-US" w:eastAsia="zh-CN"/>
                      <w14:textFill>
                        <w14:solidFill>
                          <w14:schemeClr w14:val="tx1"/>
                        </w14:solidFill>
                      </w14:textFill>
                    </w:rPr>
                  </w:pPr>
                  <w:r>
                    <w:rPr>
                      <w:rFonts w:eastAsia="宋体"/>
                      <w:color w:val="000000" w:themeColor="text1"/>
                      <w:sz w:val="21"/>
                      <w:szCs w:val="21"/>
                      <w14:textFill>
                        <w14:solidFill>
                          <w14:schemeClr w14:val="tx1"/>
                        </w14:solidFill>
                      </w14:textFill>
                    </w:rPr>
                    <w:t>0.0</w:t>
                  </w:r>
                  <w:r>
                    <w:rPr>
                      <w:rFonts w:hint="eastAsia" w:eastAsia="宋体"/>
                      <w:color w:val="000000" w:themeColor="text1"/>
                      <w:sz w:val="21"/>
                      <w:szCs w:val="21"/>
                      <w:lang w:val="en-US" w:eastAsia="zh-CN"/>
                      <w14:textFill>
                        <w14:solidFill>
                          <w14:schemeClr w14:val="tx1"/>
                        </w14:solidFill>
                      </w14:textFill>
                    </w:rPr>
                    <w:t>61164</w:t>
                  </w:r>
                </w:p>
              </w:tc>
            </w:tr>
          </w:tbl>
          <w:p w14:paraId="60BBDE1F">
            <w:pPr>
              <w:adjustRightInd w:val="0"/>
              <w:snapToGrid w:val="0"/>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根据上表可知，企业环境风险单</w:t>
            </w:r>
            <w:r>
              <w:rPr>
                <w:bCs/>
                <w:color w:val="000000" w:themeColor="text1"/>
                <w:sz w:val="24"/>
                <w14:textFill>
                  <w14:solidFill>
                    <w14:schemeClr w14:val="tx1"/>
                  </w14:solidFill>
                </w14:textFill>
              </w:rPr>
              <w:t>元为油料库房、淬火槽、危废贮存点。根据上表可知，项目Q值＜1，无需进行专题评价，仅对泄漏途</w:t>
            </w:r>
            <w:r>
              <w:rPr>
                <w:bCs/>
                <w:color w:val="000000" w:themeColor="text1"/>
                <w:spacing w:val="-10"/>
                <w:sz w:val="24"/>
                <w14:textFill>
                  <w14:solidFill>
                    <w14:schemeClr w14:val="tx1"/>
                  </w14:solidFill>
                </w14:textFill>
              </w:rPr>
              <w:t>径进行分析，并提出相应环境风险防范措施</w:t>
            </w:r>
            <w:r>
              <w:rPr>
                <w:color w:val="000000" w:themeColor="text1"/>
                <w:sz w:val="24"/>
                <w14:textFill>
                  <w14:solidFill>
                    <w14:schemeClr w14:val="tx1"/>
                  </w14:solidFill>
                </w14:textFill>
              </w:rPr>
              <w:t>。</w:t>
            </w:r>
          </w:p>
          <w:p w14:paraId="06747A66">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（2）可能影响途径</w:t>
            </w:r>
          </w:p>
          <w:p w14:paraId="59D5E0B3">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拟建项目涉及到的环境风险物质切削液、</w:t>
            </w:r>
            <w:r>
              <w:rPr>
                <w:rFonts w:eastAsia="宋体"/>
                <w:color w:val="000000" w:themeColor="text1"/>
                <w:kern w:val="0"/>
                <w14:textFill>
                  <w14:solidFill>
                    <w14:schemeClr w14:val="tx1"/>
                  </w14:solidFill>
                </w14:textFill>
              </w:rPr>
              <w:t>液压油、淬火油、液态危废</w:t>
            </w:r>
            <w:r>
              <w:rPr>
                <w:rFonts w:eastAsia="宋体"/>
                <w:color w:val="000000" w:themeColor="text1"/>
                <w14:textFill>
                  <w14:solidFill>
                    <w14:schemeClr w14:val="tx1"/>
                  </w14:solidFill>
                </w14:textFill>
              </w:rPr>
              <w:t>，向环境转移的途径主要为危险物质泄漏、燃烧，向大气和水体、土壤转移，详见表4</w:t>
            </w:r>
            <w:r>
              <w:rPr>
                <w:rFonts w:eastAsia="宋体"/>
                <w:b/>
                <w:bCs/>
                <w:color w:val="000000" w:themeColor="text1"/>
                <w14:textFill>
                  <w14:solidFill>
                    <w14:schemeClr w14:val="tx1"/>
                  </w14:solidFill>
                </w14:textFill>
              </w:rPr>
              <w:t>.2-18</w:t>
            </w:r>
            <w:r>
              <w:rPr>
                <w:rFonts w:eastAsia="宋体"/>
                <w:color w:val="000000" w:themeColor="text1"/>
                <w14:textFill>
                  <w14:solidFill>
                    <w14:schemeClr w14:val="tx1"/>
                  </w14:solidFill>
                </w14:textFill>
              </w:rPr>
              <w:t>。</w:t>
            </w:r>
          </w:p>
          <w:p w14:paraId="46CE4F35">
            <w:pPr>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b/>
                <w:bCs/>
                <w:color w:val="000000" w:themeColor="text1"/>
                <w:sz w:val="24"/>
                <w14:textFill>
                  <w14:solidFill>
                    <w14:schemeClr w14:val="tx1"/>
                  </w14:solidFill>
                </w14:textFill>
              </w:rPr>
              <w:t>.2-18</w:t>
            </w:r>
            <w:r>
              <w:rPr>
                <w:b/>
                <w:color w:val="000000" w:themeColor="text1"/>
                <w:sz w:val="24"/>
                <w14:textFill>
                  <w14:solidFill>
                    <w14:schemeClr w14:val="tx1"/>
                  </w14:solidFill>
                </w14:textFill>
              </w:rPr>
              <w:t>拟建项目环境可能影响途径识别一览表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479"/>
              <w:gridCol w:w="1176"/>
              <w:gridCol w:w="1871"/>
              <w:gridCol w:w="3611"/>
            </w:tblGrid>
            <w:tr w14:paraId="5BCF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Align w:val="center"/>
                </w:tcPr>
                <w:p w14:paraId="1CF3635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851" w:type="pct"/>
                  <w:vAlign w:val="center"/>
                </w:tcPr>
                <w:p w14:paraId="3F4FB9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风险源</w:t>
                  </w:r>
                </w:p>
              </w:tc>
              <w:tc>
                <w:tcPr>
                  <w:tcW w:w="677" w:type="pct"/>
                  <w:vAlign w:val="center"/>
                </w:tcPr>
                <w:p w14:paraId="6D042C5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风险物质</w:t>
                  </w:r>
                </w:p>
              </w:tc>
              <w:tc>
                <w:tcPr>
                  <w:tcW w:w="1077" w:type="pct"/>
                  <w:vAlign w:val="center"/>
                </w:tcPr>
                <w:p w14:paraId="46B34C6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w:t>
                  </w:r>
                </w:p>
                <w:p w14:paraId="2B6B3B8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类型</w:t>
                  </w:r>
                </w:p>
              </w:tc>
              <w:tc>
                <w:tcPr>
                  <w:tcW w:w="2078" w:type="pct"/>
                  <w:vAlign w:val="center"/>
                </w:tcPr>
                <w:p w14:paraId="0C81E6A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影响途径</w:t>
                  </w:r>
                </w:p>
              </w:tc>
            </w:tr>
            <w:tr w14:paraId="1BF3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15" w:type="pct"/>
                  <w:vMerge w:val="restart"/>
                  <w:vAlign w:val="center"/>
                </w:tcPr>
                <w:p w14:paraId="61D7B3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51" w:type="pct"/>
                  <w:vMerge w:val="restart"/>
                  <w:vAlign w:val="center"/>
                </w:tcPr>
                <w:p w14:paraId="50AB755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液态原料储存仓库、淬火槽</w:t>
                  </w:r>
                </w:p>
              </w:tc>
              <w:tc>
                <w:tcPr>
                  <w:tcW w:w="677" w:type="pct"/>
                  <w:vAlign w:val="center"/>
                </w:tcPr>
                <w:p w14:paraId="2F73910D">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切削液</w:t>
                  </w:r>
                </w:p>
              </w:tc>
              <w:tc>
                <w:tcPr>
                  <w:tcW w:w="1077" w:type="pct"/>
                  <w:vAlign w:val="center"/>
                </w:tcPr>
                <w:p w14:paraId="745B50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2078" w:type="pct"/>
                  <w:vMerge w:val="restart"/>
                  <w:vAlign w:val="center"/>
                </w:tcPr>
                <w:p w14:paraId="7F2C531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泄漏后通过雨、污管网进入地表水；泄漏后通过渗入土壤；燃烧产生的伴生/次生污染物进入大气</w:t>
                  </w:r>
                </w:p>
              </w:tc>
            </w:tr>
            <w:tr w14:paraId="4BB9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vAlign w:val="center"/>
                </w:tcPr>
                <w:p w14:paraId="44C9C809">
                  <w:pPr>
                    <w:adjustRightInd w:val="0"/>
                    <w:snapToGrid w:val="0"/>
                    <w:jc w:val="center"/>
                    <w:rPr>
                      <w:color w:val="000000" w:themeColor="text1"/>
                      <w:szCs w:val="21"/>
                      <w14:textFill>
                        <w14:solidFill>
                          <w14:schemeClr w14:val="tx1"/>
                        </w14:solidFill>
                      </w14:textFill>
                    </w:rPr>
                  </w:pPr>
                </w:p>
              </w:tc>
              <w:tc>
                <w:tcPr>
                  <w:tcW w:w="851" w:type="pct"/>
                  <w:vMerge w:val="continue"/>
                  <w:vAlign w:val="center"/>
                </w:tcPr>
                <w:p w14:paraId="09D65949">
                  <w:pPr>
                    <w:adjustRightInd w:val="0"/>
                    <w:snapToGrid w:val="0"/>
                    <w:jc w:val="center"/>
                    <w:rPr>
                      <w:color w:val="000000" w:themeColor="text1"/>
                      <w:szCs w:val="21"/>
                      <w14:textFill>
                        <w14:solidFill>
                          <w14:schemeClr w14:val="tx1"/>
                        </w14:solidFill>
                      </w14:textFill>
                    </w:rPr>
                  </w:pPr>
                </w:p>
              </w:tc>
              <w:tc>
                <w:tcPr>
                  <w:tcW w:w="677" w:type="pct"/>
                  <w:vAlign w:val="center"/>
                </w:tcPr>
                <w:p w14:paraId="23FCC806">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淬火油</w:t>
                  </w:r>
                </w:p>
              </w:tc>
              <w:tc>
                <w:tcPr>
                  <w:tcW w:w="1077" w:type="pct"/>
                  <w:vAlign w:val="center"/>
                </w:tcPr>
                <w:p w14:paraId="0ED970D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2078" w:type="pct"/>
                  <w:vMerge w:val="continue"/>
                  <w:vAlign w:val="center"/>
                </w:tcPr>
                <w:p w14:paraId="3019817F">
                  <w:pPr>
                    <w:adjustRightInd w:val="0"/>
                    <w:snapToGrid w:val="0"/>
                    <w:jc w:val="center"/>
                    <w:rPr>
                      <w:color w:val="000000" w:themeColor="text1"/>
                      <w:szCs w:val="21"/>
                      <w14:textFill>
                        <w14:solidFill>
                          <w14:schemeClr w14:val="tx1"/>
                        </w14:solidFill>
                      </w14:textFill>
                    </w:rPr>
                  </w:pPr>
                </w:p>
              </w:tc>
            </w:tr>
            <w:tr w14:paraId="2E69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vAlign w:val="center"/>
                </w:tcPr>
                <w:p w14:paraId="43211EE8">
                  <w:pPr>
                    <w:adjustRightInd w:val="0"/>
                    <w:snapToGrid w:val="0"/>
                    <w:jc w:val="center"/>
                    <w:rPr>
                      <w:color w:val="000000" w:themeColor="text1"/>
                      <w:szCs w:val="21"/>
                      <w14:textFill>
                        <w14:solidFill>
                          <w14:schemeClr w14:val="tx1"/>
                        </w14:solidFill>
                      </w14:textFill>
                    </w:rPr>
                  </w:pPr>
                </w:p>
              </w:tc>
              <w:tc>
                <w:tcPr>
                  <w:tcW w:w="851" w:type="pct"/>
                  <w:vMerge w:val="continue"/>
                  <w:vAlign w:val="center"/>
                </w:tcPr>
                <w:p w14:paraId="78C4189B">
                  <w:pPr>
                    <w:adjustRightInd w:val="0"/>
                    <w:snapToGrid w:val="0"/>
                    <w:jc w:val="center"/>
                    <w:rPr>
                      <w:color w:val="000000" w:themeColor="text1"/>
                      <w:szCs w:val="21"/>
                      <w14:textFill>
                        <w14:solidFill>
                          <w14:schemeClr w14:val="tx1"/>
                        </w14:solidFill>
                      </w14:textFill>
                    </w:rPr>
                  </w:pPr>
                </w:p>
              </w:tc>
              <w:tc>
                <w:tcPr>
                  <w:tcW w:w="677" w:type="pct"/>
                  <w:vAlign w:val="center"/>
                </w:tcPr>
                <w:p w14:paraId="1B0ABECC">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液压油</w:t>
                  </w:r>
                </w:p>
              </w:tc>
              <w:tc>
                <w:tcPr>
                  <w:tcW w:w="1077" w:type="pct"/>
                  <w:vAlign w:val="center"/>
                </w:tcPr>
                <w:p w14:paraId="1AD90F5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2078" w:type="pct"/>
                  <w:vMerge w:val="continue"/>
                  <w:vAlign w:val="center"/>
                </w:tcPr>
                <w:p w14:paraId="63ECB52B">
                  <w:pPr>
                    <w:adjustRightInd w:val="0"/>
                    <w:snapToGrid w:val="0"/>
                    <w:jc w:val="center"/>
                    <w:rPr>
                      <w:color w:val="000000" w:themeColor="text1"/>
                      <w:szCs w:val="21"/>
                      <w14:textFill>
                        <w14:solidFill>
                          <w14:schemeClr w14:val="tx1"/>
                        </w14:solidFill>
                      </w14:textFill>
                    </w:rPr>
                  </w:pPr>
                </w:p>
              </w:tc>
            </w:tr>
            <w:tr w14:paraId="7D9A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Align w:val="center"/>
                </w:tcPr>
                <w:p w14:paraId="36A21E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51" w:type="pct"/>
                  <w:vAlign w:val="center"/>
                </w:tcPr>
                <w:p w14:paraId="19BE0A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危废贮存点</w:t>
                  </w:r>
                </w:p>
              </w:tc>
              <w:tc>
                <w:tcPr>
                  <w:tcW w:w="677" w:type="pct"/>
                  <w:vAlign w:val="center"/>
                </w:tcPr>
                <w:p w14:paraId="34B5D212">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废油</w:t>
                  </w:r>
                </w:p>
              </w:tc>
              <w:tc>
                <w:tcPr>
                  <w:tcW w:w="1077" w:type="pct"/>
                  <w:vAlign w:val="center"/>
                </w:tcPr>
                <w:p w14:paraId="2E3A134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泄漏、火灾</w:t>
                  </w:r>
                </w:p>
              </w:tc>
              <w:tc>
                <w:tcPr>
                  <w:tcW w:w="2078" w:type="pct"/>
                  <w:vMerge w:val="continue"/>
                  <w:vAlign w:val="center"/>
                </w:tcPr>
                <w:p w14:paraId="1015F2B6">
                  <w:pPr>
                    <w:adjustRightInd w:val="0"/>
                    <w:snapToGrid w:val="0"/>
                    <w:jc w:val="center"/>
                    <w:rPr>
                      <w:color w:val="000000" w:themeColor="text1"/>
                      <w:szCs w:val="21"/>
                      <w14:textFill>
                        <w14:solidFill>
                          <w14:schemeClr w14:val="tx1"/>
                        </w14:solidFill>
                      </w14:textFill>
                    </w:rPr>
                  </w:pPr>
                </w:p>
              </w:tc>
            </w:tr>
          </w:tbl>
          <w:p w14:paraId="7AE8FB9D">
            <w:pPr>
              <w:pStyle w:val="40"/>
              <w:autoSpaceDE/>
              <w:autoSpaceDN/>
              <w:spacing w:line="360" w:lineRule="auto"/>
              <w:ind w:firstLine="482" w:firstLineChars="20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（3）环境风险防范措施</w:t>
            </w:r>
          </w:p>
          <w:p w14:paraId="26FBB7A1">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1）机构设置</w:t>
            </w:r>
          </w:p>
          <w:p w14:paraId="76CCD97E">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公司设管理人员承担该公司运行后的环保安全工作。制定公司的各项安全生产管理制度、严格的生产操作规则和完善的事故应急计划及相应的应急处理手段和设施，同时加强安全教育，以</w:t>
            </w:r>
            <w:r>
              <w:rPr>
                <w:rFonts w:hint="eastAsia" w:eastAsia="宋体"/>
                <w:color w:val="000000" w:themeColor="text1"/>
                <w14:textFill>
                  <w14:solidFill>
                    <w14:schemeClr w14:val="tx1"/>
                  </w14:solidFill>
                </w14:textFill>
              </w:rPr>
              <w:t>增强</w:t>
            </w:r>
            <w:r>
              <w:rPr>
                <w:rFonts w:eastAsia="宋体"/>
                <w:color w:val="000000" w:themeColor="text1"/>
                <w14:textFill>
                  <w14:solidFill>
                    <w14:schemeClr w14:val="tx1"/>
                  </w14:solidFill>
                </w14:textFill>
              </w:rPr>
              <w:t>职工的安全意识和安全防范能力。</w:t>
            </w:r>
          </w:p>
          <w:p w14:paraId="42091A2F">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2）风险防控措施</w:t>
            </w:r>
          </w:p>
          <w:p w14:paraId="60E9C9C5">
            <w:pPr>
              <w:adjustRightInd w:val="0"/>
              <w:snapToGrid w:val="0"/>
              <w:spacing w:line="360" w:lineRule="auto"/>
              <w:ind w:firstLine="480" w:firstLineChars="200"/>
              <w:rPr>
                <w:rFonts w:hint="eastAsia" w:eastAsia="宋体"/>
                <w:iCs/>
                <w:color w:val="000000" w:themeColor="text1"/>
                <w:sz w:val="24"/>
                <w:lang w:eastAsia="zh-CN"/>
                <w14:textFill>
                  <w14:solidFill>
                    <w14:schemeClr w14:val="tx1"/>
                  </w14:solidFill>
                </w14:textFill>
              </w:rPr>
            </w:pPr>
            <w:r>
              <w:rPr>
                <w:iCs/>
                <w:color w:val="000000" w:themeColor="text1"/>
                <w:sz w:val="24"/>
                <w14:textFill>
                  <w14:solidFill>
                    <w14:schemeClr w14:val="tx1"/>
                  </w14:solidFill>
                </w14:textFill>
              </w:rPr>
              <w:t>a.油料库房、淬火油槽下方需设托盘，并保持托盘有一定的接纳容量，防止风险物质流失，同时油料库房、淬火油槽地坪做防腐防渗措施；危废贮存点存放区地坪上方设托盘，保持托盘有一定的接纳容量，防止风险物质流失，同时地坪已做“六防”措施，在存放区设置“危险废物”标志。</w:t>
            </w:r>
          </w:p>
          <w:p w14:paraId="3BA2949F">
            <w:pPr>
              <w:adjustRightInd w:val="0"/>
              <w:snapToGrid w:val="0"/>
              <w:spacing w:line="360" w:lineRule="auto"/>
              <w:ind w:firstLine="480" w:firstLineChars="200"/>
              <w:rPr>
                <w:iCs/>
                <w:color w:val="000000" w:themeColor="text1"/>
                <w:sz w:val="24"/>
                <w14:textFill>
                  <w14:solidFill>
                    <w14:schemeClr w14:val="tx1"/>
                  </w14:solidFill>
                </w14:textFill>
              </w:rPr>
            </w:pPr>
            <w:r>
              <w:rPr>
                <w:iCs/>
                <w:color w:val="000000" w:themeColor="text1"/>
                <w:sz w:val="24"/>
                <w14:textFill>
                  <w14:solidFill>
                    <w14:schemeClr w14:val="tx1"/>
                  </w14:solidFill>
                </w14:textFill>
              </w:rPr>
              <w:t>b.完善相应消防设施的配置。危废贮存点、油料库房、淬火油槽等场所等适当区域设一定数量的灭火器，并定期检查。配置相应堵漏物资、应急救援物资等。</w:t>
            </w:r>
          </w:p>
          <w:p w14:paraId="39165868">
            <w:pPr>
              <w:pStyle w:val="40"/>
              <w:snapToGrid w:val="0"/>
              <w:spacing w:line="360" w:lineRule="auto"/>
              <w:ind w:left="420" w:left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iCs/>
                <w:color w:val="000000" w:themeColor="text1"/>
                <w14:textFill>
                  <w14:solidFill>
                    <w14:schemeClr w14:val="tx1"/>
                  </w14:solidFill>
                </w14:textFill>
              </w:rPr>
              <w:t>c.</w:t>
            </w:r>
            <w:r>
              <w:rPr>
                <w:rFonts w:ascii="Times New Roman" w:hAnsi="Times New Roman" w:cs="Times New Roman"/>
                <w:color w:val="000000" w:themeColor="text1"/>
                <w14:textFill>
                  <w14:solidFill>
                    <w14:schemeClr w14:val="tx1"/>
                  </w14:solidFill>
                </w14:textFill>
              </w:rPr>
              <w:t>制定环境事件应急预案</w:t>
            </w:r>
          </w:p>
          <w:p w14:paraId="2C120AEB">
            <w:pPr>
              <w:pStyle w:val="40"/>
              <w:snapToGrid w:val="0"/>
              <w:spacing w:line="360" w:lineRule="auto"/>
              <w:ind w:firstLine="480" w:firstLineChars="200"/>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建设单位应根据《企业事业单位突发环境事件应急预案备案管理实施办法》等相关文件要求编制环境事件应急预案，配备相应的应急物资、设施设备等，并结合实际情况，开展环境应急预案的培训、宣传和必要的应急演练，发生或者可能发生突发环境事件时及时启动环境事件应急预案。</w:t>
            </w:r>
          </w:p>
          <w:p w14:paraId="59047542">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事故应急处理措施：</w:t>
            </w:r>
          </w:p>
          <w:p w14:paraId="510B8E7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①当现场操作工发现液态化学品及危废储存容器泄漏时，企业的预警系统启动，立即报告车间负责人，同时在保证自身安全的情况下尽可能先切断泄漏源。</w:t>
            </w:r>
          </w:p>
          <w:p w14:paraId="6A08E6C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②车间负责人立即赶赴现场，组织现场工人佩戴过滤式防毒面具、穿耐碱橡胶靴、塑料手套，尽快切断泄漏源。</w:t>
            </w:r>
          </w:p>
          <w:p w14:paraId="665DCFD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③当化学品泄漏事故进一步扩大得不到有效控制时，车间负责人应在事故发生10min内报告应急救援总指挥，同时尽可能降低泄漏源强。</w:t>
            </w:r>
          </w:p>
          <w:p w14:paraId="43E09AD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④应急总指挥接到报告后，根据事态严重程度启动《应急预案》。</w:t>
            </w:r>
          </w:p>
          <w:p w14:paraId="6CEB272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⑤应急预案启动后，各应急救援小组应在5min内进入应急准备状态。</w:t>
            </w:r>
          </w:p>
          <w:p w14:paraId="05658BE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⑥现场处置人员首先进入事故现场查明有无中毒人员，以最快速度将中毒或受伤人员脱离现场。</w:t>
            </w:r>
          </w:p>
          <w:p w14:paraId="7AD91DF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⑦现场处置人员尽可能切断泄漏源，防止事态进一步扩大，泄漏的废油、</w:t>
            </w:r>
            <w:r>
              <w:rPr>
                <w:bCs/>
                <w:color w:val="000000" w:themeColor="text1"/>
                <w:sz w:val="24"/>
                <w14:textFill>
                  <w14:solidFill>
                    <w14:schemeClr w14:val="tx1"/>
                  </w14:solidFill>
                </w14:textFill>
              </w:rPr>
              <w:t>硫化剂</w:t>
            </w:r>
            <w:r>
              <w:rPr>
                <w:color w:val="000000" w:themeColor="text1"/>
                <w:sz w:val="24"/>
                <w14:textFill>
                  <w14:solidFill>
                    <w14:schemeClr w14:val="tx1"/>
                  </w14:solidFill>
                </w14:textFill>
              </w:rPr>
              <w:t>、油料等首先收集于容器内，暂存于厂区危废贮存点（交由有资质单位处理）。</w:t>
            </w:r>
          </w:p>
          <w:p w14:paraId="6891FC57">
            <w:pPr>
              <w:pStyle w:val="11"/>
              <w:ind w:firstLine="480"/>
              <w:rPr>
                <w:color w:val="000000" w:themeColor="text1"/>
                <w14:textFill>
                  <w14:solidFill>
                    <w14:schemeClr w14:val="tx1"/>
                  </w14:solidFill>
                </w14:textFill>
              </w:rPr>
            </w:pPr>
            <w:r>
              <w:rPr>
                <w:color w:val="000000" w:themeColor="text1"/>
                <w14:textFill>
                  <w14:solidFill>
                    <w14:schemeClr w14:val="tx1"/>
                  </w14:solidFill>
                </w14:textFill>
              </w:rPr>
              <w:t>⑧厂内配备消防沙袋等应急物资，配备抽水泵，发生火灾事故且产生消防废水的情况下，人工对厂区雨水排口进行截断，采用水泵将消防废水抽送至污水管网，避免事故废水直接排入环境。</w:t>
            </w:r>
          </w:p>
          <w:p w14:paraId="535EFFD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⑨疏散引导人员应在事故现场周围设警戒岗，禁止一切无关人员进入现场。</w:t>
            </w:r>
          </w:p>
          <w:p w14:paraId="29B6ECAB">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③应急总指挥根据事态严重程度决定是否进行疏散撤离。如下达了疏散撤离命令，疏散引导人员需组织人员撤离。当事故状态得到控制，由环境监测人员负责对现场进行监测分析，达到要求后通知总指挥，由总指挥下达终止救援命令。</w:t>
            </w:r>
          </w:p>
          <w:p w14:paraId="1FC51D91">
            <w:pPr>
              <w:pStyle w:val="40"/>
              <w:snapToGrid w:val="0"/>
              <w:spacing w:line="360" w:lineRule="auto"/>
              <w:ind w:left="420" w:leftChars="200"/>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项目采取的风险防范措施和应急措施，具体见表4.2-19。</w:t>
            </w:r>
          </w:p>
          <w:p w14:paraId="0B6543BF">
            <w:pPr>
              <w:pStyle w:val="152"/>
              <w:spacing w:line="240" w:lineRule="auto"/>
              <w:ind w:firstLine="422" w:firstLineChars="20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表4.2-19企业风险防范措施一览表</w:t>
            </w:r>
          </w:p>
          <w:tbl>
            <w:tblPr>
              <w:tblStyle w:val="25"/>
              <w:tblW w:w="4979" w:type="pct"/>
              <w:tblInd w:w="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6"/>
              <w:gridCol w:w="1109"/>
              <w:gridCol w:w="6730"/>
            </w:tblGrid>
            <w:tr w14:paraId="25862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6" w:type="pct"/>
                  <w:vAlign w:val="center"/>
                </w:tcPr>
                <w:p w14:paraId="6AEA942B">
                  <w:pPr>
                    <w:pStyle w:val="152"/>
                    <w:spacing w:line="240" w:lineRule="auto"/>
                    <w:ind w:firstLine="0"/>
                    <w:jc w:val="center"/>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序号</w:t>
                  </w:r>
                </w:p>
              </w:tc>
              <w:tc>
                <w:tcPr>
                  <w:tcW w:w="641" w:type="pct"/>
                  <w:vAlign w:val="center"/>
                </w:tcPr>
                <w:p w14:paraId="4360AA02">
                  <w:pPr>
                    <w:pStyle w:val="152"/>
                    <w:spacing w:line="240" w:lineRule="auto"/>
                    <w:ind w:firstLine="0"/>
                    <w:jc w:val="center"/>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措施名称</w:t>
                  </w:r>
                </w:p>
              </w:tc>
              <w:tc>
                <w:tcPr>
                  <w:tcW w:w="3891" w:type="pct"/>
                  <w:vAlign w:val="center"/>
                </w:tcPr>
                <w:p w14:paraId="6306A3F5">
                  <w:pPr>
                    <w:pStyle w:val="152"/>
                    <w:spacing w:line="240" w:lineRule="auto"/>
                    <w:ind w:firstLine="0"/>
                    <w:jc w:val="center"/>
                    <w:rPr>
                      <w:rFonts w:ascii="Times New Roman" w:hAnsi="Times New Roman" w:eastAsia="宋体" w:cs="Times New Roman"/>
                      <w:b/>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内容及要求</w:t>
                  </w:r>
                </w:p>
              </w:tc>
            </w:tr>
            <w:tr w14:paraId="6100C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6" w:type="pct"/>
                  <w:vAlign w:val="center"/>
                </w:tcPr>
                <w:p w14:paraId="56B7645A">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c>
                <w:tcPr>
                  <w:tcW w:w="641" w:type="pct"/>
                  <w:vAlign w:val="center"/>
                </w:tcPr>
                <w:p w14:paraId="5150FECF">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化学品泄漏风险防范措施</w:t>
                  </w:r>
                </w:p>
              </w:tc>
              <w:tc>
                <w:tcPr>
                  <w:tcW w:w="3891" w:type="pct"/>
                  <w:vAlign w:val="center"/>
                </w:tcPr>
                <w:p w14:paraId="04DECA23">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①危废贮存点、油料库房、淬火槽等设置托盘。</w:t>
                  </w:r>
                </w:p>
                <w:p w14:paraId="7F8D5BC9">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②桶装物料存放时，应保持通风，干燥、防止日光直接照射，并应隔绝火源、远离热源。设置禁火标志及防静电措施等，配备完善的消防、堵漏物资。存放区域应具有良好的通风环境。</w:t>
                  </w:r>
                </w:p>
                <w:p w14:paraId="430B75DB">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③项目厂房内长期配备足够的应急收集、救援物资，确保泄漏物料及时收集、转移。</w:t>
                  </w:r>
                </w:p>
              </w:tc>
            </w:tr>
            <w:tr w14:paraId="0E6FC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6" w:type="pct"/>
                  <w:vAlign w:val="center"/>
                </w:tcPr>
                <w:p w14:paraId="2E403FCB">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2</w:t>
                  </w:r>
                </w:p>
              </w:tc>
              <w:tc>
                <w:tcPr>
                  <w:tcW w:w="641" w:type="pct"/>
                  <w:vAlign w:val="center"/>
                </w:tcPr>
                <w:p w14:paraId="52BE935D">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分区防渗措施</w:t>
                  </w:r>
                </w:p>
              </w:tc>
              <w:tc>
                <w:tcPr>
                  <w:tcW w:w="3891" w:type="pct"/>
                  <w:vAlign w:val="center"/>
                </w:tcPr>
                <w:p w14:paraId="540C4E00">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危废贮存点、油料库房、淬火槽等区域为重点防渗区，采取重点防渗措施，刚性防渗结构层渗透系数不宜大于1.0×10—</w:t>
                  </w:r>
                  <w:r>
                    <w:rPr>
                      <w:rFonts w:ascii="Times New Roman" w:hAnsi="Times New Roman" w:eastAsia="宋体" w:cs="Times New Roman"/>
                      <w:color w:val="000000" w:themeColor="text1"/>
                      <w:sz w:val="21"/>
                      <w:vertAlign w:val="superscript"/>
                      <w14:textFill>
                        <w14:solidFill>
                          <w14:schemeClr w14:val="tx1"/>
                        </w14:solidFill>
                      </w14:textFill>
                    </w:rPr>
                    <w:t>10</w:t>
                  </w:r>
                  <w:r>
                    <w:rPr>
                      <w:rFonts w:ascii="Times New Roman" w:hAnsi="Times New Roman" w:eastAsia="宋体" w:cs="Times New Roman"/>
                      <w:color w:val="000000" w:themeColor="text1"/>
                      <w:sz w:val="21"/>
                      <w14:textFill>
                        <w14:solidFill>
                          <w14:schemeClr w14:val="tx1"/>
                        </w14:solidFill>
                      </w14:textFill>
                    </w:rPr>
                    <w:t>cm/s，厚度不宜小于150mm；厂内其他区域属于一般防渗区，采用水泥硬化地面，做基础防渗。</w:t>
                  </w:r>
                </w:p>
              </w:tc>
            </w:tr>
            <w:tr w14:paraId="56434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6" w:type="pct"/>
                  <w:vAlign w:val="center"/>
                </w:tcPr>
                <w:p w14:paraId="605DC776">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3</w:t>
                  </w:r>
                </w:p>
              </w:tc>
              <w:tc>
                <w:tcPr>
                  <w:tcW w:w="641" w:type="pct"/>
                  <w:vAlign w:val="center"/>
                </w:tcPr>
                <w:p w14:paraId="537F6189">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防毒措施</w:t>
                  </w:r>
                </w:p>
              </w:tc>
              <w:tc>
                <w:tcPr>
                  <w:tcW w:w="3891" w:type="pct"/>
                  <w:vAlign w:val="center"/>
                </w:tcPr>
                <w:p w14:paraId="7761B728">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改善劳工作业环境；加强劳工安全卫生教育，作业时严格按照安全生产及防护规则</w:t>
                  </w:r>
                </w:p>
              </w:tc>
            </w:tr>
            <w:tr w14:paraId="2680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6" w:type="pct"/>
                  <w:vAlign w:val="center"/>
                </w:tcPr>
                <w:p w14:paraId="296C2BFA">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4</w:t>
                  </w:r>
                </w:p>
              </w:tc>
              <w:tc>
                <w:tcPr>
                  <w:tcW w:w="641" w:type="pct"/>
                  <w:vAlign w:val="center"/>
                </w:tcPr>
                <w:p w14:paraId="3C990D9D">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安全管理措施</w:t>
                  </w:r>
                </w:p>
              </w:tc>
              <w:tc>
                <w:tcPr>
                  <w:tcW w:w="3891" w:type="pct"/>
                  <w:vAlign w:val="center"/>
                </w:tcPr>
                <w:p w14:paraId="685EDB8F">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设置安全管理机构，建立安全管理制度，加强人员培训，预防安全事故发生</w:t>
                  </w:r>
                </w:p>
              </w:tc>
            </w:tr>
            <w:tr w14:paraId="3753D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6" w:type="pct"/>
                  <w:vAlign w:val="center"/>
                </w:tcPr>
                <w:p w14:paraId="5F3CFF60">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5</w:t>
                  </w:r>
                </w:p>
              </w:tc>
              <w:tc>
                <w:tcPr>
                  <w:tcW w:w="641" w:type="pct"/>
                  <w:vAlign w:val="center"/>
                </w:tcPr>
                <w:p w14:paraId="43237BD7">
                  <w:pPr>
                    <w:pStyle w:val="152"/>
                    <w:spacing w:line="240" w:lineRule="auto"/>
                    <w:ind w:firstLine="0"/>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应急预案</w:t>
                  </w:r>
                </w:p>
              </w:tc>
              <w:tc>
                <w:tcPr>
                  <w:tcW w:w="3891" w:type="pct"/>
                  <w:vAlign w:val="center"/>
                </w:tcPr>
                <w:p w14:paraId="517F6A6C">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制定事故应急救援预案，从组织机构、救援保障、报警通讯、应急监测及救护保障、应急处理措施、事故原因调查分析等方面制定严格的制度并定期组织培训、演练</w:t>
                  </w:r>
                </w:p>
              </w:tc>
            </w:tr>
          </w:tbl>
          <w:p w14:paraId="7C4516FE">
            <w:pPr>
              <w:pStyle w:val="153"/>
              <w:adjustRightInd w:val="0"/>
              <w:snapToGrid w:val="0"/>
              <w:spacing w:line="360" w:lineRule="auto"/>
              <w:ind w:firstLine="480" w:firstLineChars="20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综上，在采取完善的环境风险防范措施并制定有效环境风险事故应急预案的前提下，厂区环境风险水平可以接受。</w:t>
            </w:r>
          </w:p>
          <w:p w14:paraId="5A5C31D7">
            <w:pPr>
              <w:adjustRightInd w:val="0"/>
              <w:snapToGrid w:val="0"/>
              <w:spacing w:before="120" w:beforeLines="50"/>
              <w:ind w:firstLine="482"/>
              <w:jc w:val="center"/>
              <w:rPr>
                <w:b/>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表4.2-20建设项目环境风险简单分析内容表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053"/>
              <w:gridCol w:w="1656"/>
              <w:gridCol w:w="1053"/>
              <w:gridCol w:w="905"/>
              <w:gridCol w:w="2335"/>
            </w:tblGrid>
            <w:tr w14:paraId="0069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1CEA2782">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建设项目名称</w:t>
                  </w:r>
                </w:p>
              </w:tc>
              <w:tc>
                <w:tcPr>
                  <w:tcW w:w="4030" w:type="pct"/>
                  <w:gridSpan w:val="5"/>
                  <w:vAlign w:val="center"/>
                </w:tcPr>
                <w:p w14:paraId="70BCF31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年产1万台智能流体控制产品项目</w:t>
                  </w:r>
                </w:p>
              </w:tc>
            </w:tr>
            <w:tr w14:paraId="67A3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7CA79A1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建设地点</w:t>
                  </w:r>
                </w:p>
              </w:tc>
              <w:tc>
                <w:tcPr>
                  <w:tcW w:w="606" w:type="pct"/>
                  <w:vAlign w:val="center"/>
                </w:tcPr>
                <w:p w14:paraId="74D8D0F9">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省</w:t>
                  </w:r>
                </w:p>
              </w:tc>
              <w:tc>
                <w:tcPr>
                  <w:tcW w:w="953" w:type="pct"/>
                  <w:vAlign w:val="center"/>
                </w:tcPr>
                <w:p w14:paraId="583B448C">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重庆</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市</w:t>
                  </w:r>
                </w:p>
              </w:tc>
              <w:tc>
                <w:tcPr>
                  <w:tcW w:w="606" w:type="pct"/>
                  <w:vAlign w:val="center"/>
                </w:tcPr>
                <w:p w14:paraId="54BBABA7">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铜梁</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区</w:t>
                  </w:r>
                </w:p>
              </w:tc>
              <w:tc>
                <w:tcPr>
                  <w:tcW w:w="521" w:type="pct"/>
                  <w:vAlign w:val="center"/>
                </w:tcPr>
                <w:p w14:paraId="7940838C">
                  <w:pPr>
                    <w:pStyle w:val="8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县</w:t>
                  </w:r>
                </w:p>
              </w:tc>
              <w:tc>
                <w:tcPr>
                  <w:tcW w:w="1345" w:type="pct"/>
                  <w:vAlign w:val="center"/>
                </w:tcPr>
                <w:p w14:paraId="1DAEB8F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小米智能制造产业园</w:t>
                  </w:r>
                </w:p>
              </w:tc>
            </w:tr>
            <w:tr w14:paraId="2048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4F6F095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地理坐标</w:t>
                  </w:r>
                </w:p>
              </w:tc>
              <w:tc>
                <w:tcPr>
                  <w:tcW w:w="606" w:type="pct"/>
                  <w:vAlign w:val="center"/>
                </w:tcPr>
                <w:p w14:paraId="06C9A44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经度</w:t>
                  </w:r>
                </w:p>
              </w:tc>
              <w:tc>
                <w:tcPr>
                  <w:tcW w:w="953" w:type="pct"/>
                  <w:vAlign w:val="center"/>
                </w:tcPr>
                <w:p w14:paraId="71FED3EA">
                  <w:pPr>
                    <w:pStyle w:val="85"/>
                    <w:rPr>
                      <w:rFonts w:cs="Times New Roman"/>
                      <w:color w:val="000000" w:themeColor="text1"/>
                      <w14:textFill>
                        <w14:solidFill>
                          <w14:schemeClr w14:val="tx1"/>
                        </w14:solidFill>
                      </w14:textFill>
                    </w:rPr>
                  </w:pPr>
                  <w:r>
                    <w:rPr>
                      <w:rFonts w:cs="Times New Roman"/>
                      <w:color w:val="000000" w:themeColor="text1"/>
                      <w:kern w:val="0"/>
                      <w:lang w:bidi="ar"/>
                      <w14:textFill>
                        <w14:solidFill>
                          <w14:schemeClr w14:val="tx1"/>
                        </w14:solidFill>
                      </w14:textFill>
                    </w:rPr>
                    <w:t>106°8′12.20777″</w:t>
                  </w:r>
                </w:p>
              </w:tc>
              <w:tc>
                <w:tcPr>
                  <w:tcW w:w="1127" w:type="pct"/>
                  <w:gridSpan w:val="2"/>
                  <w:vAlign w:val="center"/>
                </w:tcPr>
                <w:p w14:paraId="4461768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纬度</w:t>
                  </w:r>
                </w:p>
              </w:tc>
              <w:tc>
                <w:tcPr>
                  <w:tcW w:w="1345" w:type="pct"/>
                  <w:vAlign w:val="center"/>
                </w:tcPr>
                <w:p w14:paraId="07160726">
                  <w:pPr>
                    <w:pStyle w:val="85"/>
                    <w:rPr>
                      <w:rFonts w:cs="Times New Roman"/>
                      <w:color w:val="000000" w:themeColor="text1"/>
                      <w14:textFill>
                        <w14:solidFill>
                          <w14:schemeClr w14:val="tx1"/>
                        </w14:solidFill>
                      </w14:textFill>
                    </w:rPr>
                  </w:pPr>
                  <w:r>
                    <w:rPr>
                      <w:rFonts w:cs="Times New Roman"/>
                      <w:color w:val="000000" w:themeColor="text1"/>
                      <w:kern w:val="0"/>
                      <w:lang w:bidi="ar"/>
                      <w14:textFill>
                        <w14:solidFill>
                          <w14:schemeClr w14:val="tx1"/>
                        </w14:solidFill>
                      </w14:textFill>
                    </w:rPr>
                    <w:t>29°49′48.12327″</w:t>
                  </w:r>
                </w:p>
              </w:tc>
            </w:tr>
            <w:tr w14:paraId="127D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60C62DE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主要危险物质及分布</w:t>
                  </w:r>
                </w:p>
              </w:tc>
              <w:tc>
                <w:tcPr>
                  <w:tcW w:w="4030" w:type="pct"/>
                  <w:gridSpan w:val="5"/>
                  <w:vAlign w:val="center"/>
                </w:tcPr>
                <w:p w14:paraId="728249D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油料库房、淬火槽、危废贮存点</w:t>
                  </w:r>
                </w:p>
              </w:tc>
            </w:tr>
            <w:tr w14:paraId="23FE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2B2CC083">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环境影响途径及危害后果</w:t>
                  </w:r>
                </w:p>
              </w:tc>
              <w:tc>
                <w:tcPr>
                  <w:tcW w:w="4030" w:type="pct"/>
                  <w:gridSpan w:val="5"/>
                  <w:vAlign w:val="center"/>
                </w:tcPr>
                <w:p w14:paraId="7AF9FAE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泄漏进入地下水；燃烧产生二次污染物进入环境空气</w:t>
                  </w:r>
                </w:p>
              </w:tc>
            </w:tr>
            <w:tr w14:paraId="20CE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58119D0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风险防范措施要求</w:t>
                  </w:r>
                </w:p>
              </w:tc>
              <w:tc>
                <w:tcPr>
                  <w:tcW w:w="4030" w:type="pct"/>
                  <w:gridSpan w:val="5"/>
                  <w:vAlign w:val="center"/>
                </w:tcPr>
                <w:p w14:paraId="592C20A6">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存储时设置托盘，地面进行防腐防渗；设置禁火标志及防静电措施等</w:t>
                  </w:r>
                </w:p>
              </w:tc>
            </w:tr>
            <w:tr w14:paraId="0056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pct"/>
                  <w:vAlign w:val="center"/>
                </w:tcPr>
                <w:p w14:paraId="58D2CA0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填表说明</w:t>
                  </w:r>
                </w:p>
              </w:tc>
              <w:tc>
                <w:tcPr>
                  <w:tcW w:w="4030" w:type="pct"/>
                  <w:gridSpan w:val="5"/>
                  <w:vAlign w:val="center"/>
                </w:tcPr>
                <w:p w14:paraId="631C2E53">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拟建项目所使用的各类原辅料中，各化学品qn/Qn之和小于1，根据《建设项目环境</w:t>
                  </w:r>
                  <w:r>
                    <w:rPr>
                      <w:rFonts w:hint="eastAsia" w:cs="Times New Roman"/>
                      <w:color w:val="000000" w:themeColor="text1"/>
                      <w14:textFill>
                        <w14:solidFill>
                          <w14:schemeClr w14:val="tx1"/>
                        </w14:solidFill>
                      </w14:textFill>
                    </w:rPr>
                    <w:t>风险</w:t>
                  </w:r>
                  <w:r>
                    <w:rPr>
                      <w:rFonts w:cs="Times New Roman"/>
                      <w:color w:val="000000" w:themeColor="text1"/>
                      <w14:textFill>
                        <w14:solidFill>
                          <w14:schemeClr w14:val="tx1"/>
                        </w14:solidFill>
                      </w14:textFill>
                    </w:rPr>
                    <w:t>评价技术导则》HJ169-2018，拟建项目的环境风险潜势直接判定为I，环境风险评价可开展简单分析。</w:t>
                  </w:r>
                </w:p>
              </w:tc>
            </w:tr>
          </w:tbl>
          <w:p w14:paraId="1B2A6A0D">
            <w:pPr>
              <w:pStyle w:val="137"/>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（4）风险评价结论</w:t>
            </w:r>
          </w:p>
          <w:p w14:paraId="4341ED99">
            <w:pPr>
              <w:pStyle w:val="137"/>
              <w:rPr>
                <w:rFonts w:eastAsia="宋体"/>
                <w:snapToGrid w:val="0"/>
                <w:color w:val="000000" w:themeColor="text1"/>
                <w:kern w:val="0"/>
                <w14:textFill>
                  <w14:solidFill>
                    <w14:schemeClr w14:val="tx1"/>
                  </w14:solidFill>
                </w14:textFill>
              </w:rPr>
            </w:pPr>
            <w:r>
              <w:rPr>
                <w:rFonts w:eastAsia="宋体"/>
                <w:color w:val="000000" w:themeColor="text1"/>
                <w14:textFill>
                  <w14:solidFill>
                    <w14:schemeClr w14:val="tx1"/>
                  </w14:solidFill>
                </w14:textFill>
              </w:rPr>
              <w:t>拟建项目涉及易燃物质，生产过程使用量及存贮量不大，未构成重大危险源。拟建项目具有潜在的事故风险，经源项分析可知，拟建项目潜在的风险水平可以接受，对周围环境及人群带来安全风险较小。此外，项目还必须从生产、贮运等各方面采取积极措施，确保安全生产。因此，拟建项目在采取上述风险防范措施后，环境风险可控，一旦发生风险事故，不会对周围环境敏感点及人群造成大的环境危害，其风险水平可接受</w:t>
            </w:r>
            <w:r>
              <w:rPr>
                <w:rFonts w:eastAsia="宋体"/>
                <w:snapToGrid w:val="0"/>
                <w:color w:val="000000" w:themeColor="text1"/>
                <w:kern w:val="0"/>
                <w14:textFill>
                  <w14:solidFill>
                    <w14:schemeClr w14:val="tx1"/>
                  </w14:solidFill>
                </w14:textFill>
              </w:rPr>
              <w:t>。</w:t>
            </w:r>
          </w:p>
          <w:p w14:paraId="400D6E3B">
            <w:pPr>
              <w:adjustRightInd w:val="0"/>
              <w:snapToGrid w:val="0"/>
              <w:spacing w:line="360" w:lineRule="auto"/>
              <w:ind w:firstLine="380" w:firstLineChars="200"/>
              <w:rPr>
                <w:bCs/>
                <w:color w:val="000000" w:themeColor="text1"/>
                <w:spacing w:val="-10"/>
                <w:szCs w:val="21"/>
                <w14:textFill>
                  <w14:solidFill>
                    <w14:schemeClr w14:val="tx1"/>
                  </w14:solidFill>
                </w14:textFill>
              </w:rPr>
            </w:pPr>
          </w:p>
        </w:tc>
      </w:tr>
    </w:tbl>
    <w:p w14:paraId="746794F7">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14:paraId="374965A4">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r>
        <w:rPr>
          <w:rFonts w:ascii="Times New Roman" w:hAnsi="Times New Roman" w:cs="Times New Roman"/>
          <w:b/>
          <w:snapToGrid w:val="0"/>
          <w:color w:val="000000" w:themeColor="text1"/>
          <w:sz w:val="30"/>
          <w:szCs w:val="30"/>
          <w14:textFill>
            <w14:solidFill>
              <w14:schemeClr w14:val="tx1"/>
            </w14:solidFill>
          </w14:textFill>
        </w:rPr>
        <w:t>五、</w:t>
      </w:r>
      <w:bookmarkStart w:id="4" w:name="_Hlk54167917"/>
      <w:r>
        <w:rPr>
          <w:rFonts w:ascii="Times New Roman" w:hAnsi="Times New Roman" w:cs="Times New Roman"/>
          <w:b/>
          <w:snapToGrid w:val="0"/>
          <w:color w:val="000000" w:themeColor="text1"/>
          <w:sz w:val="30"/>
          <w:szCs w:val="30"/>
          <w14:textFill>
            <w14:solidFill>
              <w14:schemeClr w14:val="tx1"/>
            </w14:solidFill>
          </w14:textFill>
        </w:rPr>
        <w:t>环境保护措施监督检查清单</w:t>
      </w:r>
      <w:bookmarkEnd w:id="4"/>
    </w:p>
    <w:tbl>
      <w:tblPr>
        <w:tblStyle w:val="25"/>
        <w:tblW w:w="50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86"/>
        <w:gridCol w:w="890"/>
        <w:gridCol w:w="928"/>
        <w:gridCol w:w="1447"/>
        <w:gridCol w:w="5166"/>
        <w:gridCol w:w="2546"/>
        <w:gridCol w:w="1506"/>
      </w:tblGrid>
      <w:tr w14:paraId="52486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tcBorders>
              <w:tl2br w:val="single" w:color="auto" w:sz="4" w:space="0"/>
            </w:tcBorders>
          </w:tcPr>
          <w:p w14:paraId="22415161">
            <w:pPr>
              <w:adjustRightInd w:val="0"/>
              <w:snapToGrid w:val="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14:paraId="525AEB0E">
            <w:pPr>
              <w:adjustRightInd w:val="0"/>
              <w:snapToGrid w:val="0"/>
              <w:jc w:val="center"/>
              <w:rPr>
                <w:color w:val="000000" w:themeColor="text1"/>
                <w:sz w:val="24"/>
                <w14:textFill>
                  <w14:solidFill>
                    <w14:schemeClr w14:val="tx1"/>
                  </w14:solidFill>
                </w14:textFill>
              </w:rPr>
            </w:pPr>
          </w:p>
          <w:p w14:paraId="0DE1A568">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670" w:type="pct"/>
            <w:gridSpan w:val="2"/>
            <w:vAlign w:val="center"/>
          </w:tcPr>
          <w:p w14:paraId="74DE364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编号、名称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/污染源</w:t>
            </w:r>
          </w:p>
        </w:tc>
        <w:tc>
          <w:tcPr>
            <w:tcW w:w="533" w:type="pct"/>
            <w:vAlign w:val="center"/>
          </w:tcPr>
          <w:p w14:paraId="7EBEDB4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903" w:type="pct"/>
            <w:vAlign w:val="center"/>
          </w:tcPr>
          <w:p w14:paraId="2C8FF9A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492" w:type="pct"/>
            <w:gridSpan w:val="2"/>
            <w:vAlign w:val="center"/>
          </w:tcPr>
          <w:p w14:paraId="2F8BFE3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14:paraId="3EA41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400" w:type="pct"/>
            <w:vMerge w:val="restart"/>
            <w:vAlign w:val="center"/>
          </w:tcPr>
          <w:p w14:paraId="244F446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670" w:type="pct"/>
            <w:gridSpan w:val="2"/>
            <w:vAlign w:val="center"/>
          </w:tcPr>
          <w:p w14:paraId="1E56E39A">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1#排气筒</w:t>
            </w:r>
          </w:p>
        </w:tc>
        <w:tc>
          <w:tcPr>
            <w:tcW w:w="533" w:type="pct"/>
            <w:vAlign w:val="center"/>
          </w:tcPr>
          <w:p w14:paraId="2D54EFFE">
            <w:pPr>
              <w:widowControl/>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颗粒物</w:t>
            </w:r>
          </w:p>
        </w:tc>
        <w:tc>
          <w:tcPr>
            <w:tcW w:w="1903" w:type="pct"/>
            <w:vAlign w:val="center"/>
          </w:tcPr>
          <w:p w14:paraId="2396A43D">
            <w:pPr>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项目设有2台焊机，于每个焊接工位顶部采用顶吸式集气罩装置并设置垂直软胶帘，收集后的焊接烟尘经1套“布袋除尘器”处理，经25m高排气筒（DA001）排放，排气筒内径0.2m，排风量2000m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938" w:type="pct"/>
            <w:vAlign w:val="center"/>
          </w:tcPr>
          <w:p w14:paraId="067FA0E3">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大气污染物综合排放标准》（DB50/418-2016）</w:t>
            </w:r>
          </w:p>
        </w:tc>
        <w:tc>
          <w:tcPr>
            <w:tcW w:w="554" w:type="pct"/>
            <w:vAlign w:val="center"/>
          </w:tcPr>
          <w:p w14:paraId="377CE244">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浓度120mg/m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、速率8.55kg/h</w:t>
            </w:r>
          </w:p>
        </w:tc>
      </w:tr>
      <w:tr w14:paraId="6BDE4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2DE268D7">
            <w:pPr>
              <w:adjustRightInd w:val="0"/>
              <w:snapToGrid w:val="0"/>
              <w:jc w:val="center"/>
              <w:rPr>
                <w:color w:val="000000" w:themeColor="text1"/>
                <w:sz w:val="24"/>
                <w14:textFill>
                  <w14:solidFill>
                    <w14:schemeClr w14:val="tx1"/>
                  </w14:solidFill>
                </w14:textFill>
              </w:rPr>
            </w:pPr>
          </w:p>
        </w:tc>
        <w:tc>
          <w:tcPr>
            <w:tcW w:w="670" w:type="pct"/>
            <w:gridSpan w:val="2"/>
            <w:vMerge w:val="restart"/>
            <w:vAlign w:val="center"/>
          </w:tcPr>
          <w:p w14:paraId="7F4BFF1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2#排气筒</w:t>
            </w:r>
          </w:p>
        </w:tc>
        <w:tc>
          <w:tcPr>
            <w:tcW w:w="533" w:type="pct"/>
            <w:vAlign w:val="center"/>
          </w:tcPr>
          <w:p w14:paraId="274D1EBD">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非甲烷总烃</w:t>
            </w:r>
          </w:p>
        </w:tc>
        <w:tc>
          <w:tcPr>
            <w:tcW w:w="1903" w:type="pct"/>
            <w:vMerge w:val="restart"/>
            <w:vAlign w:val="center"/>
          </w:tcPr>
          <w:p w14:paraId="2D40585E">
            <w:pPr>
              <w:pStyle w:val="79"/>
              <w:spacing w:line="240" w:lineRule="auto"/>
              <w:ind w:firstLine="420"/>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项目于淬火槽顶部采用顶吸式集气罩装置并设置垂直软胶帘，收集后的油烟废气经1套“高效油烟净化器”处理，经25m高排气筒（DA002）排放，排气筒内径0.</w:t>
            </w:r>
            <w:r>
              <w:rPr>
                <w:rFonts w:hint="eastAsia" w:eastAsia="宋体"/>
                <w:color w:val="000000" w:themeColor="text1"/>
                <w:sz w:val="21"/>
                <w:szCs w:val="21"/>
                <w:lang w:val="en-US" w:eastAsia="zh-CN"/>
                <w14:textFill>
                  <w14:solidFill>
                    <w14:schemeClr w14:val="tx1"/>
                  </w14:solidFill>
                </w14:textFill>
              </w:rPr>
              <w:t>4</w:t>
            </w:r>
            <w:r>
              <w:rPr>
                <w:rFonts w:eastAsia="宋体"/>
                <w:color w:val="000000" w:themeColor="text1"/>
                <w:sz w:val="21"/>
                <w:szCs w:val="21"/>
                <w14:textFill>
                  <w14:solidFill>
                    <w14:schemeClr w14:val="tx1"/>
                  </w14:solidFill>
                </w14:textFill>
              </w:rPr>
              <w:t>m，排风量</w:t>
            </w:r>
            <w:r>
              <w:rPr>
                <w:rFonts w:hint="eastAsia" w:eastAsia="宋体"/>
                <w:color w:val="000000" w:themeColor="text1"/>
                <w:sz w:val="21"/>
                <w:szCs w:val="21"/>
                <w:lang w:val="en-US" w:eastAsia="zh-CN"/>
                <w14:textFill>
                  <w14:solidFill>
                    <w14:schemeClr w14:val="tx1"/>
                  </w14:solidFill>
                </w14:textFill>
              </w:rPr>
              <w:t>6</w:t>
            </w:r>
            <w:r>
              <w:rPr>
                <w:rFonts w:eastAsia="宋体"/>
                <w:color w:val="000000" w:themeColor="text1"/>
                <w:sz w:val="21"/>
                <w:szCs w:val="21"/>
                <w14:textFill>
                  <w14:solidFill>
                    <w14:schemeClr w14:val="tx1"/>
                  </w14:solidFill>
                </w14:textFill>
              </w:rPr>
              <w:t>000m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/h。</w:t>
            </w:r>
          </w:p>
        </w:tc>
        <w:tc>
          <w:tcPr>
            <w:tcW w:w="938" w:type="pct"/>
            <w:vMerge w:val="restart"/>
            <w:vAlign w:val="center"/>
          </w:tcPr>
          <w:p w14:paraId="5D4B2F5C">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大气污染物综合排放标准》（DB50/418-2016）</w:t>
            </w:r>
          </w:p>
        </w:tc>
        <w:tc>
          <w:tcPr>
            <w:tcW w:w="554" w:type="pct"/>
            <w:vAlign w:val="center"/>
          </w:tcPr>
          <w:p w14:paraId="51DC83B4">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浓度120mg/m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、速率18kg/h</w:t>
            </w:r>
          </w:p>
        </w:tc>
      </w:tr>
      <w:tr w14:paraId="70131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1CD2A6E9">
            <w:pPr>
              <w:adjustRightInd w:val="0"/>
              <w:snapToGrid w:val="0"/>
              <w:jc w:val="center"/>
              <w:rPr>
                <w:color w:val="000000" w:themeColor="text1"/>
                <w:sz w:val="24"/>
                <w14:textFill>
                  <w14:solidFill>
                    <w14:schemeClr w14:val="tx1"/>
                  </w14:solidFill>
                </w14:textFill>
              </w:rPr>
            </w:pPr>
          </w:p>
        </w:tc>
        <w:tc>
          <w:tcPr>
            <w:tcW w:w="670" w:type="pct"/>
            <w:gridSpan w:val="2"/>
            <w:vMerge w:val="continue"/>
            <w:vAlign w:val="center"/>
          </w:tcPr>
          <w:p w14:paraId="1B2E6637">
            <w:pPr>
              <w:adjustRightInd w:val="0"/>
              <w:snapToGrid w:val="0"/>
              <w:jc w:val="center"/>
              <w:rPr>
                <w:bCs/>
                <w:color w:val="000000" w:themeColor="text1"/>
                <w:szCs w:val="21"/>
                <w14:textFill>
                  <w14:solidFill>
                    <w14:schemeClr w14:val="tx1"/>
                  </w14:solidFill>
                </w14:textFill>
              </w:rPr>
            </w:pPr>
          </w:p>
        </w:tc>
        <w:tc>
          <w:tcPr>
            <w:tcW w:w="533" w:type="pct"/>
            <w:vAlign w:val="center"/>
          </w:tcPr>
          <w:p w14:paraId="26C91BDA">
            <w:pPr>
              <w:pStyle w:val="40"/>
              <w:autoSpaceDE/>
              <w:autoSpaceDN/>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p>
        </w:tc>
        <w:tc>
          <w:tcPr>
            <w:tcW w:w="1903" w:type="pct"/>
            <w:vMerge w:val="continue"/>
            <w:vAlign w:val="center"/>
          </w:tcPr>
          <w:p w14:paraId="4407DAF7">
            <w:pPr>
              <w:pStyle w:val="79"/>
              <w:spacing w:line="240" w:lineRule="auto"/>
              <w:ind w:firstLine="0" w:firstLineChars="0"/>
              <w:rPr>
                <w:rFonts w:eastAsia="宋体"/>
                <w:color w:val="000000" w:themeColor="text1"/>
                <w:sz w:val="21"/>
                <w:szCs w:val="21"/>
                <w14:textFill>
                  <w14:solidFill>
                    <w14:schemeClr w14:val="tx1"/>
                  </w14:solidFill>
                </w14:textFill>
              </w:rPr>
            </w:pPr>
          </w:p>
        </w:tc>
        <w:tc>
          <w:tcPr>
            <w:tcW w:w="938" w:type="pct"/>
            <w:vMerge w:val="continue"/>
            <w:vAlign w:val="center"/>
          </w:tcPr>
          <w:p w14:paraId="04A4EA1E">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p>
        </w:tc>
        <w:tc>
          <w:tcPr>
            <w:tcW w:w="554" w:type="pct"/>
            <w:vAlign w:val="center"/>
          </w:tcPr>
          <w:p w14:paraId="417C4E58">
            <w:pPr>
              <w:pStyle w:val="40"/>
              <w:autoSpaceDE/>
              <w:autoSpaceDN/>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浓度120mg/m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、速率8.55kg/h</w:t>
            </w:r>
          </w:p>
        </w:tc>
      </w:tr>
      <w:tr w14:paraId="18DA6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3675BCD7">
            <w:pPr>
              <w:adjustRightInd w:val="0"/>
              <w:snapToGrid w:val="0"/>
              <w:jc w:val="center"/>
              <w:rPr>
                <w:color w:val="000000" w:themeColor="text1"/>
                <w:sz w:val="24"/>
                <w14:textFill>
                  <w14:solidFill>
                    <w14:schemeClr w14:val="tx1"/>
                  </w14:solidFill>
                </w14:textFill>
              </w:rPr>
            </w:pPr>
          </w:p>
        </w:tc>
        <w:tc>
          <w:tcPr>
            <w:tcW w:w="328" w:type="pct"/>
            <w:vMerge w:val="restart"/>
            <w:vAlign w:val="center"/>
          </w:tcPr>
          <w:p w14:paraId="5D69A2D8">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无组织</w:t>
            </w:r>
          </w:p>
        </w:tc>
        <w:tc>
          <w:tcPr>
            <w:tcW w:w="342" w:type="pct"/>
            <w:vAlign w:val="center"/>
          </w:tcPr>
          <w:p w14:paraId="18B2670A">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厂区内厂房外</w:t>
            </w:r>
          </w:p>
        </w:tc>
        <w:tc>
          <w:tcPr>
            <w:tcW w:w="533" w:type="pct"/>
            <w:vAlign w:val="center"/>
          </w:tcPr>
          <w:p w14:paraId="5E3FBF76">
            <w:pPr>
              <w:pStyle w:val="40"/>
              <w:autoSpaceDE/>
              <w:autoSpaceDN/>
              <w:snapToGrid w:val="0"/>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非甲烷总烃</w:t>
            </w:r>
          </w:p>
        </w:tc>
        <w:tc>
          <w:tcPr>
            <w:tcW w:w="1903" w:type="pct"/>
            <w:vMerge w:val="restart"/>
            <w:vAlign w:val="center"/>
          </w:tcPr>
          <w:p w14:paraId="28CC6DD1">
            <w:pPr>
              <w:pStyle w:val="79"/>
              <w:spacing w:line="240" w:lineRule="auto"/>
              <w:ind w:firstLine="1920" w:firstLineChars="800"/>
              <w:jc w:val="both"/>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加强室内通风。</w:t>
            </w:r>
          </w:p>
        </w:tc>
        <w:tc>
          <w:tcPr>
            <w:tcW w:w="938" w:type="pct"/>
            <w:vAlign w:val="center"/>
          </w:tcPr>
          <w:p w14:paraId="6F2A06FB">
            <w:pPr>
              <w:pStyle w:val="40"/>
              <w:autoSpaceDE/>
              <w:autoSpaceDN/>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《挥发性有机物无组织排放控制标准》（GB37822-2019）</w:t>
            </w:r>
          </w:p>
        </w:tc>
        <w:tc>
          <w:tcPr>
            <w:tcW w:w="554" w:type="pct"/>
            <w:vAlign w:val="center"/>
          </w:tcPr>
          <w:p w14:paraId="2291811B">
            <w:pPr>
              <w:pStyle w:val="40"/>
              <w:autoSpaceDE/>
              <w:autoSpaceDN/>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6mg/m</w:t>
            </w:r>
            <w:r>
              <w:rPr>
                <w:rFonts w:ascii="Times New Roman" w:hAnsi="Times New Roman" w:cs="Times New Roman"/>
                <w:color w:val="000000" w:themeColor="text1"/>
                <w:vertAlign w:val="superscript"/>
                <w14:textFill>
                  <w14:solidFill>
                    <w14:schemeClr w14:val="tx1"/>
                  </w14:solidFill>
                </w14:textFill>
              </w:rPr>
              <w:t>3</w:t>
            </w:r>
          </w:p>
        </w:tc>
      </w:tr>
      <w:tr w14:paraId="527CB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495DF24D">
            <w:pPr>
              <w:adjustRightInd w:val="0"/>
              <w:snapToGrid w:val="0"/>
              <w:jc w:val="center"/>
              <w:rPr>
                <w:color w:val="000000" w:themeColor="text1"/>
                <w:sz w:val="24"/>
                <w14:textFill>
                  <w14:solidFill>
                    <w14:schemeClr w14:val="tx1"/>
                  </w14:solidFill>
                </w14:textFill>
              </w:rPr>
            </w:pPr>
          </w:p>
        </w:tc>
        <w:tc>
          <w:tcPr>
            <w:tcW w:w="328" w:type="pct"/>
            <w:vMerge w:val="continue"/>
            <w:vAlign w:val="center"/>
          </w:tcPr>
          <w:p w14:paraId="5F37D4AD">
            <w:pPr>
              <w:adjustRightInd w:val="0"/>
              <w:snapToGrid w:val="0"/>
              <w:jc w:val="center"/>
              <w:rPr>
                <w:bCs/>
                <w:color w:val="000000" w:themeColor="text1"/>
                <w:sz w:val="24"/>
                <w14:textFill>
                  <w14:solidFill>
                    <w14:schemeClr w14:val="tx1"/>
                  </w14:solidFill>
                </w14:textFill>
              </w:rPr>
            </w:pPr>
          </w:p>
        </w:tc>
        <w:tc>
          <w:tcPr>
            <w:tcW w:w="342" w:type="pct"/>
            <w:vMerge w:val="restart"/>
            <w:vAlign w:val="center"/>
          </w:tcPr>
          <w:p w14:paraId="0C23009C">
            <w:pPr>
              <w:adjustRightInd w:val="0"/>
              <w:snapToGrid w:val="0"/>
              <w:jc w:val="center"/>
              <w:rPr>
                <w:bCs/>
                <w:color w:val="000000" w:themeColor="text1"/>
                <w:sz w:val="24"/>
                <w14:textFill>
                  <w14:solidFill>
                    <w14:schemeClr w14:val="tx1"/>
                  </w14:solidFill>
                </w14:textFill>
              </w:rPr>
            </w:pPr>
            <w:r>
              <w:rPr>
                <w:color w:val="000000" w:themeColor="text1"/>
                <w:sz w:val="24"/>
                <w14:textFill>
                  <w14:solidFill>
                    <w14:schemeClr w14:val="tx1"/>
                  </w14:solidFill>
                </w14:textFill>
              </w:rPr>
              <w:t>厂界下风向</w:t>
            </w:r>
          </w:p>
        </w:tc>
        <w:tc>
          <w:tcPr>
            <w:tcW w:w="533" w:type="pct"/>
            <w:tcBorders>
              <w:bottom w:val="single" w:color="auto" w:sz="4" w:space="0"/>
            </w:tcBorders>
            <w:vAlign w:val="center"/>
          </w:tcPr>
          <w:p w14:paraId="4AD7FDB3">
            <w:pPr>
              <w:pStyle w:val="40"/>
              <w:autoSpaceDE/>
              <w:autoSpaceDN/>
              <w:snapToGrid w:val="0"/>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非甲烷总烃</w:t>
            </w:r>
          </w:p>
        </w:tc>
        <w:tc>
          <w:tcPr>
            <w:tcW w:w="1903" w:type="pct"/>
            <w:vMerge w:val="continue"/>
            <w:vAlign w:val="center"/>
          </w:tcPr>
          <w:p w14:paraId="3ADEE51C">
            <w:pPr>
              <w:pStyle w:val="79"/>
              <w:spacing w:line="240" w:lineRule="auto"/>
              <w:ind w:firstLine="0" w:firstLineChars="0"/>
              <w:jc w:val="left"/>
              <w:rPr>
                <w:rFonts w:eastAsia="宋体"/>
                <w:snapToGrid w:val="0"/>
                <w:color w:val="000000" w:themeColor="text1"/>
                <w:kern w:val="0"/>
                <w14:textFill>
                  <w14:solidFill>
                    <w14:schemeClr w14:val="tx1"/>
                  </w14:solidFill>
                </w14:textFill>
              </w:rPr>
            </w:pPr>
          </w:p>
        </w:tc>
        <w:tc>
          <w:tcPr>
            <w:tcW w:w="938" w:type="pct"/>
            <w:vMerge w:val="restart"/>
            <w:vAlign w:val="center"/>
          </w:tcPr>
          <w:p w14:paraId="38E5FB60">
            <w:pPr>
              <w:pStyle w:val="4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大气污染物综合排放标准》（DB50/418-2016）</w:t>
            </w:r>
          </w:p>
        </w:tc>
        <w:tc>
          <w:tcPr>
            <w:tcW w:w="554" w:type="pct"/>
            <w:vAlign w:val="center"/>
          </w:tcPr>
          <w:p w14:paraId="0FF9DF0C">
            <w:pPr>
              <w:pStyle w:val="4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4.0mg/m</w:t>
            </w:r>
            <w:r>
              <w:rPr>
                <w:rFonts w:ascii="Times New Roman" w:hAnsi="Times New Roman" w:cs="Times New Roman"/>
                <w:color w:val="000000" w:themeColor="text1"/>
                <w:vertAlign w:val="superscript"/>
                <w14:textFill>
                  <w14:solidFill>
                    <w14:schemeClr w14:val="tx1"/>
                  </w14:solidFill>
                </w14:textFill>
              </w:rPr>
              <w:t>3</w:t>
            </w:r>
          </w:p>
        </w:tc>
      </w:tr>
      <w:tr w14:paraId="521E3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00" w:type="pct"/>
            <w:vMerge w:val="continue"/>
            <w:vAlign w:val="center"/>
          </w:tcPr>
          <w:p w14:paraId="24BC8AB2">
            <w:pPr>
              <w:adjustRightInd w:val="0"/>
              <w:snapToGrid w:val="0"/>
              <w:jc w:val="center"/>
              <w:rPr>
                <w:color w:val="000000" w:themeColor="text1"/>
                <w:sz w:val="24"/>
                <w14:textFill>
                  <w14:solidFill>
                    <w14:schemeClr w14:val="tx1"/>
                  </w14:solidFill>
                </w14:textFill>
              </w:rPr>
            </w:pPr>
          </w:p>
        </w:tc>
        <w:tc>
          <w:tcPr>
            <w:tcW w:w="328" w:type="pct"/>
            <w:vMerge w:val="continue"/>
            <w:vAlign w:val="center"/>
          </w:tcPr>
          <w:p w14:paraId="3368E519">
            <w:pPr>
              <w:adjustRightInd w:val="0"/>
              <w:snapToGrid w:val="0"/>
              <w:jc w:val="center"/>
              <w:rPr>
                <w:color w:val="000000" w:themeColor="text1"/>
                <w:sz w:val="24"/>
                <w14:textFill>
                  <w14:solidFill>
                    <w14:schemeClr w14:val="tx1"/>
                  </w14:solidFill>
                </w14:textFill>
              </w:rPr>
            </w:pPr>
          </w:p>
        </w:tc>
        <w:tc>
          <w:tcPr>
            <w:tcW w:w="342" w:type="pct"/>
            <w:vMerge w:val="continue"/>
            <w:vAlign w:val="center"/>
          </w:tcPr>
          <w:p w14:paraId="150D7787">
            <w:pPr>
              <w:adjustRightInd w:val="0"/>
              <w:snapToGrid w:val="0"/>
              <w:jc w:val="center"/>
              <w:rPr>
                <w:color w:val="000000" w:themeColor="text1"/>
                <w:sz w:val="24"/>
                <w14:textFill>
                  <w14:solidFill>
                    <w14:schemeClr w14:val="tx1"/>
                  </w14:solidFill>
                </w14:textFill>
              </w:rPr>
            </w:pPr>
          </w:p>
        </w:tc>
        <w:tc>
          <w:tcPr>
            <w:tcW w:w="533" w:type="pct"/>
            <w:vAlign w:val="center"/>
          </w:tcPr>
          <w:p w14:paraId="6B433B29">
            <w:pPr>
              <w:pStyle w:val="40"/>
              <w:autoSpaceDE/>
              <w:autoSpaceDN/>
              <w:snapToGrid w:val="0"/>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颗粒物</w:t>
            </w:r>
          </w:p>
        </w:tc>
        <w:tc>
          <w:tcPr>
            <w:tcW w:w="1903" w:type="pct"/>
            <w:vMerge w:val="continue"/>
            <w:vAlign w:val="center"/>
          </w:tcPr>
          <w:p w14:paraId="5C02FBE5">
            <w:pPr>
              <w:adjustRightInd w:val="0"/>
              <w:snapToGrid w:val="0"/>
              <w:jc w:val="center"/>
              <w:rPr>
                <w:color w:val="000000" w:themeColor="text1"/>
                <w:sz w:val="24"/>
                <w14:textFill>
                  <w14:solidFill>
                    <w14:schemeClr w14:val="tx1"/>
                  </w14:solidFill>
                </w14:textFill>
              </w:rPr>
            </w:pPr>
          </w:p>
        </w:tc>
        <w:tc>
          <w:tcPr>
            <w:tcW w:w="938" w:type="pct"/>
            <w:vMerge w:val="continue"/>
            <w:vAlign w:val="center"/>
          </w:tcPr>
          <w:p w14:paraId="38CB2C74">
            <w:pPr>
              <w:pStyle w:val="40"/>
              <w:autoSpaceDE/>
              <w:autoSpaceDN/>
              <w:snapToGrid w:val="0"/>
              <w:jc w:val="center"/>
              <w:rPr>
                <w:rFonts w:ascii="Times New Roman" w:hAnsi="Times New Roman" w:cs="Times New Roman"/>
                <w:bCs/>
                <w:color w:val="000000" w:themeColor="text1"/>
                <w14:textFill>
                  <w14:solidFill>
                    <w14:schemeClr w14:val="tx1"/>
                  </w14:solidFill>
                </w14:textFill>
              </w:rPr>
            </w:pPr>
          </w:p>
        </w:tc>
        <w:tc>
          <w:tcPr>
            <w:tcW w:w="554" w:type="pct"/>
            <w:vAlign w:val="center"/>
          </w:tcPr>
          <w:p w14:paraId="473B1D8E">
            <w:pPr>
              <w:pStyle w:val="4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1.0mg/m</w:t>
            </w:r>
            <w:r>
              <w:rPr>
                <w:rFonts w:ascii="Times New Roman" w:hAnsi="Times New Roman" w:cs="Times New Roman"/>
                <w:color w:val="000000" w:themeColor="text1"/>
                <w:vertAlign w:val="superscript"/>
                <w14:textFill>
                  <w14:solidFill>
                    <w14:schemeClr w14:val="tx1"/>
                  </w14:solidFill>
                </w14:textFill>
              </w:rPr>
              <w:t>3</w:t>
            </w:r>
          </w:p>
        </w:tc>
      </w:tr>
      <w:tr w14:paraId="56F9B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restart"/>
            <w:vAlign w:val="center"/>
          </w:tcPr>
          <w:p w14:paraId="1423A34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670" w:type="pct"/>
            <w:gridSpan w:val="2"/>
            <w:vMerge w:val="restart"/>
            <w:vAlign w:val="center"/>
          </w:tcPr>
          <w:p w14:paraId="0C825D9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综合废水（生化池排放口）</w:t>
            </w:r>
          </w:p>
        </w:tc>
        <w:tc>
          <w:tcPr>
            <w:tcW w:w="533" w:type="pct"/>
            <w:vAlign w:val="center"/>
          </w:tcPr>
          <w:p w14:paraId="1CAA262F">
            <w:pPr>
              <w:pStyle w:val="79"/>
              <w:spacing w:line="240" w:lineRule="auto"/>
              <w:ind w:firstLine="0" w:firstLineChars="0"/>
              <w:rPr>
                <w:rFonts w:eastAsia="宋体"/>
                <w:color w:val="000000" w:themeColor="text1"/>
                <w14:textFill>
                  <w14:solidFill>
                    <w14:schemeClr w14:val="tx1"/>
                  </w14:solidFill>
                </w14:textFill>
              </w:rPr>
            </w:pPr>
            <w:r>
              <w:rPr>
                <w:rFonts w:eastAsia="宋体"/>
                <w:color w:val="000000" w:themeColor="text1"/>
                <w:spacing w:val="7"/>
                <w14:textFill>
                  <w14:solidFill>
                    <w14:schemeClr w14:val="tx1"/>
                  </w14:solidFill>
                </w14:textFill>
              </w:rPr>
              <w:t>COD</w:t>
            </w:r>
          </w:p>
        </w:tc>
        <w:tc>
          <w:tcPr>
            <w:tcW w:w="1903" w:type="pct"/>
            <w:vMerge w:val="restart"/>
            <w:vAlign w:val="center"/>
          </w:tcPr>
          <w:p w14:paraId="5E3DDF14">
            <w:pPr>
              <w:snapToGrid w:val="0"/>
              <w:jc w:val="center"/>
              <w:rPr>
                <w:bCs/>
                <w:color w:val="000000" w:themeColor="text1"/>
                <w:sz w:val="24"/>
                <w14:textFill>
                  <w14:solidFill>
                    <w14:schemeClr w14:val="tx1"/>
                  </w14:solidFill>
                </w14:textFill>
              </w:rPr>
            </w:pPr>
            <w:r>
              <w:rPr>
                <w:color w:val="000000" w:themeColor="text1"/>
                <w:sz w:val="24"/>
                <w14:textFill>
                  <w14:solidFill>
                    <w14:schemeClr w14:val="tx1"/>
                  </w14:solidFill>
                </w14:textFill>
              </w:rPr>
              <w:t>生产废水经隔油沉淀池（处理能力1m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，工艺：隔油</w:t>
            </w:r>
            <w:r>
              <w:rPr>
                <w:rFonts w:hint="eastAsia"/>
                <w:color w:val="000000" w:themeColor="text1"/>
                <w:sz w:val="24"/>
                <w:lang w:val="en-US" w:eastAsia="zh-CN"/>
                <w14:textFill>
                  <w14:solidFill>
                    <w14:schemeClr w14:val="tx1"/>
                  </w14:solidFill>
                </w14:textFill>
              </w:rPr>
              <w:t>+絮凝沉淀</w:t>
            </w:r>
            <w:r>
              <w:rPr>
                <w:color w:val="000000" w:themeColor="text1"/>
                <w:sz w:val="24"/>
                <w14:textFill>
                  <w14:solidFill>
                    <w14:schemeClr w14:val="tx1"/>
                  </w14:solidFill>
                </w14:textFill>
              </w:rPr>
              <w:t>）预处理后与生活污水一起排入小米智能制造产业园400m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生化池处理达《污水综合排放标准》（GB8978-1996）三级标准后再排入市政污水管网，最终进入蒲吕污水处理厂深度处理达一级A标准后排入小安溪。</w:t>
            </w:r>
          </w:p>
        </w:tc>
        <w:tc>
          <w:tcPr>
            <w:tcW w:w="938" w:type="pct"/>
            <w:vMerge w:val="restart"/>
            <w:vAlign w:val="center"/>
          </w:tcPr>
          <w:p w14:paraId="0BEC2184">
            <w:pPr>
              <w:widowControl/>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《污水综合排放标准》（GB8978-1996）三级标准、</w:t>
            </w:r>
            <w:r>
              <w:rPr>
                <w:bCs/>
                <w:color w:val="000000" w:themeColor="text1"/>
                <w:kern w:val="0"/>
                <w:sz w:val="24"/>
                <w14:textFill>
                  <w14:solidFill>
                    <w14:schemeClr w14:val="tx1"/>
                  </w14:solidFill>
                </w14:textFill>
              </w:rPr>
              <w:t>《污水排入城镇下水道水质标准》（GB/T31962-2015）</w:t>
            </w:r>
          </w:p>
        </w:tc>
        <w:tc>
          <w:tcPr>
            <w:tcW w:w="554" w:type="pct"/>
            <w:vAlign w:val="center"/>
          </w:tcPr>
          <w:p w14:paraId="2B943C9C">
            <w:pPr>
              <w:widowControl/>
              <w:jc w:val="center"/>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500mg/L</w:t>
            </w:r>
          </w:p>
        </w:tc>
      </w:tr>
      <w:tr w14:paraId="6FAC6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5AE39361">
            <w:pPr>
              <w:adjustRightInd w:val="0"/>
              <w:snapToGrid w:val="0"/>
              <w:jc w:val="center"/>
              <w:rPr>
                <w:color w:val="000000" w:themeColor="text1"/>
                <w:sz w:val="24"/>
                <w14:textFill>
                  <w14:solidFill>
                    <w14:schemeClr w14:val="tx1"/>
                  </w14:solidFill>
                </w14:textFill>
              </w:rPr>
            </w:pPr>
          </w:p>
        </w:tc>
        <w:tc>
          <w:tcPr>
            <w:tcW w:w="670" w:type="pct"/>
            <w:gridSpan w:val="2"/>
            <w:vMerge w:val="continue"/>
            <w:vAlign w:val="center"/>
          </w:tcPr>
          <w:p w14:paraId="7039FE27">
            <w:pPr>
              <w:adjustRightInd w:val="0"/>
              <w:snapToGrid w:val="0"/>
              <w:jc w:val="center"/>
              <w:rPr>
                <w:color w:val="000000" w:themeColor="text1"/>
                <w:sz w:val="24"/>
                <w14:textFill>
                  <w14:solidFill>
                    <w14:schemeClr w14:val="tx1"/>
                  </w14:solidFill>
                </w14:textFill>
              </w:rPr>
            </w:pPr>
          </w:p>
        </w:tc>
        <w:tc>
          <w:tcPr>
            <w:tcW w:w="533" w:type="pct"/>
            <w:vAlign w:val="center"/>
          </w:tcPr>
          <w:p w14:paraId="739B4399">
            <w:pPr>
              <w:pStyle w:val="79"/>
              <w:spacing w:line="240" w:lineRule="auto"/>
              <w:ind w:firstLine="0" w:firstLineChars="0"/>
              <w:rPr>
                <w:rFonts w:eastAsia="宋体"/>
                <w:color w:val="000000" w:themeColor="text1"/>
                <w14:textFill>
                  <w14:solidFill>
                    <w14:schemeClr w14:val="tx1"/>
                  </w14:solidFill>
                </w14:textFill>
              </w:rPr>
            </w:pPr>
            <w:r>
              <w:rPr>
                <w:rFonts w:eastAsia="宋体"/>
                <w:color w:val="000000" w:themeColor="text1"/>
                <w:spacing w:val="5"/>
                <w14:textFill>
                  <w14:solidFill>
                    <w14:schemeClr w14:val="tx1"/>
                  </w14:solidFill>
                </w14:textFill>
              </w:rPr>
              <w:t>BOD</w:t>
            </w:r>
            <w:r>
              <w:rPr>
                <w:rFonts w:eastAsia="宋体"/>
                <w:color w:val="000000" w:themeColor="text1"/>
                <w:spacing w:val="5"/>
                <w:position w:val="-1"/>
                <w:vertAlign w:val="subscript"/>
                <w14:textFill>
                  <w14:solidFill>
                    <w14:schemeClr w14:val="tx1"/>
                  </w14:solidFill>
                </w14:textFill>
              </w:rPr>
              <w:t>5</w:t>
            </w:r>
          </w:p>
        </w:tc>
        <w:tc>
          <w:tcPr>
            <w:tcW w:w="1903" w:type="pct"/>
            <w:vMerge w:val="continue"/>
            <w:vAlign w:val="center"/>
          </w:tcPr>
          <w:p w14:paraId="3D69A196">
            <w:pPr>
              <w:adjustRightInd w:val="0"/>
              <w:snapToGrid w:val="0"/>
              <w:jc w:val="center"/>
              <w:rPr>
                <w:color w:val="000000" w:themeColor="text1"/>
                <w:sz w:val="24"/>
                <w14:textFill>
                  <w14:solidFill>
                    <w14:schemeClr w14:val="tx1"/>
                  </w14:solidFill>
                </w14:textFill>
              </w:rPr>
            </w:pPr>
          </w:p>
        </w:tc>
        <w:tc>
          <w:tcPr>
            <w:tcW w:w="938" w:type="pct"/>
            <w:vMerge w:val="continue"/>
            <w:vAlign w:val="center"/>
          </w:tcPr>
          <w:p w14:paraId="01B44CF7">
            <w:pPr>
              <w:jc w:val="center"/>
              <w:rPr>
                <w:color w:val="000000" w:themeColor="text1"/>
                <w:sz w:val="24"/>
                <w14:textFill>
                  <w14:solidFill>
                    <w14:schemeClr w14:val="tx1"/>
                  </w14:solidFill>
                </w14:textFill>
              </w:rPr>
            </w:pPr>
          </w:p>
        </w:tc>
        <w:tc>
          <w:tcPr>
            <w:tcW w:w="554" w:type="pct"/>
            <w:vAlign w:val="center"/>
          </w:tcPr>
          <w:p w14:paraId="20190842">
            <w:pPr>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300mg/L</w:t>
            </w:r>
          </w:p>
        </w:tc>
      </w:tr>
      <w:tr w14:paraId="2C6E7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34DBC89A">
            <w:pPr>
              <w:adjustRightInd w:val="0"/>
              <w:snapToGrid w:val="0"/>
              <w:jc w:val="center"/>
              <w:rPr>
                <w:color w:val="000000" w:themeColor="text1"/>
                <w:sz w:val="24"/>
                <w14:textFill>
                  <w14:solidFill>
                    <w14:schemeClr w14:val="tx1"/>
                  </w14:solidFill>
                </w14:textFill>
              </w:rPr>
            </w:pPr>
          </w:p>
        </w:tc>
        <w:tc>
          <w:tcPr>
            <w:tcW w:w="670" w:type="pct"/>
            <w:gridSpan w:val="2"/>
            <w:vMerge w:val="continue"/>
            <w:vAlign w:val="center"/>
          </w:tcPr>
          <w:p w14:paraId="7B8AF09D">
            <w:pPr>
              <w:adjustRightInd w:val="0"/>
              <w:snapToGrid w:val="0"/>
              <w:jc w:val="center"/>
              <w:rPr>
                <w:color w:val="000000" w:themeColor="text1"/>
                <w:sz w:val="24"/>
                <w14:textFill>
                  <w14:solidFill>
                    <w14:schemeClr w14:val="tx1"/>
                  </w14:solidFill>
                </w14:textFill>
              </w:rPr>
            </w:pPr>
          </w:p>
        </w:tc>
        <w:tc>
          <w:tcPr>
            <w:tcW w:w="533" w:type="pct"/>
            <w:vAlign w:val="center"/>
          </w:tcPr>
          <w:p w14:paraId="7A60A7FA">
            <w:pPr>
              <w:pStyle w:val="79"/>
              <w:spacing w:line="240" w:lineRule="auto"/>
              <w:ind w:firstLine="0" w:firstLineChars="0"/>
              <w:rPr>
                <w:rFonts w:eastAsia="宋体"/>
                <w:color w:val="000000" w:themeColor="text1"/>
                <w14:textFill>
                  <w14:solidFill>
                    <w14:schemeClr w14:val="tx1"/>
                  </w14:solidFill>
                </w14:textFill>
              </w:rPr>
            </w:pPr>
            <w:r>
              <w:rPr>
                <w:rFonts w:eastAsia="宋体"/>
                <w:color w:val="000000" w:themeColor="text1"/>
                <w:spacing w:val="7"/>
                <w14:textFill>
                  <w14:solidFill>
                    <w14:schemeClr w14:val="tx1"/>
                  </w14:solidFill>
                </w14:textFill>
              </w:rPr>
              <w:t>SS</w:t>
            </w:r>
          </w:p>
        </w:tc>
        <w:tc>
          <w:tcPr>
            <w:tcW w:w="1903" w:type="pct"/>
            <w:vMerge w:val="continue"/>
            <w:vAlign w:val="center"/>
          </w:tcPr>
          <w:p w14:paraId="34F61D49">
            <w:pPr>
              <w:adjustRightInd w:val="0"/>
              <w:snapToGrid w:val="0"/>
              <w:jc w:val="center"/>
              <w:rPr>
                <w:color w:val="000000" w:themeColor="text1"/>
                <w:sz w:val="24"/>
                <w14:textFill>
                  <w14:solidFill>
                    <w14:schemeClr w14:val="tx1"/>
                  </w14:solidFill>
                </w14:textFill>
              </w:rPr>
            </w:pPr>
          </w:p>
        </w:tc>
        <w:tc>
          <w:tcPr>
            <w:tcW w:w="938" w:type="pct"/>
            <w:vMerge w:val="continue"/>
            <w:vAlign w:val="center"/>
          </w:tcPr>
          <w:p w14:paraId="3A3BADAC">
            <w:pPr>
              <w:jc w:val="center"/>
              <w:rPr>
                <w:color w:val="000000" w:themeColor="text1"/>
                <w:sz w:val="24"/>
                <w14:textFill>
                  <w14:solidFill>
                    <w14:schemeClr w14:val="tx1"/>
                  </w14:solidFill>
                </w14:textFill>
              </w:rPr>
            </w:pPr>
          </w:p>
        </w:tc>
        <w:tc>
          <w:tcPr>
            <w:tcW w:w="554" w:type="pct"/>
            <w:vAlign w:val="center"/>
          </w:tcPr>
          <w:p w14:paraId="2CB811FF">
            <w:pPr>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400mg/L</w:t>
            </w:r>
          </w:p>
        </w:tc>
      </w:tr>
      <w:tr w14:paraId="6E678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25C3828C">
            <w:pPr>
              <w:adjustRightInd w:val="0"/>
              <w:snapToGrid w:val="0"/>
              <w:jc w:val="center"/>
              <w:rPr>
                <w:color w:val="000000" w:themeColor="text1"/>
                <w:sz w:val="24"/>
                <w14:textFill>
                  <w14:solidFill>
                    <w14:schemeClr w14:val="tx1"/>
                  </w14:solidFill>
                </w14:textFill>
              </w:rPr>
            </w:pPr>
          </w:p>
        </w:tc>
        <w:tc>
          <w:tcPr>
            <w:tcW w:w="670" w:type="pct"/>
            <w:gridSpan w:val="2"/>
            <w:vMerge w:val="continue"/>
            <w:vAlign w:val="center"/>
          </w:tcPr>
          <w:p w14:paraId="7135D4A8">
            <w:pPr>
              <w:adjustRightInd w:val="0"/>
              <w:snapToGrid w:val="0"/>
              <w:jc w:val="center"/>
              <w:rPr>
                <w:color w:val="000000" w:themeColor="text1"/>
                <w:sz w:val="24"/>
                <w14:textFill>
                  <w14:solidFill>
                    <w14:schemeClr w14:val="tx1"/>
                  </w14:solidFill>
                </w14:textFill>
              </w:rPr>
            </w:pPr>
          </w:p>
        </w:tc>
        <w:tc>
          <w:tcPr>
            <w:tcW w:w="533" w:type="pct"/>
            <w:vAlign w:val="center"/>
          </w:tcPr>
          <w:p w14:paraId="1B9A1686">
            <w:pPr>
              <w:pStyle w:val="79"/>
              <w:spacing w:line="240" w:lineRule="auto"/>
              <w:ind w:firstLine="0" w:firstLineChars="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w:t>
            </w:r>
          </w:p>
        </w:tc>
        <w:tc>
          <w:tcPr>
            <w:tcW w:w="1903" w:type="pct"/>
            <w:vMerge w:val="continue"/>
            <w:vAlign w:val="center"/>
          </w:tcPr>
          <w:p w14:paraId="58E69F63">
            <w:pPr>
              <w:adjustRightInd w:val="0"/>
              <w:snapToGrid w:val="0"/>
              <w:jc w:val="center"/>
              <w:rPr>
                <w:color w:val="000000" w:themeColor="text1"/>
                <w:sz w:val="24"/>
                <w14:textFill>
                  <w14:solidFill>
                    <w14:schemeClr w14:val="tx1"/>
                  </w14:solidFill>
                </w14:textFill>
              </w:rPr>
            </w:pPr>
          </w:p>
        </w:tc>
        <w:tc>
          <w:tcPr>
            <w:tcW w:w="938" w:type="pct"/>
            <w:vMerge w:val="continue"/>
            <w:vAlign w:val="center"/>
          </w:tcPr>
          <w:p w14:paraId="1BDB0DE0">
            <w:pPr>
              <w:jc w:val="center"/>
              <w:rPr>
                <w:color w:val="000000" w:themeColor="text1"/>
                <w:sz w:val="24"/>
                <w14:textFill>
                  <w14:solidFill>
                    <w14:schemeClr w14:val="tx1"/>
                  </w14:solidFill>
                </w14:textFill>
              </w:rPr>
            </w:pPr>
          </w:p>
        </w:tc>
        <w:tc>
          <w:tcPr>
            <w:tcW w:w="554" w:type="pct"/>
            <w:vAlign w:val="center"/>
          </w:tcPr>
          <w:p w14:paraId="3A89B4A1">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45</w:t>
            </w:r>
            <w:r>
              <w:rPr>
                <w:bCs/>
                <w:color w:val="000000" w:themeColor="text1"/>
                <w:sz w:val="24"/>
                <w14:textFill>
                  <w14:solidFill>
                    <w14:schemeClr w14:val="tx1"/>
                  </w14:solidFill>
                </w14:textFill>
              </w:rPr>
              <w:t>mg/L</w:t>
            </w:r>
          </w:p>
        </w:tc>
      </w:tr>
      <w:tr w14:paraId="0134A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76D86833">
            <w:pPr>
              <w:adjustRightInd w:val="0"/>
              <w:snapToGrid w:val="0"/>
              <w:jc w:val="center"/>
              <w:rPr>
                <w:color w:val="000000" w:themeColor="text1"/>
                <w:sz w:val="24"/>
                <w14:textFill>
                  <w14:solidFill>
                    <w14:schemeClr w14:val="tx1"/>
                  </w14:solidFill>
                </w14:textFill>
              </w:rPr>
            </w:pPr>
          </w:p>
        </w:tc>
        <w:tc>
          <w:tcPr>
            <w:tcW w:w="670" w:type="pct"/>
            <w:gridSpan w:val="2"/>
            <w:vMerge w:val="continue"/>
            <w:vAlign w:val="center"/>
          </w:tcPr>
          <w:p w14:paraId="367B0508">
            <w:pPr>
              <w:adjustRightInd w:val="0"/>
              <w:snapToGrid w:val="0"/>
              <w:jc w:val="center"/>
              <w:rPr>
                <w:color w:val="000000" w:themeColor="text1"/>
                <w:sz w:val="24"/>
                <w14:textFill>
                  <w14:solidFill>
                    <w14:schemeClr w14:val="tx1"/>
                  </w14:solidFill>
                </w14:textFill>
              </w:rPr>
            </w:pPr>
          </w:p>
        </w:tc>
        <w:tc>
          <w:tcPr>
            <w:tcW w:w="533" w:type="pct"/>
            <w:vAlign w:val="center"/>
          </w:tcPr>
          <w:p w14:paraId="341FEE3E">
            <w:pPr>
              <w:pStyle w:val="79"/>
              <w:spacing w:line="240" w:lineRule="auto"/>
              <w:ind w:firstLine="0" w:firstLineChars="0"/>
              <w:rPr>
                <w:rFonts w:eastAsia="宋体"/>
                <w:color w:val="000000" w:themeColor="text1"/>
                <w:spacing w:val="16"/>
                <w14:textFill>
                  <w14:solidFill>
                    <w14:schemeClr w14:val="tx1"/>
                  </w14:solidFill>
                </w14:textFill>
              </w:rPr>
            </w:pPr>
            <w:r>
              <w:rPr>
                <w:rFonts w:eastAsia="宋体"/>
                <w:color w:val="000000" w:themeColor="text1"/>
                <w:spacing w:val="16"/>
                <w14:textFill>
                  <w14:solidFill>
                    <w14:schemeClr w14:val="tx1"/>
                  </w14:solidFill>
                </w14:textFill>
              </w:rPr>
              <w:t>石油类</w:t>
            </w:r>
          </w:p>
        </w:tc>
        <w:tc>
          <w:tcPr>
            <w:tcW w:w="1903" w:type="pct"/>
            <w:vMerge w:val="continue"/>
            <w:vAlign w:val="center"/>
          </w:tcPr>
          <w:p w14:paraId="6E123A23">
            <w:pPr>
              <w:adjustRightInd w:val="0"/>
              <w:snapToGrid w:val="0"/>
              <w:jc w:val="center"/>
              <w:rPr>
                <w:color w:val="000000" w:themeColor="text1"/>
                <w:sz w:val="24"/>
                <w14:textFill>
                  <w14:solidFill>
                    <w14:schemeClr w14:val="tx1"/>
                  </w14:solidFill>
                </w14:textFill>
              </w:rPr>
            </w:pPr>
          </w:p>
        </w:tc>
        <w:tc>
          <w:tcPr>
            <w:tcW w:w="938" w:type="pct"/>
            <w:vMerge w:val="continue"/>
            <w:vAlign w:val="center"/>
          </w:tcPr>
          <w:p w14:paraId="0A7BF416">
            <w:pPr>
              <w:jc w:val="center"/>
              <w:rPr>
                <w:color w:val="000000" w:themeColor="text1"/>
                <w:sz w:val="24"/>
                <w14:textFill>
                  <w14:solidFill>
                    <w14:schemeClr w14:val="tx1"/>
                  </w14:solidFill>
                </w14:textFill>
              </w:rPr>
            </w:pPr>
          </w:p>
        </w:tc>
        <w:tc>
          <w:tcPr>
            <w:tcW w:w="554" w:type="pct"/>
            <w:vAlign w:val="center"/>
          </w:tcPr>
          <w:p w14:paraId="0DC65236">
            <w:pPr>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20mg/L</w:t>
            </w:r>
          </w:p>
        </w:tc>
      </w:tr>
      <w:tr w14:paraId="54A2A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Merge w:val="continue"/>
            <w:vAlign w:val="center"/>
          </w:tcPr>
          <w:p w14:paraId="592AA0AE">
            <w:pPr>
              <w:adjustRightInd w:val="0"/>
              <w:snapToGrid w:val="0"/>
              <w:jc w:val="center"/>
              <w:rPr>
                <w:color w:val="000000" w:themeColor="text1"/>
                <w:sz w:val="24"/>
                <w14:textFill>
                  <w14:solidFill>
                    <w14:schemeClr w14:val="tx1"/>
                  </w14:solidFill>
                </w14:textFill>
              </w:rPr>
            </w:pPr>
          </w:p>
        </w:tc>
        <w:tc>
          <w:tcPr>
            <w:tcW w:w="670" w:type="pct"/>
            <w:gridSpan w:val="2"/>
            <w:vMerge w:val="continue"/>
            <w:vAlign w:val="center"/>
          </w:tcPr>
          <w:p w14:paraId="4A3C3B5E">
            <w:pPr>
              <w:adjustRightInd w:val="0"/>
              <w:snapToGrid w:val="0"/>
              <w:jc w:val="center"/>
              <w:rPr>
                <w:color w:val="000000" w:themeColor="text1"/>
                <w:sz w:val="24"/>
                <w14:textFill>
                  <w14:solidFill>
                    <w14:schemeClr w14:val="tx1"/>
                  </w14:solidFill>
                </w14:textFill>
              </w:rPr>
            </w:pPr>
          </w:p>
        </w:tc>
        <w:tc>
          <w:tcPr>
            <w:tcW w:w="533" w:type="pct"/>
            <w:vAlign w:val="center"/>
          </w:tcPr>
          <w:p w14:paraId="418F6D4D">
            <w:pPr>
              <w:pStyle w:val="79"/>
              <w:spacing w:line="240" w:lineRule="auto"/>
              <w:ind w:firstLine="0" w:firstLineChars="0"/>
              <w:rPr>
                <w:rFonts w:eastAsia="宋体"/>
                <w:color w:val="000000" w:themeColor="text1"/>
                <w:spacing w:val="16"/>
                <w14:textFill>
                  <w14:solidFill>
                    <w14:schemeClr w14:val="tx1"/>
                  </w14:solidFill>
                </w14:textFill>
              </w:rPr>
            </w:pPr>
            <w:r>
              <w:rPr>
                <w:rFonts w:eastAsia="宋体"/>
                <w:color w:val="000000" w:themeColor="text1"/>
                <w:spacing w:val="16"/>
                <w14:textFill>
                  <w14:solidFill>
                    <w14:schemeClr w14:val="tx1"/>
                  </w14:solidFill>
                </w14:textFill>
              </w:rPr>
              <w:t>总磷</w:t>
            </w:r>
          </w:p>
        </w:tc>
        <w:tc>
          <w:tcPr>
            <w:tcW w:w="1903" w:type="pct"/>
            <w:vMerge w:val="continue"/>
            <w:vAlign w:val="center"/>
          </w:tcPr>
          <w:p w14:paraId="304C1E28">
            <w:pPr>
              <w:adjustRightInd w:val="0"/>
              <w:snapToGrid w:val="0"/>
              <w:jc w:val="center"/>
              <w:rPr>
                <w:color w:val="000000" w:themeColor="text1"/>
                <w:sz w:val="24"/>
                <w14:textFill>
                  <w14:solidFill>
                    <w14:schemeClr w14:val="tx1"/>
                  </w14:solidFill>
                </w14:textFill>
              </w:rPr>
            </w:pPr>
          </w:p>
        </w:tc>
        <w:tc>
          <w:tcPr>
            <w:tcW w:w="938" w:type="pct"/>
            <w:vMerge w:val="continue"/>
            <w:vAlign w:val="center"/>
          </w:tcPr>
          <w:p w14:paraId="2583191B">
            <w:pPr>
              <w:jc w:val="center"/>
              <w:rPr>
                <w:color w:val="000000" w:themeColor="text1"/>
                <w:sz w:val="24"/>
                <w14:textFill>
                  <w14:solidFill>
                    <w14:schemeClr w14:val="tx1"/>
                  </w14:solidFill>
                </w14:textFill>
              </w:rPr>
            </w:pPr>
          </w:p>
        </w:tc>
        <w:tc>
          <w:tcPr>
            <w:tcW w:w="554" w:type="pct"/>
            <w:vAlign w:val="center"/>
          </w:tcPr>
          <w:p w14:paraId="2DFB4E46">
            <w:pPr>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8mg/L</w:t>
            </w:r>
          </w:p>
        </w:tc>
      </w:tr>
      <w:tr w14:paraId="5379C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7D136D2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670" w:type="pct"/>
            <w:gridSpan w:val="2"/>
            <w:vAlign w:val="center"/>
          </w:tcPr>
          <w:p w14:paraId="0FA12E86">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生产设备</w:t>
            </w:r>
          </w:p>
        </w:tc>
        <w:tc>
          <w:tcPr>
            <w:tcW w:w="533" w:type="pct"/>
            <w:vAlign w:val="center"/>
          </w:tcPr>
          <w:p w14:paraId="62559770">
            <w:pPr>
              <w:pStyle w:val="79"/>
              <w:spacing w:line="240" w:lineRule="auto"/>
              <w:ind w:firstLine="0" w:firstLineChars="0"/>
              <w:rPr>
                <w:rFonts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设备噪声</w:t>
            </w:r>
          </w:p>
        </w:tc>
        <w:tc>
          <w:tcPr>
            <w:tcW w:w="1903" w:type="pct"/>
            <w:vAlign w:val="center"/>
          </w:tcPr>
          <w:p w14:paraId="272AAEDB">
            <w:pPr>
              <w:pStyle w:val="79"/>
              <w:spacing w:line="240" w:lineRule="auto"/>
              <w:ind w:firstLine="0" w:firstLineChars="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建筑隔声、减震等</w:t>
            </w:r>
          </w:p>
        </w:tc>
        <w:tc>
          <w:tcPr>
            <w:tcW w:w="938" w:type="pct"/>
            <w:vAlign w:val="center"/>
          </w:tcPr>
          <w:p w14:paraId="28FB36C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《工业企业厂界环境噪声排放标准》（GB12348-2008）中3类标准</w:t>
            </w:r>
          </w:p>
        </w:tc>
        <w:tc>
          <w:tcPr>
            <w:tcW w:w="554" w:type="pct"/>
            <w:vAlign w:val="center"/>
          </w:tcPr>
          <w:p w14:paraId="61D9A0C2">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昼间≤65dB（A），夜间不生产</w:t>
            </w:r>
          </w:p>
        </w:tc>
      </w:tr>
      <w:tr w14:paraId="77BBB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23FAF52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4599" w:type="pct"/>
            <w:gridSpan w:val="6"/>
            <w:vAlign w:val="center"/>
          </w:tcPr>
          <w:p w14:paraId="3E1CD464">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1、生活垃圾：生活垃圾分类收集，定期交由环卫部门处理。</w:t>
            </w:r>
          </w:p>
          <w:p w14:paraId="08EF6F4D">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2、一般工业固废：设置一般固废暂存区1处，位于厂房南侧，面积约20m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，分类收集暂存项目产生的一般固废，做防渗、防流失处置。</w:t>
            </w:r>
          </w:p>
          <w:p w14:paraId="06ABDAEE">
            <w:pPr>
              <w:adjustRightInd w:val="0"/>
              <w:snapToGrid w:val="0"/>
              <w:ind w:firstLine="420" w:firstLineChars="200"/>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t>3、危险废物：厂区设置面积为10m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的危废贮存点（其中5m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用于暂存含油废金属屑，并于贮存点地坪四周设置接油沟和收集井，用于收集渗滤油料、5m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用于暂存其他危险废物），分类收集车间产生的危废。危废贮存点将做好“六防”措施（防风、防雨、防晒、防渗、防晒、防腐）要求，并设置托盘。危废贮存点的设置按照《危险废物贮存污染控制标准》（GB18597-2023）及修改单的要求处置。</w:t>
            </w:r>
          </w:p>
        </w:tc>
      </w:tr>
      <w:tr w14:paraId="60AF6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4FC28E2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4599" w:type="pct"/>
            <w:gridSpan w:val="6"/>
            <w:vAlign w:val="center"/>
          </w:tcPr>
          <w:p w14:paraId="2B757FD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0C55C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00E0DF6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4599" w:type="pct"/>
            <w:gridSpan w:val="6"/>
            <w:vAlign w:val="center"/>
          </w:tcPr>
          <w:p w14:paraId="2C9F18E5">
            <w:pPr>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1 \* GB3 </w:instrText>
            </w:r>
            <w:r>
              <w:rPr>
                <w:color w:val="000000" w:themeColor="text1"/>
                <w:kern w:val="0"/>
                <w:szCs w:val="21"/>
                <w14:textFill>
                  <w14:solidFill>
                    <w14:schemeClr w14:val="tx1"/>
                  </w14:solidFill>
                </w14:textFill>
              </w:rPr>
              <w:fldChar w:fldCharType="separate"/>
            </w:r>
            <w:r>
              <w:rPr>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fldChar w:fldCharType="end"/>
            </w:r>
            <w:r>
              <w:rPr>
                <w:color w:val="000000" w:themeColor="text1"/>
                <w:kern w:val="0"/>
                <w:szCs w:val="21"/>
                <w14:textFill>
                  <w14:solidFill>
                    <w14:schemeClr w14:val="tx1"/>
                  </w14:solidFill>
                </w14:textFill>
              </w:rPr>
              <w:t>重点防渗区包括</w:t>
            </w:r>
            <w:r>
              <w:rPr>
                <w:color w:val="000000" w:themeColor="text1"/>
                <w:szCs w:val="21"/>
                <w14:textFill>
                  <w14:solidFill>
                    <w14:schemeClr w14:val="tx1"/>
                  </w14:solidFill>
                </w14:textFill>
              </w:rPr>
              <w:t>危险废物贮存点、淬火区和化学品库房等，</w:t>
            </w:r>
            <w:r>
              <w:rPr>
                <w:bCs/>
                <w:color w:val="000000" w:themeColor="text1"/>
                <w:kern w:val="0"/>
                <w:szCs w:val="21"/>
                <w14:textFill>
                  <w14:solidFill>
                    <w14:schemeClr w14:val="tx1"/>
                  </w14:solidFill>
                </w14:textFill>
              </w:rPr>
              <w:t>地面按重点防渗区要求进行防腐防渗处理</w:t>
            </w:r>
            <w:r>
              <w:rPr>
                <w:color w:val="000000" w:themeColor="text1"/>
                <w:kern w:val="0"/>
                <w:szCs w:val="21"/>
                <w14:textFill>
                  <w14:solidFill>
                    <w14:schemeClr w14:val="tx1"/>
                  </w14:solidFill>
                </w14:textFill>
              </w:rPr>
              <w:t>；</w:t>
            </w:r>
          </w:p>
          <w:p w14:paraId="3D53E4DF">
            <w:pPr>
              <w:adjustRightInd w:val="0"/>
              <w:snapToGrid w:val="0"/>
              <w:rPr>
                <w:color w:val="000000" w:themeColor="text1"/>
                <w:sz w:val="24"/>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2 \* GB3 </w:instrText>
            </w:r>
            <w:r>
              <w:rPr>
                <w:color w:val="000000" w:themeColor="text1"/>
                <w:kern w:val="0"/>
                <w:szCs w:val="21"/>
                <w14:textFill>
                  <w14:solidFill>
                    <w14:schemeClr w14:val="tx1"/>
                  </w14:solidFill>
                </w14:textFill>
              </w:rPr>
              <w:fldChar w:fldCharType="separate"/>
            </w:r>
            <w:r>
              <w:rPr>
                <w:color w:val="000000" w:themeColor="text1"/>
                <w:kern w:val="0"/>
                <w:szCs w:val="21"/>
                <w14:textFill>
                  <w14:solidFill>
                    <w14:schemeClr w14:val="tx1"/>
                  </w14:solidFill>
                </w14:textFill>
              </w:rPr>
              <w:t>②</w:t>
            </w:r>
            <w:r>
              <w:rPr>
                <w:color w:val="000000" w:themeColor="text1"/>
                <w:kern w:val="0"/>
                <w:szCs w:val="21"/>
                <w14:textFill>
                  <w14:solidFill>
                    <w14:schemeClr w14:val="tx1"/>
                  </w14:solidFill>
                </w14:textFill>
              </w:rPr>
              <w:fldChar w:fldCharType="end"/>
            </w:r>
            <w:r>
              <w:rPr>
                <w:color w:val="000000" w:themeColor="text1"/>
                <w:szCs w:val="21"/>
                <w14:textFill>
                  <w14:solidFill>
                    <w14:schemeClr w14:val="tx1"/>
                  </w14:solidFill>
                </w14:textFill>
              </w:rPr>
              <w:t>一般防渗区包括一般固废暂存区、机加工区域、隔油沉淀池等，地坪做防渗处理</w:t>
            </w:r>
            <w:r>
              <w:rPr>
                <w:bCs/>
                <w:color w:val="000000" w:themeColor="text1"/>
                <w:kern w:val="0"/>
                <w:szCs w:val="21"/>
                <w14:textFill>
                  <w14:solidFill>
                    <w14:schemeClr w14:val="tx1"/>
                  </w14:solidFill>
                </w14:textFill>
              </w:rPr>
              <w:t>。</w:t>
            </w:r>
          </w:p>
        </w:tc>
      </w:tr>
      <w:tr w14:paraId="7B790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7CDD6A7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4599" w:type="pct"/>
            <w:gridSpan w:val="6"/>
            <w:vAlign w:val="center"/>
          </w:tcPr>
          <w:p w14:paraId="35AD509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6CB27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02BA6B80">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环境风险防范措施</w:t>
            </w:r>
          </w:p>
        </w:tc>
        <w:tc>
          <w:tcPr>
            <w:tcW w:w="4599" w:type="pct"/>
            <w:gridSpan w:val="6"/>
            <w:vAlign w:val="center"/>
          </w:tcPr>
          <w:p w14:paraId="7B2380F1">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①危废贮存点、油料库房、淬火槽等设置托盘。</w:t>
            </w:r>
          </w:p>
          <w:p w14:paraId="478E8643">
            <w:pPr>
              <w:pStyle w:val="152"/>
              <w:spacing w:line="240" w:lineRule="auto"/>
              <w:ind w:firstLine="0"/>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②桶装物料存放时，应保持通风，干燥、防止日光直接照射，并应隔绝火源、远离热源。设置禁火标志及防静电措施等，配备完善的消防、堵漏物资。存放区域应具有良好的通风环境。</w:t>
            </w:r>
          </w:p>
          <w:p w14:paraId="7C807246">
            <w:pPr>
              <w:adjustRightInd w:val="0"/>
              <w:snapToGrid w:val="0"/>
              <w:jc w:val="left"/>
              <w:rPr>
                <w:color w:val="000000" w:themeColor="text1"/>
                <w:sz w:val="24"/>
                <w14:textFill>
                  <w14:solidFill>
                    <w14:schemeClr w14:val="tx1"/>
                  </w14:solidFill>
                </w14:textFill>
              </w:rPr>
            </w:pPr>
            <w:r>
              <w:rPr>
                <w:color w:val="000000" w:themeColor="text1"/>
                <w14:textFill>
                  <w14:solidFill>
                    <w14:schemeClr w14:val="tx1"/>
                  </w14:solidFill>
                </w14:textFill>
              </w:rPr>
              <w:t>③项目厂房内长期配备足够的应急收集、救援物资，确保泄漏物料及时收集、转移。</w:t>
            </w:r>
          </w:p>
        </w:tc>
      </w:tr>
      <w:tr w14:paraId="22DFC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0" w:type="pct"/>
            <w:vAlign w:val="center"/>
          </w:tcPr>
          <w:p w14:paraId="134ECB39">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14:paraId="20930958">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4599" w:type="pct"/>
            <w:gridSpan w:val="6"/>
            <w:vAlign w:val="center"/>
          </w:tcPr>
          <w:p w14:paraId="56864BCE">
            <w:pPr>
              <w:pStyle w:val="137"/>
              <w:spacing w:line="240" w:lineRule="auto"/>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1、环境管理</w:t>
            </w:r>
          </w:p>
          <w:p w14:paraId="6DEA79DC">
            <w:pPr>
              <w:pStyle w:val="137"/>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由于该项目的生产厂房为现有厂房，施工期仅需对设备进行布置、安装、调试，对环境影响小，因此，本次评价重点关注企业运营期间的环境管理。</w:t>
            </w:r>
          </w:p>
          <w:p w14:paraId="59EAB35B">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为使拟建项目建设方投入的环保设施能正常发挥作用，对其进行科学有效的管理，评价要求建设方针对生产实际建立以公司总经理为主要负责人的环保管理网络体系。要求设置专门或兼职的环境管理机构，但必须有1人以上的专人负责日常环保管理工作，主要职责：</w:t>
            </w:r>
          </w:p>
          <w:p w14:paraId="33B95542">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（1）组织宣传贯彻国家环保方针政策和进行员工环保专业知识的教育。</w:t>
            </w:r>
          </w:p>
          <w:p w14:paraId="6ABB28DC">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（2）组织制订环保管理制度、年度实施计划和长远环保规划，并监督贯彻执行。</w:t>
            </w:r>
          </w:p>
          <w:p w14:paraId="672A41D8">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（3）提出可能造成的环境污染事故的防范、应急措施。</w:t>
            </w:r>
          </w:p>
          <w:p w14:paraId="5390F5C4">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（4）参加环保设施工程质量的检查、竣工验收以及污染事故的调查。</w:t>
            </w:r>
          </w:p>
          <w:p w14:paraId="243C8EFF">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（5）每季度对各环保设施运行情况全面检查一次。</w:t>
            </w:r>
          </w:p>
          <w:p w14:paraId="7BE2FE6F">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（6）负责强化对环保设施运行的监督，环保设施操作人员的技术培训，管理、建立环保设施运行、维护、维修等技术档案，确保环保设施处于正常运行情况，污染物排放连续达标。</w:t>
            </w:r>
          </w:p>
          <w:p w14:paraId="6F35036F">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应对兼职环保人员定期培训，确保环保设施的正常运行和污染物达标排放。项目单位负责整个运营期的环境管理工作。应作好的工作如下：</w:t>
            </w:r>
          </w:p>
          <w:p w14:paraId="3935BDA7">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（1）建立完善的环境管理机构，确定各部门及岗位的环境保护目标和可量化的指标。</w:t>
            </w:r>
          </w:p>
          <w:p w14:paraId="227EFA87">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（2）明确环保兼职人员的工作职责，制定并督促执行相应的环境保护规章制度。如岗位责任制、操作规程、安全制度、环境设施管理规定等，对员工进行定期和不定期的环境保护知识培训，</w:t>
            </w:r>
            <w:r>
              <w:rPr>
                <w:rFonts w:hint="eastAsia" w:eastAsia="宋体"/>
                <w:bCs/>
                <w:color w:val="000000" w:themeColor="text1"/>
                <w:sz w:val="21"/>
                <w:szCs w:val="21"/>
                <w14:textFill>
                  <w14:solidFill>
                    <w14:schemeClr w14:val="tx1"/>
                  </w14:solidFill>
                </w14:textFill>
              </w:rPr>
              <w:t>增强</w:t>
            </w:r>
            <w:r>
              <w:rPr>
                <w:rFonts w:eastAsia="宋体"/>
                <w:bCs/>
                <w:color w:val="000000" w:themeColor="text1"/>
                <w:sz w:val="21"/>
                <w:szCs w:val="21"/>
                <w14:textFill>
                  <w14:solidFill>
                    <w14:schemeClr w14:val="tx1"/>
                  </w14:solidFill>
                </w14:textFill>
              </w:rPr>
              <w:t>职工的环境保护意识，保证环境管理和环保工作顺利进行。</w:t>
            </w:r>
          </w:p>
          <w:p w14:paraId="597DA726">
            <w:pPr>
              <w:pStyle w:val="137"/>
              <w:spacing w:line="240" w:lineRule="auto"/>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（3）落实好项目的环保设计方案，增加环保投入，切实按照设计要求实施，确保环保设施的建设，使环保工程达到预期效果。</w:t>
            </w:r>
          </w:p>
          <w:p w14:paraId="58E1B5C6">
            <w:pPr>
              <w:pStyle w:val="137"/>
              <w:spacing w:line="240" w:lineRule="auto"/>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2、排污口设置及规范化要求</w:t>
            </w:r>
          </w:p>
          <w:p w14:paraId="02D3B42B">
            <w:pPr>
              <w:pStyle w:val="137"/>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根据国家环保总局《关于开展排放口规范化整治工作的通知》（环发</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1999</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24号）以及重庆市环保局《重庆市排放污染物许可证管理办法》（渝环发</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2001</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559号）、《排污口规范化整治方案》（渝环发</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2002</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27号）和《重庆市排污口规范化清理整治实施方案》（渝环发</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2012</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26号）要求，企业应按要求对废气排放口进行规整，具体内容如下：</w:t>
            </w:r>
          </w:p>
          <w:p w14:paraId="592585B1">
            <w:pPr>
              <w:pStyle w:val="137"/>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①项目生产过程中设置1#、2#排气筒，排气筒高于主车间顶部，应在废气出、入口均设置采样平台监测采样口，采样口设置应符合《污染源技术规范》要求；采样口必须设置常备电源。</w:t>
            </w:r>
          </w:p>
          <w:p w14:paraId="7965FD8F">
            <w:pPr>
              <w:pStyle w:val="137"/>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②排气筒应设置、注明以下内容：标准编号、污染源名称及型号；排放高度、出口直径；排气量、最大允许排放浓度；排放大气污染物的名称、最大允许排放量。</w:t>
            </w:r>
          </w:p>
          <w:p w14:paraId="07482A26">
            <w:pPr>
              <w:pStyle w:val="137"/>
              <w:rPr>
                <w:rFonts w:eastAsia="宋体"/>
                <w:color w:val="000000" w:themeColor="text1"/>
                <w14:textFill>
                  <w14:solidFill>
                    <w14:schemeClr w14:val="tx1"/>
                  </w14:solidFill>
                </w14:textFill>
              </w:rPr>
            </w:pPr>
          </w:p>
          <w:p w14:paraId="5AD0B6C6">
            <w:pPr>
              <w:pStyle w:val="137"/>
              <w:rPr>
                <w:rFonts w:eastAsia="宋体"/>
                <w:color w:val="000000" w:themeColor="text1"/>
                <w14:textFill>
                  <w14:solidFill>
                    <w14:schemeClr w14:val="tx1"/>
                  </w14:solidFill>
                </w14:textFill>
              </w:rPr>
            </w:pPr>
          </w:p>
          <w:p w14:paraId="12097135">
            <w:pPr>
              <w:pStyle w:val="137"/>
              <w:rPr>
                <w:rFonts w:eastAsia="宋体"/>
                <w:color w:val="000000" w:themeColor="text1"/>
                <w14:textFill>
                  <w14:solidFill>
                    <w14:schemeClr w14:val="tx1"/>
                  </w14:solidFill>
                </w14:textFill>
              </w:rPr>
            </w:pPr>
          </w:p>
          <w:p w14:paraId="2A02B10E">
            <w:pPr>
              <w:pStyle w:val="137"/>
              <w:rPr>
                <w:rFonts w:eastAsia="宋体"/>
                <w:color w:val="000000" w:themeColor="text1"/>
                <w14:textFill>
                  <w14:solidFill>
                    <w14:schemeClr w14:val="tx1"/>
                  </w14:solidFill>
                </w14:textFill>
              </w:rPr>
            </w:pPr>
          </w:p>
          <w:p w14:paraId="18A10733">
            <w:pPr>
              <w:pStyle w:val="137"/>
              <w:rPr>
                <w:rFonts w:eastAsia="宋体"/>
                <w:color w:val="000000" w:themeColor="text1"/>
                <w14:textFill>
                  <w14:solidFill>
                    <w14:schemeClr w14:val="tx1"/>
                  </w14:solidFill>
                </w14:textFill>
              </w:rPr>
            </w:pPr>
          </w:p>
          <w:p w14:paraId="7C2132F9">
            <w:pPr>
              <w:pStyle w:val="137"/>
              <w:rPr>
                <w:rFonts w:eastAsia="宋体"/>
                <w:color w:val="000000" w:themeColor="text1"/>
                <w14:textFill>
                  <w14:solidFill>
                    <w14:schemeClr w14:val="tx1"/>
                  </w14:solidFill>
                </w14:textFill>
              </w:rPr>
            </w:pPr>
          </w:p>
          <w:p w14:paraId="151B2AE4">
            <w:pPr>
              <w:pStyle w:val="137"/>
              <w:rPr>
                <w:rFonts w:eastAsia="宋体"/>
                <w:color w:val="000000" w:themeColor="text1"/>
                <w14:textFill>
                  <w14:solidFill>
                    <w14:schemeClr w14:val="tx1"/>
                  </w14:solidFill>
                </w14:textFill>
              </w:rPr>
            </w:pPr>
          </w:p>
          <w:p w14:paraId="729C4E90">
            <w:pPr>
              <w:pStyle w:val="137"/>
              <w:rPr>
                <w:rFonts w:eastAsia="宋体"/>
                <w:color w:val="000000" w:themeColor="text1"/>
                <w14:textFill>
                  <w14:solidFill>
                    <w14:schemeClr w14:val="tx1"/>
                  </w14:solidFill>
                </w14:textFill>
              </w:rPr>
            </w:pPr>
          </w:p>
          <w:p w14:paraId="1622FB7C">
            <w:pPr>
              <w:pStyle w:val="137"/>
              <w:rPr>
                <w:rFonts w:eastAsia="宋体"/>
                <w:color w:val="000000" w:themeColor="text1"/>
                <w14:textFill>
                  <w14:solidFill>
                    <w14:schemeClr w14:val="tx1"/>
                  </w14:solidFill>
                </w14:textFill>
              </w:rPr>
            </w:pPr>
          </w:p>
          <w:p w14:paraId="2ECDD70B">
            <w:pPr>
              <w:pStyle w:val="137"/>
              <w:rPr>
                <w:rFonts w:eastAsia="宋体"/>
                <w:color w:val="000000" w:themeColor="text1"/>
                <w14:textFill>
                  <w14:solidFill>
                    <w14:schemeClr w14:val="tx1"/>
                  </w14:solidFill>
                </w14:textFill>
              </w:rPr>
            </w:pPr>
          </w:p>
          <w:p w14:paraId="20A3726D">
            <w:pPr>
              <w:pStyle w:val="137"/>
              <w:rPr>
                <w:rFonts w:eastAsia="宋体"/>
                <w:color w:val="000000" w:themeColor="text1"/>
                <w14:textFill>
                  <w14:solidFill>
                    <w14:schemeClr w14:val="tx1"/>
                  </w14:solidFill>
                </w14:textFill>
              </w:rPr>
            </w:pPr>
          </w:p>
          <w:p w14:paraId="63B3819F">
            <w:pPr>
              <w:pStyle w:val="137"/>
              <w:ind w:firstLine="0"/>
              <w:rPr>
                <w:rFonts w:eastAsia="宋体"/>
                <w:color w:val="000000" w:themeColor="text1"/>
                <w14:textFill>
                  <w14:solidFill>
                    <w14:schemeClr w14:val="tx1"/>
                  </w14:solidFill>
                </w14:textFill>
              </w:rPr>
            </w:pPr>
          </w:p>
        </w:tc>
      </w:tr>
    </w:tbl>
    <w:p w14:paraId="2CB7FB29">
      <w:pPr>
        <w:pStyle w:val="22"/>
        <w:jc w:val="center"/>
        <w:outlineLvl w:val="0"/>
        <w:rPr>
          <w:rFonts w:ascii="Times New Roman" w:hAnsi="Times New Roman" w:cs="Times New Roman"/>
          <w:snapToGrid w:val="0"/>
          <w:color w:val="000000" w:themeColor="text1"/>
          <w:sz w:val="30"/>
          <w:szCs w:val="30"/>
          <w14:textFill>
            <w14:solidFill>
              <w14:schemeClr w14:val="tx1"/>
            </w14:solidFill>
          </w14:textFill>
        </w:rPr>
        <w:sectPr>
          <w:pgSz w:w="16838" w:h="11906" w:orient="landscape"/>
          <w:pgMar w:top="1531" w:right="1701" w:bottom="1531" w:left="1701" w:header="851" w:footer="851" w:gutter="0"/>
          <w:cols w:space="720" w:num="1"/>
          <w:docGrid w:linePitch="312" w:charSpace="0"/>
        </w:sectPr>
      </w:pPr>
    </w:p>
    <w:p w14:paraId="0EEEA241">
      <w:pPr>
        <w:pStyle w:val="22"/>
        <w:jc w:val="center"/>
        <w:outlineLvl w:val="0"/>
        <w:rPr>
          <w:rFonts w:ascii="Times New Roman" w:hAnsi="Times New Roman" w:cs="Times New Roman"/>
          <w:b/>
          <w:snapToGrid w:val="0"/>
          <w:color w:val="000000" w:themeColor="text1"/>
          <w:sz w:val="30"/>
          <w:szCs w:val="30"/>
          <w14:textFill>
            <w14:solidFill>
              <w14:schemeClr w14:val="tx1"/>
            </w14:solidFill>
          </w14:textFill>
        </w:rPr>
      </w:pPr>
      <w:r>
        <w:rPr>
          <w:rFonts w:ascii="Times New Roman" w:hAnsi="Times New Roman" w:cs="Times New Roman"/>
          <w:b/>
          <w:snapToGrid w:val="0"/>
          <w:color w:val="000000" w:themeColor="text1"/>
          <w:sz w:val="30"/>
          <w:szCs w:val="30"/>
          <w14:textFill>
            <w14:solidFill>
              <w14:schemeClr w14:val="tx1"/>
            </w14:solidFill>
          </w14:textFill>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2969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34C1869">
            <w:pPr>
              <w:pStyle w:val="13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华控新程自动化技术（重庆）有限公司“年产1万台智能流体控制产品项目”符合国家和地方产业政策，选址合理，总平面布置合理。在落实本评价要求的污染治理措施，并加强营运期环境保护管理后，可以做到达标排放，能有效防止废水、废气、噪声对周围环境的影响。因此，从环境保护的角度分析，该项目可行。</w:t>
            </w:r>
          </w:p>
        </w:tc>
      </w:tr>
    </w:tbl>
    <w:p w14:paraId="052B9BB5">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6B002A83">
      <w:pPr>
        <w:pStyle w:val="22"/>
        <w:adjustRightInd w:val="0"/>
        <w:snapToGrid w:val="0"/>
        <w:spacing w:before="0" w:beforeAutospacing="0" w:after="0" w:afterAutospacing="0"/>
        <w:outlineLvl w:val="0"/>
        <w:rPr>
          <w:rFonts w:ascii="Times New Roman" w:hAnsi="Times New Roman" w:cs="Times New Roman"/>
          <w:snapToGrid w:val="0"/>
          <w:color w:val="000000" w:themeColor="text1"/>
          <w:szCs w:val="24"/>
          <w14:textFill>
            <w14:solidFill>
              <w14:schemeClr w14:val="tx1"/>
            </w14:solidFill>
          </w14:textFill>
        </w:rPr>
      </w:pPr>
      <w:r>
        <w:rPr>
          <w:rFonts w:ascii="Times New Roman" w:hAnsi="Times New Roman" w:cs="Times New Roman"/>
          <w:snapToGrid w:val="0"/>
          <w:color w:val="000000" w:themeColor="text1"/>
          <w:szCs w:val="24"/>
          <w14:textFill>
            <w14:solidFill>
              <w14:schemeClr w14:val="tx1"/>
            </w14:solidFill>
          </w14:textFill>
        </w:rPr>
        <w:t>附表</w:t>
      </w:r>
    </w:p>
    <w:p w14:paraId="5B8FB5DC">
      <w:pPr>
        <w:pStyle w:val="22"/>
        <w:adjustRightInd w:val="0"/>
        <w:snapToGrid w:val="0"/>
        <w:spacing w:before="0" w:beforeAutospacing="0" w:after="0" w:afterAutospacing="0"/>
        <w:jc w:val="center"/>
        <w:outlineLvl w:val="0"/>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84"/>
        <w:gridCol w:w="1417"/>
        <w:gridCol w:w="1276"/>
        <w:gridCol w:w="1276"/>
        <w:gridCol w:w="1842"/>
        <w:gridCol w:w="1276"/>
        <w:gridCol w:w="1985"/>
        <w:gridCol w:w="2032"/>
      </w:tblGrid>
      <w:tr w14:paraId="7C179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blHeader/>
        </w:trPr>
        <w:tc>
          <w:tcPr>
            <w:tcW w:w="1100" w:type="dxa"/>
            <w:tcBorders>
              <w:tl2br w:val="single" w:color="auto" w:sz="4" w:space="0"/>
            </w:tcBorders>
            <w:tcMar>
              <w:left w:w="28" w:type="dxa"/>
              <w:right w:w="28" w:type="dxa"/>
            </w:tcMar>
            <w:vAlign w:val="center"/>
          </w:tcPr>
          <w:p w14:paraId="12DEE7D4">
            <w:pPr>
              <w:pStyle w:val="37"/>
              <w:spacing w:beforeLines="0" w:afterLines="0" w:line="240" w:lineRule="auto"/>
              <w:jc w:val="right"/>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项目</w:t>
            </w:r>
          </w:p>
          <w:p w14:paraId="7859246E">
            <w:pPr>
              <w:pStyle w:val="37"/>
              <w:spacing w:beforeLines="0" w:afterLines="0" w:line="240" w:lineRule="auto"/>
              <w:jc w:val="left"/>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分类</w:t>
            </w:r>
          </w:p>
        </w:tc>
        <w:tc>
          <w:tcPr>
            <w:tcW w:w="1584" w:type="dxa"/>
            <w:tcMar>
              <w:left w:w="28" w:type="dxa"/>
              <w:right w:w="28" w:type="dxa"/>
            </w:tcMar>
            <w:vAlign w:val="center"/>
          </w:tcPr>
          <w:p w14:paraId="510EE541">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污染物名称</w:t>
            </w:r>
          </w:p>
        </w:tc>
        <w:tc>
          <w:tcPr>
            <w:tcW w:w="1417" w:type="dxa"/>
            <w:tcMar>
              <w:left w:w="28" w:type="dxa"/>
              <w:right w:w="28" w:type="dxa"/>
            </w:tcMar>
            <w:vAlign w:val="center"/>
          </w:tcPr>
          <w:p w14:paraId="6B882BB3">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现有工程</w:t>
            </w:r>
          </w:p>
          <w:p w14:paraId="36B472DC">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①</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14:paraId="1DE56921">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现有工程</w:t>
            </w:r>
          </w:p>
          <w:p w14:paraId="2C878FBC">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许可排放量</w:t>
            </w:r>
          </w:p>
          <w:p w14:paraId="74C02C5B">
            <w:pPr>
              <w:pStyle w:val="37"/>
              <w:spacing w:beforeLines="0" w:afterLines="0"/>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2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snapToGrid w:val="0"/>
                <w:color w:val="000000" w:themeColor="text1"/>
                <w:spacing w:val="-6"/>
                <w:kern w:val="21"/>
                <w:szCs w:val="21"/>
                <w14:textFill>
                  <w14:solidFill>
                    <w14:schemeClr w14:val="tx1"/>
                  </w14:solidFill>
                </w14:textFill>
              </w:rPr>
              <w:t>②</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14:paraId="3E09CA04">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在建工程</w:t>
            </w:r>
          </w:p>
          <w:p w14:paraId="373C7E54">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③</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842" w:type="dxa"/>
            <w:tcMar>
              <w:left w:w="28" w:type="dxa"/>
              <w:right w:w="28" w:type="dxa"/>
            </w:tcMar>
            <w:vAlign w:val="center"/>
          </w:tcPr>
          <w:p w14:paraId="3109B32F">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拟建项目</w:t>
            </w:r>
          </w:p>
          <w:p w14:paraId="10E710B0">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④</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14:paraId="6730C4DE">
            <w:pPr>
              <w:pStyle w:val="37"/>
              <w:spacing w:beforeLines="0" w:afterLines="0" w:line="240" w:lineRule="auto"/>
              <w:rPr>
                <w:rFonts w:ascii="Times New Roman" w:hAnsi="Times New Roman" w:eastAsia="宋体" w:cs="Times New Roman"/>
                <w:snapToGrid w:val="0"/>
                <w:color w:val="000000" w:themeColor="text1"/>
                <w:spacing w:val="-16"/>
                <w:kern w:val="21"/>
                <w:szCs w:val="21"/>
                <w14:textFill>
                  <w14:solidFill>
                    <w14:schemeClr w14:val="tx1"/>
                  </w14:solidFill>
                </w14:textFill>
              </w:rPr>
            </w:pPr>
            <w:r>
              <w:rPr>
                <w:rFonts w:ascii="Times New Roman" w:hAnsi="Times New Roman" w:eastAsia="宋体" w:cs="Times New Roman"/>
                <w:snapToGrid w:val="0"/>
                <w:color w:val="000000" w:themeColor="text1"/>
                <w:spacing w:val="-16"/>
                <w:kern w:val="21"/>
                <w:szCs w:val="21"/>
                <w14:textFill>
                  <w14:solidFill>
                    <w14:schemeClr w14:val="tx1"/>
                  </w14:solidFill>
                </w14:textFill>
              </w:rPr>
              <w:t>以新带老削减量（新建项目不填）</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⑤</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985" w:type="dxa"/>
            <w:tcMar>
              <w:left w:w="28" w:type="dxa"/>
              <w:right w:w="28" w:type="dxa"/>
            </w:tcMar>
            <w:vAlign w:val="center"/>
          </w:tcPr>
          <w:p w14:paraId="523FB2B2">
            <w:pPr>
              <w:pStyle w:val="37"/>
              <w:spacing w:beforeLines="0" w:afterLines="0" w:line="240" w:lineRule="auto"/>
              <w:rPr>
                <w:rFonts w:ascii="Times New Roman" w:hAnsi="Times New Roman" w:eastAsia="宋体" w:cs="Times New Roman"/>
                <w:snapToGrid w:val="0"/>
                <w:color w:val="000000" w:themeColor="text1"/>
                <w:spacing w:val="-16"/>
                <w:kern w:val="21"/>
                <w:szCs w:val="21"/>
                <w14:textFill>
                  <w14:solidFill>
                    <w14:schemeClr w14:val="tx1"/>
                  </w14:solidFill>
                </w14:textFill>
              </w:rPr>
            </w:pPr>
            <w:r>
              <w:rPr>
                <w:rFonts w:ascii="Times New Roman" w:hAnsi="Times New Roman" w:eastAsia="宋体" w:cs="Times New Roman"/>
                <w:snapToGrid w:val="0"/>
                <w:color w:val="000000" w:themeColor="text1"/>
                <w:spacing w:val="-16"/>
                <w:kern w:val="21"/>
                <w:szCs w:val="21"/>
                <w14:textFill>
                  <w14:solidFill>
                    <w14:schemeClr w14:val="tx1"/>
                  </w14:solidFill>
                </w14:textFill>
              </w:rPr>
              <w:t>拟建项目建成后</w:t>
            </w:r>
          </w:p>
          <w:p w14:paraId="4D0ED183">
            <w:pPr>
              <w:pStyle w:val="37"/>
              <w:spacing w:beforeLines="0" w:afterLines="0" w:line="240" w:lineRule="auto"/>
              <w:rPr>
                <w:rFonts w:ascii="Times New Roman" w:hAnsi="Times New Roman" w:eastAsia="宋体" w:cs="Times New Roman"/>
                <w:snapToGrid w:val="0"/>
                <w:color w:val="000000" w:themeColor="text1"/>
                <w:spacing w:val="-16"/>
                <w:kern w:val="21"/>
                <w:szCs w:val="21"/>
                <w14:textFill>
                  <w14:solidFill>
                    <w14:schemeClr w14:val="tx1"/>
                  </w14:solidFill>
                </w14:textFill>
              </w:rPr>
            </w:pPr>
            <w:r>
              <w:rPr>
                <w:rFonts w:ascii="Times New Roman" w:hAnsi="Times New Roman" w:eastAsia="宋体" w:cs="Times New Roman"/>
                <w:snapToGrid w:val="0"/>
                <w:color w:val="000000" w:themeColor="text1"/>
                <w:spacing w:val="-16"/>
                <w:kern w:val="21"/>
                <w:szCs w:val="21"/>
                <w14:textFill>
                  <w14:solidFill>
                    <w14:schemeClr w14:val="tx1"/>
                  </w14:solidFill>
                </w14:textFill>
              </w:rPr>
              <w:t>全厂排放量（固体废物产生量）</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⑥</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2032" w:type="dxa"/>
            <w:tcMar>
              <w:left w:w="28" w:type="dxa"/>
              <w:right w:w="28" w:type="dxa"/>
            </w:tcMar>
            <w:vAlign w:val="center"/>
          </w:tcPr>
          <w:p w14:paraId="628B3E95">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变化量</w:t>
            </w:r>
          </w:p>
          <w:p w14:paraId="31D3BC45">
            <w:pPr>
              <w:pStyle w:val="37"/>
              <w:spacing w:beforeLines="0" w:afterLines="0" w:line="240" w:lineRule="auto"/>
              <w:rPr>
                <w:rFonts w:ascii="Times New Roman" w:hAnsi="Times New Roman" w:eastAsia="宋体" w:cs="Times New Roman"/>
                <w:snapToGrid w:val="0"/>
                <w:color w:val="000000" w:themeColor="text1"/>
                <w:spacing w:val="-6"/>
                <w:kern w:val="21"/>
                <w:szCs w:val="21"/>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⑦</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r>
      <w:tr w14:paraId="5AA31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00" w:type="dxa"/>
            <w:vMerge w:val="restart"/>
            <w:vAlign w:val="center"/>
          </w:tcPr>
          <w:p w14:paraId="4427EB14">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废气（有组织t/a）</w:t>
            </w:r>
          </w:p>
        </w:tc>
        <w:tc>
          <w:tcPr>
            <w:tcW w:w="1584" w:type="dxa"/>
            <w:vAlign w:val="center"/>
          </w:tcPr>
          <w:p w14:paraId="3D05083A">
            <w:pPr>
              <w:pStyle w:val="8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1417" w:type="dxa"/>
            <w:vAlign w:val="center"/>
          </w:tcPr>
          <w:p w14:paraId="10D81CD8">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276" w:type="dxa"/>
            <w:vAlign w:val="center"/>
          </w:tcPr>
          <w:p w14:paraId="028AD66C">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276" w:type="dxa"/>
            <w:vAlign w:val="center"/>
          </w:tcPr>
          <w:p w14:paraId="571F6776">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35DFD1F2">
            <w:pPr>
              <w:adjustRightInd w:val="0"/>
              <w:snapToGrid w:val="0"/>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0.112</w:t>
            </w:r>
          </w:p>
        </w:tc>
        <w:tc>
          <w:tcPr>
            <w:tcW w:w="1276" w:type="dxa"/>
            <w:vAlign w:val="center"/>
          </w:tcPr>
          <w:p w14:paraId="7DA47EB4">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00A06C9F">
            <w:pPr>
              <w:adjustRightInd w:val="0"/>
              <w:snapToGrid w:val="0"/>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0.112</w:t>
            </w:r>
          </w:p>
        </w:tc>
        <w:tc>
          <w:tcPr>
            <w:tcW w:w="2032" w:type="dxa"/>
            <w:vAlign w:val="center"/>
          </w:tcPr>
          <w:p w14:paraId="500A2709">
            <w:pPr>
              <w:adjustRightInd w:val="0"/>
              <w:snapToGrid w:val="0"/>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+0.112</w:t>
            </w:r>
          </w:p>
        </w:tc>
      </w:tr>
      <w:tr w14:paraId="5CF51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51C83531">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6FF0B567">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1417" w:type="dxa"/>
            <w:vAlign w:val="center"/>
          </w:tcPr>
          <w:p w14:paraId="1D241792">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276" w:type="dxa"/>
            <w:vAlign w:val="center"/>
          </w:tcPr>
          <w:p w14:paraId="3D9EAA58">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276" w:type="dxa"/>
            <w:vAlign w:val="center"/>
          </w:tcPr>
          <w:p w14:paraId="5FDAD14B">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1B1891E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0.015</w:t>
            </w:r>
          </w:p>
        </w:tc>
        <w:tc>
          <w:tcPr>
            <w:tcW w:w="1276" w:type="dxa"/>
            <w:vAlign w:val="center"/>
          </w:tcPr>
          <w:p w14:paraId="34999D7D">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0EA95DF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0.015</w:t>
            </w:r>
          </w:p>
        </w:tc>
        <w:tc>
          <w:tcPr>
            <w:tcW w:w="2032" w:type="dxa"/>
            <w:vAlign w:val="center"/>
          </w:tcPr>
          <w:p w14:paraId="5BD78BBC">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+0.015</w:t>
            </w:r>
          </w:p>
        </w:tc>
      </w:tr>
      <w:tr w14:paraId="1BF83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restart"/>
            <w:vAlign w:val="center"/>
          </w:tcPr>
          <w:p w14:paraId="20EFB455">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废水（排入环境t/a）</w:t>
            </w:r>
          </w:p>
        </w:tc>
        <w:tc>
          <w:tcPr>
            <w:tcW w:w="1584" w:type="dxa"/>
            <w:vAlign w:val="center"/>
          </w:tcPr>
          <w:p w14:paraId="5D233B3D">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COD</w:t>
            </w:r>
          </w:p>
        </w:tc>
        <w:tc>
          <w:tcPr>
            <w:tcW w:w="1417" w:type="dxa"/>
            <w:vAlign w:val="center"/>
          </w:tcPr>
          <w:p w14:paraId="1EA445D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52F9EA9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46EC60BB">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446B6844">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0.0186</w:t>
            </w:r>
          </w:p>
        </w:tc>
        <w:tc>
          <w:tcPr>
            <w:tcW w:w="1276" w:type="dxa"/>
            <w:vAlign w:val="center"/>
          </w:tcPr>
          <w:p w14:paraId="6CDD4EE6">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7743495B">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0.0186</w:t>
            </w:r>
          </w:p>
        </w:tc>
        <w:tc>
          <w:tcPr>
            <w:tcW w:w="2032" w:type="dxa"/>
            <w:vAlign w:val="center"/>
          </w:tcPr>
          <w:p w14:paraId="75D38DBF">
            <w:pPr>
              <w:adjustRightInd w:val="0"/>
              <w:snapToGrid w:val="0"/>
              <w:jc w:val="center"/>
              <w:rPr>
                <w:rFonts w:hint="eastAsia" w:eastAsia="宋体"/>
                <w:color w:val="000000" w:themeColor="text1"/>
                <w:szCs w:val="21"/>
                <w:lang w:eastAsia="zh-CN"/>
                <w14:textFill>
                  <w14:solidFill>
                    <w14:schemeClr w14:val="tx1"/>
                  </w14:solidFill>
                </w14:textFill>
              </w:rPr>
            </w:pPr>
            <w:r>
              <w:rPr>
                <w:snapToGrid w:val="0"/>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0.0186</w:t>
            </w:r>
          </w:p>
        </w:tc>
      </w:tr>
      <w:tr w14:paraId="1BF49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22BB08EA">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187F6AAE">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pacing w:val="5"/>
                <w:sz w:val="21"/>
                <w:szCs w:val="21"/>
                <w14:textFill>
                  <w14:solidFill>
                    <w14:schemeClr w14:val="tx1"/>
                  </w14:solidFill>
                </w14:textFill>
              </w:rPr>
              <w:t>BOD</w:t>
            </w:r>
            <w:r>
              <w:rPr>
                <w:rFonts w:eastAsia="宋体"/>
                <w:color w:val="000000" w:themeColor="text1"/>
                <w:spacing w:val="5"/>
                <w:position w:val="-1"/>
                <w:sz w:val="21"/>
                <w:szCs w:val="21"/>
                <w:vertAlign w:val="subscript"/>
                <w14:textFill>
                  <w14:solidFill>
                    <w14:schemeClr w14:val="tx1"/>
                  </w14:solidFill>
                </w14:textFill>
              </w:rPr>
              <w:t>5</w:t>
            </w:r>
          </w:p>
        </w:tc>
        <w:tc>
          <w:tcPr>
            <w:tcW w:w="1417" w:type="dxa"/>
            <w:vAlign w:val="center"/>
          </w:tcPr>
          <w:p w14:paraId="38EB59B8">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173C3D90">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40614DC7">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7E4A6423">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0.0037</w:t>
            </w:r>
          </w:p>
        </w:tc>
        <w:tc>
          <w:tcPr>
            <w:tcW w:w="1276" w:type="dxa"/>
            <w:vAlign w:val="center"/>
          </w:tcPr>
          <w:p w14:paraId="0B726446">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6FEDAADB">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0.0037</w:t>
            </w:r>
          </w:p>
        </w:tc>
        <w:tc>
          <w:tcPr>
            <w:tcW w:w="2032" w:type="dxa"/>
            <w:vAlign w:val="center"/>
          </w:tcPr>
          <w:p w14:paraId="2CA8A678">
            <w:pPr>
              <w:adjustRightInd w:val="0"/>
              <w:snapToGrid w:val="0"/>
              <w:jc w:val="center"/>
              <w:rPr>
                <w:rFonts w:hint="eastAsia" w:eastAsia="宋体"/>
                <w:color w:val="000000" w:themeColor="text1"/>
                <w:szCs w:val="21"/>
                <w:lang w:eastAsia="zh-CN"/>
                <w14:textFill>
                  <w14:solidFill>
                    <w14:schemeClr w14:val="tx1"/>
                  </w14:solidFill>
                </w14:textFill>
              </w:rPr>
            </w:pPr>
            <w:r>
              <w:rPr>
                <w:snapToGrid w:val="0"/>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0.0037</w:t>
            </w:r>
          </w:p>
        </w:tc>
      </w:tr>
      <w:tr w14:paraId="578A0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6EBD98EB">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3A29F1D4">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SS</w:t>
            </w:r>
          </w:p>
        </w:tc>
        <w:tc>
          <w:tcPr>
            <w:tcW w:w="1417" w:type="dxa"/>
            <w:vAlign w:val="center"/>
          </w:tcPr>
          <w:p w14:paraId="5EEFE35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00BF808B">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1080F053">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552357D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0.0037</w:t>
            </w:r>
          </w:p>
        </w:tc>
        <w:tc>
          <w:tcPr>
            <w:tcW w:w="1276" w:type="dxa"/>
            <w:vAlign w:val="center"/>
          </w:tcPr>
          <w:p w14:paraId="13FF5A9B">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25E5F0EE">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0.0037</w:t>
            </w:r>
          </w:p>
        </w:tc>
        <w:tc>
          <w:tcPr>
            <w:tcW w:w="2032" w:type="dxa"/>
            <w:vAlign w:val="center"/>
          </w:tcPr>
          <w:p w14:paraId="19FDF94E">
            <w:pPr>
              <w:adjustRightInd w:val="0"/>
              <w:snapToGrid w:val="0"/>
              <w:jc w:val="center"/>
              <w:rPr>
                <w:rFonts w:hint="eastAsia" w:eastAsia="宋体"/>
                <w:color w:val="000000" w:themeColor="text1"/>
                <w:szCs w:val="21"/>
                <w:lang w:eastAsia="zh-CN"/>
                <w14:textFill>
                  <w14:solidFill>
                    <w14:schemeClr w14:val="tx1"/>
                  </w14:solidFill>
                </w14:textFill>
              </w:rPr>
            </w:pPr>
            <w:r>
              <w:rPr>
                <w:snapToGrid w:val="0"/>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0.0037</w:t>
            </w:r>
          </w:p>
        </w:tc>
      </w:tr>
      <w:tr w14:paraId="402C3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37FD64E3">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6C11AEB4">
            <w:pPr>
              <w:pStyle w:val="79"/>
              <w:spacing w:line="240" w:lineRule="auto"/>
              <w:ind w:firstLine="0" w:firstLineChars="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w:t>
            </w:r>
          </w:p>
        </w:tc>
        <w:tc>
          <w:tcPr>
            <w:tcW w:w="1417" w:type="dxa"/>
            <w:vAlign w:val="center"/>
          </w:tcPr>
          <w:p w14:paraId="1F20DA89">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5083B96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0CECB2C8">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0D8AC1BE">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0.0019</w:t>
            </w:r>
          </w:p>
        </w:tc>
        <w:tc>
          <w:tcPr>
            <w:tcW w:w="1276" w:type="dxa"/>
            <w:vAlign w:val="center"/>
          </w:tcPr>
          <w:p w14:paraId="1D2F5712">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5917443D">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0.0019</w:t>
            </w:r>
          </w:p>
        </w:tc>
        <w:tc>
          <w:tcPr>
            <w:tcW w:w="2032" w:type="dxa"/>
            <w:vAlign w:val="center"/>
          </w:tcPr>
          <w:p w14:paraId="5ADCC56C">
            <w:pPr>
              <w:adjustRightInd w:val="0"/>
              <w:snapToGrid w:val="0"/>
              <w:jc w:val="center"/>
              <w:rPr>
                <w:rFonts w:hint="eastAsia" w:eastAsia="宋体"/>
                <w:color w:val="000000" w:themeColor="text1"/>
                <w:szCs w:val="21"/>
                <w:lang w:eastAsia="zh-CN"/>
                <w14:textFill>
                  <w14:solidFill>
                    <w14:schemeClr w14:val="tx1"/>
                  </w14:solidFill>
                </w14:textFill>
              </w:rPr>
            </w:pPr>
            <w:r>
              <w:rPr>
                <w:snapToGrid w:val="0"/>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0.0019</w:t>
            </w:r>
          </w:p>
        </w:tc>
      </w:tr>
      <w:tr w14:paraId="4D62F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06B03F73">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12BB8490">
            <w:pPr>
              <w:pStyle w:val="79"/>
              <w:spacing w:line="240" w:lineRule="auto"/>
              <w:ind w:firstLine="0" w:firstLineChars="0"/>
              <w:rPr>
                <w:rFonts w:eastAsia="宋体"/>
                <w:color w:val="000000" w:themeColor="text1"/>
                <w:spacing w:val="16"/>
                <w:sz w:val="21"/>
                <w:szCs w:val="21"/>
                <w14:textFill>
                  <w14:solidFill>
                    <w14:schemeClr w14:val="tx1"/>
                  </w14:solidFill>
                </w14:textFill>
              </w:rPr>
            </w:pPr>
            <w:r>
              <w:rPr>
                <w:rFonts w:eastAsia="宋体"/>
                <w:color w:val="000000" w:themeColor="text1"/>
                <w:spacing w:val="16"/>
                <w:sz w:val="21"/>
                <w:szCs w:val="21"/>
                <w14:textFill>
                  <w14:solidFill>
                    <w14:schemeClr w14:val="tx1"/>
                  </w14:solidFill>
                </w14:textFill>
              </w:rPr>
              <w:t>石油类</w:t>
            </w:r>
          </w:p>
        </w:tc>
        <w:tc>
          <w:tcPr>
            <w:tcW w:w="1417" w:type="dxa"/>
            <w:vAlign w:val="center"/>
          </w:tcPr>
          <w:p w14:paraId="2F006AA3">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0D1A2B22">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3E71AA92">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503FF827">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0.0004</w:t>
            </w:r>
          </w:p>
        </w:tc>
        <w:tc>
          <w:tcPr>
            <w:tcW w:w="1276" w:type="dxa"/>
            <w:vAlign w:val="center"/>
          </w:tcPr>
          <w:p w14:paraId="50561647">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63BC4EE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0.0004</w:t>
            </w:r>
          </w:p>
        </w:tc>
        <w:tc>
          <w:tcPr>
            <w:tcW w:w="2032" w:type="dxa"/>
            <w:vAlign w:val="center"/>
          </w:tcPr>
          <w:p w14:paraId="07CBC7F9">
            <w:pPr>
              <w:adjustRightInd w:val="0"/>
              <w:snapToGrid w:val="0"/>
              <w:jc w:val="center"/>
              <w:rPr>
                <w:rFonts w:hint="eastAsia" w:eastAsia="宋体"/>
                <w:color w:val="000000" w:themeColor="text1"/>
                <w:szCs w:val="21"/>
                <w:lang w:eastAsia="zh-CN"/>
                <w14:textFill>
                  <w14:solidFill>
                    <w14:schemeClr w14:val="tx1"/>
                  </w14:solidFill>
                </w14:textFill>
              </w:rPr>
            </w:pPr>
            <w:r>
              <w:rPr>
                <w:snapToGrid w:val="0"/>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0.0004</w:t>
            </w:r>
          </w:p>
        </w:tc>
      </w:tr>
      <w:tr w14:paraId="4FA40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20386883">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7871F9B6">
            <w:pPr>
              <w:pStyle w:val="79"/>
              <w:spacing w:line="240" w:lineRule="auto"/>
              <w:ind w:firstLine="0" w:firstLineChars="0"/>
              <w:rPr>
                <w:rFonts w:eastAsia="宋体"/>
                <w:color w:val="000000" w:themeColor="text1"/>
                <w:spacing w:val="16"/>
                <w:sz w:val="21"/>
                <w:szCs w:val="21"/>
                <w14:textFill>
                  <w14:solidFill>
                    <w14:schemeClr w14:val="tx1"/>
                  </w14:solidFill>
                </w14:textFill>
              </w:rPr>
            </w:pPr>
            <w:r>
              <w:rPr>
                <w:rFonts w:eastAsia="宋体"/>
                <w:color w:val="000000" w:themeColor="text1"/>
                <w:spacing w:val="16"/>
                <w:sz w:val="21"/>
                <w:szCs w:val="21"/>
                <w14:textFill>
                  <w14:solidFill>
                    <w14:schemeClr w14:val="tx1"/>
                  </w14:solidFill>
                </w14:textFill>
              </w:rPr>
              <w:t>总磷</w:t>
            </w:r>
          </w:p>
        </w:tc>
        <w:tc>
          <w:tcPr>
            <w:tcW w:w="1417" w:type="dxa"/>
            <w:vAlign w:val="center"/>
          </w:tcPr>
          <w:p w14:paraId="55A553FB">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79F92277">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020BA366">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359F91A3">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0.0002</w:t>
            </w:r>
          </w:p>
        </w:tc>
        <w:tc>
          <w:tcPr>
            <w:tcW w:w="1276" w:type="dxa"/>
            <w:vAlign w:val="center"/>
          </w:tcPr>
          <w:p w14:paraId="4FDB3157">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49DE1A9F">
            <w:pPr>
              <w:adjustRightInd w:val="0"/>
              <w:snapToGrid w:val="0"/>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0.0002</w:t>
            </w:r>
          </w:p>
        </w:tc>
        <w:tc>
          <w:tcPr>
            <w:tcW w:w="2032" w:type="dxa"/>
            <w:vAlign w:val="center"/>
          </w:tcPr>
          <w:p w14:paraId="5767AFD2">
            <w:pPr>
              <w:adjustRightInd w:val="0"/>
              <w:snapToGrid w:val="0"/>
              <w:jc w:val="center"/>
              <w:rPr>
                <w:rFonts w:hint="eastAsia" w:eastAsia="宋体"/>
                <w:color w:val="000000" w:themeColor="text1"/>
                <w:szCs w:val="21"/>
                <w:lang w:eastAsia="zh-CN"/>
                <w14:textFill>
                  <w14:solidFill>
                    <w14:schemeClr w14:val="tx1"/>
                  </w14:solidFill>
                </w14:textFill>
              </w:rPr>
            </w:pPr>
            <w:r>
              <w:rPr>
                <w:snapToGrid w:val="0"/>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0.0002</w:t>
            </w:r>
          </w:p>
        </w:tc>
      </w:tr>
      <w:tr w14:paraId="77F6E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restart"/>
            <w:vAlign w:val="center"/>
          </w:tcPr>
          <w:p w14:paraId="48783E57">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一般工业固体废物（产生量t/a）</w:t>
            </w:r>
          </w:p>
        </w:tc>
        <w:tc>
          <w:tcPr>
            <w:tcW w:w="1584" w:type="dxa"/>
            <w:vAlign w:val="center"/>
          </w:tcPr>
          <w:p w14:paraId="52B6C275">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废气瓶</w:t>
            </w:r>
          </w:p>
        </w:tc>
        <w:tc>
          <w:tcPr>
            <w:tcW w:w="1417" w:type="dxa"/>
            <w:vAlign w:val="center"/>
          </w:tcPr>
          <w:p w14:paraId="1339AC4D">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0771B6B7">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06B8F4C4">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842" w:type="dxa"/>
            <w:vAlign w:val="center"/>
          </w:tcPr>
          <w:p w14:paraId="072BEC4B">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0.2</w:t>
            </w:r>
          </w:p>
        </w:tc>
        <w:tc>
          <w:tcPr>
            <w:tcW w:w="1276" w:type="dxa"/>
            <w:vAlign w:val="center"/>
          </w:tcPr>
          <w:p w14:paraId="0876B94A">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985" w:type="dxa"/>
            <w:vAlign w:val="center"/>
          </w:tcPr>
          <w:p w14:paraId="38984421">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0.2</w:t>
            </w:r>
          </w:p>
        </w:tc>
        <w:tc>
          <w:tcPr>
            <w:tcW w:w="2032" w:type="dxa"/>
            <w:vAlign w:val="center"/>
          </w:tcPr>
          <w:p w14:paraId="375DD534">
            <w:pPr>
              <w:pStyle w:val="99"/>
              <w:spacing w:line="240" w:lineRule="auto"/>
              <w:ind w:firstLine="0" w:firstLineChars="0"/>
              <w:rPr>
                <w:color w:val="000000" w:themeColor="text1"/>
                <w:spacing w:val="7"/>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0.2</w:t>
            </w:r>
          </w:p>
        </w:tc>
      </w:tr>
      <w:tr w14:paraId="24A71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23BA7E37">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75621E6F">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除尘器收尘</w:t>
            </w:r>
          </w:p>
        </w:tc>
        <w:tc>
          <w:tcPr>
            <w:tcW w:w="1417" w:type="dxa"/>
            <w:vAlign w:val="center"/>
          </w:tcPr>
          <w:p w14:paraId="50D1611B">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6083516B">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18561546">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842" w:type="dxa"/>
            <w:vAlign w:val="center"/>
          </w:tcPr>
          <w:p w14:paraId="74D67707">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0.288</w:t>
            </w:r>
          </w:p>
        </w:tc>
        <w:tc>
          <w:tcPr>
            <w:tcW w:w="1276" w:type="dxa"/>
            <w:vAlign w:val="center"/>
          </w:tcPr>
          <w:p w14:paraId="78F28CA3">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985" w:type="dxa"/>
            <w:vAlign w:val="center"/>
          </w:tcPr>
          <w:p w14:paraId="72D217C4">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0.288</w:t>
            </w:r>
          </w:p>
        </w:tc>
        <w:tc>
          <w:tcPr>
            <w:tcW w:w="2032" w:type="dxa"/>
            <w:vAlign w:val="center"/>
          </w:tcPr>
          <w:p w14:paraId="48C43A26">
            <w:pPr>
              <w:pStyle w:val="99"/>
              <w:spacing w:line="240" w:lineRule="auto"/>
              <w:ind w:firstLine="0" w:firstLineChars="0"/>
              <w:rPr>
                <w:color w:val="000000" w:themeColor="text1"/>
                <w:spacing w:val="7"/>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0.288</w:t>
            </w:r>
          </w:p>
        </w:tc>
      </w:tr>
      <w:tr w14:paraId="5E843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1D280B3C">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219A7EE0">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废包装材料</w:t>
            </w:r>
          </w:p>
        </w:tc>
        <w:tc>
          <w:tcPr>
            <w:tcW w:w="1417" w:type="dxa"/>
            <w:vAlign w:val="center"/>
          </w:tcPr>
          <w:p w14:paraId="2CC9C126">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49D13DA0">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728FAFF9">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842" w:type="dxa"/>
            <w:vAlign w:val="center"/>
          </w:tcPr>
          <w:p w14:paraId="11F5476C">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0.1</w:t>
            </w:r>
          </w:p>
        </w:tc>
        <w:tc>
          <w:tcPr>
            <w:tcW w:w="1276" w:type="dxa"/>
            <w:vAlign w:val="center"/>
          </w:tcPr>
          <w:p w14:paraId="0D0CD5FC">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985" w:type="dxa"/>
            <w:vAlign w:val="center"/>
          </w:tcPr>
          <w:p w14:paraId="31E2C9BC">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0.1</w:t>
            </w:r>
          </w:p>
        </w:tc>
        <w:tc>
          <w:tcPr>
            <w:tcW w:w="2032" w:type="dxa"/>
            <w:vAlign w:val="center"/>
          </w:tcPr>
          <w:p w14:paraId="2ACF43D5">
            <w:pPr>
              <w:pStyle w:val="99"/>
              <w:spacing w:line="240" w:lineRule="auto"/>
              <w:ind w:firstLine="0" w:firstLineChars="0"/>
              <w:rPr>
                <w:color w:val="000000" w:themeColor="text1"/>
                <w:spacing w:val="7"/>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0.1</w:t>
            </w:r>
          </w:p>
        </w:tc>
      </w:tr>
      <w:tr w14:paraId="76E48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2D0FF82A">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2D24F8A0">
            <w:pPr>
              <w:pStyle w:val="99"/>
              <w:spacing w:line="240" w:lineRule="auto"/>
              <w:ind w:firstLine="0" w:firstLineChars="0"/>
              <w:rPr>
                <w:color w:val="000000" w:themeColor="text1"/>
                <w:spacing w:val="7"/>
                <w:sz w:val="21"/>
                <w14:textFill>
                  <w14:solidFill>
                    <w14:schemeClr w14:val="tx1"/>
                  </w14:solidFill>
                </w14:textFill>
              </w:rPr>
            </w:pPr>
            <w:r>
              <w:rPr>
                <w:bCs/>
                <w:color w:val="000000" w:themeColor="text1"/>
                <w:sz w:val="21"/>
                <w14:textFill>
                  <w14:solidFill>
                    <w14:schemeClr w14:val="tx1"/>
                  </w14:solidFill>
                </w14:textFill>
              </w:rPr>
              <w:t>废焊渣</w:t>
            </w:r>
          </w:p>
        </w:tc>
        <w:tc>
          <w:tcPr>
            <w:tcW w:w="1417" w:type="dxa"/>
            <w:vAlign w:val="center"/>
          </w:tcPr>
          <w:p w14:paraId="5ED67A2E">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4C0842C5">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276" w:type="dxa"/>
            <w:vAlign w:val="center"/>
          </w:tcPr>
          <w:p w14:paraId="14C4EE5E">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842" w:type="dxa"/>
            <w:vAlign w:val="center"/>
          </w:tcPr>
          <w:p w14:paraId="62B12D93">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2.0</w:t>
            </w:r>
          </w:p>
        </w:tc>
        <w:tc>
          <w:tcPr>
            <w:tcW w:w="1276" w:type="dxa"/>
            <w:vAlign w:val="center"/>
          </w:tcPr>
          <w:p w14:paraId="37BBD00A">
            <w:pPr>
              <w:pStyle w:val="79"/>
              <w:spacing w:line="240" w:lineRule="auto"/>
              <w:ind w:firstLine="0" w:firstLineChars="0"/>
              <w:rPr>
                <w:rFonts w:eastAsia="宋体"/>
                <w:color w:val="000000" w:themeColor="text1"/>
                <w:spacing w:val="7"/>
                <w:sz w:val="21"/>
                <w:szCs w:val="21"/>
                <w14:textFill>
                  <w14:solidFill>
                    <w14:schemeClr w14:val="tx1"/>
                  </w14:solidFill>
                </w14:textFill>
              </w:rPr>
            </w:pPr>
            <w:r>
              <w:rPr>
                <w:rFonts w:eastAsia="宋体"/>
                <w:color w:val="000000" w:themeColor="text1"/>
                <w:spacing w:val="7"/>
                <w:sz w:val="21"/>
                <w:szCs w:val="21"/>
                <w14:textFill>
                  <w14:solidFill>
                    <w14:schemeClr w14:val="tx1"/>
                  </w14:solidFill>
                </w14:textFill>
              </w:rPr>
              <w:t>/</w:t>
            </w:r>
          </w:p>
        </w:tc>
        <w:tc>
          <w:tcPr>
            <w:tcW w:w="1985" w:type="dxa"/>
            <w:vAlign w:val="center"/>
          </w:tcPr>
          <w:p w14:paraId="3B6EA4D5">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2.0</w:t>
            </w:r>
          </w:p>
        </w:tc>
        <w:tc>
          <w:tcPr>
            <w:tcW w:w="2032" w:type="dxa"/>
            <w:vAlign w:val="center"/>
          </w:tcPr>
          <w:p w14:paraId="2C766CF0">
            <w:pPr>
              <w:pStyle w:val="99"/>
              <w:spacing w:line="240" w:lineRule="auto"/>
              <w:ind w:firstLine="0" w:firstLineChars="0"/>
              <w:rPr>
                <w:color w:val="000000" w:themeColor="text1"/>
                <w:spacing w:val="7"/>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2.0</w:t>
            </w:r>
          </w:p>
        </w:tc>
      </w:tr>
      <w:tr w14:paraId="5AD43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100" w:type="dxa"/>
            <w:vMerge w:val="restart"/>
            <w:vAlign w:val="center"/>
          </w:tcPr>
          <w:p w14:paraId="6A5B0ACA">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危险废物（产生量t/a）</w:t>
            </w:r>
          </w:p>
        </w:tc>
        <w:tc>
          <w:tcPr>
            <w:tcW w:w="1584" w:type="dxa"/>
            <w:vAlign w:val="center"/>
          </w:tcPr>
          <w:p w14:paraId="4DD7CF0A">
            <w:pPr>
              <w:pStyle w:val="99"/>
              <w:spacing w:line="240" w:lineRule="auto"/>
              <w:ind w:firstLine="0" w:firstLineChars="0"/>
              <w:rPr>
                <w:color w:val="000000" w:themeColor="text1"/>
                <w:spacing w:val="7"/>
                <w:sz w:val="21"/>
                <w14:textFill>
                  <w14:solidFill>
                    <w14:schemeClr w14:val="tx1"/>
                  </w14:solidFill>
                </w14:textFill>
              </w:rPr>
            </w:pPr>
            <w:r>
              <w:rPr>
                <w:bCs/>
                <w:color w:val="000000" w:themeColor="text1"/>
                <w:sz w:val="21"/>
                <w14:textFill>
                  <w14:solidFill>
                    <w14:schemeClr w14:val="tx1"/>
                  </w14:solidFill>
                </w14:textFill>
              </w:rPr>
              <w:t>废油桶</w:t>
            </w:r>
          </w:p>
        </w:tc>
        <w:tc>
          <w:tcPr>
            <w:tcW w:w="1417" w:type="dxa"/>
            <w:vAlign w:val="center"/>
          </w:tcPr>
          <w:p w14:paraId="440CD1AC">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00E8C8FD">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55B15FC6">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7C340802">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0.2</w:t>
            </w:r>
          </w:p>
        </w:tc>
        <w:tc>
          <w:tcPr>
            <w:tcW w:w="1276" w:type="dxa"/>
            <w:vAlign w:val="center"/>
          </w:tcPr>
          <w:p w14:paraId="2DD5CF35">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6128B12F">
            <w:pPr>
              <w:pStyle w:val="99"/>
              <w:spacing w:line="24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2032" w:type="dxa"/>
            <w:vAlign w:val="center"/>
          </w:tcPr>
          <w:p w14:paraId="1919CF14">
            <w:pPr>
              <w:pStyle w:val="99"/>
              <w:spacing w:line="240" w:lineRule="auto"/>
              <w:ind w:firstLine="0" w:firstLineChars="0"/>
              <w:rPr>
                <w:color w:val="000000" w:themeColor="text1"/>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0.2</w:t>
            </w:r>
          </w:p>
        </w:tc>
      </w:tr>
      <w:tr w14:paraId="4057B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59AE275A">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2970AF6E">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废切削液</w:t>
            </w:r>
          </w:p>
        </w:tc>
        <w:tc>
          <w:tcPr>
            <w:tcW w:w="1417" w:type="dxa"/>
            <w:vAlign w:val="center"/>
          </w:tcPr>
          <w:p w14:paraId="3FB075C0">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7DB0DF86">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3A70E23E">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620765DB">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kern w:val="0"/>
                <w:sz w:val="21"/>
                <w14:textFill>
                  <w14:solidFill>
                    <w14:schemeClr w14:val="tx1"/>
                  </w14:solidFill>
                </w14:textFill>
              </w:rPr>
              <w:t>1.5</w:t>
            </w:r>
          </w:p>
        </w:tc>
        <w:tc>
          <w:tcPr>
            <w:tcW w:w="1276" w:type="dxa"/>
            <w:vAlign w:val="center"/>
          </w:tcPr>
          <w:p w14:paraId="3FA3E205">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736A1297">
            <w:pPr>
              <w:pStyle w:val="99"/>
              <w:spacing w:line="240" w:lineRule="auto"/>
              <w:ind w:firstLine="0" w:firstLineChars="0"/>
              <w:rPr>
                <w:color w:val="000000" w:themeColor="text1"/>
                <w:sz w:val="21"/>
                <w14:textFill>
                  <w14:solidFill>
                    <w14:schemeClr w14:val="tx1"/>
                  </w14:solidFill>
                </w14:textFill>
              </w:rPr>
            </w:pPr>
            <w:r>
              <w:rPr>
                <w:color w:val="000000" w:themeColor="text1"/>
                <w:kern w:val="0"/>
                <w:sz w:val="21"/>
                <w14:textFill>
                  <w14:solidFill>
                    <w14:schemeClr w14:val="tx1"/>
                  </w14:solidFill>
                </w14:textFill>
              </w:rPr>
              <w:t>1.5</w:t>
            </w:r>
          </w:p>
        </w:tc>
        <w:tc>
          <w:tcPr>
            <w:tcW w:w="2032" w:type="dxa"/>
            <w:vAlign w:val="center"/>
          </w:tcPr>
          <w:p w14:paraId="424C9803">
            <w:pPr>
              <w:pStyle w:val="99"/>
              <w:spacing w:line="240" w:lineRule="auto"/>
              <w:ind w:firstLine="0" w:firstLineChars="0"/>
              <w:rPr>
                <w:color w:val="000000" w:themeColor="text1"/>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kern w:val="0"/>
                <w:sz w:val="21"/>
                <w14:textFill>
                  <w14:solidFill>
                    <w14:schemeClr w14:val="tx1"/>
                  </w14:solidFill>
                </w14:textFill>
              </w:rPr>
              <w:t>1.5</w:t>
            </w:r>
          </w:p>
        </w:tc>
      </w:tr>
      <w:tr w14:paraId="6D081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4CC86479">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0A5864E1">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含油废金属屑</w:t>
            </w:r>
          </w:p>
        </w:tc>
        <w:tc>
          <w:tcPr>
            <w:tcW w:w="1417" w:type="dxa"/>
            <w:vAlign w:val="center"/>
          </w:tcPr>
          <w:p w14:paraId="595686C1">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2EC15AE2">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76" w:type="dxa"/>
            <w:vAlign w:val="center"/>
          </w:tcPr>
          <w:p w14:paraId="51F328E1">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842" w:type="dxa"/>
            <w:vAlign w:val="center"/>
          </w:tcPr>
          <w:p w14:paraId="37426418">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kern w:val="0"/>
                <w:sz w:val="21"/>
                <w14:textFill>
                  <w14:solidFill>
                    <w14:schemeClr w14:val="tx1"/>
                  </w14:solidFill>
                </w14:textFill>
              </w:rPr>
              <w:t>12.2</w:t>
            </w:r>
          </w:p>
        </w:tc>
        <w:tc>
          <w:tcPr>
            <w:tcW w:w="1276" w:type="dxa"/>
            <w:vAlign w:val="center"/>
          </w:tcPr>
          <w:p w14:paraId="1065731E">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w:t>
            </w:r>
          </w:p>
        </w:tc>
        <w:tc>
          <w:tcPr>
            <w:tcW w:w="1985" w:type="dxa"/>
            <w:vAlign w:val="center"/>
          </w:tcPr>
          <w:p w14:paraId="50F5C433">
            <w:pPr>
              <w:pStyle w:val="99"/>
              <w:spacing w:line="240" w:lineRule="auto"/>
              <w:ind w:firstLine="0" w:firstLineChars="0"/>
              <w:rPr>
                <w:color w:val="000000" w:themeColor="text1"/>
                <w:sz w:val="21"/>
                <w14:textFill>
                  <w14:solidFill>
                    <w14:schemeClr w14:val="tx1"/>
                  </w14:solidFill>
                </w14:textFill>
              </w:rPr>
            </w:pPr>
            <w:r>
              <w:rPr>
                <w:color w:val="000000" w:themeColor="text1"/>
                <w:kern w:val="0"/>
                <w:sz w:val="21"/>
                <w14:textFill>
                  <w14:solidFill>
                    <w14:schemeClr w14:val="tx1"/>
                  </w14:solidFill>
                </w14:textFill>
              </w:rPr>
              <w:t>12.2</w:t>
            </w:r>
          </w:p>
        </w:tc>
        <w:tc>
          <w:tcPr>
            <w:tcW w:w="2032" w:type="dxa"/>
            <w:vAlign w:val="center"/>
          </w:tcPr>
          <w:p w14:paraId="37991B8A">
            <w:pPr>
              <w:pStyle w:val="99"/>
              <w:spacing w:line="240" w:lineRule="auto"/>
              <w:ind w:firstLine="0" w:firstLineChars="0"/>
              <w:rPr>
                <w:color w:val="000000" w:themeColor="text1"/>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kern w:val="0"/>
                <w:sz w:val="21"/>
                <w14:textFill>
                  <w14:solidFill>
                    <w14:schemeClr w14:val="tx1"/>
                  </w14:solidFill>
                </w14:textFill>
              </w:rPr>
              <w:t>12.2</w:t>
            </w:r>
          </w:p>
        </w:tc>
      </w:tr>
      <w:tr w14:paraId="05E39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7726C11D">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25D5496E">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废弃的含油棉纱、劳保用品</w:t>
            </w:r>
          </w:p>
        </w:tc>
        <w:tc>
          <w:tcPr>
            <w:tcW w:w="1417" w:type="dxa"/>
            <w:vAlign w:val="center"/>
          </w:tcPr>
          <w:p w14:paraId="46B09EC8">
            <w:pPr>
              <w:adjustRightInd w:val="0"/>
              <w:snapToGrid w:val="0"/>
              <w:jc w:val="center"/>
              <w:rPr>
                <w:snapToGrid w:val="0"/>
                <w:color w:val="000000" w:themeColor="text1"/>
                <w:kern w:val="21"/>
                <w:szCs w:val="21"/>
                <w14:textFill>
                  <w14:solidFill>
                    <w14:schemeClr w14:val="tx1"/>
                  </w14:solidFill>
                </w14:textFill>
              </w:rPr>
            </w:pPr>
            <w:r>
              <w:rPr>
                <w:color w:val="000000" w:themeColor="text1"/>
                <w:spacing w:val="7"/>
                <w:szCs w:val="21"/>
                <w14:textFill>
                  <w14:solidFill>
                    <w14:schemeClr w14:val="tx1"/>
                  </w14:solidFill>
                </w14:textFill>
              </w:rPr>
              <w:t>/</w:t>
            </w:r>
          </w:p>
        </w:tc>
        <w:tc>
          <w:tcPr>
            <w:tcW w:w="1276" w:type="dxa"/>
            <w:vAlign w:val="center"/>
          </w:tcPr>
          <w:p w14:paraId="37F33304">
            <w:pPr>
              <w:adjustRightInd w:val="0"/>
              <w:snapToGrid w:val="0"/>
              <w:jc w:val="center"/>
              <w:rPr>
                <w:snapToGrid w:val="0"/>
                <w:color w:val="000000" w:themeColor="text1"/>
                <w:kern w:val="21"/>
                <w:szCs w:val="21"/>
                <w14:textFill>
                  <w14:solidFill>
                    <w14:schemeClr w14:val="tx1"/>
                  </w14:solidFill>
                </w14:textFill>
              </w:rPr>
            </w:pPr>
            <w:r>
              <w:rPr>
                <w:color w:val="000000" w:themeColor="text1"/>
                <w:spacing w:val="7"/>
                <w:szCs w:val="21"/>
                <w14:textFill>
                  <w14:solidFill>
                    <w14:schemeClr w14:val="tx1"/>
                  </w14:solidFill>
                </w14:textFill>
              </w:rPr>
              <w:t>/</w:t>
            </w:r>
          </w:p>
        </w:tc>
        <w:tc>
          <w:tcPr>
            <w:tcW w:w="1276" w:type="dxa"/>
            <w:vAlign w:val="center"/>
          </w:tcPr>
          <w:p w14:paraId="65774CED">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color w:val="000000" w:themeColor="text1"/>
                <w:spacing w:val="7"/>
                <w:szCs w:val="21"/>
                <w14:textFill>
                  <w14:solidFill>
                    <w14:schemeClr w14:val="tx1"/>
                  </w14:solidFill>
                </w14:textFill>
              </w:rPr>
              <w:t>/</w:t>
            </w:r>
          </w:p>
        </w:tc>
        <w:tc>
          <w:tcPr>
            <w:tcW w:w="1842" w:type="dxa"/>
            <w:vAlign w:val="center"/>
          </w:tcPr>
          <w:p w14:paraId="5990D2B0">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0.05</w:t>
            </w:r>
          </w:p>
        </w:tc>
        <w:tc>
          <w:tcPr>
            <w:tcW w:w="1276" w:type="dxa"/>
            <w:vAlign w:val="center"/>
          </w:tcPr>
          <w:p w14:paraId="41B9F805">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r>
              <w:rPr>
                <w:rFonts w:ascii="Times New Roman" w:hAnsi="Times New Roman" w:eastAsia="宋体" w:cs="Times New Roman"/>
                <w:color w:val="000000" w:themeColor="text1"/>
                <w:spacing w:val="7"/>
                <w:szCs w:val="21"/>
                <w14:textFill>
                  <w14:solidFill>
                    <w14:schemeClr w14:val="tx1"/>
                  </w14:solidFill>
                </w14:textFill>
              </w:rPr>
              <w:t>/</w:t>
            </w:r>
          </w:p>
        </w:tc>
        <w:tc>
          <w:tcPr>
            <w:tcW w:w="1985" w:type="dxa"/>
            <w:vAlign w:val="center"/>
          </w:tcPr>
          <w:p w14:paraId="321F83F3">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0.05</w:t>
            </w:r>
          </w:p>
        </w:tc>
        <w:tc>
          <w:tcPr>
            <w:tcW w:w="2032" w:type="dxa"/>
            <w:vAlign w:val="center"/>
          </w:tcPr>
          <w:p w14:paraId="0BAE4D5F">
            <w:pPr>
              <w:pStyle w:val="99"/>
              <w:spacing w:line="240" w:lineRule="auto"/>
              <w:ind w:firstLine="0" w:firstLineChars="0"/>
              <w:rPr>
                <w:color w:val="000000" w:themeColor="text1"/>
                <w:spacing w:val="7"/>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0.05</w:t>
            </w:r>
          </w:p>
        </w:tc>
      </w:tr>
      <w:tr w14:paraId="159D8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00" w:type="dxa"/>
            <w:vMerge w:val="continue"/>
            <w:vAlign w:val="center"/>
          </w:tcPr>
          <w:p w14:paraId="731ECD17">
            <w:pPr>
              <w:pStyle w:val="37"/>
              <w:spacing w:beforeLines="0" w:afterLines="0" w:line="240" w:lineRule="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584" w:type="dxa"/>
            <w:vAlign w:val="center"/>
          </w:tcPr>
          <w:p w14:paraId="6ABBCC43">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废油渣</w:t>
            </w:r>
          </w:p>
        </w:tc>
        <w:tc>
          <w:tcPr>
            <w:tcW w:w="1417" w:type="dxa"/>
            <w:vAlign w:val="center"/>
          </w:tcPr>
          <w:p w14:paraId="7E308A32">
            <w:pPr>
              <w:adjustRightInd w:val="0"/>
              <w:snapToGrid w:val="0"/>
              <w:jc w:val="center"/>
              <w:rPr>
                <w:color w:val="000000" w:themeColor="text1"/>
                <w:spacing w:val="7"/>
                <w:szCs w:val="21"/>
                <w14:textFill>
                  <w14:solidFill>
                    <w14:schemeClr w14:val="tx1"/>
                  </w14:solidFill>
                </w14:textFill>
              </w:rPr>
            </w:pPr>
            <w:r>
              <w:rPr>
                <w:color w:val="000000" w:themeColor="text1"/>
                <w:spacing w:val="7"/>
                <w:szCs w:val="21"/>
                <w14:textFill>
                  <w14:solidFill>
                    <w14:schemeClr w14:val="tx1"/>
                  </w14:solidFill>
                </w14:textFill>
              </w:rPr>
              <w:t>/</w:t>
            </w:r>
          </w:p>
        </w:tc>
        <w:tc>
          <w:tcPr>
            <w:tcW w:w="1276" w:type="dxa"/>
            <w:vAlign w:val="center"/>
          </w:tcPr>
          <w:p w14:paraId="5EB78C0D">
            <w:pPr>
              <w:adjustRightInd w:val="0"/>
              <w:snapToGrid w:val="0"/>
              <w:jc w:val="center"/>
              <w:rPr>
                <w:color w:val="000000" w:themeColor="text1"/>
                <w:spacing w:val="7"/>
                <w:szCs w:val="21"/>
                <w14:textFill>
                  <w14:solidFill>
                    <w14:schemeClr w14:val="tx1"/>
                  </w14:solidFill>
                </w14:textFill>
              </w:rPr>
            </w:pPr>
            <w:r>
              <w:rPr>
                <w:color w:val="000000" w:themeColor="text1"/>
                <w:spacing w:val="7"/>
                <w:szCs w:val="21"/>
                <w14:textFill>
                  <w14:solidFill>
                    <w14:schemeClr w14:val="tx1"/>
                  </w14:solidFill>
                </w14:textFill>
              </w:rPr>
              <w:t>/</w:t>
            </w:r>
          </w:p>
        </w:tc>
        <w:tc>
          <w:tcPr>
            <w:tcW w:w="1276" w:type="dxa"/>
            <w:vAlign w:val="center"/>
          </w:tcPr>
          <w:p w14:paraId="329D912D">
            <w:pPr>
              <w:pStyle w:val="37"/>
              <w:spacing w:beforeLines="0" w:afterLines="0" w:line="240" w:lineRule="auto"/>
              <w:rPr>
                <w:rFonts w:ascii="Times New Roman" w:hAnsi="Times New Roman" w:eastAsia="宋体" w:cs="Times New Roman"/>
                <w:color w:val="000000" w:themeColor="text1"/>
                <w:spacing w:val="7"/>
                <w:szCs w:val="21"/>
                <w14:textFill>
                  <w14:solidFill>
                    <w14:schemeClr w14:val="tx1"/>
                  </w14:solidFill>
                </w14:textFill>
              </w:rPr>
            </w:pPr>
            <w:r>
              <w:rPr>
                <w:rFonts w:ascii="Times New Roman" w:hAnsi="Times New Roman" w:eastAsia="宋体" w:cs="Times New Roman"/>
                <w:color w:val="000000" w:themeColor="text1"/>
                <w:spacing w:val="7"/>
                <w:szCs w:val="21"/>
                <w14:textFill>
                  <w14:solidFill>
                    <w14:schemeClr w14:val="tx1"/>
                  </w14:solidFill>
                </w14:textFill>
              </w:rPr>
              <w:t>/</w:t>
            </w:r>
          </w:p>
        </w:tc>
        <w:tc>
          <w:tcPr>
            <w:tcW w:w="1842" w:type="dxa"/>
            <w:vAlign w:val="center"/>
          </w:tcPr>
          <w:p w14:paraId="356C1455">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1.0</w:t>
            </w:r>
          </w:p>
        </w:tc>
        <w:tc>
          <w:tcPr>
            <w:tcW w:w="1276" w:type="dxa"/>
            <w:vAlign w:val="center"/>
          </w:tcPr>
          <w:p w14:paraId="3D4A59E0">
            <w:pPr>
              <w:pStyle w:val="37"/>
              <w:spacing w:beforeLines="0" w:afterLines="0" w:line="240" w:lineRule="auto"/>
              <w:rPr>
                <w:rFonts w:ascii="Times New Roman" w:hAnsi="Times New Roman" w:eastAsia="宋体" w:cs="Times New Roman"/>
                <w:color w:val="000000" w:themeColor="text1"/>
                <w:spacing w:val="7"/>
                <w:szCs w:val="21"/>
                <w14:textFill>
                  <w14:solidFill>
                    <w14:schemeClr w14:val="tx1"/>
                  </w14:solidFill>
                </w14:textFill>
              </w:rPr>
            </w:pPr>
            <w:r>
              <w:rPr>
                <w:rFonts w:ascii="Times New Roman" w:hAnsi="Times New Roman" w:eastAsia="宋体" w:cs="Times New Roman"/>
                <w:color w:val="000000" w:themeColor="text1"/>
                <w:spacing w:val="7"/>
                <w:szCs w:val="21"/>
                <w14:textFill>
                  <w14:solidFill>
                    <w14:schemeClr w14:val="tx1"/>
                  </w14:solidFill>
                </w14:textFill>
              </w:rPr>
              <w:t>/</w:t>
            </w:r>
          </w:p>
        </w:tc>
        <w:tc>
          <w:tcPr>
            <w:tcW w:w="1985" w:type="dxa"/>
            <w:vAlign w:val="center"/>
          </w:tcPr>
          <w:p w14:paraId="381FE44D">
            <w:pPr>
              <w:pStyle w:val="99"/>
              <w:spacing w:line="240" w:lineRule="auto"/>
              <w:ind w:firstLine="0" w:firstLineChars="0"/>
              <w:rPr>
                <w:color w:val="000000" w:themeColor="text1"/>
                <w:spacing w:val="7"/>
                <w:sz w:val="21"/>
                <w14:textFill>
                  <w14:solidFill>
                    <w14:schemeClr w14:val="tx1"/>
                  </w14:solidFill>
                </w14:textFill>
              </w:rPr>
            </w:pPr>
            <w:r>
              <w:rPr>
                <w:color w:val="000000" w:themeColor="text1"/>
                <w:sz w:val="21"/>
                <w14:textFill>
                  <w14:solidFill>
                    <w14:schemeClr w14:val="tx1"/>
                  </w14:solidFill>
                </w14:textFill>
              </w:rPr>
              <w:t>1.0</w:t>
            </w:r>
          </w:p>
        </w:tc>
        <w:tc>
          <w:tcPr>
            <w:tcW w:w="2032" w:type="dxa"/>
            <w:vAlign w:val="center"/>
          </w:tcPr>
          <w:p w14:paraId="6203D90D">
            <w:pPr>
              <w:pStyle w:val="99"/>
              <w:spacing w:line="240" w:lineRule="auto"/>
              <w:ind w:firstLine="0" w:firstLineChars="0"/>
              <w:rPr>
                <w:color w:val="000000" w:themeColor="text1"/>
                <w:spacing w:val="7"/>
                <w:sz w:val="21"/>
                <w14:textFill>
                  <w14:solidFill>
                    <w14:schemeClr w14:val="tx1"/>
                  </w14:solidFill>
                </w14:textFill>
              </w:rPr>
            </w:pPr>
            <w:r>
              <w:rPr>
                <w:snapToGrid w:val="0"/>
                <w:color w:val="000000" w:themeColor="text1"/>
                <w:kern w:val="0"/>
                <w:sz w:val="21"/>
                <w14:textFill>
                  <w14:solidFill>
                    <w14:schemeClr w14:val="tx1"/>
                  </w14:solidFill>
                </w14:textFill>
              </w:rPr>
              <w:t>+</w:t>
            </w:r>
            <w:r>
              <w:rPr>
                <w:color w:val="000000" w:themeColor="text1"/>
                <w:sz w:val="21"/>
                <w14:textFill>
                  <w14:solidFill>
                    <w14:schemeClr w14:val="tx1"/>
                  </w14:solidFill>
                </w14:textFill>
              </w:rPr>
              <w:t>1.0</w:t>
            </w:r>
          </w:p>
        </w:tc>
      </w:tr>
    </w:tbl>
    <w:p w14:paraId="240D6E09">
      <w:pPr>
        <w:pStyle w:val="37"/>
        <w:spacing w:beforeLines="0" w:after="24" w:line="240" w:lineRule="auto"/>
        <w:ind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snapToGrid w:val="0"/>
          <w:color w:val="000000" w:themeColor="text1"/>
          <w:kern w:val="21"/>
          <w:szCs w:val="21"/>
          <w14:textFill>
            <w14:solidFill>
              <w14:schemeClr w14:val="tx1"/>
            </w14:solidFill>
          </w14:textFill>
        </w:rPr>
        <w:t>注：</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⑥</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16"/>
          <w:kern w:val="21"/>
          <w:szCs w:val="21"/>
          <w14:textFill>
            <w14:solidFill>
              <w14:schemeClr w14:val="tx1"/>
            </w14:solidFill>
          </w14:textFill>
        </w:rPr>
        <w:t>=</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①</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szCs w:val="21"/>
          <w14:textFill>
            <w14:solidFill>
              <w14:schemeClr w14:val="tx1"/>
            </w14:solidFill>
          </w14:textFill>
        </w:rPr>
        <w:t>+</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③</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szCs w:val="21"/>
          <w14:textFill>
            <w14:solidFill>
              <w14:schemeClr w14:val="tx1"/>
            </w14:solidFill>
          </w14:textFill>
        </w:rPr>
        <w:t>+</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④</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szCs w:val="21"/>
          <w14:textFill>
            <w14:solidFill>
              <w14:schemeClr w14:val="tx1"/>
            </w14:solidFill>
          </w14:textFill>
        </w:rPr>
        <w:t>-</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⑤</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16"/>
          <w:kern w:val="21"/>
          <w:szCs w:val="21"/>
          <w14:textFill>
            <w14:solidFill>
              <w14:schemeClr w14:val="tx1"/>
            </w14:solidFill>
          </w14:textFill>
        </w:rPr>
        <w:t>；</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⑦</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szCs w:val="21"/>
          <w14:textFill>
            <w14:solidFill>
              <w14:schemeClr w14:val="tx1"/>
            </w14:solidFill>
          </w14:textFill>
        </w:rPr>
        <w:t>=</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⑥</w:t>
      </w:r>
      <w:r>
        <w:rPr>
          <w:rFonts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16"/>
          <w:kern w:val="21"/>
          <w:szCs w:val="21"/>
          <w14:textFill>
            <w14:solidFill>
              <w14:schemeClr w14:val="tx1"/>
            </w14:solidFill>
          </w14:textFill>
        </w:rPr>
        <w:t>-</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①</w:t>
      </w:r>
      <w:r>
        <w:rPr>
          <w:rFonts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ascii="Times New Roman" w:hAnsi="Times New Roman" w:eastAsia="宋体" w:cs="Times New Roman"/>
          <w:snapToGrid w:val="0"/>
          <w:color w:val="000000" w:themeColor="text1"/>
          <w:spacing w:val="-6"/>
          <w:kern w:val="21"/>
          <w:szCs w:val="21"/>
          <w14:textFill>
            <w14:solidFill>
              <w14:schemeClr w14:val="tx1"/>
            </w14:solidFill>
          </w14:textFill>
        </w:rPr>
        <w:t>。</w:t>
      </w:r>
    </w:p>
    <w:sectPr>
      <w:footerReference r:id="rId4"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Kingsoft Phonetic Plain">
    <w:altName w:val="Segoe Print"/>
    <w:panose1 w:val="00000000000000000000"/>
    <w:charset w:val="02"/>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Helvetica">
    <w:altName w:val="Arial"/>
    <w:panose1 w:val="020B0504020202030204"/>
    <w:charset w:val="00"/>
    <w:family w:val="swiss"/>
    <w:pitch w:val="default"/>
    <w:sig w:usb0="00000000" w:usb1="00000000" w:usb2="00000000" w:usb3="00000000" w:csb0="00000093"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1E885">
    <w:pPr>
      <w:pStyle w:val="18"/>
      <w:framePr w:wrap="around" w:vAnchor="text" w:hAnchor="margin" w:xAlign="outside" w:y="1"/>
      <w:rPr>
        <w:rStyle w:val="28"/>
        <w:rFonts w:hint="eastAsia"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62</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14:paraId="2330F052">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8ECA9">
    <w:pPr>
      <w:pStyle w:val="18"/>
      <w:framePr w:wrap="around" w:vAnchor="text" w:hAnchor="margin" w:xAlign="outside" w:y="1"/>
      <w:rPr>
        <w:rStyle w:val="28"/>
        <w:rFonts w:hint="eastAsia"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91</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14:paraId="485EF186">
    <w:pPr>
      <w:pStyle w:val="1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F8283"/>
    <w:multiLevelType w:val="singleLevel"/>
    <w:tmpl w:val="882F8283"/>
    <w:lvl w:ilvl="0" w:tentative="0">
      <w:start w:val="1"/>
      <w:numFmt w:val="decimal"/>
      <w:lvlText w:val="%1."/>
      <w:lvlJc w:val="left"/>
      <w:pPr>
        <w:tabs>
          <w:tab w:val="left" w:pos="312"/>
        </w:tabs>
      </w:pPr>
    </w:lvl>
  </w:abstractNum>
  <w:abstractNum w:abstractNumId="1">
    <w:nsid w:val="A473747C"/>
    <w:multiLevelType w:val="singleLevel"/>
    <w:tmpl w:val="A473747C"/>
    <w:lvl w:ilvl="0" w:tentative="0">
      <w:start w:val="1"/>
      <w:numFmt w:val="decimal"/>
      <w:suff w:val="nothing"/>
      <w:lvlText w:val="%1、"/>
      <w:lvlJc w:val="left"/>
    </w:lvl>
  </w:abstractNum>
  <w:abstractNum w:abstractNumId="2">
    <w:nsid w:val="BA6BFA5D"/>
    <w:multiLevelType w:val="singleLevel"/>
    <w:tmpl w:val="BA6BFA5D"/>
    <w:lvl w:ilvl="0" w:tentative="0">
      <w:start w:val="1"/>
      <w:numFmt w:val="decimal"/>
      <w:lvlText w:val="%1."/>
      <w:lvlJc w:val="left"/>
      <w:pPr>
        <w:tabs>
          <w:tab w:val="left" w:pos="312"/>
        </w:tabs>
      </w:pPr>
    </w:lvl>
  </w:abstractNum>
  <w:abstractNum w:abstractNumId="3">
    <w:nsid w:val="F0DEEEA6"/>
    <w:multiLevelType w:val="singleLevel"/>
    <w:tmpl w:val="F0DEEEA6"/>
    <w:lvl w:ilvl="0" w:tentative="0">
      <w:start w:val="1"/>
      <w:numFmt w:val="decimal"/>
      <w:lvlText w:val="%1."/>
      <w:lvlJc w:val="left"/>
      <w:pPr>
        <w:tabs>
          <w:tab w:val="left" w:pos="312"/>
        </w:tabs>
      </w:pPr>
    </w:lvl>
  </w:abstractNum>
  <w:abstractNum w:abstractNumId="4">
    <w:nsid w:val="F19C22D4"/>
    <w:multiLevelType w:val="singleLevel"/>
    <w:tmpl w:val="F19C22D4"/>
    <w:lvl w:ilvl="0" w:tentative="0">
      <w:start w:val="1"/>
      <w:numFmt w:val="decimal"/>
      <w:suff w:val="nothing"/>
      <w:lvlText w:val="%1、"/>
      <w:lvlJc w:val="left"/>
    </w:lvl>
  </w:abstractNum>
  <w:abstractNum w:abstractNumId="5">
    <w:nsid w:val="0400337F"/>
    <w:multiLevelType w:val="singleLevel"/>
    <w:tmpl w:val="0400337F"/>
    <w:lvl w:ilvl="0" w:tentative="0">
      <w:start w:val="19"/>
      <w:numFmt w:val="chineseCounting"/>
      <w:suff w:val="space"/>
      <w:lvlText w:val="第%1条"/>
      <w:lvlJc w:val="left"/>
      <w:rPr>
        <w:rFonts w:hint="eastAsia"/>
      </w:rPr>
    </w:lvl>
  </w:abstractNum>
  <w:abstractNum w:abstractNumId="6">
    <w:nsid w:val="1E979CA4"/>
    <w:multiLevelType w:val="singleLevel"/>
    <w:tmpl w:val="1E979CA4"/>
    <w:lvl w:ilvl="0" w:tentative="0">
      <w:start w:val="1"/>
      <w:numFmt w:val="upperLetter"/>
      <w:suff w:val="nothing"/>
      <w:lvlText w:val="%1、"/>
      <w:lvlJc w:val="left"/>
      <w:pPr>
        <w:ind w:left="-50"/>
      </w:pPr>
    </w:lvl>
  </w:abstractNum>
  <w:abstractNum w:abstractNumId="7">
    <w:nsid w:val="47AB27E9"/>
    <w:multiLevelType w:val="multilevel"/>
    <w:tmpl w:val="47AB27E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D7BD43"/>
    <w:multiLevelType w:val="singleLevel"/>
    <w:tmpl w:val="7FD7BD43"/>
    <w:lvl w:ilvl="0" w:tentative="0">
      <w:start w:val="1"/>
      <w:numFmt w:val="decimal"/>
      <w:suff w:val="nothing"/>
      <w:lvlText w:val="%1、"/>
      <w:lvlJc w:val="left"/>
    </w:lvl>
  </w:abstractNum>
  <w:num w:numId="1">
    <w:abstractNumId w:val="7"/>
  </w:num>
  <w:num w:numId="2">
    <w:abstractNumId w:val="1"/>
  </w:num>
  <w:num w:numId="3">
    <w:abstractNumId w:val="4"/>
  </w:num>
  <w:num w:numId="4">
    <w:abstractNumId w:val="8"/>
  </w:num>
  <w:num w:numId="5">
    <w:abstractNumId w:val="5"/>
  </w:num>
  <w:num w:numId="6">
    <w:abstractNumId w:val="0"/>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iMzBjMzcyYTc0ZTQ5ZDg5MDU4ZDU5MjkyNGRjNGQifQ=="/>
  </w:docVars>
  <w:rsids>
    <w:rsidRoot w:val="00977E03"/>
    <w:rsid w:val="00000AD8"/>
    <w:rsid w:val="000053A3"/>
    <w:rsid w:val="0000626C"/>
    <w:rsid w:val="00006637"/>
    <w:rsid w:val="00006A07"/>
    <w:rsid w:val="000074DC"/>
    <w:rsid w:val="000139E2"/>
    <w:rsid w:val="000171C1"/>
    <w:rsid w:val="00021AA7"/>
    <w:rsid w:val="00023720"/>
    <w:rsid w:val="00025CF7"/>
    <w:rsid w:val="00027743"/>
    <w:rsid w:val="000326D7"/>
    <w:rsid w:val="000331BE"/>
    <w:rsid w:val="000336FB"/>
    <w:rsid w:val="0004019D"/>
    <w:rsid w:val="00040E93"/>
    <w:rsid w:val="0004399A"/>
    <w:rsid w:val="00044A2B"/>
    <w:rsid w:val="00046949"/>
    <w:rsid w:val="000514BD"/>
    <w:rsid w:val="000526B6"/>
    <w:rsid w:val="00052B0A"/>
    <w:rsid w:val="00054332"/>
    <w:rsid w:val="00055B25"/>
    <w:rsid w:val="000564A8"/>
    <w:rsid w:val="00056686"/>
    <w:rsid w:val="00060D9E"/>
    <w:rsid w:val="000647D9"/>
    <w:rsid w:val="00064BA9"/>
    <w:rsid w:val="00067604"/>
    <w:rsid w:val="00070316"/>
    <w:rsid w:val="00072A23"/>
    <w:rsid w:val="00073F71"/>
    <w:rsid w:val="000749FE"/>
    <w:rsid w:val="0007618D"/>
    <w:rsid w:val="00083191"/>
    <w:rsid w:val="00083DDF"/>
    <w:rsid w:val="000849DC"/>
    <w:rsid w:val="00084E46"/>
    <w:rsid w:val="00084F3F"/>
    <w:rsid w:val="0008501D"/>
    <w:rsid w:val="0008654F"/>
    <w:rsid w:val="0008660E"/>
    <w:rsid w:val="00086DED"/>
    <w:rsid w:val="0009268D"/>
    <w:rsid w:val="000A1EB8"/>
    <w:rsid w:val="000A23B8"/>
    <w:rsid w:val="000A2506"/>
    <w:rsid w:val="000A3E6E"/>
    <w:rsid w:val="000A403A"/>
    <w:rsid w:val="000B3260"/>
    <w:rsid w:val="000B753C"/>
    <w:rsid w:val="000B7E64"/>
    <w:rsid w:val="000C0508"/>
    <w:rsid w:val="000C1448"/>
    <w:rsid w:val="000C1A0C"/>
    <w:rsid w:val="000C2B26"/>
    <w:rsid w:val="000C3636"/>
    <w:rsid w:val="000D0435"/>
    <w:rsid w:val="000D0B62"/>
    <w:rsid w:val="000D1A5E"/>
    <w:rsid w:val="000D1A69"/>
    <w:rsid w:val="000D2619"/>
    <w:rsid w:val="000D5F68"/>
    <w:rsid w:val="000E3F6E"/>
    <w:rsid w:val="000E4582"/>
    <w:rsid w:val="000E5002"/>
    <w:rsid w:val="000E637F"/>
    <w:rsid w:val="000F0488"/>
    <w:rsid w:val="000F1240"/>
    <w:rsid w:val="000F20B0"/>
    <w:rsid w:val="000F322B"/>
    <w:rsid w:val="000F36AA"/>
    <w:rsid w:val="000F7733"/>
    <w:rsid w:val="000F7A07"/>
    <w:rsid w:val="00106EA3"/>
    <w:rsid w:val="00107726"/>
    <w:rsid w:val="001103F7"/>
    <w:rsid w:val="00120D20"/>
    <w:rsid w:val="001211F3"/>
    <w:rsid w:val="00121EAB"/>
    <w:rsid w:val="00126505"/>
    <w:rsid w:val="00132861"/>
    <w:rsid w:val="00135A0A"/>
    <w:rsid w:val="00140522"/>
    <w:rsid w:val="00141DE4"/>
    <w:rsid w:val="0014263E"/>
    <w:rsid w:val="001538AB"/>
    <w:rsid w:val="001600E6"/>
    <w:rsid w:val="00160D82"/>
    <w:rsid w:val="0016294F"/>
    <w:rsid w:val="00165823"/>
    <w:rsid w:val="00165FE6"/>
    <w:rsid w:val="00182E50"/>
    <w:rsid w:val="00184FA7"/>
    <w:rsid w:val="0018537D"/>
    <w:rsid w:val="001940D8"/>
    <w:rsid w:val="00195C1F"/>
    <w:rsid w:val="00196434"/>
    <w:rsid w:val="00196D74"/>
    <w:rsid w:val="001A0DA4"/>
    <w:rsid w:val="001A1CF6"/>
    <w:rsid w:val="001A4141"/>
    <w:rsid w:val="001A4E2C"/>
    <w:rsid w:val="001A562D"/>
    <w:rsid w:val="001B134A"/>
    <w:rsid w:val="001B21DA"/>
    <w:rsid w:val="001B38A2"/>
    <w:rsid w:val="001B3C79"/>
    <w:rsid w:val="001B5554"/>
    <w:rsid w:val="001B6B79"/>
    <w:rsid w:val="001B7389"/>
    <w:rsid w:val="001C201A"/>
    <w:rsid w:val="001C4433"/>
    <w:rsid w:val="001C4C93"/>
    <w:rsid w:val="001C5D83"/>
    <w:rsid w:val="001C76EA"/>
    <w:rsid w:val="001C7E78"/>
    <w:rsid w:val="001D024B"/>
    <w:rsid w:val="001D60F2"/>
    <w:rsid w:val="001D66BE"/>
    <w:rsid w:val="001D76D3"/>
    <w:rsid w:val="001E08E6"/>
    <w:rsid w:val="001E2989"/>
    <w:rsid w:val="001E31A8"/>
    <w:rsid w:val="001E3E27"/>
    <w:rsid w:val="001E4AAD"/>
    <w:rsid w:val="001E58C1"/>
    <w:rsid w:val="001F0642"/>
    <w:rsid w:val="001F0BA1"/>
    <w:rsid w:val="001F5181"/>
    <w:rsid w:val="00200262"/>
    <w:rsid w:val="002012B3"/>
    <w:rsid w:val="00201688"/>
    <w:rsid w:val="002033F1"/>
    <w:rsid w:val="00207D8C"/>
    <w:rsid w:val="00207EC8"/>
    <w:rsid w:val="002114C7"/>
    <w:rsid w:val="00212A13"/>
    <w:rsid w:val="00215D98"/>
    <w:rsid w:val="00216790"/>
    <w:rsid w:val="00217B04"/>
    <w:rsid w:val="00217C85"/>
    <w:rsid w:val="0022069D"/>
    <w:rsid w:val="00221E1F"/>
    <w:rsid w:val="00223115"/>
    <w:rsid w:val="00224A88"/>
    <w:rsid w:val="002306CE"/>
    <w:rsid w:val="002318C8"/>
    <w:rsid w:val="00233530"/>
    <w:rsid w:val="00235353"/>
    <w:rsid w:val="00236F96"/>
    <w:rsid w:val="0023749B"/>
    <w:rsid w:val="00237D03"/>
    <w:rsid w:val="00240550"/>
    <w:rsid w:val="00241F09"/>
    <w:rsid w:val="0024229D"/>
    <w:rsid w:val="00244CFD"/>
    <w:rsid w:val="00246C35"/>
    <w:rsid w:val="00246FD1"/>
    <w:rsid w:val="002472E4"/>
    <w:rsid w:val="00247900"/>
    <w:rsid w:val="002579BB"/>
    <w:rsid w:val="00257F20"/>
    <w:rsid w:val="002618F9"/>
    <w:rsid w:val="00262299"/>
    <w:rsid w:val="002644BC"/>
    <w:rsid w:val="00265CCD"/>
    <w:rsid w:val="0026734F"/>
    <w:rsid w:val="00270B85"/>
    <w:rsid w:val="00274383"/>
    <w:rsid w:val="00274509"/>
    <w:rsid w:val="00280191"/>
    <w:rsid w:val="002805A5"/>
    <w:rsid w:val="0028190C"/>
    <w:rsid w:val="00282E0B"/>
    <w:rsid w:val="00283021"/>
    <w:rsid w:val="002832C2"/>
    <w:rsid w:val="002839EC"/>
    <w:rsid w:val="002846C5"/>
    <w:rsid w:val="00291E67"/>
    <w:rsid w:val="0029208C"/>
    <w:rsid w:val="002923DE"/>
    <w:rsid w:val="00292D65"/>
    <w:rsid w:val="002932DE"/>
    <w:rsid w:val="002A0DF7"/>
    <w:rsid w:val="002A268C"/>
    <w:rsid w:val="002A37BD"/>
    <w:rsid w:val="002A7B2F"/>
    <w:rsid w:val="002B08FB"/>
    <w:rsid w:val="002B70BE"/>
    <w:rsid w:val="002B71AE"/>
    <w:rsid w:val="002B7F1A"/>
    <w:rsid w:val="002C00F4"/>
    <w:rsid w:val="002C261E"/>
    <w:rsid w:val="002C32F1"/>
    <w:rsid w:val="002D0636"/>
    <w:rsid w:val="002D353D"/>
    <w:rsid w:val="002E0C24"/>
    <w:rsid w:val="002E54F4"/>
    <w:rsid w:val="002E54FC"/>
    <w:rsid w:val="002E6EB8"/>
    <w:rsid w:val="002F3C35"/>
    <w:rsid w:val="002F4D6D"/>
    <w:rsid w:val="002F5242"/>
    <w:rsid w:val="002F5B46"/>
    <w:rsid w:val="002F6F7F"/>
    <w:rsid w:val="00300DEF"/>
    <w:rsid w:val="003018BC"/>
    <w:rsid w:val="00303613"/>
    <w:rsid w:val="003051FA"/>
    <w:rsid w:val="0031095F"/>
    <w:rsid w:val="00313E32"/>
    <w:rsid w:val="00313F30"/>
    <w:rsid w:val="003217FB"/>
    <w:rsid w:val="00321B9E"/>
    <w:rsid w:val="00324F49"/>
    <w:rsid w:val="00327F0E"/>
    <w:rsid w:val="0033275E"/>
    <w:rsid w:val="00333AB1"/>
    <w:rsid w:val="00333BBE"/>
    <w:rsid w:val="003346BD"/>
    <w:rsid w:val="00335265"/>
    <w:rsid w:val="00335569"/>
    <w:rsid w:val="00337E35"/>
    <w:rsid w:val="00347D88"/>
    <w:rsid w:val="00352DB6"/>
    <w:rsid w:val="00355E5E"/>
    <w:rsid w:val="00356AFC"/>
    <w:rsid w:val="00365146"/>
    <w:rsid w:val="003659DD"/>
    <w:rsid w:val="003725B3"/>
    <w:rsid w:val="00374559"/>
    <w:rsid w:val="00375B04"/>
    <w:rsid w:val="00375EBF"/>
    <w:rsid w:val="003811D3"/>
    <w:rsid w:val="003816F1"/>
    <w:rsid w:val="00392B6C"/>
    <w:rsid w:val="00392E3D"/>
    <w:rsid w:val="0039307D"/>
    <w:rsid w:val="00394772"/>
    <w:rsid w:val="00397DCF"/>
    <w:rsid w:val="003A1433"/>
    <w:rsid w:val="003A4EFF"/>
    <w:rsid w:val="003A5239"/>
    <w:rsid w:val="003A7DDC"/>
    <w:rsid w:val="003B0CA8"/>
    <w:rsid w:val="003B2057"/>
    <w:rsid w:val="003B4F0C"/>
    <w:rsid w:val="003B556C"/>
    <w:rsid w:val="003B5DD9"/>
    <w:rsid w:val="003B75E6"/>
    <w:rsid w:val="003C1344"/>
    <w:rsid w:val="003C2146"/>
    <w:rsid w:val="003C2F12"/>
    <w:rsid w:val="003C48E9"/>
    <w:rsid w:val="003C5C3B"/>
    <w:rsid w:val="003D2761"/>
    <w:rsid w:val="003D350F"/>
    <w:rsid w:val="003E1347"/>
    <w:rsid w:val="003E6993"/>
    <w:rsid w:val="003F19A0"/>
    <w:rsid w:val="003F2016"/>
    <w:rsid w:val="003F5F91"/>
    <w:rsid w:val="003F7D9F"/>
    <w:rsid w:val="004025CE"/>
    <w:rsid w:val="0040631E"/>
    <w:rsid w:val="0041385F"/>
    <w:rsid w:val="004159B6"/>
    <w:rsid w:val="00416811"/>
    <w:rsid w:val="00420761"/>
    <w:rsid w:val="00423D0B"/>
    <w:rsid w:val="00424CED"/>
    <w:rsid w:val="004308DC"/>
    <w:rsid w:val="00433871"/>
    <w:rsid w:val="00433F9D"/>
    <w:rsid w:val="00437B1E"/>
    <w:rsid w:val="00441098"/>
    <w:rsid w:val="004439F1"/>
    <w:rsid w:val="00446438"/>
    <w:rsid w:val="00451D1C"/>
    <w:rsid w:val="0045285D"/>
    <w:rsid w:val="004530DA"/>
    <w:rsid w:val="00453588"/>
    <w:rsid w:val="0045612F"/>
    <w:rsid w:val="004577E0"/>
    <w:rsid w:val="00461420"/>
    <w:rsid w:val="004628BB"/>
    <w:rsid w:val="00465937"/>
    <w:rsid w:val="00473182"/>
    <w:rsid w:val="00473880"/>
    <w:rsid w:val="004761AB"/>
    <w:rsid w:val="00484554"/>
    <w:rsid w:val="00484B4B"/>
    <w:rsid w:val="00486FCE"/>
    <w:rsid w:val="00490314"/>
    <w:rsid w:val="00491F5A"/>
    <w:rsid w:val="0049350A"/>
    <w:rsid w:val="0049542F"/>
    <w:rsid w:val="00495E6E"/>
    <w:rsid w:val="004A0631"/>
    <w:rsid w:val="004A45EE"/>
    <w:rsid w:val="004A5807"/>
    <w:rsid w:val="004A5CF8"/>
    <w:rsid w:val="004A600E"/>
    <w:rsid w:val="004A67DF"/>
    <w:rsid w:val="004A6846"/>
    <w:rsid w:val="004A6E1B"/>
    <w:rsid w:val="004B0746"/>
    <w:rsid w:val="004B51FF"/>
    <w:rsid w:val="004B7352"/>
    <w:rsid w:val="004B7BD1"/>
    <w:rsid w:val="004C0540"/>
    <w:rsid w:val="004D19F1"/>
    <w:rsid w:val="004D1A7F"/>
    <w:rsid w:val="004D6352"/>
    <w:rsid w:val="004D7829"/>
    <w:rsid w:val="004E15E8"/>
    <w:rsid w:val="004E19AB"/>
    <w:rsid w:val="004E5582"/>
    <w:rsid w:val="004E7D78"/>
    <w:rsid w:val="004F3104"/>
    <w:rsid w:val="004F6426"/>
    <w:rsid w:val="005027EE"/>
    <w:rsid w:val="00505EB0"/>
    <w:rsid w:val="005103ED"/>
    <w:rsid w:val="005132DE"/>
    <w:rsid w:val="00514310"/>
    <w:rsid w:val="0052159D"/>
    <w:rsid w:val="00522EAC"/>
    <w:rsid w:val="00523043"/>
    <w:rsid w:val="00527D2F"/>
    <w:rsid w:val="00530DD4"/>
    <w:rsid w:val="0053374D"/>
    <w:rsid w:val="00533E4B"/>
    <w:rsid w:val="00534363"/>
    <w:rsid w:val="005344D9"/>
    <w:rsid w:val="00540F10"/>
    <w:rsid w:val="00542233"/>
    <w:rsid w:val="00546364"/>
    <w:rsid w:val="0054657B"/>
    <w:rsid w:val="00546B01"/>
    <w:rsid w:val="005503CC"/>
    <w:rsid w:val="00551456"/>
    <w:rsid w:val="005531FE"/>
    <w:rsid w:val="0055320A"/>
    <w:rsid w:val="00553DBE"/>
    <w:rsid w:val="00561878"/>
    <w:rsid w:val="00561BFF"/>
    <w:rsid w:val="00565DE9"/>
    <w:rsid w:val="005661DA"/>
    <w:rsid w:val="00570412"/>
    <w:rsid w:val="00571076"/>
    <w:rsid w:val="005723CA"/>
    <w:rsid w:val="005746CD"/>
    <w:rsid w:val="00584FD9"/>
    <w:rsid w:val="00586A3A"/>
    <w:rsid w:val="005876E3"/>
    <w:rsid w:val="00590D0F"/>
    <w:rsid w:val="00590D80"/>
    <w:rsid w:val="00595D8A"/>
    <w:rsid w:val="00596EF3"/>
    <w:rsid w:val="00597CEC"/>
    <w:rsid w:val="005A51B8"/>
    <w:rsid w:val="005B2AF9"/>
    <w:rsid w:val="005B55D8"/>
    <w:rsid w:val="005C186F"/>
    <w:rsid w:val="005C1A93"/>
    <w:rsid w:val="005C292F"/>
    <w:rsid w:val="005C5CB0"/>
    <w:rsid w:val="005C650E"/>
    <w:rsid w:val="005E26AD"/>
    <w:rsid w:val="005E66F4"/>
    <w:rsid w:val="005E6AEE"/>
    <w:rsid w:val="005E6D45"/>
    <w:rsid w:val="005E71E1"/>
    <w:rsid w:val="005E7B59"/>
    <w:rsid w:val="005E7F78"/>
    <w:rsid w:val="005F07BA"/>
    <w:rsid w:val="005F2DB4"/>
    <w:rsid w:val="005F5D1E"/>
    <w:rsid w:val="005F6D90"/>
    <w:rsid w:val="005F795C"/>
    <w:rsid w:val="00600569"/>
    <w:rsid w:val="006015CF"/>
    <w:rsid w:val="0060444A"/>
    <w:rsid w:val="006052CB"/>
    <w:rsid w:val="00610B02"/>
    <w:rsid w:val="00611992"/>
    <w:rsid w:val="00612D82"/>
    <w:rsid w:val="00616063"/>
    <w:rsid w:val="00625C0F"/>
    <w:rsid w:val="00625E55"/>
    <w:rsid w:val="00627130"/>
    <w:rsid w:val="00631850"/>
    <w:rsid w:val="00632859"/>
    <w:rsid w:val="0063588C"/>
    <w:rsid w:val="0064046B"/>
    <w:rsid w:val="00642607"/>
    <w:rsid w:val="00643F74"/>
    <w:rsid w:val="00645C7D"/>
    <w:rsid w:val="00646867"/>
    <w:rsid w:val="006479A2"/>
    <w:rsid w:val="0065265C"/>
    <w:rsid w:val="006574CF"/>
    <w:rsid w:val="00661594"/>
    <w:rsid w:val="0066288C"/>
    <w:rsid w:val="006634FA"/>
    <w:rsid w:val="00672584"/>
    <w:rsid w:val="006736BC"/>
    <w:rsid w:val="00674204"/>
    <w:rsid w:val="006755E5"/>
    <w:rsid w:val="00676FAD"/>
    <w:rsid w:val="0067740F"/>
    <w:rsid w:val="00686027"/>
    <w:rsid w:val="0068681A"/>
    <w:rsid w:val="0069424E"/>
    <w:rsid w:val="006961FB"/>
    <w:rsid w:val="006A3541"/>
    <w:rsid w:val="006A3FF3"/>
    <w:rsid w:val="006A6802"/>
    <w:rsid w:val="006A6880"/>
    <w:rsid w:val="006A6A52"/>
    <w:rsid w:val="006B09A9"/>
    <w:rsid w:val="006B0F3B"/>
    <w:rsid w:val="006B14C3"/>
    <w:rsid w:val="006B4635"/>
    <w:rsid w:val="006C6A1F"/>
    <w:rsid w:val="006D4AC2"/>
    <w:rsid w:val="006D5857"/>
    <w:rsid w:val="006D7566"/>
    <w:rsid w:val="006E4E1F"/>
    <w:rsid w:val="006E4FAC"/>
    <w:rsid w:val="00705D13"/>
    <w:rsid w:val="00706DE6"/>
    <w:rsid w:val="00712C36"/>
    <w:rsid w:val="0071419A"/>
    <w:rsid w:val="00714A8D"/>
    <w:rsid w:val="00715640"/>
    <w:rsid w:val="0071578E"/>
    <w:rsid w:val="007162B6"/>
    <w:rsid w:val="00723168"/>
    <w:rsid w:val="0072375E"/>
    <w:rsid w:val="00724381"/>
    <w:rsid w:val="0072692B"/>
    <w:rsid w:val="00726B27"/>
    <w:rsid w:val="00727DCD"/>
    <w:rsid w:val="007335BB"/>
    <w:rsid w:val="00734C73"/>
    <w:rsid w:val="00735DAB"/>
    <w:rsid w:val="00737656"/>
    <w:rsid w:val="00745204"/>
    <w:rsid w:val="00746334"/>
    <w:rsid w:val="00747F82"/>
    <w:rsid w:val="007504C3"/>
    <w:rsid w:val="00751380"/>
    <w:rsid w:val="00754772"/>
    <w:rsid w:val="007553D8"/>
    <w:rsid w:val="00756031"/>
    <w:rsid w:val="00757823"/>
    <w:rsid w:val="00763098"/>
    <w:rsid w:val="00765B26"/>
    <w:rsid w:val="00765B59"/>
    <w:rsid w:val="00766421"/>
    <w:rsid w:val="0077361E"/>
    <w:rsid w:val="0077486C"/>
    <w:rsid w:val="00783848"/>
    <w:rsid w:val="007847D3"/>
    <w:rsid w:val="00785F70"/>
    <w:rsid w:val="0079134E"/>
    <w:rsid w:val="007963EA"/>
    <w:rsid w:val="00797503"/>
    <w:rsid w:val="007A3D59"/>
    <w:rsid w:val="007B10E9"/>
    <w:rsid w:val="007B6508"/>
    <w:rsid w:val="007C1CA2"/>
    <w:rsid w:val="007C5AC7"/>
    <w:rsid w:val="007C5B11"/>
    <w:rsid w:val="007C5FB9"/>
    <w:rsid w:val="007C7054"/>
    <w:rsid w:val="007D0911"/>
    <w:rsid w:val="007D0E1A"/>
    <w:rsid w:val="007D1A52"/>
    <w:rsid w:val="007D6308"/>
    <w:rsid w:val="007D7543"/>
    <w:rsid w:val="007E0596"/>
    <w:rsid w:val="007E1EE7"/>
    <w:rsid w:val="007E241C"/>
    <w:rsid w:val="007E3636"/>
    <w:rsid w:val="007E3A8B"/>
    <w:rsid w:val="007E5A90"/>
    <w:rsid w:val="007E7ADB"/>
    <w:rsid w:val="007F1762"/>
    <w:rsid w:val="007F4FD3"/>
    <w:rsid w:val="007F6B8C"/>
    <w:rsid w:val="007F6EFA"/>
    <w:rsid w:val="007F7B24"/>
    <w:rsid w:val="00802143"/>
    <w:rsid w:val="008021DF"/>
    <w:rsid w:val="00803855"/>
    <w:rsid w:val="00805E96"/>
    <w:rsid w:val="00807725"/>
    <w:rsid w:val="008100DC"/>
    <w:rsid w:val="00811056"/>
    <w:rsid w:val="00811073"/>
    <w:rsid w:val="0081120A"/>
    <w:rsid w:val="00812006"/>
    <w:rsid w:val="008140F4"/>
    <w:rsid w:val="00816CEF"/>
    <w:rsid w:val="00831FB6"/>
    <w:rsid w:val="0083382A"/>
    <w:rsid w:val="008359D2"/>
    <w:rsid w:val="008417AC"/>
    <w:rsid w:val="008420C6"/>
    <w:rsid w:val="0084460A"/>
    <w:rsid w:val="00845E0C"/>
    <w:rsid w:val="0084696E"/>
    <w:rsid w:val="00846AEC"/>
    <w:rsid w:val="00846D91"/>
    <w:rsid w:val="00850B33"/>
    <w:rsid w:val="008521C1"/>
    <w:rsid w:val="008563CF"/>
    <w:rsid w:val="0086280A"/>
    <w:rsid w:val="00864622"/>
    <w:rsid w:val="008659D3"/>
    <w:rsid w:val="0086710B"/>
    <w:rsid w:val="00867952"/>
    <w:rsid w:val="00871771"/>
    <w:rsid w:val="00874FA3"/>
    <w:rsid w:val="00882F33"/>
    <w:rsid w:val="0088409A"/>
    <w:rsid w:val="008878E9"/>
    <w:rsid w:val="008879C2"/>
    <w:rsid w:val="008933D1"/>
    <w:rsid w:val="008935E3"/>
    <w:rsid w:val="008959CA"/>
    <w:rsid w:val="008A75E0"/>
    <w:rsid w:val="008A7755"/>
    <w:rsid w:val="008B1975"/>
    <w:rsid w:val="008B2504"/>
    <w:rsid w:val="008B5736"/>
    <w:rsid w:val="008D0431"/>
    <w:rsid w:val="008D2EB0"/>
    <w:rsid w:val="008D58C5"/>
    <w:rsid w:val="008D7CDD"/>
    <w:rsid w:val="008E3BB1"/>
    <w:rsid w:val="008E5497"/>
    <w:rsid w:val="008F05F3"/>
    <w:rsid w:val="008F0A15"/>
    <w:rsid w:val="008F1176"/>
    <w:rsid w:val="008F2E4E"/>
    <w:rsid w:val="008F4576"/>
    <w:rsid w:val="008F619E"/>
    <w:rsid w:val="008F6D0A"/>
    <w:rsid w:val="008F6DBC"/>
    <w:rsid w:val="00901491"/>
    <w:rsid w:val="00902619"/>
    <w:rsid w:val="0090404E"/>
    <w:rsid w:val="00905584"/>
    <w:rsid w:val="00905D79"/>
    <w:rsid w:val="00910922"/>
    <w:rsid w:val="00911B0F"/>
    <w:rsid w:val="00912AB9"/>
    <w:rsid w:val="00912D18"/>
    <w:rsid w:val="009154D3"/>
    <w:rsid w:val="00922386"/>
    <w:rsid w:val="00923605"/>
    <w:rsid w:val="0092524B"/>
    <w:rsid w:val="00925BCE"/>
    <w:rsid w:val="009275B0"/>
    <w:rsid w:val="0093079E"/>
    <w:rsid w:val="00947205"/>
    <w:rsid w:val="009525EF"/>
    <w:rsid w:val="009533E8"/>
    <w:rsid w:val="0095351B"/>
    <w:rsid w:val="009548CB"/>
    <w:rsid w:val="00956400"/>
    <w:rsid w:val="009605F2"/>
    <w:rsid w:val="00965FAA"/>
    <w:rsid w:val="00966382"/>
    <w:rsid w:val="00971293"/>
    <w:rsid w:val="00974254"/>
    <w:rsid w:val="00974AFB"/>
    <w:rsid w:val="00974B9B"/>
    <w:rsid w:val="00977E03"/>
    <w:rsid w:val="0098358E"/>
    <w:rsid w:val="009870F6"/>
    <w:rsid w:val="00987988"/>
    <w:rsid w:val="00987C0B"/>
    <w:rsid w:val="00990ADB"/>
    <w:rsid w:val="00992393"/>
    <w:rsid w:val="00992E6E"/>
    <w:rsid w:val="00994B64"/>
    <w:rsid w:val="0099629C"/>
    <w:rsid w:val="009A05F8"/>
    <w:rsid w:val="009A0D15"/>
    <w:rsid w:val="009A16F4"/>
    <w:rsid w:val="009A410F"/>
    <w:rsid w:val="009A4ED8"/>
    <w:rsid w:val="009B1574"/>
    <w:rsid w:val="009B5993"/>
    <w:rsid w:val="009B652B"/>
    <w:rsid w:val="009B7860"/>
    <w:rsid w:val="009C5A83"/>
    <w:rsid w:val="009C6B20"/>
    <w:rsid w:val="009C7838"/>
    <w:rsid w:val="009D268A"/>
    <w:rsid w:val="009D2A90"/>
    <w:rsid w:val="009D39B3"/>
    <w:rsid w:val="009D7109"/>
    <w:rsid w:val="009E18D7"/>
    <w:rsid w:val="009E2182"/>
    <w:rsid w:val="009E3163"/>
    <w:rsid w:val="009E37C9"/>
    <w:rsid w:val="009E4424"/>
    <w:rsid w:val="009E6A12"/>
    <w:rsid w:val="009E7429"/>
    <w:rsid w:val="009F194F"/>
    <w:rsid w:val="009F4732"/>
    <w:rsid w:val="009F4BAD"/>
    <w:rsid w:val="009F6C17"/>
    <w:rsid w:val="00A00D60"/>
    <w:rsid w:val="00A030D9"/>
    <w:rsid w:val="00A0470D"/>
    <w:rsid w:val="00A10C19"/>
    <w:rsid w:val="00A1101C"/>
    <w:rsid w:val="00A13CAA"/>
    <w:rsid w:val="00A219DF"/>
    <w:rsid w:val="00A21B95"/>
    <w:rsid w:val="00A227F5"/>
    <w:rsid w:val="00A240E7"/>
    <w:rsid w:val="00A245F7"/>
    <w:rsid w:val="00A25FEE"/>
    <w:rsid w:val="00A31694"/>
    <w:rsid w:val="00A32AF7"/>
    <w:rsid w:val="00A3400C"/>
    <w:rsid w:val="00A34ACF"/>
    <w:rsid w:val="00A34DE0"/>
    <w:rsid w:val="00A4042F"/>
    <w:rsid w:val="00A445F7"/>
    <w:rsid w:val="00A446C7"/>
    <w:rsid w:val="00A47F79"/>
    <w:rsid w:val="00A5054E"/>
    <w:rsid w:val="00A539D3"/>
    <w:rsid w:val="00A54287"/>
    <w:rsid w:val="00A54C60"/>
    <w:rsid w:val="00A562B1"/>
    <w:rsid w:val="00A602C4"/>
    <w:rsid w:val="00A62180"/>
    <w:rsid w:val="00A63CBC"/>
    <w:rsid w:val="00A642F6"/>
    <w:rsid w:val="00A65A1D"/>
    <w:rsid w:val="00A71171"/>
    <w:rsid w:val="00A7141A"/>
    <w:rsid w:val="00A7143B"/>
    <w:rsid w:val="00A77174"/>
    <w:rsid w:val="00A77404"/>
    <w:rsid w:val="00A80902"/>
    <w:rsid w:val="00A80DFE"/>
    <w:rsid w:val="00A82EC6"/>
    <w:rsid w:val="00A83498"/>
    <w:rsid w:val="00A8689C"/>
    <w:rsid w:val="00A87A47"/>
    <w:rsid w:val="00A87EDE"/>
    <w:rsid w:val="00A9440A"/>
    <w:rsid w:val="00A97F88"/>
    <w:rsid w:val="00AA0E51"/>
    <w:rsid w:val="00AA1082"/>
    <w:rsid w:val="00AA3A19"/>
    <w:rsid w:val="00AA60F5"/>
    <w:rsid w:val="00AA74FD"/>
    <w:rsid w:val="00AA7536"/>
    <w:rsid w:val="00AA7727"/>
    <w:rsid w:val="00AA77AD"/>
    <w:rsid w:val="00AA7947"/>
    <w:rsid w:val="00AA7B99"/>
    <w:rsid w:val="00AB2422"/>
    <w:rsid w:val="00AB5BAC"/>
    <w:rsid w:val="00AB5EC5"/>
    <w:rsid w:val="00AB7311"/>
    <w:rsid w:val="00AC1456"/>
    <w:rsid w:val="00AC1573"/>
    <w:rsid w:val="00AC50A7"/>
    <w:rsid w:val="00AC6F65"/>
    <w:rsid w:val="00AC73EF"/>
    <w:rsid w:val="00AD23FF"/>
    <w:rsid w:val="00AD2F80"/>
    <w:rsid w:val="00AD7D92"/>
    <w:rsid w:val="00AE1345"/>
    <w:rsid w:val="00AE3D32"/>
    <w:rsid w:val="00AE5FB6"/>
    <w:rsid w:val="00AE6519"/>
    <w:rsid w:val="00AE6CF0"/>
    <w:rsid w:val="00AE76FA"/>
    <w:rsid w:val="00AE7CE6"/>
    <w:rsid w:val="00AF26DA"/>
    <w:rsid w:val="00AF292C"/>
    <w:rsid w:val="00AF42E9"/>
    <w:rsid w:val="00AF5CDA"/>
    <w:rsid w:val="00AF7BB0"/>
    <w:rsid w:val="00B0458F"/>
    <w:rsid w:val="00B070F8"/>
    <w:rsid w:val="00B07D03"/>
    <w:rsid w:val="00B11B5B"/>
    <w:rsid w:val="00B11ECD"/>
    <w:rsid w:val="00B1266D"/>
    <w:rsid w:val="00B13C80"/>
    <w:rsid w:val="00B14656"/>
    <w:rsid w:val="00B16E9D"/>
    <w:rsid w:val="00B23002"/>
    <w:rsid w:val="00B23ED3"/>
    <w:rsid w:val="00B2571F"/>
    <w:rsid w:val="00B2583C"/>
    <w:rsid w:val="00B30304"/>
    <w:rsid w:val="00B303B3"/>
    <w:rsid w:val="00B30D5D"/>
    <w:rsid w:val="00B3403F"/>
    <w:rsid w:val="00B37F7A"/>
    <w:rsid w:val="00B40C4F"/>
    <w:rsid w:val="00B426D6"/>
    <w:rsid w:val="00B502CE"/>
    <w:rsid w:val="00B52DED"/>
    <w:rsid w:val="00B54C32"/>
    <w:rsid w:val="00B54E99"/>
    <w:rsid w:val="00B6077D"/>
    <w:rsid w:val="00B611BD"/>
    <w:rsid w:val="00B61BF1"/>
    <w:rsid w:val="00B6316F"/>
    <w:rsid w:val="00B64786"/>
    <w:rsid w:val="00B737C1"/>
    <w:rsid w:val="00B75C51"/>
    <w:rsid w:val="00B76331"/>
    <w:rsid w:val="00B80683"/>
    <w:rsid w:val="00B872EA"/>
    <w:rsid w:val="00B87D56"/>
    <w:rsid w:val="00B904E6"/>
    <w:rsid w:val="00B91692"/>
    <w:rsid w:val="00B95DD5"/>
    <w:rsid w:val="00B966B4"/>
    <w:rsid w:val="00BA0B79"/>
    <w:rsid w:val="00BA5457"/>
    <w:rsid w:val="00BA71CC"/>
    <w:rsid w:val="00BB0A4A"/>
    <w:rsid w:val="00BB0CF0"/>
    <w:rsid w:val="00BB386E"/>
    <w:rsid w:val="00BB413F"/>
    <w:rsid w:val="00BC02B4"/>
    <w:rsid w:val="00BC19A0"/>
    <w:rsid w:val="00BC1B37"/>
    <w:rsid w:val="00BC20D3"/>
    <w:rsid w:val="00BC4539"/>
    <w:rsid w:val="00BC49E7"/>
    <w:rsid w:val="00BD131E"/>
    <w:rsid w:val="00BD1341"/>
    <w:rsid w:val="00BD36A8"/>
    <w:rsid w:val="00BD4A81"/>
    <w:rsid w:val="00BD4BAA"/>
    <w:rsid w:val="00BD4EC9"/>
    <w:rsid w:val="00BD6673"/>
    <w:rsid w:val="00BE2B0E"/>
    <w:rsid w:val="00BE3A16"/>
    <w:rsid w:val="00BE3B78"/>
    <w:rsid w:val="00BE44C9"/>
    <w:rsid w:val="00BE5D33"/>
    <w:rsid w:val="00BE683D"/>
    <w:rsid w:val="00BF0C83"/>
    <w:rsid w:val="00BF0DDD"/>
    <w:rsid w:val="00BF1AB5"/>
    <w:rsid w:val="00BF5D2A"/>
    <w:rsid w:val="00BF660C"/>
    <w:rsid w:val="00C107DB"/>
    <w:rsid w:val="00C14295"/>
    <w:rsid w:val="00C1754A"/>
    <w:rsid w:val="00C179E2"/>
    <w:rsid w:val="00C20402"/>
    <w:rsid w:val="00C31793"/>
    <w:rsid w:val="00C321F5"/>
    <w:rsid w:val="00C344F5"/>
    <w:rsid w:val="00C34B65"/>
    <w:rsid w:val="00C40434"/>
    <w:rsid w:val="00C43FCC"/>
    <w:rsid w:val="00C52100"/>
    <w:rsid w:val="00C54E61"/>
    <w:rsid w:val="00C5695B"/>
    <w:rsid w:val="00C605E1"/>
    <w:rsid w:val="00C63A5C"/>
    <w:rsid w:val="00C64F5E"/>
    <w:rsid w:val="00C65B32"/>
    <w:rsid w:val="00C67BED"/>
    <w:rsid w:val="00C71770"/>
    <w:rsid w:val="00C71778"/>
    <w:rsid w:val="00C74176"/>
    <w:rsid w:val="00C75F09"/>
    <w:rsid w:val="00C76CD9"/>
    <w:rsid w:val="00C8735D"/>
    <w:rsid w:val="00C90BEF"/>
    <w:rsid w:val="00C934FB"/>
    <w:rsid w:val="00C9491E"/>
    <w:rsid w:val="00C94E61"/>
    <w:rsid w:val="00C94EF9"/>
    <w:rsid w:val="00C96758"/>
    <w:rsid w:val="00C9687E"/>
    <w:rsid w:val="00CA0060"/>
    <w:rsid w:val="00CA00DB"/>
    <w:rsid w:val="00CA063E"/>
    <w:rsid w:val="00CA58E3"/>
    <w:rsid w:val="00CA6140"/>
    <w:rsid w:val="00CB101B"/>
    <w:rsid w:val="00CB2109"/>
    <w:rsid w:val="00CB3DD1"/>
    <w:rsid w:val="00CB700A"/>
    <w:rsid w:val="00CB7D36"/>
    <w:rsid w:val="00CC13E3"/>
    <w:rsid w:val="00CC5D76"/>
    <w:rsid w:val="00CD0F9A"/>
    <w:rsid w:val="00CD452E"/>
    <w:rsid w:val="00CD56DF"/>
    <w:rsid w:val="00CD5C9B"/>
    <w:rsid w:val="00CD6966"/>
    <w:rsid w:val="00CD722D"/>
    <w:rsid w:val="00CE149C"/>
    <w:rsid w:val="00CE19BE"/>
    <w:rsid w:val="00CE6F4A"/>
    <w:rsid w:val="00CF0825"/>
    <w:rsid w:val="00CF13FE"/>
    <w:rsid w:val="00CF4A1F"/>
    <w:rsid w:val="00CF5CB2"/>
    <w:rsid w:val="00CF5E1F"/>
    <w:rsid w:val="00CF6BE1"/>
    <w:rsid w:val="00D0202B"/>
    <w:rsid w:val="00D0281E"/>
    <w:rsid w:val="00D059BF"/>
    <w:rsid w:val="00D11227"/>
    <w:rsid w:val="00D11562"/>
    <w:rsid w:val="00D14F3D"/>
    <w:rsid w:val="00D339BB"/>
    <w:rsid w:val="00D344EA"/>
    <w:rsid w:val="00D42601"/>
    <w:rsid w:val="00D4277E"/>
    <w:rsid w:val="00D43692"/>
    <w:rsid w:val="00D44060"/>
    <w:rsid w:val="00D4411A"/>
    <w:rsid w:val="00D53686"/>
    <w:rsid w:val="00D61321"/>
    <w:rsid w:val="00D62BE2"/>
    <w:rsid w:val="00D66DF6"/>
    <w:rsid w:val="00D67D92"/>
    <w:rsid w:val="00D7514B"/>
    <w:rsid w:val="00D8132C"/>
    <w:rsid w:val="00D83CBF"/>
    <w:rsid w:val="00D84634"/>
    <w:rsid w:val="00D855EA"/>
    <w:rsid w:val="00D856DA"/>
    <w:rsid w:val="00D86619"/>
    <w:rsid w:val="00D91732"/>
    <w:rsid w:val="00D93043"/>
    <w:rsid w:val="00D93855"/>
    <w:rsid w:val="00D953DF"/>
    <w:rsid w:val="00DA0BD0"/>
    <w:rsid w:val="00DA1D4C"/>
    <w:rsid w:val="00DB14EC"/>
    <w:rsid w:val="00DB64B7"/>
    <w:rsid w:val="00DB6A6F"/>
    <w:rsid w:val="00DB6F2A"/>
    <w:rsid w:val="00DB7DC5"/>
    <w:rsid w:val="00DC4B27"/>
    <w:rsid w:val="00DC5B3C"/>
    <w:rsid w:val="00DC73E2"/>
    <w:rsid w:val="00DD1753"/>
    <w:rsid w:val="00DD2690"/>
    <w:rsid w:val="00DD318F"/>
    <w:rsid w:val="00DD40F7"/>
    <w:rsid w:val="00DE173F"/>
    <w:rsid w:val="00DE1B08"/>
    <w:rsid w:val="00DE352F"/>
    <w:rsid w:val="00DE3980"/>
    <w:rsid w:val="00DE504E"/>
    <w:rsid w:val="00DF0214"/>
    <w:rsid w:val="00DF429A"/>
    <w:rsid w:val="00DF60BA"/>
    <w:rsid w:val="00DF64F7"/>
    <w:rsid w:val="00DF7937"/>
    <w:rsid w:val="00DF7BC6"/>
    <w:rsid w:val="00DF7C4E"/>
    <w:rsid w:val="00DF7FE4"/>
    <w:rsid w:val="00E02E05"/>
    <w:rsid w:val="00E033BE"/>
    <w:rsid w:val="00E04A5B"/>
    <w:rsid w:val="00E0729C"/>
    <w:rsid w:val="00E11BA2"/>
    <w:rsid w:val="00E1269C"/>
    <w:rsid w:val="00E13101"/>
    <w:rsid w:val="00E145A0"/>
    <w:rsid w:val="00E24F36"/>
    <w:rsid w:val="00E3263A"/>
    <w:rsid w:val="00E34056"/>
    <w:rsid w:val="00E36B1B"/>
    <w:rsid w:val="00E405E2"/>
    <w:rsid w:val="00E4383E"/>
    <w:rsid w:val="00E46453"/>
    <w:rsid w:val="00E470E9"/>
    <w:rsid w:val="00E47C2C"/>
    <w:rsid w:val="00E523F5"/>
    <w:rsid w:val="00E52B8D"/>
    <w:rsid w:val="00E57168"/>
    <w:rsid w:val="00E604A5"/>
    <w:rsid w:val="00E60E9C"/>
    <w:rsid w:val="00E6545D"/>
    <w:rsid w:val="00E66945"/>
    <w:rsid w:val="00E7178C"/>
    <w:rsid w:val="00E7588B"/>
    <w:rsid w:val="00E80842"/>
    <w:rsid w:val="00E81059"/>
    <w:rsid w:val="00E815BF"/>
    <w:rsid w:val="00E90EFC"/>
    <w:rsid w:val="00E9194A"/>
    <w:rsid w:val="00E929AD"/>
    <w:rsid w:val="00E93AB0"/>
    <w:rsid w:val="00EA11B9"/>
    <w:rsid w:val="00EA2BA5"/>
    <w:rsid w:val="00EB32E4"/>
    <w:rsid w:val="00EB5DD1"/>
    <w:rsid w:val="00EB631E"/>
    <w:rsid w:val="00EB6C9F"/>
    <w:rsid w:val="00EB6DEB"/>
    <w:rsid w:val="00EB7783"/>
    <w:rsid w:val="00EC02CE"/>
    <w:rsid w:val="00EC4185"/>
    <w:rsid w:val="00EC5B86"/>
    <w:rsid w:val="00ED17BF"/>
    <w:rsid w:val="00ED6CAF"/>
    <w:rsid w:val="00ED7604"/>
    <w:rsid w:val="00EE06C5"/>
    <w:rsid w:val="00EE36FB"/>
    <w:rsid w:val="00EE5F09"/>
    <w:rsid w:val="00EF03A7"/>
    <w:rsid w:val="00EF11E6"/>
    <w:rsid w:val="00EF1407"/>
    <w:rsid w:val="00EF30AA"/>
    <w:rsid w:val="00EF6E3D"/>
    <w:rsid w:val="00F01CC1"/>
    <w:rsid w:val="00F02126"/>
    <w:rsid w:val="00F022FD"/>
    <w:rsid w:val="00F04061"/>
    <w:rsid w:val="00F055C7"/>
    <w:rsid w:val="00F05D4D"/>
    <w:rsid w:val="00F07571"/>
    <w:rsid w:val="00F1026C"/>
    <w:rsid w:val="00F10633"/>
    <w:rsid w:val="00F16D0B"/>
    <w:rsid w:val="00F17AC7"/>
    <w:rsid w:val="00F26460"/>
    <w:rsid w:val="00F26BB6"/>
    <w:rsid w:val="00F26E7A"/>
    <w:rsid w:val="00F274AC"/>
    <w:rsid w:val="00F3196D"/>
    <w:rsid w:val="00F35A8F"/>
    <w:rsid w:val="00F41472"/>
    <w:rsid w:val="00F4477D"/>
    <w:rsid w:val="00F45201"/>
    <w:rsid w:val="00F45416"/>
    <w:rsid w:val="00F45BA6"/>
    <w:rsid w:val="00F46362"/>
    <w:rsid w:val="00F46D78"/>
    <w:rsid w:val="00F46EA5"/>
    <w:rsid w:val="00F55851"/>
    <w:rsid w:val="00F56ED0"/>
    <w:rsid w:val="00F57F5D"/>
    <w:rsid w:val="00F62358"/>
    <w:rsid w:val="00F62BBC"/>
    <w:rsid w:val="00F62BEE"/>
    <w:rsid w:val="00F6300E"/>
    <w:rsid w:val="00F63FE9"/>
    <w:rsid w:val="00F64265"/>
    <w:rsid w:val="00F7167F"/>
    <w:rsid w:val="00F727DB"/>
    <w:rsid w:val="00F744BF"/>
    <w:rsid w:val="00F75F95"/>
    <w:rsid w:val="00F76D0F"/>
    <w:rsid w:val="00F804C4"/>
    <w:rsid w:val="00F81200"/>
    <w:rsid w:val="00F844B8"/>
    <w:rsid w:val="00F85529"/>
    <w:rsid w:val="00F92FA2"/>
    <w:rsid w:val="00FA57CE"/>
    <w:rsid w:val="00FB2460"/>
    <w:rsid w:val="00FB4675"/>
    <w:rsid w:val="00FB4BA8"/>
    <w:rsid w:val="00FB7033"/>
    <w:rsid w:val="00FB7F84"/>
    <w:rsid w:val="00FC19BB"/>
    <w:rsid w:val="00FC400A"/>
    <w:rsid w:val="00FC73A3"/>
    <w:rsid w:val="00FD02E0"/>
    <w:rsid w:val="00FD59FC"/>
    <w:rsid w:val="00FE2363"/>
    <w:rsid w:val="00FE602E"/>
    <w:rsid w:val="00FF2255"/>
    <w:rsid w:val="00FF22F9"/>
    <w:rsid w:val="00FF40A9"/>
    <w:rsid w:val="00FF4841"/>
    <w:rsid w:val="00FF55B6"/>
    <w:rsid w:val="015B4FF4"/>
    <w:rsid w:val="02C762B4"/>
    <w:rsid w:val="0446337E"/>
    <w:rsid w:val="04F30A40"/>
    <w:rsid w:val="054977AB"/>
    <w:rsid w:val="057964DC"/>
    <w:rsid w:val="06FE65DE"/>
    <w:rsid w:val="075730BD"/>
    <w:rsid w:val="086C5A4D"/>
    <w:rsid w:val="087F4D4C"/>
    <w:rsid w:val="08977D5D"/>
    <w:rsid w:val="08AD0F4B"/>
    <w:rsid w:val="098338F5"/>
    <w:rsid w:val="0AAF081A"/>
    <w:rsid w:val="0B8B3EA5"/>
    <w:rsid w:val="0B9963E4"/>
    <w:rsid w:val="0C4F6EB4"/>
    <w:rsid w:val="0C7B0839"/>
    <w:rsid w:val="0ECF61A0"/>
    <w:rsid w:val="0FE77623"/>
    <w:rsid w:val="0FEF4A30"/>
    <w:rsid w:val="10B34D1C"/>
    <w:rsid w:val="14F77DB6"/>
    <w:rsid w:val="16D76381"/>
    <w:rsid w:val="18DD2BF4"/>
    <w:rsid w:val="1AC467AA"/>
    <w:rsid w:val="1B0B247C"/>
    <w:rsid w:val="1B2B6DFF"/>
    <w:rsid w:val="1C064FB9"/>
    <w:rsid w:val="1EFB5FCC"/>
    <w:rsid w:val="202B3137"/>
    <w:rsid w:val="203523BB"/>
    <w:rsid w:val="20B35058"/>
    <w:rsid w:val="226B3C09"/>
    <w:rsid w:val="23F56EA3"/>
    <w:rsid w:val="24362377"/>
    <w:rsid w:val="24C60447"/>
    <w:rsid w:val="281D0578"/>
    <w:rsid w:val="29782A21"/>
    <w:rsid w:val="2C272F87"/>
    <w:rsid w:val="2CC05753"/>
    <w:rsid w:val="2CD04952"/>
    <w:rsid w:val="2DAF4B82"/>
    <w:rsid w:val="2ECA4B9B"/>
    <w:rsid w:val="2FDD245E"/>
    <w:rsid w:val="306E217B"/>
    <w:rsid w:val="308B36C3"/>
    <w:rsid w:val="31912111"/>
    <w:rsid w:val="338737CB"/>
    <w:rsid w:val="359C6EF4"/>
    <w:rsid w:val="35E8322A"/>
    <w:rsid w:val="3B7C4987"/>
    <w:rsid w:val="3C256880"/>
    <w:rsid w:val="3C347F7C"/>
    <w:rsid w:val="3C454B9A"/>
    <w:rsid w:val="3D541E4B"/>
    <w:rsid w:val="414577EC"/>
    <w:rsid w:val="427C23A2"/>
    <w:rsid w:val="42B339AB"/>
    <w:rsid w:val="435540EB"/>
    <w:rsid w:val="43962AEF"/>
    <w:rsid w:val="449A1097"/>
    <w:rsid w:val="44E079E9"/>
    <w:rsid w:val="4588044F"/>
    <w:rsid w:val="46102505"/>
    <w:rsid w:val="461F0EC6"/>
    <w:rsid w:val="46921F44"/>
    <w:rsid w:val="47CC12DA"/>
    <w:rsid w:val="48603727"/>
    <w:rsid w:val="49822F84"/>
    <w:rsid w:val="498B4698"/>
    <w:rsid w:val="512E01BB"/>
    <w:rsid w:val="533946A3"/>
    <w:rsid w:val="54D47B17"/>
    <w:rsid w:val="55D65EE0"/>
    <w:rsid w:val="55E42F94"/>
    <w:rsid w:val="5792083F"/>
    <w:rsid w:val="58271DFF"/>
    <w:rsid w:val="591569D0"/>
    <w:rsid w:val="59560FC3"/>
    <w:rsid w:val="5A304D3D"/>
    <w:rsid w:val="5C6D72B2"/>
    <w:rsid w:val="5DD04674"/>
    <w:rsid w:val="5DF13B21"/>
    <w:rsid w:val="5E420C89"/>
    <w:rsid w:val="5E8B1D30"/>
    <w:rsid w:val="607B79AA"/>
    <w:rsid w:val="66647913"/>
    <w:rsid w:val="69D179B2"/>
    <w:rsid w:val="6B5623E4"/>
    <w:rsid w:val="6E91666F"/>
    <w:rsid w:val="6EE3508F"/>
    <w:rsid w:val="6F435D47"/>
    <w:rsid w:val="7056045A"/>
    <w:rsid w:val="7113017D"/>
    <w:rsid w:val="71B90EB5"/>
    <w:rsid w:val="784F0653"/>
    <w:rsid w:val="792A218D"/>
    <w:rsid w:val="7A5E3C4E"/>
    <w:rsid w:val="7B1F54C1"/>
    <w:rsid w:val="7CAA5807"/>
    <w:rsid w:val="7D227D73"/>
    <w:rsid w:val="7E3C0247"/>
    <w:rsid w:val="7E694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99" w:semiHidden="0" w:name="Body Text 3"/>
    <w:lsdException w:qFormat="1" w:uiPriority="99" w:semiHidden="0"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spacing w:line="360" w:lineRule="auto"/>
      <w:ind w:firstLine="643" w:firstLineChars="200"/>
      <w:jc w:val="center"/>
      <w:outlineLvl w:val="0"/>
    </w:pPr>
    <w:rPr>
      <w:rFonts w:ascii="宋体" w:hAnsi="宋体"/>
      <w:sz w:val="28"/>
      <w:lang w:val="en-GB"/>
    </w:rPr>
  </w:style>
  <w:style w:type="paragraph" w:styleId="4">
    <w:name w:val="heading 2"/>
    <w:basedOn w:val="1"/>
    <w:next w:val="1"/>
    <w:link w:val="32"/>
    <w:qFormat/>
    <w:uiPriority w:val="0"/>
    <w:pPr>
      <w:keepNext/>
      <w:keepLines/>
      <w:spacing w:before="260" w:after="260" w:line="416" w:lineRule="auto"/>
      <w:ind w:firstLine="643" w:firstLineChars="200"/>
      <w:outlineLvl w:val="1"/>
    </w:pPr>
    <w:rPr>
      <w:rFonts w:ascii="Cambria" w:hAnsi="Cambria"/>
      <w:b/>
      <w:bCs/>
      <w:sz w:val="32"/>
      <w:szCs w:val="32"/>
    </w:rPr>
  </w:style>
  <w:style w:type="paragraph" w:styleId="5">
    <w:name w:val="heading 3"/>
    <w:basedOn w:val="1"/>
    <w:next w:val="1"/>
    <w:link w:val="33"/>
    <w:qFormat/>
    <w:uiPriority w:val="0"/>
    <w:pPr>
      <w:keepNext/>
      <w:keepLines/>
      <w:spacing w:before="260" w:after="260" w:line="416" w:lineRule="auto"/>
      <w:ind w:firstLine="643" w:firstLineChars="200"/>
      <w:outlineLvl w:val="2"/>
    </w:pPr>
    <w:rPr>
      <w:b/>
      <w:bCs/>
      <w:sz w:val="32"/>
      <w:szCs w:val="32"/>
    </w:rPr>
  </w:style>
  <w:style w:type="paragraph" w:styleId="6">
    <w:name w:val="heading 4"/>
    <w:basedOn w:val="4"/>
    <w:next w:val="1"/>
    <w:link w:val="129"/>
    <w:semiHidden/>
    <w:unhideWhenUsed/>
    <w:qFormat/>
    <w:uiPriority w:val="9"/>
    <w:pPr>
      <w:spacing w:before="280" w:after="290" w:line="376" w:lineRule="auto"/>
      <w:outlineLvl w:val="3"/>
    </w:pPr>
    <w:rPr>
      <w:rFonts w:asciiTheme="majorHAnsi" w:hAnsiTheme="majorHAnsi" w:eastAsiaTheme="majorEastAsia" w:cstheme="majorBidi"/>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1"/>
    <w:unhideWhenUsed/>
    <w:qFormat/>
    <w:uiPriority w:val="0"/>
    <w:pPr>
      <w:spacing w:after="120"/>
    </w:pPr>
  </w:style>
  <w:style w:type="paragraph" w:styleId="7">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Normal Indent"/>
    <w:basedOn w:val="1"/>
    <w:next w:val="1"/>
    <w:link w:val="47"/>
    <w:qFormat/>
    <w:uiPriority w:val="0"/>
    <w:pPr>
      <w:spacing w:line="360" w:lineRule="auto"/>
      <w:ind w:firstLine="420" w:firstLineChars="200"/>
    </w:pPr>
    <w:rPr>
      <w:sz w:val="24"/>
    </w:rPr>
  </w:style>
  <w:style w:type="paragraph" w:styleId="9">
    <w:name w:val="caption"/>
    <w:basedOn w:val="1"/>
    <w:next w:val="1"/>
    <w:qFormat/>
    <w:uiPriority w:val="0"/>
    <w:pPr>
      <w:spacing w:before="152" w:after="160" w:line="360" w:lineRule="auto"/>
      <w:ind w:firstLine="643" w:firstLineChars="200"/>
    </w:pPr>
    <w:rPr>
      <w:rFonts w:ascii="Arial" w:hAnsi="Arial" w:eastAsia="黑体" w:cs="Arial"/>
      <w:sz w:val="20"/>
      <w:szCs w:val="20"/>
    </w:rPr>
  </w:style>
  <w:style w:type="paragraph" w:styleId="10">
    <w:name w:val="Document Map"/>
    <w:basedOn w:val="1"/>
    <w:link w:val="53"/>
    <w:semiHidden/>
    <w:qFormat/>
    <w:uiPriority w:val="0"/>
    <w:pPr>
      <w:shd w:val="clear" w:color="auto" w:fill="000080"/>
      <w:spacing w:line="360" w:lineRule="auto"/>
      <w:ind w:firstLine="643" w:firstLineChars="200"/>
    </w:pPr>
    <w:rPr>
      <w:sz w:val="24"/>
    </w:rPr>
  </w:style>
  <w:style w:type="paragraph" w:styleId="11">
    <w:name w:val="annotation text"/>
    <w:basedOn w:val="1"/>
    <w:link w:val="54"/>
    <w:qFormat/>
    <w:uiPriority w:val="0"/>
    <w:pPr>
      <w:spacing w:line="360" w:lineRule="auto"/>
      <w:ind w:firstLine="643" w:firstLineChars="200"/>
      <w:jc w:val="left"/>
    </w:pPr>
    <w:rPr>
      <w:sz w:val="24"/>
    </w:rPr>
  </w:style>
  <w:style w:type="paragraph" w:styleId="12">
    <w:name w:val="Body Text 3"/>
    <w:basedOn w:val="1"/>
    <w:qFormat/>
    <w:uiPriority w:val="99"/>
    <w:pPr>
      <w:spacing w:after="120"/>
    </w:pPr>
    <w:rPr>
      <w:sz w:val="16"/>
      <w:szCs w:val="16"/>
    </w:rPr>
  </w:style>
  <w:style w:type="paragraph" w:styleId="13">
    <w:name w:val="Body Text Indent"/>
    <w:basedOn w:val="1"/>
    <w:link w:val="42"/>
    <w:qFormat/>
    <w:uiPriority w:val="0"/>
    <w:pPr>
      <w:spacing w:after="120" w:line="360" w:lineRule="auto"/>
      <w:ind w:left="420" w:leftChars="200" w:firstLine="643" w:firstLineChars="200"/>
    </w:pPr>
    <w:rPr>
      <w:sz w:val="24"/>
    </w:rPr>
  </w:style>
  <w:style w:type="paragraph" w:styleId="14">
    <w:name w:val="Plain Text"/>
    <w:basedOn w:val="1"/>
    <w:link w:val="55"/>
    <w:qFormat/>
    <w:uiPriority w:val="0"/>
    <w:pPr>
      <w:spacing w:line="360" w:lineRule="auto"/>
      <w:ind w:firstLine="643" w:firstLineChars="200"/>
    </w:pPr>
    <w:rPr>
      <w:rFonts w:ascii="宋体" w:hAnsi="Courier New"/>
      <w:sz w:val="24"/>
      <w:szCs w:val="20"/>
    </w:rPr>
  </w:style>
  <w:style w:type="paragraph" w:styleId="15">
    <w:name w:val="Date"/>
    <w:basedOn w:val="1"/>
    <w:next w:val="1"/>
    <w:link w:val="43"/>
    <w:qFormat/>
    <w:uiPriority w:val="0"/>
    <w:pPr>
      <w:widowControl/>
      <w:spacing w:line="360" w:lineRule="auto"/>
      <w:ind w:firstLine="643" w:firstLineChars="200"/>
      <w:jc w:val="left"/>
    </w:pPr>
    <w:rPr>
      <w:rFonts w:ascii="Kingsoft Phonetic Plain" w:hAnsi="Kingsoft Phonetic Plain" w:cs="宋体"/>
      <w:b/>
      <w:kern w:val="0"/>
      <w:sz w:val="28"/>
    </w:rPr>
  </w:style>
  <w:style w:type="paragraph" w:styleId="16">
    <w:name w:val="Body Text Indent 2"/>
    <w:basedOn w:val="1"/>
    <w:link w:val="136"/>
    <w:unhideWhenUsed/>
    <w:qFormat/>
    <w:uiPriority w:val="99"/>
    <w:pPr>
      <w:spacing w:after="120" w:line="480" w:lineRule="auto"/>
      <w:ind w:left="420" w:leftChars="200"/>
    </w:pPr>
  </w:style>
  <w:style w:type="paragraph" w:styleId="17">
    <w:name w:val="Balloon Text"/>
    <w:basedOn w:val="1"/>
    <w:link w:val="56"/>
    <w:semiHidden/>
    <w:qFormat/>
    <w:uiPriority w:val="0"/>
    <w:pPr>
      <w:spacing w:line="360" w:lineRule="auto"/>
      <w:ind w:firstLine="643" w:firstLineChars="200"/>
    </w:pPr>
    <w:rPr>
      <w:sz w:val="18"/>
      <w:szCs w:val="18"/>
    </w:rPr>
  </w:style>
  <w:style w:type="paragraph" w:styleId="18">
    <w:name w:val="footer"/>
    <w:basedOn w:val="1"/>
    <w:link w:val="34"/>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19">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Body Text Indent 3"/>
    <w:basedOn w:val="1"/>
    <w:link w:val="57"/>
    <w:qFormat/>
    <w:uiPriority w:val="0"/>
    <w:pPr>
      <w:spacing w:line="460" w:lineRule="exact"/>
      <w:ind w:firstLine="578" w:firstLineChars="200"/>
    </w:pPr>
    <w:rPr>
      <w:rFonts w:ascii="宋体"/>
      <w:sz w:val="28"/>
    </w:rPr>
  </w:style>
  <w:style w:type="paragraph" w:styleId="21">
    <w:name w:val="Body Text 2"/>
    <w:basedOn w:val="1"/>
    <w:link w:val="44"/>
    <w:qFormat/>
    <w:uiPriority w:val="0"/>
    <w:pPr>
      <w:widowControl/>
      <w:spacing w:after="120" w:line="480" w:lineRule="auto"/>
      <w:ind w:firstLine="643" w:firstLineChars="200"/>
      <w:jc w:val="left"/>
    </w:pPr>
    <w:rPr>
      <w:rFonts w:ascii="宋体" w:hAnsi="宋体" w:cs="宋体"/>
      <w:kern w:val="0"/>
      <w:sz w:val="24"/>
    </w:rPr>
  </w:style>
  <w:style w:type="paragraph" w:styleId="22">
    <w:name w:val="Normal (Web)"/>
    <w:basedOn w:val="1"/>
    <w:link w:val="35"/>
    <w:qFormat/>
    <w:uiPriority w:val="99"/>
    <w:pPr>
      <w:widowControl/>
      <w:spacing w:before="100" w:beforeAutospacing="1" w:after="100" w:afterAutospacing="1"/>
      <w:jc w:val="left"/>
    </w:pPr>
    <w:rPr>
      <w:rFonts w:ascii="宋体" w:hAnsi="宋体" w:cstheme="minorBidi"/>
      <w:sz w:val="24"/>
      <w:szCs w:val="22"/>
    </w:rPr>
  </w:style>
  <w:style w:type="paragraph" w:styleId="23">
    <w:name w:val="annotation subject"/>
    <w:basedOn w:val="11"/>
    <w:next w:val="11"/>
    <w:link w:val="58"/>
    <w:semiHidden/>
    <w:qFormat/>
    <w:uiPriority w:val="0"/>
    <w:rPr>
      <w:b/>
      <w:bCs/>
    </w:rPr>
  </w:style>
  <w:style w:type="paragraph" w:styleId="24">
    <w:name w:val="Body Text First Indent 2"/>
    <w:basedOn w:val="13"/>
    <w:link w:val="59"/>
    <w:qFormat/>
    <w:uiPriority w:val="0"/>
    <w:pPr>
      <w:ind w:firstLine="210"/>
    </w:p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qFormat/>
    <w:uiPriority w:val="0"/>
    <w:rPr>
      <w:color w:val="0000FF"/>
      <w:u w:val="single"/>
    </w:rPr>
  </w:style>
  <w:style w:type="character" w:styleId="30">
    <w:name w:val="annotation reference"/>
    <w:basedOn w:val="27"/>
    <w:semiHidden/>
    <w:unhideWhenUsed/>
    <w:qFormat/>
    <w:uiPriority w:val="0"/>
    <w:rPr>
      <w:sz w:val="21"/>
      <w:szCs w:val="21"/>
    </w:rPr>
  </w:style>
  <w:style w:type="character" w:customStyle="1" w:styleId="31">
    <w:name w:val="标题 1 字符"/>
    <w:basedOn w:val="27"/>
    <w:link w:val="3"/>
    <w:qFormat/>
    <w:uiPriority w:val="0"/>
    <w:rPr>
      <w:rFonts w:ascii="宋体" w:hAnsi="宋体" w:eastAsia="宋体" w:cs="Times New Roman"/>
      <w:sz w:val="28"/>
      <w:szCs w:val="24"/>
      <w:lang w:val="en-GB"/>
    </w:rPr>
  </w:style>
  <w:style w:type="character" w:customStyle="1" w:styleId="32">
    <w:name w:val="标题 2 字符"/>
    <w:basedOn w:val="27"/>
    <w:link w:val="4"/>
    <w:qFormat/>
    <w:uiPriority w:val="0"/>
    <w:rPr>
      <w:rFonts w:ascii="Cambria" w:hAnsi="Cambria" w:eastAsia="宋体" w:cs="Times New Roman"/>
      <w:b/>
      <w:bCs/>
      <w:sz w:val="32"/>
      <w:szCs w:val="32"/>
    </w:rPr>
  </w:style>
  <w:style w:type="character" w:customStyle="1" w:styleId="33">
    <w:name w:val="标题 3 字符"/>
    <w:basedOn w:val="27"/>
    <w:link w:val="5"/>
    <w:qFormat/>
    <w:uiPriority w:val="0"/>
    <w:rPr>
      <w:rFonts w:ascii="Times New Roman" w:hAnsi="Times New Roman" w:eastAsia="宋体" w:cs="Times New Roman"/>
      <w:b/>
      <w:bCs/>
      <w:sz w:val="32"/>
      <w:szCs w:val="32"/>
    </w:rPr>
  </w:style>
  <w:style w:type="character" w:customStyle="1" w:styleId="34">
    <w:name w:val="页脚 字符"/>
    <w:link w:val="18"/>
    <w:qFormat/>
    <w:uiPriority w:val="0"/>
    <w:rPr>
      <w:sz w:val="18"/>
    </w:rPr>
  </w:style>
  <w:style w:type="character" w:customStyle="1" w:styleId="35">
    <w:name w:val="普通(网站) 字符"/>
    <w:link w:val="22"/>
    <w:qFormat/>
    <w:uiPriority w:val="0"/>
    <w:rPr>
      <w:rFonts w:ascii="宋体" w:hAnsi="宋体" w:eastAsia="宋体"/>
      <w:sz w:val="24"/>
    </w:rPr>
  </w:style>
  <w:style w:type="character" w:customStyle="1" w:styleId="36">
    <w:name w:val="表格 Char"/>
    <w:link w:val="37"/>
    <w:qFormat/>
    <w:uiPriority w:val="0"/>
    <w:rPr>
      <w:rFonts w:ascii="宋体"/>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38">
    <w:name w:val="页脚 Char1"/>
    <w:basedOn w:val="27"/>
    <w:semiHidden/>
    <w:qFormat/>
    <w:uiPriority w:val="99"/>
    <w:rPr>
      <w:rFonts w:ascii="Times New Roman" w:hAnsi="Times New Roman" w:eastAsia="宋体" w:cs="Times New Roman"/>
      <w:sz w:val="18"/>
      <w:szCs w:val="18"/>
    </w:rPr>
  </w:style>
  <w:style w:type="character" w:customStyle="1" w:styleId="39">
    <w:name w:val="页眉 字符"/>
    <w:basedOn w:val="27"/>
    <w:link w:val="19"/>
    <w:qFormat/>
    <w:uiPriority w:val="0"/>
    <w:rPr>
      <w:rFonts w:ascii="Times New Roman" w:hAnsi="Times New Roman" w:eastAsia="宋体" w:cs="Times New Roman"/>
      <w:sz w:val="18"/>
      <w:szCs w:val="18"/>
    </w:rPr>
  </w:style>
  <w:style w:type="paragraph" w:customStyle="1" w:styleId="40">
    <w:name w:val="Default"/>
    <w:basedOn w:val="41"/>
    <w:next w:val="7"/>
    <w:link w:val="128"/>
    <w:qFormat/>
    <w:uiPriority w:val="0"/>
    <w:pPr>
      <w:autoSpaceDE w:val="0"/>
      <w:autoSpaceDN w:val="0"/>
      <w:adjustRightInd w:val="0"/>
    </w:pPr>
    <w:rPr>
      <w:rFonts w:hAnsi="Calibri" w:cs="宋体"/>
      <w:color w:val="000000"/>
      <w:sz w:val="24"/>
      <w:szCs w:val="24"/>
    </w:rPr>
  </w:style>
  <w:style w:type="paragraph" w:customStyle="1" w:styleId="41">
    <w:name w:val="纯文本1"/>
    <w:basedOn w:val="1"/>
    <w:qFormat/>
    <w:uiPriority w:val="0"/>
    <w:rPr>
      <w:rFonts w:ascii="宋体" w:hAnsi="Courier New"/>
      <w:szCs w:val="21"/>
    </w:rPr>
  </w:style>
  <w:style w:type="character" w:customStyle="1" w:styleId="42">
    <w:name w:val="正文文本缩进 字符"/>
    <w:basedOn w:val="27"/>
    <w:link w:val="13"/>
    <w:qFormat/>
    <w:uiPriority w:val="0"/>
    <w:rPr>
      <w:rFonts w:ascii="Times New Roman" w:hAnsi="Times New Roman" w:eastAsia="宋体" w:cs="Times New Roman"/>
      <w:sz w:val="24"/>
      <w:szCs w:val="24"/>
    </w:rPr>
  </w:style>
  <w:style w:type="character" w:customStyle="1" w:styleId="43">
    <w:name w:val="日期 字符"/>
    <w:basedOn w:val="27"/>
    <w:link w:val="15"/>
    <w:qFormat/>
    <w:uiPriority w:val="0"/>
    <w:rPr>
      <w:rFonts w:ascii="Kingsoft Phonetic Plain" w:hAnsi="Kingsoft Phonetic Plain" w:eastAsia="宋体" w:cs="宋体"/>
      <w:b/>
      <w:kern w:val="0"/>
      <w:sz w:val="28"/>
      <w:szCs w:val="24"/>
    </w:rPr>
  </w:style>
  <w:style w:type="character" w:customStyle="1" w:styleId="44">
    <w:name w:val="正文文本 2 字符"/>
    <w:basedOn w:val="27"/>
    <w:link w:val="21"/>
    <w:qFormat/>
    <w:uiPriority w:val="0"/>
    <w:rPr>
      <w:rFonts w:ascii="宋体" w:hAnsi="宋体" w:eastAsia="宋体" w:cs="宋体"/>
      <w:kern w:val="0"/>
      <w:sz w:val="24"/>
      <w:szCs w:val="24"/>
    </w:rPr>
  </w:style>
  <w:style w:type="paragraph" w:customStyle="1" w:styleId="45">
    <w:name w:val="Table Paragraph"/>
    <w:basedOn w:val="1"/>
    <w:link w:val="138"/>
    <w:qFormat/>
    <w:uiPriority w:val="1"/>
    <w:pPr>
      <w:autoSpaceDE w:val="0"/>
      <w:autoSpaceDN w:val="0"/>
      <w:adjustRightInd w:val="0"/>
      <w:spacing w:line="360" w:lineRule="auto"/>
      <w:ind w:firstLine="643" w:firstLineChars="200"/>
      <w:jc w:val="left"/>
    </w:pPr>
    <w:rPr>
      <w:kern w:val="0"/>
      <w:sz w:val="24"/>
    </w:rPr>
  </w:style>
  <w:style w:type="paragraph" w:styleId="46">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47">
    <w:name w:val="正文缩进 字符"/>
    <w:link w:val="8"/>
    <w:qFormat/>
    <w:uiPriority w:val="0"/>
    <w:rPr>
      <w:rFonts w:ascii="Times New Roman" w:hAnsi="Times New Roman" w:eastAsia="宋体" w:cs="Times New Roman"/>
      <w:sz w:val="24"/>
      <w:szCs w:val="24"/>
    </w:rPr>
  </w:style>
  <w:style w:type="paragraph" w:customStyle="1" w:styleId="48">
    <w:name w:val="表格内容"/>
    <w:basedOn w:val="1"/>
    <w:qFormat/>
    <w:uiPriority w:val="0"/>
    <w:pPr>
      <w:spacing w:line="240" w:lineRule="exact"/>
      <w:ind w:firstLine="643" w:firstLineChars="200"/>
      <w:jc w:val="center"/>
    </w:pPr>
    <w:rPr>
      <w:rFonts w:ascii="仿宋" w:hAnsi="仿宋" w:eastAsia="仿宋"/>
      <w:bCs/>
      <w:kern w:val="0"/>
      <w:sz w:val="24"/>
      <w:szCs w:val="21"/>
    </w:rPr>
  </w:style>
  <w:style w:type="paragraph" w:customStyle="1" w:styleId="49">
    <w:name w:val="0正文缩"/>
    <w:basedOn w:val="1"/>
    <w:qFormat/>
    <w:uiPriority w:val="0"/>
    <w:pPr>
      <w:adjustRightInd w:val="0"/>
      <w:snapToGrid w:val="0"/>
      <w:spacing w:line="460" w:lineRule="exact"/>
      <w:ind w:firstLine="200" w:firstLineChars="200"/>
      <w:jc w:val="left"/>
    </w:pPr>
    <w:rPr>
      <w:kern w:val="0"/>
      <w:sz w:val="24"/>
      <w:szCs w:val="21"/>
    </w:rPr>
  </w:style>
  <w:style w:type="paragraph" w:customStyle="1" w:styleId="50">
    <w:name w:val="4小表"/>
    <w:basedOn w:val="1"/>
    <w:qFormat/>
    <w:uiPriority w:val="0"/>
    <w:pPr>
      <w:adjustRightInd w:val="0"/>
      <w:snapToGrid w:val="0"/>
      <w:spacing w:line="360" w:lineRule="auto"/>
      <w:ind w:firstLine="643" w:firstLineChars="200"/>
      <w:jc w:val="center"/>
    </w:pPr>
    <w:rPr>
      <w:kern w:val="0"/>
      <w:sz w:val="24"/>
      <w:szCs w:val="21"/>
    </w:rPr>
  </w:style>
  <w:style w:type="character" w:customStyle="1" w:styleId="51">
    <w:name w:val="正文文本 字符"/>
    <w:basedOn w:val="27"/>
    <w:link w:val="2"/>
    <w:qFormat/>
    <w:uiPriority w:val="0"/>
    <w:rPr>
      <w:rFonts w:ascii="Times New Roman" w:hAnsi="Times New Roman" w:eastAsia="宋体" w:cs="Times New Roman"/>
      <w:szCs w:val="24"/>
    </w:rPr>
  </w:style>
  <w:style w:type="paragraph" w:customStyle="1" w:styleId="52">
    <w:name w:val="表头"/>
    <w:basedOn w:val="9"/>
    <w:next w:val="1"/>
    <w:qFormat/>
    <w:uiPriority w:val="0"/>
    <w:pPr>
      <w:tabs>
        <w:tab w:val="center" w:pos="4060"/>
        <w:tab w:val="right" w:pos="8261"/>
      </w:tabs>
      <w:suppressAutoHyphens/>
      <w:adjustRightInd w:val="0"/>
      <w:spacing w:before="240"/>
      <w:ind w:firstLine="200"/>
    </w:pPr>
    <w:rPr>
      <w:rFonts w:ascii="黑体"/>
      <w:spacing w:val="6"/>
      <w:kern w:val="0"/>
      <w:sz w:val="26"/>
      <w:szCs w:val="26"/>
    </w:rPr>
  </w:style>
  <w:style w:type="character" w:customStyle="1" w:styleId="53">
    <w:name w:val="文档结构图 字符"/>
    <w:basedOn w:val="27"/>
    <w:link w:val="10"/>
    <w:semiHidden/>
    <w:qFormat/>
    <w:uiPriority w:val="0"/>
    <w:rPr>
      <w:rFonts w:ascii="Times New Roman" w:hAnsi="Times New Roman" w:eastAsia="宋体" w:cs="Times New Roman"/>
      <w:sz w:val="24"/>
      <w:szCs w:val="24"/>
      <w:shd w:val="clear" w:color="auto" w:fill="000080"/>
    </w:rPr>
  </w:style>
  <w:style w:type="character" w:customStyle="1" w:styleId="54">
    <w:name w:val="批注文字 字符"/>
    <w:basedOn w:val="27"/>
    <w:link w:val="11"/>
    <w:qFormat/>
    <w:uiPriority w:val="0"/>
    <w:rPr>
      <w:rFonts w:ascii="Times New Roman" w:hAnsi="Times New Roman" w:eastAsia="宋体" w:cs="Times New Roman"/>
      <w:sz w:val="24"/>
      <w:szCs w:val="24"/>
    </w:rPr>
  </w:style>
  <w:style w:type="character" w:customStyle="1" w:styleId="55">
    <w:name w:val="纯文本 字符"/>
    <w:basedOn w:val="27"/>
    <w:link w:val="14"/>
    <w:qFormat/>
    <w:uiPriority w:val="0"/>
    <w:rPr>
      <w:rFonts w:ascii="宋体" w:hAnsi="Courier New" w:eastAsia="宋体" w:cs="Times New Roman"/>
      <w:sz w:val="24"/>
      <w:szCs w:val="20"/>
    </w:rPr>
  </w:style>
  <w:style w:type="character" w:customStyle="1" w:styleId="56">
    <w:name w:val="批注框文本 字符"/>
    <w:basedOn w:val="27"/>
    <w:link w:val="17"/>
    <w:semiHidden/>
    <w:qFormat/>
    <w:uiPriority w:val="0"/>
    <w:rPr>
      <w:rFonts w:ascii="Times New Roman" w:hAnsi="Times New Roman" w:eastAsia="宋体" w:cs="Times New Roman"/>
      <w:sz w:val="18"/>
      <w:szCs w:val="18"/>
    </w:rPr>
  </w:style>
  <w:style w:type="character" w:customStyle="1" w:styleId="57">
    <w:name w:val="正文文本缩进 3 字符"/>
    <w:basedOn w:val="27"/>
    <w:link w:val="20"/>
    <w:qFormat/>
    <w:uiPriority w:val="0"/>
    <w:rPr>
      <w:rFonts w:ascii="宋体" w:hAnsi="Times New Roman" w:eastAsia="宋体" w:cs="Times New Roman"/>
      <w:sz w:val="28"/>
      <w:szCs w:val="24"/>
    </w:rPr>
  </w:style>
  <w:style w:type="character" w:customStyle="1" w:styleId="58">
    <w:name w:val="批注主题 字符"/>
    <w:basedOn w:val="54"/>
    <w:link w:val="23"/>
    <w:semiHidden/>
    <w:qFormat/>
    <w:uiPriority w:val="0"/>
    <w:rPr>
      <w:rFonts w:ascii="Times New Roman" w:hAnsi="Times New Roman" w:eastAsia="宋体" w:cs="Times New Roman"/>
      <w:b/>
      <w:bCs/>
      <w:sz w:val="24"/>
      <w:szCs w:val="24"/>
    </w:rPr>
  </w:style>
  <w:style w:type="character" w:customStyle="1" w:styleId="59">
    <w:name w:val="正文文本首行缩进 2 字符"/>
    <w:basedOn w:val="42"/>
    <w:link w:val="24"/>
    <w:qFormat/>
    <w:uiPriority w:val="0"/>
    <w:rPr>
      <w:rFonts w:ascii="Times New Roman" w:hAnsi="Times New Roman" w:eastAsia="宋体" w:cs="Times New Roman"/>
      <w:sz w:val="24"/>
      <w:szCs w:val="24"/>
    </w:rPr>
  </w:style>
  <w:style w:type="paragraph" w:customStyle="1" w:styleId="60">
    <w:name w:val="报告表格"/>
    <w:basedOn w:val="1"/>
    <w:qFormat/>
    <w:uiPriority w:val="0"/>
    <w:pPr>
      <w:autoSpaceDE w:val="0"/>
      <w:autoSpaceDN w:val="0"/>
      <w:adjustRightInd w:val="0"/>
      <w:spacing w:before="40" w:after="40" w:line="360" w:lineRule="auto"/>
      <w:ind w:firstLine="643" w:firstLineChars="200"/>
      <w:jc w:val="center"/>
      <w:textAlignment w:val="bottom"/>
    </w:pPr>
    <w:rPr>
      <w:kern w:val="0"/>
      <w:sz w:val="24"/>
    </w:rPr>
  </w:style>
  <w:style w:type="paragraph" w:customStyle="1" w:styleId="61">
    <w:name w:val="样式 样式4 + 首行缩进:  1.92 字符"/>
    <w:basedOn w:val="1"/>
    <w:qFormat/>
    <w:uiPriority w:val="0"/>
    <w:pPr>
      <w:snapToGrid w:val="0"/>
      <w:spacing w:line="300" w:lineRule="auto"/>
      <w:ind w:firstLine="538" w:firstLineChars="192"/>
    </w:pPr>
    <w:rPr>
      <w:rFonts w:cs="宋体"/>
      <w:sz w:val="28"/>
      <w:szCs w:val="20"/>
    </w:rPr>
  </w:style>
  <w:style w:type="paragraph" w:customStyle="1" w:styleId="62">
    <w:name w:val="表名"/>
    <w:basedOn w:val="1"/>
    <w:qFormat/>
    <w:uiPriority w:val="0"/>
    <w:pPr>
      <w:autoSpaceDE w:val="0"/>
      <w:autoSpaceDN w:val="0"/>
      <w:adjustRightInd w:val="0"/>
      <w:spacing w:before="163" w:line="360" w:lineRule="auto"/>
      <w:ind w:firstLine="643" w:firstLineChars="200"/>
      <w:jc w:val="center"/>
      <w:textAlignment w:val="baseline"/>
    </w:pPr>
    <w:rPr>
      <w:rFonts w:ascii="Arial" w:hAnsi="Arial" w:eastAsia="黑体"/>
      <w:kern w:val="0"/>
      <w:sz w:val="24"/>
    </w:rPr>
  </w:style>
  <w:style w:type="paragraph" w:customStyle="1" w:styleId="63">
    <w:name w:val="报告书表格"/>
    <w:basedOn w:val="1"/>
    <w:qFormat/>
    <w:uiPriority w:val="0"/>
    <w:pPr>
      <w:spacing w:before="60" w:after="60" w:line="240" w:lineRule="atLeast"/>
      <w:ind w:firstLine="643" w:firstLineChars="200"/>
      <w:jc w:val="center"/>
      <w:textAlignment w:val="baseline"/>
    </w:pPr>
    <w:rPr>
      <w:kern w:val="0"/>
      <w:sz w:val="24"/>
      <w:szCs w:val="20"/>
    </w:rPr>
  </w:style>
  <w:style w:type="paragraph" w:customStyle="1" w:styleId="64">
    <w:name w:val="表格标题"/>
    <w:basedOn w:val="1"/>
    <w:qFormat/>
    <w:uiPriority w:val="0"/>
    <w:pPr>
      <w:spacing w:line="540" w:lineRule="exact"/>
      <w:ind w:firstLine="643" w:firstLineChars="200"/>
      <w:jc w:val="center"/>
    </w:pPr>
    <w:rPr>
      <w:rFonts w:ascii="宋体" w:hAnsi="宋体"/>
      <w:bCs/>
      <w:sz w:val="24"/>
    </w:rPr>
  </w:style>
  <w:style w:type="paragraph" w:customStyle="1" w:styleId="65">
    <w:name w:val="图表标题"/>
    <w:basedOn w:val="66"/>
    <w:next w:val="60"/>
    <w:qFormat/>
    <w:uiPriority w:val="0"/>
    <w:pPr>
      <w:snapToGrid w:val="0"/>
      <w:ind w:firstLine="720" w:firstLineChars="300"/>
      <w:textAlignment w:val="baseline"/>
    </w:pPr>
    <w:rPr>
      <w:rFonts w:ascii="Times New Roman" w:hAnsi="Times New Roman"/>
      <w:b/>
      <w:kern w:val="2"/>
    </w:rPr>
  </w:style>
  <w:style w:type="paragraph" w:customStyle="1" w:styleId="66">
    <w:name w:val="报告"/>
    <w:basedOn w:val="1"/>
    <w:qFormat/>
    <w:uiPriority w:val="0"/>
    <w:pPr>
      <w:adjustRightInd w:val="0"/>
      <w:spacing w:line="360" w:lineRule="auto"/>
      <w:ind w:firstLine="505" w:firstLineChars="200"/>
      <w:textAlignment w:val="center"/>
    </w:pPr>
    <w:rPr>
      <w:rFonts w:ascii="TimesNewRoman" w:hAnsi="TimesNewRoman"/>
      <w:kern w:val="0"/>
      <w:sz w:val="24"/>
    </w:rPr>
  </w:style>
  <w:style w:type="paragraph" w:customStyle="1" w:styleId="67">
    <w:name w:val="正文文本 (2)1"/>
    <w:basedOn w:val="1"/>
    <w:link w:val="68"/>
    <w:qFormat/>
    <w:uiPriority w:val="0"/>
    <w:pPr>
      <w:shd w:val="clear" w:color="auto" w:fill="FFFFFF"/>
      <w:spacing w:before="840" w:after="120" w:line="490" w:lineRule="exact"/>
      <w:ind w:hanging="120" w:firstLineChars="200"/>
      <w:jc w:val="distribute"/>
    </w:pPr>
    <w:rPr>
      <w:rFonts w:ascii="宋体" w:hAnsi="宋体"/>
      <w:kern w:val="0"/>
      <w:sz w:val="22"/>
      <w:szCs w:val="22"/>
    </w:rPr>
  </w:style>
  <w:style w:type="character" w:customStyle="1" w:styleId="68">
    <w:name w:val="正文文本 (2)_"/>
    <w:link w:val="67"/>
    <w:qFormat/>
    <w:uiPriority w:val="0"/>
    <w:rPr>
      <w:rFonts w:ascii="宋体" w:hAnsi="宋体" w:eastAsia="宋体" w:cs="Times New Roman"/>
      <w:kern w:val="0"/>
      <w:sz w:val="22"/>
      <w:shd w:val="clear" w:color="auto" w:fill="FFFFFF"/>
    </w:rPr>
  </w:style>
  <w:style w:type="paragraph" w:customStyle="1" w:styleId="69">
    <w:name w:val="标题3"/>
    <w:basedOn w:val="1"/>
    <w:next w:val="1"/>
    <w:qFormat/>
    <w:uiPriority w:val="0"/>
    <w:pPr>
      <w:widowControl/>
      <w:adjustRightInd w:val="0"/>
      <w:snapToGrid w:val="0"/>
      <w:spacing w:after="200" w:line="360" w:lineRule="auto"/>
      <w:ind w:firstLine="643" w:firstLineChars="200"/>
      <w:jc w:val="left"/>
    </w:pPr>
    <w:rPr>
      <w:rFonts w:ascii="Tahoma" w:hAnsi="Tahoma"/>
      <w:b/>
      <w:bCs/>
      <w:kern w:val="0"/>
      <w:sz w:val="24"/>
      <w:szCs w:val="22"/>
    </w:rPr>
  </w:style>
  <w:style w:type="paragraph" w:customStyle="1" w:styleId="70">
    <w:name w:val="正文111111111"/>
    <w:basedOn w:val="1"/>
    <w:qFormat/>
    <w:uiPriority w:val="0"/>
    <w:pPr>
      <w:spacing w:line="360" w:lineRule="auto"/>
      <w:ind w:firstLine="480" w:firstLineChars="200"/>
    </w:pPr>
    <w:rPr>
      <w:rFonts w:cs="宋体"/>
      <w:sz w:val="24"/>
    </w:rPr>
  </w:style>
  <w:style w:type="paragraph" w:customStyle="1" w:styleId="71">
    <w:name w:val="表中文字"/>
    <w:basedOn w:val="1"/>
    <w:qFormat/>
    <w:uiPriority w:val="0"/>
    <w:pPr>
      <w:adjustRightInd w:val="0"/>
      <w:snapToGrid w:val="0"/>
      <w:spacing w:line="240" w:lineRule="atLeast"/>
      <w:ind w:firstLine="643" w:firstLineChars="200"/>
      <w:jc w:val="center"/>
    </w:pPr>
    <w:rPr>
      <w:snapToGrid w:val="0"/>
      <w:kern w:val="0"/>
      <w:sz w:val="24"/>
      <w:szCs w:val="20"/>
    </w:rPr>
  </w:style>
  <w:style w:type="paragraph" w:customStyle="1" w:styleId="72">
    <w:name w:val="L正文"/>
    <w:basedOn w:val="1"/>
    <w:qFormat/>
    <w:uiPriority w:val="0"/>
    <w:pPr>
      <w:adjustRightInd w:val="0"/>
      <w:snapToGrid w:val="0"/>
      <w:spacing w:line="360" w:lineRule="auto"/>
      <w:ind w:firstLine="200" w:firstLineChars="200"/>
      <w:jc w:val="left"/>
    </w:pPr>
    <w:rPr>
      <w:sz w:val="24"/>
    </w:rPr>
  </w:style>
  <w:style w:type="paragraph" w:customStyle="1" w:styleId="73">
    <w:name w:val="h表格文字"/>
    <w:qFormat/>
    <w:uiPriority w:val="0"/>
    <w:pPr>
      <w:spacing w:beforeLines="5" w:afterLines="5"/>
      <w:jc w:val="center"/>
    </w:pPr>
    <w:rPr>
      <w:rFonts w:ascii="Calibri" w:hAnsi="Calibri" w:eastAsia="宋体" w:cs="Calibri"/>
      <w:sz w:val="21"/>
      <w:lang w:val="en-US" w:eastAsia="zh-CN" w:bidi="ar-SA"/>
    </w:rPr>
  </w:style>
  <w:style w:type="paragraph" w:customStyle="1" w:styleId="74">
    <w:name w:val="zw1"/>
    <w:basedOn w:val="1"/>
    <w:qFormat/>
    <w:uiPriority w:val="0"/>
    <w:pPr>
      <w:spacing w:line="360" w:lineRule="auto"/>
      <w:ind w:firstLine="480" w:firstLineChars="200"/>
    </w:pPr>
    <w:rPr>
      <w:rFonts w:eastAsia="仿宋_GB2312"/>
      <w:sz w:val="24"/>
    </w:rPr>
  </w:style>
  <w:style w:type="paragraph" w:customStyle="1" w:styleId="75">
    <w:name w:val="Body Text 22"/>
    <w:basedOn w:val="1"/>
    <w:qFormat/>
    <w:uiPriority w:val="0"/>
    <w:pPr>
      <w:adjustRightInd w:val="0"/>
      <w:spacing w:line="440" w:lineRule="atLeast"/>
      <w:ind w:firstLine="480" w:firstLineChars="200"/>
      <w:textAlignment w:val="baseline"/>
    </w:pPr>
    <w:rPr>
      <w:rFonts w:eastAsia="仿宋_GB2312"/>
      <w:sz w:val="24"/>
    </w:rPr>
  </w:style>
  <w:style w:type="paragraph" w:customStyle="1" w:styleId="76">
    <w:name w:val="1黑左"/>
    <w:basedOn w:val="1"/>
    <w:next w:val="49"/>
    <w:qFormat/>
    <w:uiPriority w:val="0"/>
    <w:pPr>
      <w:adjustRightInd w:val="0"/>
      <w:snapToGrid w:val="0"/>
      <w:spacing w:beforeLines="20" w:line="460" w:lineRule="exact"/>
      <w:ind w:firstLine="643" w:firstLineChars="200"/>
      <w:jc w:val="left"/>
    </w:pPr>
    <w:rPr>
      <w:b/>
      <w:kern w:val="0"/>
      <w:sz w:val="24"/>
      <w:szCs w:val="21"/>
    </w:rPr>
  </w:style>
  <w:style w:type="paragraph" w:customStyle="1" w:styleId="77">
    <w:name w:val="3级标题"/>
    <w:basedOn w:val="1"/>
    <w:qFormat/>
    <w:uiPriority w:val="0"/>
    <w:pPr>
      <w:keepNext/>
      <w:keepLines/>
      <w:widowControl/>
      <w:adjustRightInd w:val="0"/>
      <w:snapToGrid w:val="0"/>
      <w:spacing w:beforeLines="50" w:line="300" w:lineRule="auto"/>
      <w:ind w:firstLine="643" w:firstLineChars="200"/>
      <w:outlineLvl w:val="2"/>
    </w:pPr>
    <w:rPr>
      <w:snapToGrid w:val="0"/>
      <w:kern w:val="0"/>
      <w:sz w:val="24"/>
      <w:szCs w:val="20"/>
    </w:rPr>
  </w:style>
  <w:style w:type="paragraph" w:customStyle="1" w:styleId="78">
    <w:name w:val="正文（首行缩进2字）"/>
    <w:basedOn w:val="1"/>
    <w:qFormat/>
    <w:uiPriority w:val="0"/>
    <w:pPr>
      <w:spacing w:line="360" w:lineRule="auto"/>
      <w:ind w:firstLine="560" w:firstLineChars="200"/>
      <w:jc w:val="center"/>
    </w:pPr>
    <w:rPr>
      <w:sz w:val="28"/>
      <w:szCs w:val="30"/>
    </w:rPr>
  </w:style>
  <w:style w:type="paragraph" w:customStyle="1" w:styleId="79">
    <w:name w:val="L表格"/>
    <w:basedOn w:val="72"/>
    <w:link w:val="80"/>
    <w:qFormat/>
    <w:uiPriority w:val="0"/>
    <w:pPr>
      <w:spacing w:line="320" w:lineRule="exact"/>
      <w:jc w:val="center"/>
    </w:pPr>
    <w:rPr>
      <w:rFonts w:eastAsia="Times New Roman"/>
    </w:rPr>
  </w:style>
  <w:style w:type="character" w:customStyle="1" w:styleId="80">
    <w:name w:val="L表格 Char"/>
    <w:link w:val="79"/>
    <w:qFormat/>
    <w:uiPriority w:val="0"/>
    <w:rPr>
      <w:rFonts w:ascii="Times New Roman" w:hAnsi="Times New Roman" w:eastAsia="Times New Roman" w:cs="Times New Roman"/>
      <w:sz w:val="24"/>
      <w:szCs w:val="24"/>
    </w:rPr>
  </w:style>
  <w:style w:type="paragraph" w:customStyle="1" w:styleId="81">
    <w:name w:val="正文四号"/>
    <w:basedOn w:val="1"/>
    <w:qFormat/>
    <w:uiPriority w:val="0"/>
    <w:pPr>
      <w:spacing w:line="360" w:lineRule="auto"/>
      <w:ind w:firstLine="200" w:firstLineChars="200"/>
    </w:pPr>
    <w:rPr>
      <w:rFonts w:cs="宋体"/>
      <w:sz w:val="28"/>
    </w:rPr>
  </w:style>
  <w:style w:type="paragraph" w:customStyle="1" w:styleId="82">
    <w:name w:val="列出段落1"/>
    <w:basedOn w:val="1"/>
    <w:unhideWhenUsed/>
    <w:qFormat/>
    <w:uiPriority w:val="99"/>
    <w:pPr>
      <w:spacing w:line="360" w:lineRule="auto"/>
      <w:ind w:firstLine="420" w:firstLineChars="200"/>
    </w:pPr>
    <w:rPr>
      <w:sz w:val="24"/>
    </w:rPr>
  </w:style>
  <w:style w:type="paragraph" w:customStyle="1" w:styleId="83">
    <w:name w:val="样式 表头 + 段前: 0.5 行"/>
    <w:basedOn w:val="52"/>
    <w:qFormat/>
    <w:uiPriority w:val="0"/>
    <w:pPr>
      <w:spacing w:before="93" w:beforeLines="30" w:line="360" w:lineRule="exact"/>
    </w:pPr>
    <w:rPr>
      <w:rFonts w:cs="宋体"/>
      <w:color w:val="000000"/>
      <w:szCs w:val="20"/>
    </w:rPr>
  </w:style>
  <w:style w:type="paragraph" w:customStyle="1" w:styleId="84">
    <w:name w:val="正 文"/>
    <w:basedOn w:val="1"/>
    <w:qFormat/>
    <w:uiPriority w:val="0"/>
    <w:pPr>
      <w:spacing w:line="360" w:lineRule="auto"/>
      <w:ind w:firstLine="200" w:firstLineChars="200"/>
    </w:pPr>
    <w:rPr>
      <w:sz w:val="24"/>
      <w:szCs w:val="22"/>
    </w:rPr>
  </w:style>
  <w:style w:type="paragraph" w:customStyle="1" w:styleId="85">
    <w:name w:val="表内文字（陈闻文）"/>
    <w:qFormat/>
    <w:uiPriority w:val="0"/>
    <w:pPr>
      <w:widowControl w:val="0"/>
      <w:spacing w:line="200" w:lineRule="atLeast"/>
      <w:jc w:val="center"/>
    </w:pPr>
    <w:rPr>
      <w:rFonts w:ascii="Times New Roman" w:hAnsi="Times New Roman" w:eastAsia="宋体" w:cs="Calibri"/>
      <w:color w:val="000000"/>
      <w:kern w:val="2"/>
      <w:sz w:val="21"/>
      <w:szCs w:val="22"/>
      <w:lang w:val="en-US" w:eastAsia="zh-CN" w:bidi="ar-SA"/>
    </w:rPr>
  </w:style>
  <w:style w:type="paragraph" w:customStyle="1" w:styleId="86">
    <w:name w:val="表中"/>
    <w:basedOn w:val="1"/>
    <w:qFormat/>
    <w:uiPriority w:val="0"/>
    <w:pPr>
      <w:spacing w:line="460" w:lineRule="exact"/>
      <w:ind w:firstLine="643" w:firstLineChars="200"/>
      <w:jc w:val="center"/>
    </w:pPr>
    <w:rPr>
      <w:sz w:val="24"/>
      <w:szCs w:val="22"/>
    </w:rPr>
  </w:style>
  <w:style w:type="paragraph" w:customStyle="1" w:styleId="87">
    <w:name w:val="xl31"/>
    <w:basedOn w:val="1"/>
    <w:qFormat/>
    <w:uiPriority w:val="0"/>
    <w:pPr>
      <w:widowControl/>
      <w:spacing w:before="100" w:beforeAutospacing="1" w:after="100" w:afterAutospacing="1" w:line="360" w:lineRule="auto"/>
      <w:ind w:firstLine="643" w:firstLineChars="200"/>
      <w:jc w:val="center"/>
    </w:pPr>
    <w:rPr>
      <w:rFonts w:ascii="宋体" w:hAnsi="宋体" w:cs="Dutch801 Rm BT"/>
      <w:kern w:val="0"/>
      <w:sz w:val="24"/>
    </w:rPr>
  </w:style>
  <w:style w:type="paragraph" w:customStyle="1" w:styleId="88">
    <w:name w:val="工艺统一正文"/>
    <w:basedOn w:val="1"/>
    <w:qFormat/>
    <w:uiPriority w:val="0"/>
    <w:pPr>
      <w:adjustRightInd w:val="0"/>
      <w:snapToGrid w:val="0"/>
      <w:spacing w:line="360" w:lineRule="auto"/>
      <w:ind w:firstLine="578" w:firstLineChars="200"/>
    </w:pPr>
    <w:rPr>
      <w:rFonts w:ascii="宋体"/>
      <w:sz w:val="28"/>
      <w:szCs w:val="20"/>
    </w:rPr>
  </w:style>
  <w:style w:type="paragraph" w:customStyle="1" w:styleId="89">
    <w:name w:val="L标题"/>
    <w:basedOn w:val="72"/>
    <w:qFormat/>
    <w:uiPriority w:val="0"/>
    <w:pPr>
      <w:ind w:firstLine="0" w:firstLineChars="0"/>
    </w:pPr>
    <w:rPr>
      <w:b/>
    </w:rPr>
  </w:style>
  <w:style w:type="paragraph" w:customStyle="1" w:styleId="90">
    <w:name w:val="图表"/>
    <w:basedOn w:val="1"/>
    <w:qFormat/>
    <w:uiPriority w:val="0"/>
    <w:pPr>
      <w:autoSpaceDE w:val="0"/>
      <w:autoSpaceDN w:val="0"/>
      <w:adjustRightInd w:val="0"/>
      <w:snapToGrid w:val="0"/>
      <w:spacing w:line="360" w:lineRule="auto"/>
      <w:ind w:firstLine="643" w:firstLineChars="200"/>
      <w:jc w:val="center"/>
    </w:pPr>
    <w:rPr>
      <w:kern w:val="0"/>
      <w:sz w:val="24"/>
    </w:rPr>
  </w:style>
  <w:style w:type="paragraph" w:customStyle="1" w:styleId="91">
    <w:name w:val="表格文字"/>
    <w:basedOn w:val="8"/>
    <w:next w:val="1"/>
    <w:link w:val="92"/>
    <w:qFormat/>
    <w:uiPriority w:val="0"/>
    <w:pPr>
      <w:autoSpaceDE w:val="0"/>
      <w:autoSpaceDN w:val="0"/>
      <w:adjustRightInd w:val="0"/>
      <w:spacing w:line="360" w:lineRule="exact"/>
      <w:jc w:val="center"/>
      <w:textAlignment w:val="bottom"/>
    </w:pPr>
    <w:rPr>
      <w:kern w:val="0"/>
      <w:sz w:val="21"/>
    </w:rPr>
  </w:style>
  <w:style w:type="character" w:customStyle="1" w:styleId="92">
    <w:name w:val="表格文字 Char"/>
    <w:link w:val="91"/>
    <w:qFormat/>
    <w:uiPriority w:val="0"/>
    <w:rPr>
      <w:rFonts w:ascii="Times New Roman" w:hAnsi="Times New Roman" w:eastAsia="宋体" w:cs="Times New Roman"/>
      <w:kern w:val="0"/>
      <w:szCs w:val="24"/>
    </w:rPr>
  </w:style>
  <w:style w:type="paragraph" w:customStyle="1" w:styleId="93">
    <w:name w:val="样式 小四 行距: 固定值 16 磅"/>
    <w:basedOn w:val="1"/>
    <w:qFormat/>
    <w:uiPriority w:val="0"/>
    <w:pPr>
      <w:snapToGrid w:val="0"/>
      <w:spacing w:line="400" w:lineRule="exact"/>
      <w:ind w:firstLine="480" w:firstLineChars="200"/>
    </w:pPr>
    <w:rPr>
      <w:rFonts w:cs="Dutch801 Rm BT"/>
      <w:sz w:val="24"/>
      <w:szCs w:val="20"/>
    </w:rPr>
  </w:style>
  <w:style w:type="paragraph" w:customStyle="1" w:styleId="94">
    <w:name w:val="标题2-2"/>
    <w:basedOn w:val="4"/>
    <w:qFormat/>
    <w:uiPriority w:val="0"/>
    <w:pPr>
      <w:spacing w:before="0" w:after="0" w:line="360" w:lineRule="auto"/>
      <w:ind w:firstLine="0" w:firstLineChars="0"/>
    </w:pPr>
    <w:rPr>
      <w:rFonts w:ascii="Times New Roman" w:hAnsi="Times New Roman"/>
      <w:sz w:val="28"/>
      <w:szCs w:val="26"/>
    </w:rPr>
  </w:style>
  <w:style w:type="paragraph" w:customStyle="1" w:styleId="95">
    <w:name w:val="样式21"/>
    <w:basedOn w:val="1"/>
    <w:qFormat/>
    <w:uiPriority w:val="0"/>
    <w:pPr>
      <w:spacing w:line="400" w:lineRule="exact"/>
      <w:ind w:firstLine="643" w:firstLineChars="200"/>
      <w:jc w:val="center"/>
    </w:pPr>
    <w:rPr>
      <w:sz w:val="24"/>
      <w:szCs w:val="20"/>
    </w:rPr>
  </w:style>
  <w:style w:type="paragraph" w:customStyle="1" w:styleId="96">
    <w:name w:val="正文01"/>
    <w:basedOn w:val="8"/>
    <w:qFormat/>
    <w:uiPriority w:val="0"/>
    <w:pPr>
      <w:ind w:firstLine="480"/>
    </w:pPr>
    <w:rPr>
      <w:szCs w:val="20"/>
    </w:rPr>
  </w:style>
  <w:style w:type="paragraph" w:customStyle="1" w:styleId="97">
    <w:name w:val="正文样式 小四"/>
    <w:basedOn w:val="1"/>
    <w:qFormat/>
    <w:uiPriority w:val="0"/>
    <w:pPr>
      <w:spacing w:line="500" w:lineRule="exact"/>
      <w:ind w:firstLine="480" w:firstLineChars="200"/>
    </w:pPr>
    <w:rPr>
      <w:sz w:val="24"/>
      <w:szCs w:val="22"/>
    </w:rPr>
  </w:style>
  <w:style w:type="paragraph" w:customStyle="1" w:styleId="98">
    <w:name w:val="2黑中"/>
    <w:basedOn w:val="1"/>
    <w:next w:val="1"/>
    <w:qFormat/>
    <w:uiPriority w:val="0"/>
    <w:pPr>
      <w:widowControl/>
      <w:tabs>
        <w:tab w:val="center" w:pos="4320"/>
        <w:tab w:val="right" w:pos="8640"/>
      </w:tabs>
      <w:adjustRightInd w:val="0"/>
      <w:snapToGrid w:val="0"/>
      <w:spacing w:line="460" w:lineRule="exact"/>
      <w:ind w:firstLine="643" w:firstLineChars="200"/>
      <w:jc w:val="center"/>
    </w:pPr>
    <w:rPr>
      <w:kern w:val="0"/>
      <w:sz w:val="24"/>
      <w:szCs w:val="21"/>
    </w:rPr>
  </w:style>
  <w:style w:type="paragraph" w:customStyle="1" w:styleId="99">
    <w:name w:val="新格式表"/>
    <w:basedOn w:val="1"/>
    <w:qFormat/>
    <w:uiPriority w:val="0"/>
    <w:pPr>
      <w:adjustRightInd w:val="0"/>
      <w:snapToGrid w:val="0"/>
      <w:spacing w:line="0" w:lineRule="atLeast"/>
      <w:ind w:firstLine="643" w:firstLineChars="200"/>
      <w:jc w:val="center"/>
    </w:pPr>
    <w:rPr>
      <w:sz w:val="24"/>
      <w:szCs w:val="21"/>
    </w:rPr>
  </w:style>
  <w:style w:type="paragraph" w:customStyle="1" w:styleId="100">
    <w:name w:val="正文首行缩进 2 + Times New Roman"/>
    <w:basedOn w:val="1"/>
    <w:qFormat/>
    <w:uiPriority w:val="0"/>
    <w:pPr>
      <w:tabs>
        <w:tab w:val="left" w:pos="0"/>
        <w:tab w:val="left" w:pos="709"/>
      </w:tabs>
      <w:autoSpaceDE w:val="0"/>
      <w:autoSpaceDN w:val="0"/>
      <w:spacing w:line="324" w:lineRule="auto"/>
      <w:ind w:right="113" w:firstLine="480" w:firstLineChars="200"/>
    </w:pPr>
    <w:rPr>
      <w:rFonts w:eastAsia="仿宋_GB2312"/>
      <w:bCs/>
      <w:smallCaps/>
      <w:kern w:val="0"/>
      <w:sz w:val="24"/>
    </w:rPr>
  </w:style>
  <w:style w:type="character" w:customStyle="1" w:styleId="101">
    <w:name w:val="HPZW"/>
    <w:qFormat/>
    <w:uiPriority w:val="0"/>
    <w:rPr>
      <w:rFonts w:ascii="Times New Roman" w:hAnsi="Times New Roman" w:eastAsia="仿宋" w:cs="Times New Roman"/>
      <w:sz w:val="24"/>
    </w:rPr>
  </w:style>
  <w:style w:type="character" w:customStyle="1" w:styleId="102">
    <w:name w:val="fontstyle01"/>
    <w:basedOn w:val="27"/>
    <w:qFormat/>
    <w:uiPriority w:val="0"/>
    <w:rPr>
      <w:rFonts w:hint="eastAsia" w:ascii="宋体" w:hAnsi="宋体" w:eastAsia="宋体"/>
      <w:color w:val="000000"/>
      <w:sz w:val="22"/>
      <w:szCs w:val="22"/>
    </w:rPr>
  </w:style>
  <w:style w:type="character" w:customStyle="1" w:styleId="103">
    <w:name w:val="页码1"/>
    <w:qFormat/>
    <w:uiPriority w:val="0"/>
    <w:rPr>
      <w:rFonts w:cs="Times New Roman"/>
    </w:rPr>
  </w:style>
  <w:style w:type="paragraph" w:customStyle="1" w:styleId="104">
    <w:name w:val="zhang正文"/>
    <w:qFormat/>
    <w:uiPriority w:val="0"/>
    <w:pPr>
      <w:autoSpaceDE w:val="0"/>
      <w:autoSpaceDN w:val="0"/>
      <w:adjustRightInd w:val="0"/>
      <w:spacing w:line="500" w:lineRule="exact"/>
      <w:ind w:firstLine="539"/>
      <w:textAlignment w:val="baseline"/>
    </w:pPr>
    <w:rPr>
      <w:rFonts w:ascii="Times New Roman" w:hAnsi="Times New Roman" w:eastAsia="楷体_GB2312" w:cs="Times New Roman"/>
      <w:sz w:val="21"/>
      <w:lang w:val="en-US" w:eastAsia="zh-CN" w:bidi="ar-SA"/>
    </w:rPr>
  </w:style>
  <w:style w:type="character" w:customStyle="1" w:styleId="105">
    <w:name w:val="标题2 Char"/>
    <w:link w:val="106"/>
    <w:qFormat/>
    <w:uiPriority w:val="0"/>
    <w:rPr>
      <w:rFonts w:ascii="宋体" w:hAnsi="宋体"/>
      <w:b/>
      <w:bCs/>
      <w:spacing w:val="-6"/>
      <w:sz w:val="28"/>
      <w:szCs w:val="24"/>
    </w:rPr>
  </w:style>
  <w:style w:type="paragraph" w:customStyle="1" w:styleId="106">
    <w:name w:val="标题2"/>
    <w:basedOn w:val="1"/>
    <w:link w:val="105"/>
    <w:qFormat/>
    <w:uiPriority w:val="0"/>
    <w:pPr>
      <w:adjustRightInd w:val="0"/>
      <w:snapToGrid w:val="0"/>
      <w:spacing w:before="120" w:afterLines="50" w:line="360" w:lineRule="auto"/>
      <w:ind w:firstLine="643" w:firstLineChars="200"/>
    </w:pPr>
    <w:rPr>
      <w:rFonts w:ascii="宋体" w:hAnsi="宋体" w:eastAsiaTheme="minorEastAsia" w:cstheme="minorBidi"/>
      <w:b/>
      <w:bCs/>
      <w:spacing w:val="-6"/>
      <w:sz w:val="28"/>
    </w:rPr>
  </w:style>
  <w:style w:type="paragraph" w:customStyle="1" w:styleId="107">
    <w:name w:val="my正文"/>
    <w:basedOn w:val="1"/>
    <w:qFormat/>
    <w:uiPriority w:val="0"/>
    <w:pPr>
      <w:spacing w:line="460" w:lineRule="exact"/>
      <w:ind w:firstLine="200" w:firstLineChars="200"/>
      <w:jc w:val="center"/>
    </w:pPr>
    <w:rPr>
      <w:b/>
      <w:sz w:val="24"/>
    </w:rPr>
  </w:style>
  <w:style w:type="paragraph" w:customStyle="1" w:styleId="108">
    <w:name w:val="正文-biao"/>
    <w:basedOn w:val="1"/>
    <w:qFormat/>
    <w:uiPriority w:val="0"/>
    <w:pPr>
      <w:spacing w:before="60" w:line="460" w:lineRule="exact"/>
      <w:ind w:firstLine="482" w:firstLineChars="200"/>
    </w:pPr>
    <w:rPr>
      <w:rFonts w:hAnsi="宋体"/>
      <w:sz w:val="24"/>
    </w:rPr>
  </w:style>
  <w:style w:type="paragraph" w:customStyle="1" w:styleId="109">
    <w:name w:val="正文 首行缩进:  2 字符"/>
    <w:basedOn w:val="1"/>
    <w:qFormat/>
    <w:uiPriority w:val="0"/>
    <w:pPr>
      <w:autoSpaceDE w:val="0"/>
      <w:autoSpaceDN w:val="0"/>
      <w:adjustRightInd w:val="0"/>
      <w:spacing w:line="440" w:lineRule="exact"/>
      <w:ind w:firstLine="480" w:firstLineChars="200"/>
      <w:outlineLvl w:val="0"/>
    </w:pPr>
    <w:rPr>
      <w:rFonts w:ascii="宋体" w:hAnsi="宋体"/>
      <w:color w:val="000000"/>
      <w:sz w:val="24"/>
    </w:rPr>
  </w:style>
  <w:style w:type="paragraph" w:customStyle="1" w:styleId="110">
    <w:name w:val="p0"/>
    <w:basedOn w:val="1"/>
    <w:qFormat/>
    <w:uiPriority w:val="0"/>
    <w:pPr>
      <w:widowControl/>
      <w:spacing w:line="360" w:lineRule="auto"/>
      <w:ind w:firstLine="643" w:firstLineChars="200"/>
    </w:pPr>
    <w:rPr>
      <w:kern w:val="0"/>
      <w:sz w:val="24"/>
      <w:szCs w:val="21"/>
    </w:rPr>
  </w:style>
  <w:style w:type="paragraph" w:customStyle="1" w:styleId="111">
    <w:name w:val="表中文字、宋体"/>
    <w:basedOn w:val="1"/>
    <w:qFormat/>
    <w:uiPriority w:val="0"/>
    <w:pPr>
      <w:spacing w:line="320" w:lineRule="exact"/>
      <w:ind w:firstLine="643" w:firstLineChars="200"/>
    </w:pPr>
    <w:rPr>
      <w:rFonts w:ascii="宋体" w:hAnsi="宋体"/>
      <w:bCs/>
      <w:sz w:val="24"/>
      <w:szCs w:val="21"/>
    </w:rPr>
  </w:style>
  <w:style w:type="paragraph" w:customStyle="1" w:styleId="112">
    <w:name w:val="11111111"/>
    <w:basedOn w:val="1"/>
    <w:qFormat/>
    <w:uiPriority w:val="0"/>
    <w:pPr>
      <w:spacing w:line="300" w:lineRule="auto"/>
      <w:ind w:firstLine="420" w:firstLineChars="200"/>
      <w:jc w:val="left"/>
    </w:pPr>
    <w:rPr>
      <w:color w:val="000000"/>
      <w:sz w:val="24"/>
    </w:rPr>
  </w:style>
  <w:style w:type="paragraph" w:customStyle="1" w:styleId="113">
    <w:name w:val="小四  缩进2 行距24"/>
    <w:basedOn w:val="1"/>
    <w:link w:val="114"/>
    <w:qFormat/>
    <w:uiPriority w:val="0"/>
    <w:pPr>
      <w:spacing w:line="480" w:lineRule="exact"/>
      <w:ind w:firstLine="480" w:firstLineChars="200"/>
    </w:pPr>
    <w:rPr>
      <w:sz w:val="24"/>
      <w:szCs w:val="20"/>
    </w:rPr>
  </w:style>
  <w:style w:type="character" w:customStyle="1" w:styleId="114">
    <w:name w:val="小四  缩进2 行距24 Char"/>
    <w:link w:val="113"/>
    <w:qFormat/>
    <w:uiPriority w:val="0"/>
    <w:rPr>
      <w:rFonts w:ascii="Times New Roman" w:hAnsi="Times New Roman" w:eastAsia="宋体" w:cs="Times New Roman"/>
      <w:sz w:val="24"/>
      <w:szCs w:val="20"/>
    </w:rPr>
  </w:style>
  <w:style w:type="paragraph" w:styleId="115">
    <w:name w:val="List Paragraph"/>
    <w:basedOn w:val="1"/>
    <w:qFormat/>
    <w:uiPriority w:val="99"/>
    <w:pPr>
      <w:spacing w:line="360" w:lineRule="auto"/>
      <w:ind w:firstLine="420" w:firstLineChars="200"/>
    </w:pPr>
    <w:rPr>
      <w:sz w:val="24"/>
    </w:rPr>
  </w:style>
  <w:style w:type="character" w:customStyle="1" w:styleId="116">
    <w:name w:val="四号  缩进1 Char Char"/>
    <w:link w:val="117"/>
    <w:qFormat/>
    <w:uiPriority w:val="0"/>
    <w:rPr>
      <w:b/>
      <w:bCs/>
      <w:sz w:val="28"/>
      <w:szCs w:val="28"/>
    </w:rPr>
  </w:style>
  <w:style w:type="paragraph" w:customStyle="1" w:styleId="117">
    <w:name w:val="四号  缩进1"/>
    <w:basedOn w:val="1"/>
    <w:link w:val="116"/>
    <w:qFormat/>
    <w:uiPriority w:val="0"/>
    <w:pPr>
      <w:spacing w:line="480" w:lineRule="exact"/>
      <w:ind w:firstLine="281" w:firstLineChars="100"/>
    </w:pPr>
    <w:rPr>
      <w:rFonts w:asciiTheme="minorHAnsi" w:hAnsiTheme="minorHAnsi" w:eastAsiaTheme="minorEastAsia" w:cstheme="minorBidi"/>
      <w:b/>
      <w:bCs/>
      <w:sz w:val="28"/>
      <w:szCs w:val="28"/>
    </w:rPr>
  </w:style>
  <w:style w:type="paragraph" w:customStyle="1" w:styleId="118">
    <w:name w:val="表文2"/>
    <w:basedOn w:val="1"/>
    <w:qFormat/>
    <w:uiPriority w:val="0"/>
    <w:pPr>
      <w:widowControl/>
      <w:jc w:val="center"/>
    </w:pPr>
    <w:rPr>
      <w:spacing w:val="-4"/>
      <w:kern w:val="0"/>
      <w:sz w:val="22"/>
      <w:szCs w:val="22"/>
    </w:rPr>
  </w:style>
  <w:style w:type="character" w:customStyle="1" w:styleId="119">
    <w:name w:val="fontstyle21"/>
    <w:basedOn w:val="27"/>
    <w:qFormat/>
    <w:uiPriority w:val="0"/>
    <w:rPr>
      <w:rFonts w:hint="default" w:ascii="TimesNewRomanPSMT" w:hAnsi="TimesNewRomanPSMT"/>
      <w:color w:val="000000"/>
      <w:sz w:val="22"/>
      <w:szCs w:val="22"/>
    </w:rPr>
  </w:style>
  <w:style w:type="paragraph" w:customStyle="1" w:styleId="120">
    <w:name w:val="样式 首行缩进:  2 字符1"/>
    <w:basedOn w:val="1"/>
    <w:qFormat/>
    <w:uiPriority w:val="0"/>
    <w:pPr>
      <w:widowControl/>
      <w:snapToGrid w:val="0"/>
      <w:spacing w:line="360" w:lineRule="auto"/>
      <w:ind w:firstLine="480" w:firstLineChars="200"/>
      <w:jc w:val="left"/>
    </w:pPr>
    <w:rPr>
      <w:rFonts w:cs="宋体"/>
      <w:kern w:val="0"/>
      <w:sz w:val="24"/>
    </w:rPr>
  </w:style>
  <w:style w:type="character" w:customStyle="1" w:styleId="121">
    <w:name w:val="fontstyle11"/>
    <w:basedOn w:val="27"/>
    <w:qFormat/>
    <w:uiPriority w:val="0"/>
    <w:rPr>
      <w:rFonts w:hint="default" w:ascii="TimesNewRomanPSMT" w:hAnsi="TimesNewRomanPSMT"/>
      <w:color w:val="000000"/>
      <w:sz w:val="18"/>
      <w:szCs w:val="18"/>
    </w:rPr>
  </w:style>
  <w:style w:type="paragraph" w:customStyle="1" w:styleId="122">
    <w:name w:val="表格格式1-2"/>
    <w:basedOn w:val="1"/>
    <w:link w:val="123"/>
    <w:qFormat/>
    <w:uiPriority w:val="0"/>
    <w:pPr>
      <w:jc w:val="center"/>
    </w:pPr>
    <w:rPr>
      <w:rFonts w:eastAsiaTheme="minorEastAsia"/>
      <w:szCs w:val="21"/>
    </w:rPr>
  </w:style>
  <w:style w:type="character" w:customStyle="1" w:styleId="123">
    <w:name w:val="表格格式1-2 Char"/>
    <w:basedOn w:val="27"/>
    <w:link w:val="122"/>
    <w:qFormat/>
    <w:uiPriority w:val="0"/>
    <w:rPr>
      <w:rFonts w:ascii="Times New Roman" w:hAnsi="Times New Roman" w:cs="Times New Roman"/>
      <w:szCs w:val="21"/>
    </w:rPr>
  </w:style>
  <w:style w:type="paragraph" w:customStyle="1" w:styleId="124">
    <w:name w:val="表格名称"/>
    <w:basedOn w:val="1"/>
    <w:link w:val="126"/>
    <w:qFormat/>
    <w:uiPriority w:val="0"/>
    <w:pPr>
      <w:spacing w:line="360" w:lineRule="auto"/>
      <w:ind w:firstLine="200" w:firstLineChars="200"/>
      <w:jc w:val="center"/>
    </w:pPr>
    <w:rPr>
      <w:rFonts w:eastAsiaTheme="minorEastAsia" w:cstheme="minorBidi"/>
      <w:b/>
      <w:sz w:val="24"/>
      <w:szCs w:val="22"/>
    </w:rPr>
  </w:style>
  <w:style w:type="paragraph" w:customStyle="1" w:styleId="125">
    <w:name w:val="表格1"/>
    <w:basedOn w:val="122"/>
    <w:link w:val="127"/>
    <w:qFormat/>
    <w:uiPriority w:val="0"/>
    <w:rPr>
      <w:b/>
    </w:rPr>
  </w:style>
  <w:style w:type="character" w:customStyle="1" w:styleId="126">
    <w:name w:val="表格名称 Char"/>
    <w:basedOn w:val="27"/>
    <w:link w:val="124"/>
    <w:qFormat/>
    <w:uiPriority w:val="0"/>
    <w:rPr>
      <w:rFonts w:ascii="Times New Roman" w:hAnsi="Times New Roman"/>
      <w:b/>
      <w:sz w:val="24"/>
    </w:rPr>
  </w:style>
  <w:style w:type="character" w:customStyle="1" w:styleId="127">
    <w:name w:val="表格1 Char"/>
    <w:basedOn w:val="123"/>
    <w:link w:val="125"/>
    <w:qFormat/>
    <w:uiPriority w:val="0"/>
    <w:rPr>
      <w:rFonts w:ascii="Times New Roman" w:hAnsi="Times New Roman" w:cs="Times New Roman"/>
      <w:b/>
      <w:szCs w:val="21"/>
    </w:rPr>
  </w:style>
  <w:style w:type="character" w:customStyle="1" w:styleId="128">
    <w:name w:val="Default Char"/>
    <w:link w:val="40"/>
    <w:qFormat/>
    <w:uiPriority w:val="0"/>
    <w:rPr>
      <w:rFonts w:ascii="宋体" w:hAnsi="Calibri" w:eastAsia="宋体" w:cs="宋体"/>
      <w:color w:val="000000"/>
      <w:sz w:val="24"/>
      <w:szCs w:val="24"/>
    </w:rPr>
  </w:style>
  <w:style w:type="character" w:customStyle="1" w:styleId="129">
    <w:name w:val="标题 4 字符"/>
    <w:basedOn w:val="27"/>
    <w:link w:val="6"/>
    <w:semiHidden/>
    <w:qFormat/>
    <w:uiPriority w:val="9"/>
    <w:rPr>
      <w:rFonts w:asciiTheme="majorHAnsi" w:hAnsiTheme="majorHAnsi" w:eastAsiaTheme="majorEastAsia" w:cstheme="majorBidi"/>
      <w:b/>
      <w:bCs/>
      <w:kern w:val="2"/>
      <w:sz w:val="28"/>
      <w:szCs w:val="28"/>
    </w:rPr>
  </w:style>
  <w:style w:type="paragraph" w:customStyle="1" w:styleId="130">
    <w:name w:val="m表名"/>
    <w:basedOn w:val="1"/>
    <w:link w:val="131"/>
    <w:qFormat/>
    <w:uiPriority w:val="0"/>
    <w:pPr>
      <w:spacing w:line="460" w:lineRule="exact"/>
      <w:ind w:firstLine="200" w:firstLineChars="200"/>
      <w:jc w:val="center"/>
      <w:outlineLvl w:val="4"/>
    </w:pPr>
    <w:rPr>
      <w:rFonts w:ascii="宋体" w:hAnsi="Calibri"/>
      <w:b/>
      <w:szCs w:val="21"/>
    </w:rPr>
  </w:style>
  <w:style w:type="character" w:customStyle="1" w:styleId="131">
    <w:name w:val="m表名 Char"/>
    <w:link w:val="130"/>
    <w:qFormat/>
    <w:uiPriority w:val="0"/>
    <w:rPr>
      <w:rFonts w:ascii="宋体" w:hAnsi="Calibri" w:eastAsia="宋体" w:cs="Times New Roman"/>
      <w:b/>
      <w:kern w:val="2"/>
      <w:sz w:val="21"/>
      <w:szCs w:val="21"/>
    </w:rPr>
  </w:style>
  <w:style w:type="character" w:customStyle="1" w:styleId="132">
    <w:name w:val="m表内字体 Char"/>
    <w:link w:val="133"/>
    <w:qFormat/>
    <w:uiPriority w:val="0"/>
    <w:rPr>
      <w:rFonts w:ascii="宋体"/>
      <w:color w:val="000000"/>
      <w:szCs w:val="18"/>
    </w:rPr>
  </w:style>
  <w:style w:type="paragraph" w:customStyle="1" w:styleId="133">
    <w:name w:val="m表内字体"/>
    <w:basedOn w:val="1"/>
    <w:link w:val="132"/>
    <w:qFormat/>
    <w:uiPriority w:val="0"/>
    <w:pPr>
      <w:tabs>
        <w:tab w:val="left" w:pos="0"/>
      </w:tabs>
      <w:snapToGrid w:val="0"/>
      <w:jc w:val="center"/>
    </w:pPr>
    <w:rPr>
      <w:rFonts w:ascii="宋体" w:hAnsiTheme="minorHAnsi" w:eastAsiaTheme="minorEastAsia" w:cstheme="minorBidi"/>
      <w:color w:val="000000"/>
      <w:kern w:val="0"/>
      <w:sz w:val="20"/>
      <w:szCs w:val="18"/>
    </w:rPr>
  </w:style>
  <w:style w:type="paragraph" w:customStyle="1" w:styleId="134">
    <w:name w:val="样式 13 磅 行距: 固定值 25 磅"/>
    <w:basedOn w:val="1"/>
    <w:qFormat/>
    <w:uiPriority w:val="0"/>
    <w:pPr>
      <w:spacing w:line="500" w:lineRule="exact"/>
      <w:ind w:firstLine="520" w:firstLineChars="200"/>
    </w:pPr>
    <w:rPr>
      <w:rFonts w:cs="宋体"/>
      <w:sz w:val="26"/>
      <w:szCs w:val="20"/>
    </w:rPr>
  </w:style>
  <w:style w:type="paragraph" w:customStyle="1" w:styleId="135">
    <w:name w:val="表"/>
    <w:basedOn w:val="2"/>
    <w:qFormat/>
    <w:uiPriority w:val="0"/>
    <w:pPr>
      <w:adjustRightInd w:val="0"/>
      <w:snapToGrid w:val="0"/>
      <w:spacing w:after="0" w:line="400" w:lineRule="exact"/>
      <w:jc w:val="center"/>
    </w:pPr>
    <w:rPr>
      <w:rFonts w:eastAsia="仿宋_GB2312"/>
      <w:sz w:val="24"/>
    </w:rPr>
  </w:style>
  <w:style w:type="character" w:customStyle="1" w:styleId="136">
    <w:name w:val="正文文本缩进 2 字符"/>
    <w:basedOn w:val="27"/>
    <w:link w:val="16"/>
    <w:qFormat/>
    <w:uiPriority w:val="99"/>
    <w:rPr>
      <w:rFonts w:ascii="Times New Roman" w:hAnsi="Times New Roman" w:eastAsia="宋体" w:cs="Times New Roman"/>
      <w:kern w:val="2"/>
      <w:sz w:val="21"/>
      <w:szCs w:val="24"/>
    </w:rPr>
  </w:style>
  <w:style w:type="paragraph" w:customStyle="1" w:styleId="137">
    <w:name w:val="正文（陈闻文）"/>
    <w:basedOn w:val="2"/>
    <w:link w:val="139"/>
    <w:qFormat/>
    <w:uiPriority w:val="0"/>
    <w:pPr>
      <w:overflowPunct w:val="0"/>
      <w:topLinePunct/>
      <w:autoSpaceDE w:val="0"/>
      <w:autoSpaceDN w:val="0"/>
      <w:snapToGrid w:val="0"/>
      <w:spacing w:after="0" w:line="360" w:lineRule="auto"/>
      <w:ind w:firstLine="482"/>
    </w:pPr>
    <w:rPr>
      <w:rFonts w:eastAsiaTheme="minorEastAsia"/>
      <w:sz w:val="24"/>
    </w:rPr>
  </w:style>
  <w:style w:type="character" w:customStyle="1" w:styleId="138">
    <w:name w:val="Table Paragraph 字符"/>
    <w:basedOn w:val="27"/>
    <w:link w:val="45"/>
    <w:qFormat/>
    <w:uiPriority w:val="1"/>
    <w:rPr>
      <w:rFonts w:ascii="Times New Roman" w:hAnsi="Times New Roman" w:eastAsia="宋体" w:cs="Times New Roman"/>
      <w:sz w:val="24"/>
      <w:szCs w:val="24"/>
    </w:rPr>
  </w:style>
  <w:style w:type="character" w:customStyle="1" w:styleId="139">
    <w:name w:val="正文（陈闻文） 字符"/>
    <w:basedOn w:val="138"/>
    <w:link w:val="137"/>
    <w:qFormat/>
    <w:uiPriority w:val="0"/>
    <w:rPr>
      <w:rFonts w:ascii="Times New Roman" w:hAnsi="Times New Roman" w:eastAsia="宋体" w:cs="Times New Roman"/>
      <w:kern w:val="2"/>
      <w:sz w:val="24"/>
      <w:szCs w:val="24"/>
    </w:rPr>
  </w:style>
  <w:style w:type="character" w:customStyle="1" w:styleId="140">
    <w:name w:val="表格中的文字 Char"/>
    <w:link w:val="141"/>
    <w:qFormat/>
    <w:uiPriority w:val="0"/>
    <w:rPr>
      <w:rFonts w:eastAsia="Times New Roman"/>
      <w:kern w:val="2"/>
      <w:sz w:val="21"/>
      <w:szCs w:val="22"/>
    </w:rPr>
  </w:style>
  <w:style w:type="paragraph" w:customStyle="1" w:styleId="141">
    <w:name w:val="表格中的文字"/>
    <w:basedOn w:val="1"/>
    <w:link w:val="140"/>
    <w:qFormat/>
    <w:uiPriority w:val="0"/>
    <w:pPr>
      <w:snapToGrid w:val="0"/>
      <w:jc w:val="center"/>
    </w:pPr>
    <w:rPr>
      <w:rFonts w:eastAsia="Times New Roman" w:asciiTheme="minorHAnsi" w:hAnsiTheme="minorHAnsi" w:cstheme="minorBidi"/>
      <w:szCs w:val="22"/>
    </w:rPr>
  </w:style>
  <w:style w:type="paragraph" w:customStyle="1" w:styleId="142">
    <w:name w:val="z正文 Char Char Char"/>
    <w:basedOn w:val="1"/>
    <w:qFormat/>
    <w:uiPriority w:val="0"/>
    <w:pPr>
      <w:spacing w:line="360" w:lineRule="auto"/>
      <w:ind w:firstLine="200" w:firstLineChars="200"/>
    </w:pPr>
    <w:rPr>
      <w:rFonts w:ascii="宋体" w:hAnsi="宋体" w:eastAsia="仿宋_GB2312" w:cs="宋体"/>
      <w:kern w:val="0"/>
      <w:sz w:val="28"/>
      <w:szCs w:val="28"/>
    </w:rPr>
  </w:style>
  <w:style w:type="paragraph" w:customStyle="1" w:styleId="143">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144">
    <w:name w:val="_Style 16"/>
    <w:basedOn w:val="1"/>
    <w:qFormat/>
    <w:uiPriority w:val="0"/>
    <w:rPr>
      <w:sz w:val="24"/>
    </w:rPr>
  </w:style>
  <w:style w:type="paragraph" w:customStyle="1" w:styleId="145">
    <w:name w:val="Table Text"/>
    <w:basedOn w:val="1"/>
    <w:semiHidden/>
    <w:qFormat/>
    <w:uiPriority w:val="0"/>
    <w:rPr>
      <w:rFonts w:ascii="宋体" w:hAnsi="宋体" w:cs="宋体"/>
      <w:szCs w:val="21"/>
      <w:lang w:eastAsia="en-US"/>
    </w:rPr>
  </w:style>
  <w:style w:type="paragraph" w:customStyle="1" w:styleId="146">
    <w:name w:val="表格内居中文字"/>
    <w:basedOn w:val="1"/>
    <w:qFormat/>
    <w:uiPriority w:val="0"/>
    <w:pPr>
      <w:jc w:val="center"/>
    </w:pPr>
    <w:rPr>
      <w:sz w:val="22"/>
    </w:rPr>
  </w:style>
  <w:style w:type="paragraph" w:customStyle="1" w:styleId="147">
    <w:name w:val="环评正文"/>
    <w:basedOn w:val="1"/>
    <w:qFormat/>
    <w:uiPriority w:val="0"/>
    <w:pPr>
      <w:spacing w:before="60" w:after="60" w:line="400" w:lineRule="exact"/>
      <w:ind w:firstLine="200" w:firstLineChars="200"/>
    </w:pPr>
    <w:rPr>
      <w:rFonts w:eastAsia="仿宋_GB2312"/>
    </w:rPr>
  </w:style>
  <w:style w:type="paragraph" w:customStyle="1" w:styleId="148">
    <w:name w:val="1小表"/>
    <w:basedOn w:val="1"/>
    <w:qFormat/>
    <w:uiPriority w:val="0"/>
    <w:pPr>
      <w:adjustRightInd w:val="0"/>
      <w:snapToGrid w:val="0"/>
      <w:jc w:val="center"/>
    </w:pPr>
    <w:rPr>
      <w:sz w:val="20"/>
      <w:szCs w:val="21"/>
    </w:rPr>
  </w:style>
  <w:style w:type="paragraph" w:customStyle="1" w:styleId="149">
    <w:name w:val="标准公文"/>
    <w:qFormat/>
    <w:uiPriority w:val="0"/>
    <w:pPr>
      <w:widowControl w:val="0"/>
      <w:spacing w:line="460" w:lineRule="exact"/>
    </w:pPr>
    <w:rPr>
      <w:rFonts w:ascii="Times New Roman" w:hAnsi="Times New Roman" w:eastAsia="宋体" w:cs="Times New Roman"/>
      <w:kern w:val="2"/>
      <w:sz w:val="24"/>
      <w:szCs w:val="24"/>
      <w:lang w:val="en-US" w:eastAsia="zh-CN" w:bidi="ar-SA"/>
    </w:rPr>
  </w:style>
  <w:style w:type="paragraph" w:customStyle="1" w:styleId="150">
    <w:name w:val="正文   1"/>
    <w:basedOn w:val="1"/>
    <w:qFormat/>
    <w:uiPriority w:val="0"/>
    <w:pPr>
      <w:snapToGrid w:val="0"/>
      <w:spacing w:line="460" w:lineRule="atLeast"/>
      <w:ind w:firstLine="520" w:firstLineChars="200"/>
    </w:pPr>
    <w:rPr>
      <w:bCs/>
      <w:sz w:val="26"/>
      <w:szCs w:val="20"/>
    </w:rPr>
  </w:style>
  <w:style w:type="paragraph" w:customStyle="1" w:styleId="151">
    <w:name w:val="表文排版"/>
    <w:basedOn w:val="2"/>
    <w:qFormat/>
    <w:uiPriority w:val="0"/>
    <w:pPr>
      <w:widowControl/>
      <w:adjustRightInd w:val="0"/>
      <w:snapToGrid w:val="0"/>
      <w:jc w:val="center"/>
    </w:pPr>
    <w:rPr>
      <w:rFonts w:ascii="Calibri" w:hAnsi="Calibri"/>
      <w:kern w:val="0"/>
      <w:sz w:val="22"/>
    </w:rPr>
  </w:style>
  <w:style w:type="paragraph" w:customStyle="1" w:styleId="152">
    <w:name w:val="样式 正文缩进正文缩进2正文缩进 Char Char正文缩进 Char Char Char Char正文缩进 Char ..."/>
    <w:basedOn w:val="8"/>
    <w:qFormat/>
    <w:uiPriority w:val="0"/>
    <w:pPr>
      <w:tabs>
        <w:tab w:val="left" w:pos="540"/>
        <w:tab w:val="left" w:pos="1080"/>
        <w:tab w:val="left" w:pos="1800"/>
      </w:tabs>
      <w:ind w:firstLine="200" w:firstLineChars="0"/>
    </w:pPr>
    <w:rPr>
      <w:rFonts w:ascii="宋体" w:hAnsi="Arial Black" w:eastAsia="仿宋_GB2312" w:cs="宋体"/>
      <w:kern w:val="18"/>
    </w:rPr>
  </w:style>
  <w:style w:type="paragraph" w:customStyle="1" w:styleId="153">
    <w:name w:val="表内文字"/>
    <w:basedOn w:val="1"/>
    <w:qFormat/>
    <w:uiPriority w:val="0"/>
    <w:pPr>
      <w:topLinePunct/>
      <w:jc w:val="center"/>
    </w:pPr>
    <w:rPr>
      <w:rFonts w:ascii="宋体" w:hAnsi="宋体"/>
      <w:bCs/>
      <w:sz w:val="24"/>
      <w:szCs w:val="22"/>
    </w:rPr>
  </w:style>
  <w:style w:type="paragraph" w:customStyle="1" w:styleId="154">
    <w:name w:val="默认"/>
    <w:qFormat/>
    <w:uiPriority w:val="0"/>
    <w:rPr>
      <w:rFonts w:ascii="Helvetica" w:hAnsi="Helvetica" w:eastAsia="Helvetica" w:cs="Helvetica"/>
      <w:color w:val="000000"/>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1F408-6C38-4F5C-A9F1-874C3C6D1A1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83</Pages>
  <Words>59551</Words>
  <Characters>66559</Characters>
  <Lines>507</Lines>
  <Paragraphs>142</Paragraphs>
  <TotalTime>14</TotalTime>
  <ScaleCrop>false</ScaleCrop>
  <LinksUpToDate>false</LinksUpToDate>
  <CharactersWithSpaces>66571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2024-10-16T07:58:00Z</dcterms:created>
  <dc:creator>Administrator</dc:creator>
  <cp:lastModifiedBy>Pikachu</cp:lastModifiedBy>
  <cp:lastPrinted>2022-05-11T01:35:00Z</cp:lastPrinted>
  <dcterms:modified xsi:type="dcterms:W3CDTF">2024-10-29T03:56:37Z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C7FF9B1F98754F19AD9F2093BA69340A_13</vt:lpwstr>
  </property>
</Properties>
</file>