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370A0D">
      <w:pPr>
        <w:spacing w:line="0" w:lineRule="atLeast"/>
        <w:rPr>
          <w:spacing w:val="40"/>
          <w:sz w:val="26"/>
          <w:szCs w:val="26"/>
        </w:rPr>
      </w:pPr>
      <w:bookmarkStart w:id="0" w:name="_Toc27273"/>
      <w:bookmarkStart w:id="1" w:name="_Toc689"/>
      <w:bookmarkStart w:id="2" w:name="_Toc25733"/>
      <w:bookmarkStart w:id="3" w:name="_Hlk111027562"/>
      <w:r>
        <w:rPr>
          <w:rFonts w:eastAsia="黑体"/>
          <w:b/>
          <w:spacing w:val="40"/>
          <w:sz w:val="26"/>
          <w:szCs w:val="26"/>
        </w:rPr>
        <w:t>中审众环会计师事务所（特殊普通合伙）重庆分所</w:t>
      </w:r>
      <w:bookmarkEnd w:id="0"/>
      <w:bookmarkEnd w:id="1"/>
      <w:bookmarkEnd w:id="2"/>
    </w:p>
    <w:p w14:paraId="016EBAB4">
      <w:pPr>
        <w:spacing w:beforeLines="20" w:line="240" w:lineRule="atLeast"/>
        <w:jc w:val="left"/>
        <w:rPr>
          <w:rFonts w:ascii="Arial" w:hAnsi="Arial" w:cs="Arial"/>
          <w:spacing w:val="40"/>
          <w:szCs w:val="13"/>
        </w:rPr>
      </w:pPr>
      <w:r>
        <w:rPr>
          <w:rFonts w:ascii="Arial" w:hAnsi="Arial" w:cs="Arial"/>
          <w:b/>
          <w:szCs w:val="13"/>
        </w:rPr>
        <w:t>Chongqing Branch ofZhongshenzhonghuan Certified Public Accountants LLP</w:t>
      </w:r>
    </w:p>
    <w:p w14:paraId="7A8D9EAF"/>
    <w:p w14:paraId="635B4073">
      <w:pPr>
        <w:rPr>
          <w:b/>
        </w:rPr>
      </w:pPr>
    </w:p>
    <w:p w14:paraId="7762AFA3"/>
    <w:p w14:paraId="5E123CF4"/>
    <w:p w14:paraId="69D29048">
      <w:pPr>
        <w:jc w:val="center"/>
        <w:rPr>
          <w:rFonts w:eastAsia="黑体"/>
          <w:b/>
          <w:sz w:val="36"/>
          <w:szCs w:val="36"/>
        </w:rPr>
      </w:pPr>
    </w:p>
    <w:p w14:paraId="35E2DB8B">
      <w:pPr>
        <w:jc w:val="center"/>
        <w:rPr>
          <w:rFonts w:eastAsia="黑体"/>
          <w:b/>
          <w:sz w:val="36"/>
          <w:szCs w:val="36"/>
        </w:rPr>
      </w:pPr>
    </w:p>
    <w:p w14:paraId="5D5D9A15">
      <w:pPr>
        <w:jc w:val="center"/>
        <w:rPr>
          <w:rFonts w:eastAsia="黑体"/>
          <w:b/>
          <w:sz w:val="36"/>
          <w:szCs w:val="36"/>
        </w:rPr>
      </w:pPr>
    </w:p>
    <w:p w14:paraId="79235716">
      <w:pPr>
        <w:jc w:val="center"/>
        <w:rPr>
          <w:rFonts w:eastAsia="黑体"/>
          <w:b/>
          <w:sz w:val="36"/>
          <w:szCs w:val="36"/>
        </w:rPr>
      </w:pPr>
    </w:p>
    <w:p w14:paraId="0EFD43F7">
      <w:pPr>
        <w:jc w:val="center"/>
        <w:rPr>
          <w:rFonts w:eastAsia="黑体"/>
          <w:b/>
          <w:sz w:val="36"/>
          <w:szCs w:val="36"/>
        </w:rPr>
      </w:pPr>
      <w:bookmarkStart w:id="4" w:name="_Toc5591"/>
      <w:bookmarkStart w:id="5" w:name="_Toc26985"/>
      <w:bookmarkStart w:id="6" w:name="_Toc964"/>
      <w:r>
        <w:rPr>
          <w:rFonts w:eastAsia="黑体"/>
          <w:b/>
          <w:sz w:val="36"/>
          <w:szCs w:val="36"/>
        </w:rPr>
        <w:t>重庆市铜梁区2023年财政重点项目绩效评价</w:t>
      </w:r>
      <w:bookmarkEnd w:id="4"/>
      <w:bookmarkEnd w:id="5"/>
      <w:bookmarkEnd w:id="6"/>
    </w:p>
    <w:p w14:paraId="3BF68B9D">
      <w:pPr>
        <w:jc w:val="center"/>
        <w:rPr>
          <w:rFonts w:eastAsia="黑体"/>
          <w:b/>
          <w:sz w:val="36"/>
          <w:szCs w:val="36"/>
        </w:rPr>
      </w:pPr>
      <w:bookmarkStart w:id="7" w:name="_Toc14741"/>
      <w:bookmarkStart w:id="8" w:name="_Toc25455"/>
      <w:bookmarkStart w:id="9" w:name="_Toc17092"/>
      <w:r>
        <w:rPr>
          <w:rFonts w:eastAsia="黑体"/>
          <w:b/>
          <w:sz w:val="36"/>
          <w:szCs w:val="36"/>
        </w:rPr>
        <w:t>铜梁区城市燃气管道老化更新改造项目</w:t>
      </w:r>
      <w:bookmarkEnd w:id="7"/>
      <w:bookmarkEnd w:id="8"/>
      <w:bookmarkEnd w:id="9"/>
    </w:p>
    <w:p w14:paraId="3BAE8644">
      <w:pPr>
        <w:rPr>
          <w:rFonts w:eastAsia="黑体"/>
          <w:sz w:val="36"/>
          <w:szCs w:val="36"/>
        </w:rPr>
        <w:sectPr>
          <w:headerReference r:id="rId3" w:type="default"/>
          <w:footerReference r:id="rId4" w:type="default"/>
          <w:pgSz w:w="11906" w:h="16838"/>
          <w:pgMar w:top="1440" w:right="1797" w:bottom="1440" w:left="1843" w:header="851" w:footer="992" w:gutter="0"/>
          <w:pgNumType w:start="1"/>
          <w:cols w:space="720" w:num="1"/>
          <w:docGrid w:type="lines" w:linePitch="312" w:charSpace="0"/>
        </w:sectPr>
      </w:pPr>
      <w:bookmarkStart w:id="10" w:name="_Hlk170396390"/>
    </w:p>
    <w:bookmarkEnd w:id="3"/>
    <w:bookmarkEnd w:id="10"/>
    <w:p w14:paraId="2299BF41">
      <w:pPr>
        <w:pStyle w:val="19"/>
        <w:tabs>
          <w:tab w:val="right" w:leader="dot" w:pos="8306"/>
        </w:tabs>
        <w:spacing w:beforeLines="100" w:afterLines="100"/>
        <w:jc w:val="center"/>
        <w:rPr>
          <w:rFonts w:hint="default" w:ascii="Times New Roman" w:hAnsi="Times New Roman" w:eastAsia="方正小标宋_GBK"/>
          <w:spacing w:val="6"/>
          <w:sz w:val="32"/>
          <w:szCs w:val="24"/>
        </w:rPr>
      </w:pPr>
      <w:bookmarkStart w:id="11" w:name="_Hlk160789926"/>
      <w:r>
        <w:rPr>
          <w:rFonts w:hint="default" w:ascii="Times New Roman" w:hAnsi="Times New Roman" w:eastAsia="方正小标宋_GBK"/>
          <w:spacing w:val="6"/>
          <w:sz w:val="32"/>
          <w:szCs w:val="24"/>
        </w:rPr>
        <w:t>目  录</w:t>
      </w:r>
    </w:p>
    <w:p w14:paraId="647295FB">
      <w:pPr>
        <w:pStyle w:val="19"/>
        <w:tabs>
          <w:tab w:val="right" w:leader="dot" w:pos="8787"/>
        </w:tabs>
        <w:rPr>
          <w:sz w:val="28"/>
          <w:szCs w:val="28"/>
        </w:rPr>
      </w:pPr>
      <w:r>
        <w:rPr>
          <w:rFonts w:hint="default" w:ascii="Times New Roman" w:hAnsi="Times New Roman" w:eastAsia="方正仿宋_GBK"/>
          <w:spacing w:val="6"/>
          <w:sz w:val="28"/>
          <w:szCs w:val="28"/>
        </w:rPr>
        <w:fldChar w:fldCharType="begin"/>
      </w:r>
      <w:r>
        <w:rPr>
          <w:rFonts w:hint="default" w:ascii="Times New Roman" w:hAnsi="Times New Roman" w:eastAsia="方正仿宋_GBK"/>
          <w:spacing w:val="6"/>
          <w:sz w:val="28"/>
          <w:szCs w:val="28"/>
        </w:rPr>
        <w:instrText xml:space="preserve"> TOC \o "1-3" \h \z \u </w:instrText>
      </w:r>
      <w:r>
        <w:rPr>
          <w:rFonts w:hint="default" w:ascii="Times New Roman" w:hAnsi="Times New Roman" w:eastAsia="方正仿宋_GBK"/>
          <w:spacing w:val="6"/>
          <w:sz w:val="28"/>
          <w:szCs w:val="28"/>
        </w:rPr>
        <w:fldChar w:fldCharType="separate"/>
      </w:r>
      <w:r>
        <w:rPr>
          <w:rFonts w:hint="default" w:ascii="Times New Roman" w:hAnsi="Times New Roman" w:eastAsia="方正仿宋_GBK"/>
          <w:spacing w:val="6"/>
          <w:sz w:val="28"/>
          <w:szCs w:val="28"/>
        </w:rPr>
        <w:fldChar w:fldCharType="begin"/>
      </w:r>
      <w:r>
        <w:rPr>
          <w:rFonts w:hint="default" w:ascii="Times New Roman" w:hAnsi="Times New Roman" w:eastAsia="方正仿宋_GBK"/>
          <w:spacing w:val="6"/>
          <w:sz w:val="28"/>
          <w:szCs w:val="28"/>
        </w:rPr>
        <w:instrText xml:space="preserve"> HYPERLINK \l _Toc6770 </w:instrText>
      </w:r>
      <w:r>
        <w:rPr>
          <w:rFonts w:hint="default" w:ascii="Times New Roman" w:hAnsi="Times New Roman" w:eastAsia="方正仿宋_GBK"/>
          <w:spacing w:val="6"/>
          <w:sz w:val="28"/>
          <w:szCs w:val="28"/>
        </w:rPr>
        <w:fldChar w:fldCharType="separate"/>
      </w:r>
      <w:r>
        <w:rPr>
          <w:rFonts w:eastAsia="方正小标宋_GBK"/>
          <w:kern w:val="0"/>
          <w:sz w:val="28"/>
          <w:szCs w:val="28"/>
        </w:rPr>
        <w:t>铜梁区城市燃气管道老化更新改造项目</w:t>
      </w:r>
      <w:r>
        <w:rPr>
          <w:sz w:val="28"/>
          <w:szCs w:val="28"/>
        </w:rPr>
        <w:tab/>
      </w:r>
      <w:r>
        <w:rPr>
          <w:sz w:val="28"/>
          <w:szCs w:val="28"/>
        </w:rPr>
        <w:fldChar w:fldCharType="begin"/>
      </w:r>
      <w:r>
        <w:rPr>
          <w:sz w:val="28"/>
          <w:szCs w:val="28"/>
        </w:rPr>
        <w:instrText xml:space="preserve"> PAGEREF _Toc6770 \h </w:instrText>
      </w:r>
      <w:r>
        <w:rPr>
          <w:sz w:val="28"/>
          <w:szCs w:val="28"/>
        </w:rPr>
        <w:fldChar w:fldCharType="separate"/>
      </w:r>
      <w:r>
        <w:rPr>
          <w:sz w:val="28"/>
          <w:szCs w:val="28"/>
        </w:rPr>
        <w:t>1</w:t>
      </w:r>
      <w:r>
        <w:rPr>
          <w:sz w:val="28"/>
          <w:szCs w:val="28"/>
        </w:rPr>
        <w:fldChar w:fldCharType="end"/>
      </w:r>
      <w:r>
        <w:rPr>
          <w:rFonts w:hint="default" w:ascii="Times New Roman" w:hAnsi="Times New Roman" w:eastAsia="方正仿宋_GBK"/>
          <w:spacing w:val="6"/>
          <w:sz w:val="28"/>
          <w:szCs w:val="28"/>
        </w:rPr>
        <w:fldChar w:fldCharType="end"/>
      </w:r>
    </w:p>
    <w:p w14:paraId="7346E7FC">
      <w:pPr>
        <w:pStyle w:val="19"/>
        <w:tabs>
          <w:tab w:val="right" w:leader="dot" w:pos="8787"/>
        </w:tabs>
        <w:rPr>
          <w:sz w:val="28"/>
          <w:szCs w:val="28"/>
        </w:rPr>
      </w:pPr>
      <w:r>
        <w:rPr>
          <w:rFonts w:eastAsia="方正仿宋_GBK"/>
          <w:spacing w:val="6"/>
          <w:sz w:val="28"/>
          <w:szCs w:val="28"/>
        </w:rPr>
        <w:fldChar w:fldCharType="begin"/>
      </w:r>
      <w:r>
        <w:rPr>
          <w:rFonts w:eastAsia="方正仿宋_GBK"/>
          <w:spacing w:val="6"/>
          <w:sz w:val="28"/>
          <w:szCs w:val="28"/>
        </w:rPr>
        <w:instrText xml:space="preserve"> HYPERLINK \l _Toc11098 </w:instrText>
      </w:r>
      <w:r>
        <w:rPr>
          <w:rFonts w:eastAsia="方正仿宋_GBK"/>
          <w:spacing w:val="6"/>
          <w:sz w:val="28"/>
          <w:szCs w:val="28"/>
        </w:rPr>
        <w:fldChar w:fldCharType="separate"/>
      </w:r>
      <w:r>
        <w:rPr>
          <w:rFonts w:eastAsia="方正小标宋_GBK"/>
          <w:bCs/>
          <w:sz w:val="28"/>
          <w:szCs w:val="28"/>
        </w:rPr>
        <w:t>第一部分  报告概述</w:t>
      </w:r>
      <w:r>
        <w:rPr>
          <w:sz w:val="28"/>
          <w:szCs w:val="28"/>
        </w:rPr>
        <w:tab/>
      </w:r>
      <w:r>
        <w:rPr>
          <w:sz w:val="28"/>
          <w:szCs w:val="28"/>
        </w:rPr>
        <w:fldChar w:fldCharType="begin"/>
      </w:r>
      <w:r>
        <w:rPr>
          <w:sz w:val="28"/>
          <w:szCs w:val="28"/>
        </w:rPr>
        <w:instrText xml:space="preserve"> PAGEREF _Toc11098 \h </w:instrText>
      </w:r>
      <w:r>
        <w:rPr>
          <w:sz w:val="28"/>
          <w:szCs w:val="28"/>
        </w:rPr>
        <w:fldChar w:fldCharType="separate"/>
      </w:r>
      <w:r>
        <w:rPr>
          <w:sz w:val="28"/>
          <w:szCs w:val="28"/>
        </w:rPr>
        <w:t>2</w:t>
      </w:r>
      <w:r>
        <w:rPr>
          <w:sz w:val="28"/>
          <w:szCs w:val="28"/>
        </w:rPr>
        <w:fldChar w:fldCharType="end"/>
      </w:r>
      <w:r>
        <w:rPr>
          <w:rFonts w:eastAsia="方正仿宋_GBK"/>
          <w:spacing w:val="6"/>
          <w:sz w:val="28"/>
          <w:szCs w:val="28"/>
        </w:rPr>
        <w:fldChar w:fldCharType="end"/>
      </w:r>
    </w:p>
    <w:p w14:paraId="0643A6FE">
      <w:pPr>
        <w:pStyle w:val="20"/>
        <w:tabs>
          <w:tab w:val="right" w:leader="dot" w:pos="8787"/>
        </w:tabs>
        <w:rPr>
          <w:sz w:val="28"/>
          <w:szCs w:val="28"/>
        </w:rPr>
      </w:pPr>
      <w:r>
        <w:rPr>
          <w:rFonts w:eastAsia="方正仿宋_GBK"/>
          <w:spacing w:val="6"/>
          <w:sz w:val="28"/>
          <w:szCs w:val="28"/>
        </w:rPr>
        <w:fldChar w:fldCharType="begin"/>
      </w:r>
      <w:r>
        <w:rPr>
          <w:rFonts w:eastAsia="方正仿宋_GBK"/>
          <w:spacing w:val="6"/>
          <w:sz w:val="28"/>
          <w:szCs w:val="28"/>
        </w:rPr>
        <w:instrText xml:space="preserve"> HYPERLINK \l _Toc26470 </w:instrText>
      </w:r>
      <w:r>
        <w:rPr>
          <w:rFonts w:eastAsia="方正仿宋_GBK"/>
          <w:spacing w:val="6"/>
          <w:sz w:val="28"/>
          <w:szCs w:val="28"/>
        </w:rPr>
        <w:fldChar w:fldCharType="separate"/>
      </w:r>
      <w:r>
        <w:rPr>
          <w:rFonts w:eastAsia="方正黑体_GBK"/>
          <w:bCs/>
          <w:sz w:val="28"/>
          <w:szCs w:val="28"/>
        </w:rPr>
        <w:t>一、报告体系说明</w:t>
      </w:r>
      <w:r>
        <w:rPr>
          <w:sz w:val="28"/>
          <w:szCs w:val="28"/>
        </w:rPr>
        <w:tab/>
      </w:r>
      <w:r>
        <w:rPr>
          <w:sz w:val="28"/>
          <w:szCs w:val="28"/>
        </w:rPr>
        <w:fldChar w:fldCharType="begin"/>
      </w:r>
      <w:r>
        <w:rPr>
          <w:sz w:val="28"/>
          <w:szCs w:val="28"/>
        </w:rPr>
        <w:instrText xml:space="preserve"> PAGEREF _Toc26470 \h </w:instrText>
      </w:r>
      <w:r>
        <w:rPr>
          <w:sz w:val="28"/>
          <w:szCs w:val="28"/>
        </w:rPr>
        <w:fldChar w:fldCharType="separate"/>
      </w:r>
      <w:r>
        <w:rPr>
          <w:sz w:val="28"/>
          <w:szCs w:val="28"/>
        </w:rPr>
        <w:t>2</w:t>
      </w:r>
      <w:r>
        <w:rPr>
          <w:sz w:val="28"/>
          <w:szCs w:val="28"/>
        </w:rPr>
        <w:fldChar w:fldCharType="end"/>
      </w:r>
      <w:r>
        <w:rPr>
          <w:rFonts w:eastAsia="方正仿宋_GBK"/>
          <w:spacing w:val="6"/>
          <w:sz w:val="28"/>
          <w:szCs w:val="28"/>
        </w:rPr>
        <w:fldChar w:fldCharType="end"/>
      </w:r>
    </w:p>
    <w:p w14:paraId="5D37FFA9">
      <w:pPr>
        <w:pStyle w:val="20"/>
        <w:tabs>
          <w:tab w:val="right" w:leader="dot" w:pos="8787"/>
        </w:tabs>
        <w:rPr>
          <w:sz w:val="28"/>
          <w:szCs w:val="28"/>
        </w:rPr>
      </w:pPr>
      <w:r>
        <w:rPr>
          <w:rFonts w:eastAsia="方正仿宋_GBK"/>
          <w:spacing w:val="6"/>
          <w:sz w:val="28"/>
          <w:szCs w:val="28"/>
        </w:rPr>
        <w:fldChar w:fldCharType="begin"/>
      </w:r>
      <w:r>
        <w:rPr>
          <w:rFonts w:eastAsia="方正仿宋_GBK"/>
          <w:spacing w:val="6"/>
          <w:sz w:val="28"/>
          <w:szCs w:val="28"/>
        </w:rPr>
        <w:instrText xml:space="preserve"> HYPERLINK \l _Toc26410 </w:instrText>
      </w:r>
      <w:r>
        <w:rPr>
          <w:rFonts w:eastAsia="方正仿宋_GBK"/>
          <w:spacing w:val="6"/>
          <w:sz w:val="28"/>
          <w:szCs w:val="28"/>
        </w:rPr>
        <w:fldChar w:fldCharType="separate"/>
      </w:r>
      <w:r>
        <w:rPr>
          <w:rFonts w:eastAsia="方正黑体_GBK"/>
          <w:bCs/>
          <w:sz w:val="28"/>
          <w:szCs w:val="28"/>
        </w:rPr>
        <w:t>二、项目概况</w:t>
      </w:r>
      <w:r>
        <w:rPr>
          <w:sz w:val="28"/>
          <w:szCs w:val="28"/>
        </w:rPr>
        <w:tab/>
      </w:r>
      <w:r>
        <w:rPr>
          <w:sz w:val="28"/>
          <w:szCs w:val="28"/>
        </w:rPr>
        <w:fldChar w:fldCharType="begin"/>
      </w:r>
      <w:r>
        <w:rPr>
          <w:sz w:val="28"/>
          <w:szCs w:val="28"/>
        </w:rPr>
        <w:instrText xml:space="preserve"> PAGEREF _Toc26410 \h </w:instrText>
      </w:r>
      <w:r>
        <w:rPr>
          <w:sz w:val="28"/>
          <w:szCs w:val="28"/>
        </w:rPr>
        <w:fldChar w:fldCharType="separate"/>
      </w:r>
      <w:r>
        <w:rPr>
          <w:sz w:val="28"/>
          <w:szCs w:val="28"/>
        </w:rPr>
        <w:t>2</w:t>
      </w:r>
      <w:r>
        <w:rPr>
          <w:sz w:val="28"/>
          <w:szCs w:val="28"/>
        </w:rPr>
        <w:fldChar w:fldCharType="end"/>
      </w:r>
      <w:r>
        <w:rPr>
          <w:rFonts w:eastAsia="方正仿宋_GBK"/>
          <w:spacing w:val="6"/>
          <w:sz w:val="28"/>
          <w:szCs w:val="28"/>
        </w:rPr>
        <w:fldChar w:fldCharType="end"/>
      </w:r>
    </w:p>
    <w:p w14:paraId="70EE7B93">
      <w:pPr>
        <w:pStyle w:val="20"/>
        <w:tabs>
          <w:tab w:val="right" w:leader="dot" w:pos="8787"/>
        </w:tabs>
        <w:rPr>
          <w:sz w:val="28"/>
          <w:szCs w:val="28"/>
        </w:rPr>
      </w:pPr>
      <w:r>
        <w:rPr>
          <w:rFonts w:eastAsia="方正仿宋_GBK"/>
          <w:spacing w:val="6"/>
          <w:sz w:val="28"/>
          <w:szCs w:val="28"/>
        </w:rPr>
        <w:fldChar w:fldCharType="begin"/>
      </w:r>
      <w:r>
        <w:rPr>
          <w:rFonts w:eastAsia="方正仿宋_GBK"/>
          <w:spacing w:val="6"/>
          <w:sz w:val="28"/>
          <w:szCs w:val="28"/>
        </w:rPr>
        <w:instrText xml:space="preserve"> HYPERLINK \l _Toc2962 </w:instrText>
      </w:r>
      <w:r>
        <w:rPr>
          <w:rFonts w:eastAsia="方正仿宋_GBK"/>
          <w:spacing w:val="6"/>
          <w:sz w:val="28"/>
          <w:szCs w:val="28"/>
        </w:rPr>
        <w:fldChar w:fldCharType="separate"/>
      </w:r>
      <w:r>
        <w:rPr>
          <w:rFonts w:eastAsia="方正黑体_GBK"/>
          <w:bCs/>
          <w:sz w:val="28"/>
          <w:szCs w:val="28"/>
        </w:rPr>
        <w:t>三、评价主要结论</w:t>
      </w:r>
      <w:r>
        <w:rPr>
          <w:sz w:val="28"/>
          <w:szCs w:val="28"/>
        </w:rPr>
        <w:tab/>
      </w:r>
      <w:r>
        <w:rPr>
          <w:sz w:val="28"/>
          <w:szCs w:val="28"/>
        </w:rPr>
        <w:fldChar w:fldCharType="begin"/>
      </w:r>
      <w:r>
        <w:rPr>
          <w:sz w:val="28"/>
          <w:szCs w:val="28"/>
        </w:rPr>
        <w:instrText xml:space="preserve"> PAGEREF _Toc2962 \h </w:instrText>
      </w:r>
      <w:r>
        <w:rPr>
          <w:sz w:val="28"/>
          <w:szCs w:val="28"/>
        </w:rPr>
        <w:fldChar w:fldCharType="separate"/>
      </w:r>
      <w:r>
        <w:rPr>
          <w:sz w:val="28"/>
          <w:szCs w:val="28"/>
        </w:rPr>
        <w:t>2</w:t>
      </w:r>
      <w:r>
        <w:rPr>
          <w:sz w:val="28"/>
          <w:szCs w:val="28"/>
        </w:rPr>
        <w:fldChar w:fldCharType="end"/>
      </w:r>
      <w:r>
        <w:rPr>
          <w:rFonts w:eastAsia="方正仿宋_GBK"/>
          <w:spacing w:val="6"/>
          <w:sz w:val="28"/>
          <w:szCs w:val="28"/>
        </w:rPr>
        <w:fldChar w:fldCharType="end"/>
      </w:r>
    </w:p>
    <w:p w14:paraId="42AD7AED">
      <w:pPr>
        <w:pStyle w:val="19"/>
        <w:tabs>
          <w:tab w:val="right" w:leader="dot" w:pos="8787"/>
        </w:tabs>
        <w:rPr>
          <w:sz w:val="28"/>
          <w:szCs w:val="28"/>
        </w:rPr>
      </w:pPr>
      <w:r>
        <w:rPr>
          <w:rFonts w:eastAsia="方正仿宋_GBK"/>
          <w:spacing w:val="6"/>
          <w:sz w:val="28"/>
          <w:szCs w:val="28"/>
        </w:rPr>
        <w:fldChar w:fldCharType="begin"/>
      </w:r>
      <w:r>
        <w:rPr>
          <w:rFonts w:eastAsia="方正仿宋_GBK"/>
          <w:spacing w:val="6"/>
          <w:sz w:val="28"/>
          <w:szCs w:val="28"/>
        </w:rPr>
        <w:instrText xml:space="preserve"> HYPERLINK \l _Toc13548 </w:instrText>
      </w:r>
      <w:r>
        <w:rPr>
          <w:rFonts w:eastAsia="方正仿宋_GBK"/>
          <w:spacing w:val="6"/>
          <w:sz w:val="28"/>
          <w:szCs w:val="28"/>
        </w:rPr>
        <w:fldChar w:fldCharType="separate"/>
      </w:r>
      <w:r>
        <w:rPr>
          <w:rFonts w:eastAsia="方正小标宋_GBK"/>
          <w:bCs/>
          <w:sz w:val="28"/>
          <w:szCs w:val="28"/>
        </w:rPr>
        <w:t>第二部分  报告正文</w:t>
      </w:r>
      <w:r>
        <w:rPr>
          <w:sz w:val="28"/>
          <w:szCs w:val="28"/>
        </w:rPr>
        <w:tab/>
      </w:r>
      <w:r>
        <w:rPr>
          <w:sz w:val="28"/>
          <w:szCs w:val="28"/>
        </w:rPr>
        <w:fldChar w:fldCharType="begin"/>
      </w:r>
      <w:r>
        <w:rPr>
          <w:sz w:val="28"/>
          <w:szCs w:val="28"/>
        </w:rPr>
        <w:instrText xml:space="preserve"> PAGEREF _Toc13548 \h </w:instrText>
      </w:r>
      <w:r>
        <w:rPr>
          <w:sz w:val="28"/>
          <w:szCs w:val="28"/>
        </w:rPr>
        <w:fldChar w:fldCharType="separate"/>
      </w:r>
      <w:r>
        <w:rPr>
          <w:sz w:val="28"/>
          <w:szCs w:val="28"/>
        </w:rPr>
        <w:t>4</w:t>
      </w:r>
      <w:r>
        <w:rPr>
          <w:sz w:val="28"/>
          <w:szCs w:val="28"/>
        </w:rPr>
        <w:fldChar w:fldCharType="end"/>
      </w:r>
      <w:r>
        <w:rPr>
          <w:rFonts w:eastAsia="方正仿宋_GBK"/>
          <w:spacing w:val="6"/>
          <w:sz w:val="28"/>
          <w:szCs w:val="28"/>
        </w:rPr>
        <w:fldChar w:fldCharType="end"/>
      </w:r>
    </w:p>
    <w:p w14:paraId="6B7386EC">
      <w:pPr>
        <w:pStyle w:val="20"/>
        <w:tabs>
          <w:tab w:val="right" w:leader="dot" w:pos="8787"/>
        </w:tabs>
        <w:rPr>
          <w:sz w:val="28"/>
          <w:szCs w:val="28"/>
        </w:rPr>
      </w:pPr>
      <w:r>
        <w:rPr>
          <w:rFonts w:eastAsia="方正仿宋_GBK"/>
          <w:spacing w:val="6"/>
          <w:sz w:val="28"/>
          <w:szCs w:val="28"/>
        </w:rPr>
        <w:fldChar w:fldCharType="begin"/>
      </w:r>
      <w:r>
        <w:rPr>
          <w:rFonts w:eastAsia="方正仿宋_GBK"/>
          <w:spacing w:val="6"/>
          <w:sz w:val="28"/>
          <w:szCs w:val="28"/>
        </w:rPr>
        <w:instrText xml:space="preserve"> HYPERLINK \l _Toc12313 </w:instrText>
      </w:r>
      <w:r>
        <w:rPr>
          <w:rFonts w:eastAsia="方正仿宋_GBK"/>
          <w:spacing w:val="6"/>
          <w:sz w:val="28"/>
          <w:szCs w:val="28"/>
        </w:rPr>
        <w:fldChar w:fldCharType="separate"/>
      </w:r>
      <w:r>
        <w:rPr>
          <w:rFonts w:eastAsia="方正黑体_GBK"/>
          <w:bCs/>
          <w:sz w:val="28"/>
          <w:szCs w:val="28"/>
        </w:rPr>
        <w:t>一、项目基本情况</w:t>
      </w:r>
      <w:r>
        <w:rPr>
          <w:sz w:val="28"/>
          <w:szCs w:val="28"/>
        </w:rPr>
        <w:tab/>
      </w:r>
      <w:r>
        <w:rPr>
          <w:sz w:val="28"/>
          <w:szCs w:val="28"/>
        </w:rPr>
        <w:fldChar w:fldCharType="begin"/>
      </w:r>
      <w:r>
        <w:rPr>
          <w:sz w:val="28"/>
          <w:szCs w:val="28"/>
        </w:rPr>
        <w:instrText xml:space="preserve"> PAGEREF _Toc12313 \h </w:instrText>
      </w:r>
      <w:r>
        <w:rPr>
          <w:sz w:val="28"/>
          <w:szCs w:val="28"/>
        </w:rPr>
        <w:fldChar w:fldCharType="separate"/>
      </w:r>
      <w:r>
        <w:rPr>
          <w:sz w:val="28"/>
          <w:szCs w:val="28"/>
        </w:rPr>
        <w:t>4</w:t>
      </w:r>
      <w:r>
        <w:rPr>
          <w:sz w:val="28"/>
          <w:szCs w:val="28"/>
        </w:rPr>
        <w:fldChar w:fldCharType="end"/>
      </w:r>
      <w:r>
        <w:rPr>
          <w:rFonts w:eastAsia="方正仿宋_GBK"/>
          <w:spacing w:val="6"/>
          <w:sz w:val="28"/>
          <w:szCs w:val="28"/>
        </w:rPr>
        <w:fldChar w:fldCharType="end"/>
      </w:r>
    </w:p>
    <w:p w14:paraId="15BBC013">
      <w:pPr>
        <w:pStyle w:val="15"/>
        <w:tabs>
          <w:tab w:val="right" w:leader="dot" w:pos="8787"/>
        </w:tabs>
        <w:rPr>
          <w:sz w:val="28"/>
          <w:szCs w:val="28"/>
        </w:rPr>
      </w:pPr>
      <w:r>
        <w:rPr>
          <w:rFonts w:eastAsia="方正仿宋_GBK"/>
          <w:spacing w:val="6"/>
          <w:sz w:val="28"/>
          <w:szCs w:val="28"/>
        </w:rPr>
        <w:fldChar w:fldCharType="begin"/>
      </w:r>
      <w:r>
        <w:rPr>
          <w:rFonts w:eastAsia="方正仿宋_GBK"/>
          <w:spacing w:val="6"/>
          <w:sz w:val="28"/>
          <w:szCs w:val="28"/>
        </w:rPr>
        <w:instrText xml:space="preserve"> HYPERLINK \l _Toc26643 </w:instrText>
      </w:r>
      <w:r>
        <w:rPr>
          <w:rFonts w:eastAsia="方正仿宋_GBK"/>
          <w:spacing w:val="6"/>
          <w:sz w:val="28"/>
          <w:szCs w:val="28"/>
        </w:rPr>
        <w:fldChar w:fldCharType="separate"/>
      </w:r>
      <w:r>
        <w:rPr>
          <w:rFonts w:eastAsia="方正楷体_GBK"/>
          <w:bCs/>
          <w:sz w:val="28"/>
          <w:szCs w:val="28"/>
        </w:rPr>
        <w:t>（一）项目背景和目的</w:t>
      </w:r>
      <w:r>
        <w:rPr>
          <w:sz w:val="28"/>
          <w:szCs w:val="28"/>
        </w:rPr>
        <w:tab/>
      </w:r>
      <w:r>
        <w:rPr>
          <w:sz w:val="28"/>
          <w:szCs w:val="28"/>
        </w:rPr>
        <w:fldChar w:fldCharType="begin"/>
      </w:r>
      <w:r>
        <w:rPr>
          <w:sz w:val="28"/>
          <w:szCs w:val="28"/>
        </w:rPr>
        <w:instrText xml:space="preserve"> PAGEREF _Toc26643 \h </w:instrText>
      </w:r>
      <w:r>
        <w:rPr>
          <w:sz w:val="28"/>
          <w:szCs w:val="28"/>
        </w:rPr>
        <w:fldChar w:fldCharType="separate"/>
      </w:r>
      <w:r>
        <w:rPr>
          <w:sz w:val="28"/>
          <w:szCs w:val="28"/>
        </w:rPr>
        <w:t>4</w:t>
      </w:r>
      <w:r>
        <w:rPr>
          <w:sz w:val="28"/>
          <w:szCs w:val="28"/>
        </w:rPr>
        <w:fldChar w:fldCharType="end"/>
      </w:r>
      <w:r>
        <w:rPr>
          <w:rFonts w:eastAsia="方正仿宋_GBK"/>
          <w:spacing w:val="6"/>
          <w:sz w:val="28"/>
          <w:szCs w:val="28"/>
        </w:rPr>
        <w:fldChar w:fldCharType="end"/>
      </w:r>
    </w:p>
    <w:p w14:paraId="5E132EA0">
      <w:pPr>
        <w:pStyle w:val="15"/>
        <w:tabs>
          <w:tab w:val="right" w:leader="dot" w:pos="8787"/>
        </w:tabs>
        <w:rPr>
          <w:sz w:val="28"/>
          <w:szCs w:val="28"/>
        </w:rPr>
      </w:pPr>
      <w:r>
        <w:rPr>
          <w:rFonts w:eastAsia="方正仿宋_GBK"/>
          <w:spacing w:val="6"/>
          <w:sz w:val="28"/>
          <w:szCs w:val="28"/>
        </w:rPr>
        <w:fldChar w:fldCharType="begin"/>
      </w:r>
      <w:r>
        <w:rPr>
          <w:rFonts w:eastAsia="方正仿宋_GBK"/>
          <w:spacing w:val="6"/>
          <w:sz w:val="28"/>
          <w:szCs w:val="28"/>
        </w:rPr>
        <w:instrText xml:space="preserve"> HYPERLINK \l _Toc22032 </w:instrText>
      </w:r>
      <w:r>
        <w:rPr>
          <w:rFonts w:eastAsia="方正仿宋_GBK"/>
          <w:spacing w:val="6"/>
          <w:sz w:val="28"/>
          <w:szCs w:val="28"/>
        </w:rPr>
        <w:fldChar w:fldCharType="separate"/>
      </w:r>
      <w:r>
        <w:rPr>
          <w:rFonts w:eastAsia="方正楷体_GBK"/>
          <w:bCs/>
          <w:sz w:val="28"/>
          <w:szCs w:val="28"/>
        </w:rPr>
        <w:t>（二）预算批复及下达情况</w:t>
      </w:r>
      <w:r>
        <w:rPr>
          <w:sz w:val="28"/>
          <w:szCs w:val="28"/>
        </w:rPr>
        <w:tab/>
      </w:r>
      <w:r>
        <w:rPr>
          <w:sz w:val="28"/>
          <w:szCs w:val="28"/>
        </w:rPr>
        <w:fldChar w:fldCharType="begin"/>
      </w:r>
      <w:r>
        <w:rPr>
          <w:sz w:val="28"/>
          <w:szCs w:val="28"/>
        </w:rPr>
        <w:instrText xml:space="preserve"> PAGEREF _Toc22032 \h </w:instrText>
      </w:r>
      <w:r>
        <w:rPr>
          <w:sz w:val="28"/>
          <w:szCs w:val="28"/>
        </w:rPr>
        <w:fldChar w:fldCharType="separate"/>
      </w:r>
      <w:r>
        <w:rPr>
          <w:sz w:val="28"/>
          <w:szCs w:val="28"/>
        </w:rPr>
        <w:t>5</w:t>
      </w:r>
      <w:r>
        <w:rPr>
          <w:sz w:val="28"/>
          <w:szCs w:val="28"/>
        </w:rPr>
        <w:fldChar w:fldCharType="end"/>
      </w:r>
      <w:r>
        <w:rPr>
          <w:rFonts w:eastAsia="方正仿宋_GBK"/>
          <w:spacing w:val="6"/>
          <w:sz w:val="28"/>
          <w:szCs w:val="28"/>
        </w:rPr>
        <w:fldChar w:fldCharType="end"/>
      </w:r>
    </w:p>
    <w:p w14:paraId="06DA74A3">
      <w:pPr>
        <w:pStyle w:val="15"/>
        <w:tabs>
          <w:tab w:val="right" w:leader="dot" w:pos="8787"/>
        </w:tabs>
        <w:rPr>
          <w:sz w:val="28"/>
          <w:szCs w:val="28"/>
        </w:rPr>
      </w:pPr>
      <w:r>
        <w:rPr>
          <w:rFonts w:eastAsia="方正仿宋_GBK"/>
          <w:spacing w:val="6"/>
          <w:sz w:val="28"/>
          <w:szCs w:val="28"/>
        </w:rPr>
        <w:fldChar w:fldCharType="begin"/>
      </w:r>
      <w:r>
        <w:rPr>
          <w:rFonts w:eastAsia="方正仿宋_GBK"/>
          <w:spacing w:val="6"/>
          <w:sz w:val="28"/>
          <w:szCs w:val="28"/>
        </w:rPr>
        <w:instrText xml:space="preserve"> HYPERLINK \l _Toc21257 </w:instrText>
      </w:r>
      <w:r>
        <w:rPr>
          <w:rFonts w:eastAsia="方正仿宋_GBK"/>
          <w:spacing w:val="6"/>
          <w:sz w:val="28"/>
          <w:szCs w:val="28"/>
        </w:rPr>
        <w:fldChar w:fldCharType="separate"/>
      </w:r>
      <w:r>
        <w:rPr>
          <w:rFonts w:eastAsia="方正楷体_GBK"/>
          <w:bCs/>
          <w:sz w:val="28"/>
          <w:szCs w:val="28"/>
        </w:rPr>
        <w:t>（三）项目实施情况</w:t>
      </w:r>
      <w:r>
        <w:rPr>
          <w:sz w:val="28"/>
          <w:szCs w:val="28"/>
        </w:rPr>
        <w:tab/>
      </w:r>
      <w:r>
        <w:rPr>
          <w:sz w:val="28"/>
          <w:szCs w:val="28"/>
        </w:rPr>
        <w:fldChar w:fldCharType="begin"/>
      </w:r>
      <w:r>
        <w:rPr>
          <w:sz w:val="28"/>
          <w:szCs w:val="28"/>
        </w:rPr>
        <w:instrText xml:space="preserve"> PAGEREF _Toc21257 \h </w:instrText>
      </w:r>
      <w:r>
        <w:rPr>
          <w:sz w:val="28"/>
          <w:szCs w:val="28"/>
        </w:rPr>
        <w:fldChar w:fldCharType="separate"/>
      </w:r>
      <w:r>
        <w:rPr>
          <w:sz w:val="28"/>
          <w:szCs w:val="28"/>
        </w:rPr>
        <w:t>5</w:t>
      </w:r>
      <w:r>
        <w:rPr>
          <w:sz w:val="28"/>
          <w:szCs w:val="28"/>
        </w:rPr>
        <w:fldChar w:fldCharType="end"/>
      </w:r>
      <w:r>
        <w:rPr>
          <w:rFonts w:eastAsia="方正仿宋_GBK"/>
          <w:spacing w:val="6"/>
          <w:sz w:val="28"/>
          <w:szCs w:val="28"/>
        </w:rPr>
        <w:fldChar w:fldCharType="end"/>
      </w:r>
    </w:p>
    <w:p w14:paraId="2E85AD76">
      <w:pPr>
        <w:pStyle w:val="20"/>
        <w:tabs>
          <w:tab w:val="right" w:leader="dot" w:pos="8787"/>
        </w:tabs>
        <w:rPr>
          <w:sz w:val="28"/>
          <w:szCs w:val="28"/>
        </w:rPr>
      </w:pPr>
      <w:r>
        <w:rPr>
          <w:rFonts w:eastAsia="方正仿宋_GBK"/>
          <w:spacing w:val="6"/>
          <w:sz w:val="28"/>
          <w:szCs w:val="28"/>
        </w:rPr>
        <w:fldChar w:fldCharType="begin"/>
      </w:r>
      <w:r>
        <w:rPr>
          <w:rFonts w:eastAsia="方正仿宋_GBK"/>
          <w:spacing w:val="6"/>
          <w:sz w:val="28"/>
          <w:szCs w:val="28"/>
        </w:rPr>
        <w:instrText xml:space="preserve"> HYPERLINK \l _Toc11580 </w:instrText>
      </w:r>
      <w:r>
        <w:rPr>
          <w:rFonts w:eastAsia="方正仿宋_GBK"/>
          <w:spacing w:val="6"/>
          <w:sz w:val="28"/>
          <w:szCs w:val="28"/>
        </w:rPr>
        <w:fldChar w:fldCharType="separate"/>
      </w:r>
      <w:r>
        <w:rPr>
          <w:rFonts w:eastAsia="方正黑体_GBK"/>
          <w:bCs/>
          <w:sz w:val="28"/>
          <w:szCs w:val="28"/>
        </w:rPr>
        <w:t>二、绩效管理情况</w:t>
      </w:r>
      <w:r>
        <w:rPr>
          <w:sz w:val="28"/>
          <w:szCs w:val="28"/>
        </w:rPr>
        <w:tab/>
      </w:r>
      <w:r>
        <w:rPr>
          <w:sz w:val="28"/>
          <w:szCs w:val="28"/>
        </w:rPr>
        <w:fldChar w:fldCharType="begin"/>
      </w:r>
      <w:r>
        <w:rPr>
          <w:sz w:val="28"/>
          <w:szCs w:val="28"/>
        </w:rPr>
        <w:instrText xml:space="preserve"> PAGEREF _Toc11580 \h </w:instrText>
      </w:r>
      <w:r>
        <w:rPr>
          <w:sz w:val="28"/>
          <w:szCs w:val="28"/>
        </w:rPr>
        <w:fldChar w:fldCharType="separate"/>
      </w:r>
      <w:r>
        <w:rPr>
          <w:sz w:val="28"/>
          <w:szCs w:val="28"/>
        </w:rPr>
        <w:t>5</w:t>
      </w:r>
      <w:r>
        <w:rPr>
          <w:sz w:val="28"/>
          <w:szCs w:val="28"/>
        </w:rPr>
        <w:fldChar w:fldCharType="end"/>
      </w:r>
      <w:r>
        <w:rPr>
          <w:rFonts w:eastAsia="方正仿宋_GBK"/>
          <w:spacing w:val="6"/>
          <w:sz w:val="28"/>
          <w:szCs w:val="28"/>
        </w:rPr>
        <w:fldChar w:fldCharType="end"/>
      </w:r>
    </w:p>
    <w:p w14:paraId="5C01B14F">
      <w:pPr>
        <w:pStyle w:val="15"/>
        <w:tabs>
          <w:tab w:val="right" w:leader="dot" w:pos="8787"/>
        </w:tabs>
        <w:rPr>
          <w:sz w:val="28"/>
          <w:szCs w:val="28"/>
        </w:rPr>
      </w:pPr>
      <w:r>
        <w:rPr>
          <w:rFonts w:eastAsia="方正仿宋_GBK"/>
          <w:spacing w:val="6"/>
          <w:sz w:val="28"/>
          <w:szCs w:val="28"/>
        </w:rPr>
        <w:fldChar w:fldCharType="begin"/>
      </w:r>
      <w:r>
        <w:rPr>
          <w:rFonts w:eastAsia="方正仿宋_GBK"/>
          <w:spacing w:val="6"/>
          <w:sz w:val="28"/>
          <w:szCs w:val="28"/>
        </w:rPr>
        <w:instrText xml:space="preserve"> HYPERLINK \l _Toc31100 </w:instrText>
      </w:r>
      <w:r>
        <w:rPr>
          <w:rFonts w:eastAsia="方正仿宋_GBK"/>
          <w:spacing w:val="6"/>
          <w:sz w:val="28"/>
          <w:szCs w:val="28"/>
        </w:rPr>
        <w:fldChar w:fldCharType="separate"/>
      </w:r>
      <w:r>
        <w:rPr>
          <w:rFonts w:eastAsia="方正楷体_GBK"/>
          <w:bCs/>
          <w:sz w:val="28"/>
          <w:szCs w:val="28"/>
        </w:rPr>
        <w:t>（一）绩效目标设置情况</w:t>
      </w:r>
      <w:r>
        <w:rPr>
          <w:sz w:val="28"/>
          <w:szCs w:val="28"/>
        </w:rPr>
        <w:tab/>
      </w:r>
      <w:r>
        <w:rPr>
          <w:sz w:val="28"/>
          <w:szCs w:val="28"/>
        </w:rPr>
        <w:fldChar w:fldCharType="begin"/>
      </w:r>
      <w:r>
        <w:rPr>
          <w:sz w:val="28"/>
          <w:szCs w:val="28"/>
        </w:rPr>
        <w:instrText xml:space="preserve"> PAGEREF _Toc31100 \h </w:instrText>
      </w:r>
      <w:r>
        <w:rPr>
          <w:sz w:val="28"/>
          <w:szCs w:val="28"/>
        </w:rPr>
        <w:fldChar w:fldCharType="separate"/>
      </w:r>
      <w:r>
        <w:rPr>
          <w:sz w:val="28"/>
          <w:szCs w:val="28"/>
        </w:rPr>
        <w:t>5</w:t>
      </w:r>
      <w:r>
        <w:rPr>
          <w:sz w:val="28"/>
          <w:szCs w:val="28"/>
        </w:rPr>
        <w:fldChar w:fldCharType="end"/>
      </w:r>
      <w:r>
        <w:rPr>
          <w:rFonts w:eastAsia="方正仿宋_GBK"/>
          <w:spacing w:val="6"/>
          <w:sz w:val="28"/>
          <w:szCs w:val="28"/>
        </w:rPr>
        <w:fldChar w:fldCharType="end"/>
      </w:r>
    </w:p>
    <w:p w14:paraId="6D236540">
      <w:pPr>
        <w:pStyle w:val="15"/>
        <w:tabs>
          <w:tab w:val="right" w:leader="dot" w:pos="8787"/>
        </w:tabs>
        <w:rPr>
          <w:sz w:val="28"/>
          <w:szCs w:val="28"/>
        </w:rPr>
      </w:pPr>
      <w:r>
        <w:rPr>
          <w:rFonts w:eastAsia="方正仿宋_GBK"/>
          <w:spacing w:val="6"/>
          <w:sz w:val="28"/>
          <w:szCs w:val="28"/>
        </w:rPr>
        <w:fldChar w:fldCharType="begin"/>
      </w:r>
      <w:r>
        <w:rPr>
          <w:rFonts w:eastAsia="方正仿宋_GBK"/>
          <w:spacing w:val="6"/>
          <w:sz w:val="28"/>
          <w:szCs w:val="28"/>
        </w:rPr>
        <w:instrText xml:space="preserve"> HYPERLINK \l _Toc22952 </w:instrText>
      </w:r>
      <w:r>
        <w:rPr>
          <w:rFonts w:eastAsia="方正仿宋_GBK"/>
          <w:spacing w:val="6"/>
          <w:sz w:val="28"/>
          <w:szCs w:val="28"/>
        </w:rPr>
        <w:fldChar w:fldCharType="separate"/>
      </w:r>
      <w:r>
        <w:rPr>
          <w:rFonts w:eastAsia="方正楷体_GBK"/>
          <w:bCs/>
          <w:sz w:val="28"/>
          <w:szCs w:val="28"/>
        </w:rPr>
        <w:t>（</w:t>
      </w:r>
      <w:r>
        <w:rPr>
          <w:rFonts w:hint="eastAsia" w:eastAsia="方正楷体_GBK"/>
          <w:bCs/>
          <w:sz w:val="28"/>
          <w:szCs w:val="28"/>
        </w:rPr>
        <w:t>二</w:t>
      </w:r>
      <w:r>
        <w:rPr>
          <w:rFonts w:eastAsia="方正楷体_GBK"/>
          <w:bCs/>
          <w:sz w:val="28"/>
          <w:szCs w:val="28"/>
        </w:rPr>
        <w:t>）绩效自评情况</w:t>
      </w:r>
      <w:r>
        <w:rPr>
          <w:sz w:val="28"/>
          <w:szCs w:val="28"/>
        </w:rPr>
        <w:tab/>
      </w:r>
      <w:r>
        <w:rPr>
          <w:sz w:val="28"/>
          <w:szCs w:val="28"/>
        </w:rPr>
        <w:fldChar w:fldCharType="begin"/>
      </w:r>
      <w:r>
        <w:rPr>
          <w:sz w:val="28"/>
          <w:szCs w:val="28"/>
        </w:rPr>
        <w:instrText xml:space="preserve"> PAGEREF _Toc22952 \h </w:instrText>
      </w:r>
      <w:r>
        <w:rPr>
          <w:sz w:val="28"/>
          <w:szCs w:val="28"/>
        </w:rPr>
        <w:fldChar w:fldCharType="separate"/>
      </w:r>
      <w:r>
        <w:rPr>
          <w:sz w:val="28"/>
          <w:szCs w:val="28"/>
        </w:rPr>
        <w:t>6</w:t>
      </w:r>
      <w:r>
        <w:rPr>
          <w:sz w:val="28"/>
          <w:szCs w:val="28"/>
        </w:rPr>
        <w:fldChar w:fldCharType="end"/>
      </w:r>
      <w:r>
        <w:rPr>
          <w:rFonts w:eastAsia="方正仿宋_GBK"/>
          <w:spacing w:val="6"/>
          <w:sz w:val="28"/>
          <w:szCs w:val="28"/>
        </w:rPr>
        <w:fldChar w:fldCharType="end"/>
      </w:r>
    </w:p>
    <w:p w14:paraId="77554D80">
      <w:pPr>
        <w:pStyle w:val="20"/>
        <w:tabs>
          <w:tab w:val="right" w:leader="dot" w:pos="8787"/>
        </w:tabs>
        <w:rPr>
          <w:sz w:val="28"/>
          <w:szCs w:val="28"/>
        </w:rPr>
      </w:pPr>
      <w:r>
        <w:rPr>
          <w:rFonts w:eastAsia="方正仿宋_GBK"/>
          <w:spacing w:val="6"/>
          <w:sz w:val="28"/>
          <w:szCs w:val="28"/>
        </w:rPr>
        <w:fldChar w:fldCharType="begin"/>
      </w:r>
      <w:r>
        <w:rPr>
          <w:rFonts w:eastAsia="方正仿宋_GBK"/>
          <w:spacing w:val="6"/>
          <w:sz w:val="28"/>
          <w:szCs w:val="28"/>
        </w:rPr>
        <w:instrText xml:space="preserve"> HYPERLINK \l _Toc10767 </w:instrText>
      </w:r>
      <w:r>
        <w:rPr>
          <w:rFonts w:eastAsia="方正仿宋_GBK"/>
          <w:spacing w:val="6"/>
          <w:sz w:val="28"/>
          <w:szCs w:val="28"/>
        </w:rPr>
        <w:fldChar w:fldCharType="separate"/>
      </w:r>
      <w:r>
        <w:rPr>
          <w:rFonts w:eastAsia="方正黑体_GBK"/>
          <w:bCs/>
          <w:sz w:val="28"/>
          <w:szCs w:val="28"/>
        </w:rPr>
        <w:t>三、绩效评价工作情况</w:t>
      </w:r>
      <w:r>
        <w:rPr>
          <w:sz w:val="28"/>
          <w:szCs w:val="28"/>
        </w:rPr>
        <w:tab/>
      </w:r>
      <w:r>
        <w:rPr>
          <w:sz w:val="28"/>
          <w:szCs w:val="28"/>
        </w:rPr>
        <w:fldChar w:fldCharType="begin"/>
      </w:r>
      <w:r>
        <w:rPr>
          <w:sz w:val="28"/>
          <w:szCs w:val="28"/>
        </w:rPr>
        <w:instrText xml:space="preserve"> PAGEREF _Toc10767 \h </w:instrText>
      </w:r>
      <w:r>
        <w:rPr>
          <w:sz w:val="28"/>
          <w:szCs w:val="28"/>
        </w:rPr>
        <w:fldChar w:fldCharType="separate"/>
      </w:r>
      <w:r>
        <w:rPr>
          <w:sz w:val="28"/>
          <w:szCs w:val="28"/>
        </w:rPr>
        <w:t>7</w:t>
      </w:r>
      <w:r>
        <w:rPr>
          <w:sz w:val="28"/>
          <w:szCs w:val="28"/>
        </w:rPr>
        <w:fldChar w:fldCharType="end"/>
      </w:r>
      <w:r>
        <w:rPr>
          <w:rFonts w:eastAsia="方正仿宋_GBK"/>
          <w:spacing w:val="6"/>
          <w:sz w:val="28"/>
          <w:szCs w:val="28"/>
        </w:rPr>
        <w:fldChar w:fldCharType="end"/>
      </w:r>
    </w:p>
    <w:p w14:paraId="2E9278B0">
      <w:pPr>
        <w:pStyle w:val="15"/>
        <w:tabs>
          <w:tab w:val="right" w:leader="dot" w:pos="8787"/>
        </w:tabs>
        <w:rPr>
          <w:sz w:val="28"/>
          <w:szCs w:val="28"/>
        </w:rPr>
      </w:pPr>
      <w:r>
        <w:rPr>
          <w:rFonts w:eastAsia="方正仿宋_GBK"/>
          <w:spacing w:val="6"/>
          <w:sz w:val="28"/>
          <w:szCs w:val="28"/>
        </w:rPr>
        <w:fldChar w:fldCharType="begin"/>
      </w:r>
      <w:r>
        <w:rPr>
          <w:rFonts w:eastAsia="方正仿宋_GBK"/>
          <w:spacing w:val="6"/>
          <w:sz w:val="28"/>
          <w:szCs w:val="28"/>
        </w:rPr>
        <w:instrText xml:space="preserve"> HYPERLINK \l _Toc26374 </w:instrText>
      </w:r>
      <w:r>
        <w:rPr>
          <w:rFonts w:eastAsia="方正仿宋_GBK"/>
          <w:spacing w:val="6"/>
          <w:sz w:val="28"/>
          <w:szCs w:val="28"/>
        </w:rPr>
        <w:fldChar w:fldCharType="separate"/>
      </w:r>
      <w:r>
        <w:rPr>
          <w:rFonts w:eastAsia="方正楷体_GBK"/>
          <w:bCs/>
          <w:sz w:val="28"/>
          <w:szCs w:val="28"/>
        </w:rPr>
        <w:t>（一）绩效评价对象和范围</w:t>
      </w:r>
      <w:r>
        <w:rPr>
          <w:sz w:val="28"/>
          <w:szCs w:val="28"/>
        </w:rPr>
        <w:tab/>
      </w:r>
      <w:r>
        <w:rPr>
          <w:sz w:val="28"/>
          <w:szCs w:val="28"/>
        </w:rPr>
        <w:fldChar w:fldCharType="begin"/>
      </w:r>
      <w:r>
        <w:rPr>
          <w:sz w:val="28"/>
          <w:szCs w:val="28"/>
        </w:rPr>
        <w:instrText xml:space="preserve"> PAGEREF _Toc26374 \h </w:instrText>
      </w:r>
      <w:r>
        <w:rPr>
          <w:sz w:val="28"/>
          <w:szCs w:val="28"/>
        </w:rPr>
        <w:fldChar w:fldCharType="separate"/>
      </w:r>
      <w:r>
        <w:rPr>
          <w:sz w:val="28"/>
          <w:szCs w:val="28"/>
        </w:rPr>
        <w:t>7</w:t>
      </w:r>
      <w:r>
        <w:rPr>
          <w:sz w:val="28"/>
          <w:szCs w:val="28"/>
        </w:rPr>
        <w:fldChar w:fldCharType="end"/>
      </w:r>
      <w:r>
        <w:rPr>
          <w:rFonts w:eastAsia="方正仿宋_GBK"/>
          <w:spacing w:val="6"/>
          <w:sz w:val="28"/>
          <w:szCs w:val="28"/>
        </w:rPr>
        <w:fldChar w:fldCharType="end"/>
      </w:r>
    </w:p>
    <w:p w14:paraId="74610113">
      <w:pPr>
        <w:pStyle w:val="15"/>
        <w:tabs>
          <w:tab w:val="right" w:leader="dot" w:pos="8787"/>
        </w:tabs>
        <w:rPr>
          <w:sz w:val="28"/>
          <w:szCs w:val="28"/>
        </w:rPr>
      </w:pPr>
      <w:r>
        <w:rPr>
          <w:rFonts w:eastAsia="方正仿宋_GBK"/>
          <w:spacing w:val="6"/>
          <w:sz w:val="28"/>
          <w:szCs w:val="28"/>
        </w:rPr>
        <w:fldChar w:fldCharType="begin"/>
      </w:r>
      <w:r>
        <w:rPr>
          <w:rFonts w:eastAsia="方正仿宋_GBK"/>
          <w:spacing w:val="6"/>
          <w:sz w:val="28"/>
          <w:szCs w:val="28"/>
        </w:rPr>
        <w:instrText xml:space="preserve"> HYPERLINK \l _Toc25290 </w:instrText>
      </w:r>
      <w:r>
        <w:rPr>
          <w:rFonts w:eastAsia="方正仿宋_GBK"/>
          <w:spacing w:val="6"/>
          <w:sz w:val="28"/>
          <w:szCs w:val="28"/>
        </w:rPr>
        <w:fldChar w:fldCharType="separate"/>
      </w:r>
      <w:r>
        <w:rPr>
          <w:rFonts w:eastAsia="方正楷体_GBK"/>
          <w:bCs/>
          <w:sz w:val="28"/>
          <w:szCs w:val="28"/>
        </w:rPr>
        <w:t>（二）绩效评价目的</w:t>
      </w:r>
      <w:r>
        <w:rPr>
          <w:sz w:val="28"/>
          <w:szCs w:val="28"/>
        </w:rPr>
        <w:tab/>
      </w:r>
      <w:r>
        <w:rPr>
          <w:sz w:val="28"/>
          <w:szCs w:val="28"/>
        </w:rPr>
        <w:fldChar w:fldCharType="begin"/>
      </w:r>
      <w:r>
        <w:rPr>
          <w:sz w:val="28"/>
          <w:szCs w:val="28"/>
        </w:rPr>
        <w:instrText xml:space="preserve"> PAGEREF _Toc25290 \h </w:instrText>
      </w:r>
      <w:r>
        <w:rPr>
          <w:sz w:val="28"/>
          <w:szCs w:val="28"/>
        </w:rPr>
        <w:fldChar w:fldCharType="separate"/>
      </w:r>
      <w:r>
        <w:rPr>
          <w:sz w:val="28"/>
          <w:szCs w:val="28"/>
        </w:rPr>
        <w:t>7</w:t>
      </w:r>
      <w:r>
        <w:rPr>
          <w:sz w:val="28"/>
          <w:szCs w:val="28"/>
        </w:rPr>
        <w:fldChar w:fldCharType="end"/>
      </w:r>
      <w:r>
        <w:rPr>
          <w:rFonts w:eastAsia="方正仿宋_GBK"/>
          <w:spacing w:val="6"/>
          <w:sz w:val="28"/>
          <w:szCs w:val="28"/>
        </w:rPr>
        <w:fldChar w:fldCharType="end"/>
      </w:r>
    </w:p>
    <w:p w14:paraId="19A7D658">
      <w:pPr>
        <w:pStyle w:val="15"/>
        <w:tabs>
          <w:tab w:val="right" w:leader="dot" w:pos="8787"/>
        </w:tabs>
        <w:rPr>
          <w:sz w:val="28"/>
          <w:szCs w:val="28"/>
        </w:rPr>
      </w:pPr>
      <w:r>
        <w:rPr>
          <w:rFonts w:eastAsia="方正仿宋_GBK"/>
          <w:spacing w:val="6"/>
          <w:sz w:val="28"/>
          <w:szCs w:val="28"/>
        </w:rPr>
        <w:fldChar w:fldCharType="begin"/>
      </w:r>
      <w:r>
        <w:rPr>
          <w:rFonts w:eastAsia="方正仿宋_GBK"/>
          <w:spacing w:val="6"/>
          <w:sz w:val="28"/>
          <w:szCs w:val="28"/>
        </w:rPr>
        <w:instrText xml:space="preserve"> HYPERLINK \l _Toc24567 </w:instrText>
      </w:r>
      <w:r>
        <w:rPr>
          <w:rFonts w:eastAsia="方正仿宋_GBK"/>
          <w:spacing w:val="6"/>
          <w:sz w:val="28"/>
          <w:szCs w:val="28"/>
        </w:rPr>
        <w:fldChar w:fldCharType="separate"/>
      </w:r>
      <w:r>
        <w:rPr>
          <w:rFonts w:eastAsia="方正楷体_GBK"/>
          <w:bCs/>
          <w:sz w:val="28"/>
          <w:szCs w:val="28"/>
        </w:rPr>
        <w:t>（三）绩效评价原则和依据</w:t>
      </w:r>
      <w:r>
        <w:rPr>
          <w:sz w:val="28"/>
          <w:szCs w:val="28"/>
        </w:rPr>
        <w:tab/>
      </w:r>
      <w:r>
        <w:rPr>
          <w:sz w:val="28"/>
          <w:szCs w:val="28"/>
        </w:rPr>
        <w:fldChar w:fldCharType="begin"/>
      </w:r>
      <w:r>
        <w:rPr>
          <w:sz w:val="28"/>
          <w:szCs w:val="28"/>
        </w:rPr>
        <w:instrText xml:space="preserve"> PAGEREF _Toc24567 \h </w:instrText>
      </w:r>
      <w:r>
        <w:rPr>
          <w:sz w:val="28"/>
          <w:szCs w:val="28"/>
        </w:rPr>
        <w:fldChar w:fldCharType="separate"/>
      </w:r>
      <w:r>
        <w:rPr>
          <w:sz w:val="28"/>
          <w:szCs w:val="28"/>
        </w:rPr>
        <w:t>8</w:t>
      </w:r>
      <w:r>
        <w:rPr>
          <w:sz w:val="28"/>
          <w:szCs w:val="28"/>
        </w:rPr>
        <w:fldChar w:fldCharType="end"/>
      </w:r>
      <w:r>
        <w:rPr>
          <w:rFonts w:eastAsia="方正仿宋_GBK"/>
          <w:spacing w:val="6"/>
          <w:sz w:val="28"/>
          <w:szCs w:val="28"/>
        </w:rPr>
        <w:fldChar w:fldCharType="end"/>
      </w:r>
    </w:p>
    <w:p w14:paraId="74E5BAD2">
      <w:pPr>
        <w:pStyle w:val="15"/>
        <w:tabs>
          <w:tab w:val="right" w:leader="dot" w:pos="8787"/>
        </w:tabs>
        <w:rPr>
          <w:sz w:val="28"/>
          <w:szCs w:val="28"/>
        </w:rPr>
      </w:pPr>
      <w:r>
        <w:rPr>
          <w:rFonts w:eastAsia="方正仿宋_GBK"/>
          <w:spacing w:val="6"/>
          <w:sz w:val="28"/>
          <w:szCs w:val="28"/>
        </w:rPr>
        <w:fldChar w:fldCharType="begin"/>
      </w:r>
      <w:r>
        <w:rPr>
          <w:rFonts w:eastAsia="方正仿宋_GBK"/>
          <w:spacing w:val="6"/>
          <w:sz w:val="28"/>
          <w:szCs w:val="28"/>
        </w:rPr>
        <w:instrText xml:space="preserve"> HYPERLINK \l _Toc15793 </w:instrText>
      </w:r>
      <w:r>
        <w:rPr>
          <w:rFonts w:eastAsia="方正仿宋_GBK"/>
          <w:spacing w:val="6"/>
          <w:sz w:val="28"/>
          <w:szCs w:val="28"/>
        </w:rPr>
        <w:fldChar w:fldCharType="separate"/>
      </w:r>
      <w:r>
        <w:rPr>
          <w:rFonts w:eastAsia="方正楷体_GBK"/>
          <w:bCs/>
          <w:sz w:val="28"/>
          <w:szCs w:val="28"/>
        </w:rPr>
        <w:t>（四）绩效评价方法及标准</w:t>
      </w:r>
      <w:r>
        <w:rPr>
          <w:sz w:val="28"/>
          <w:szCs w:val="28"/>
        </w:rPr>
        <w:tab/>
      </w:r>
      <w:r>
        <w:rPr>
          <w:sz w:val="28"/>
          <w:szCs w:val="28"/>
        </w:rPr>
        <w:fldChar w:fldCharType="begin"/>
      </w:r>
      <w:r>
        <w:rPr>
          <w:sz w:val="28"/>
          <w:szCs w:val="28"/>
        </w:rPr>
        <w:instrText xml:space="preserve"> PAGEREF _Toc15793 \h </w:instrText>
      </w:r>
      <w:r>
        <w:rPr>
          <w:sz w:val="28"/>
          <w:szCs w:val="28"/>
        </w:rPr>
        <w:fldChar w:fldCharType="separate"/>
      </w:r>
      <w:r>
        <w:rPr>
          <w:sz w:val="28"/>
          <w:szCs w:val="28"/>
        </w:rPr>
        <w:t>9</w:t>
      </w:r>
      <w:r>
        <w:rPr>
          <w:sz w:val="28"/>
          <w:szCs w:val="28"/>
        </w:rPr>
        <w:fldChar w:fldCharType="end"/>
      </w:r>
      <w:r>
        <w:rPr>
          <w:rFonts w:eastAsia="方正仿宋_GBK"/>
          <w:spacing w:val="6"/>
          <w:sz w:val="28"/>
          <w:szCs w:val="28"/>
        </w:rPr>
        <w:fldChar w:fldCharType="end"/>
      </w:r>
    </w:p>
    <w:p w14:paraId="5F924E8C">
      <w:pPr>
        <w:pStyle w:val="15"/>
        <w:tabs>
          <w:tab w:val="right" w:leader="dot" w:pos="8787"/>
        </w:tabs>
        <w:rPr>
          <w:sz w:val="28"/>
          <w:szCs w:val="28"/>
        </w:rPr>
      </w:pPr>
      <w:r>
        <w:rPr>
          <w:rFonts w:eastAsia="方正仿宋_GBK"/>
          <w:spacing w:val="6"/>
          <w:sz w:val="28"/>
          <w:szCs w:val="28"/>
        </w:rPr>
        <w:fldChar w:fldCharType="begin"/>
      </w:r>
      <w:r>
        <w:rPr>
          <w:rFonts w:eastAsia="方正仿宋_GBK"/>
          <w:spacing w:val="6"/>
          <w:sz w:val="28"/>
          <w:szCs w:val="28"/>
        </w:rPr>
        <w:instrText xml:space="preserve"> HYPERLINK \l _Toc28846 </w:instrText>
      </w:r>
      <w:r>
        <w:rPr>
          <w:rFonts w:eastAsia="方正仿宋_GBK"/>
          <w:spacing w:val="6"/>
          <w:sz w:val="28"/>
          <w:szCs w:val="28"/>
        </w:rPr>
        <w:fldChar w:fldCharType="separate"/>
      </w:r>
      <w:r>
        <w:rPr>
          <w:rFonts w:eastAsia="方正楷体_GBK"/>
          <w:bCs/>
          <w:sz w:val="28"/>
          <w:szCs w:val="28"/>
        </w:rPr>
        <w:t>（五）评价指标体系的确定</w:t>
      </w:r>
      <w:r>
        <w:rPr>
          <w:sz w:val="28"/>
          <w:szCs w:val="28"/>
        </w:rPr>
        <w:tab/>
      </w:r>
      <w:r>
        <w:rPr>
          <w:sz w:val="28"/>
          <w:szCs w:val="28"/>
        </w:rPr>
        <w:fldChar w:fldCharType="begin"/>
      </w:r>
      <w:r>
        <w:rPr>
          <w:sz w:val="28"/>
          <w:szCs w:val="28"/>
        </w:rPr>
        <w:instrText xml:space="preserve"> PAGEREF _Toc28846 \h </w:instrText>
      </w:r>
      <w:r>
        <w:rPr>
          <w:sz w:val="28"/>
          <w:szCs w:val="28"/>
        </w:rPr>
        <w:fldChar w:fldCharType="separate"/>
      </w:r>
      <w:r>
        <w:rPr>
          <w:sz w:val="28"/>
          <w:szCs w:val="28"/>
        </w:rPr>
        <w:t>10</w:t>
      </w:r>
      <w:r>
        <w:rPr>
          <w:sz w:val="28"/>
          <w:szCs w:val="28"/>
        </w:rPr>
        <w:fldChar w:fldCharType="end"/>
      </w:r>
      <w:r>
        <w:rPr>
          <w:rFonts w:eastAsia="方正仿宋_GBK"/>
          <w:spacing w:val="6"/>
          <w:sz w:val="28"/>
          <w:szCs w:val="28"/>
        </w:rPr>
        <w:fldChar w:fldCharType="end"/>
      </w:r>
    </w:p>
    <w:p w14:paraId="15B39FF9">
      <w:pPr>
        <w:pStyle w:val="20"/>
        <w:tabs>
          <w:tab w:val="right" w:leader="dot" w:pos="8787"/>
        </w:tabs>
        <w:rPr>
          <w:sz w:val="28"/>
          <w:szCs w:val="28"/>
        </w:rPr>
      </w:pPr>
      <w:r>
        <w:rPr>
          <w:rFonts w:eastAsia="方正仿宋_GBK"/>
          <w:spacing w:val="6"/>
          <w:sz w:val="28"/>
          <w:szCs w:val="28"/>
        </w:rPr>
        <w:fldChar w:fldCharType="begin"/>
      </w:r>
      <w:r>
        <w:rPr>
          <w:rFonts w:eastAsia="方正仿宋_GBK"/>
          <w:spacing w:val="6"/>
          <w:sz w:val="28"/>
          <w:szCs w:val="28"/>
        </w:rPr>
        <w:instrText xml:space="preserve"> HYPERLINK \l _Toc20332 </w:instrText>
      </w:r>
      <w:r>
        <w:rPr>
          <w:rFonts w:eastAsia="方正仿宋_GBK"/>
          <w:spacing w:val="6"/>
          <w:sz w:val="28"/>
          <w:szCs w:val="28"/>
        </w:rPr>
        <w:fldChar w:fldCharType="separate"/>
      </w:r>
      <w:r>
        <w:rPr>
          <w:rFonts w:eastAsia="方正黑体_GBK"/>
          <w:bCs/>
          <w:sz w:val="28"/>
          <w:szCs w:val="28"/>
        </w:rPr>
        <w:t>四、绩效评价结果</w:t>
      </w:r>
      <w:r>
        <w:rPr>
          <w:sz w:val="28"/>
          <w:szCs w:val="28"/>
        </w:rPr>
        <w:tab/>
      </w:r>
      <w:r>
        <w:rPr>
          <w:sz w:val="28"/>
          <w:szCs w:val="28"/>
        </w:rPr>
        <w:fldChar w:fldCharType="begin"/>
      </w:r>
      <w:r>
        <w:rPr>
          <w:sz w:val="28"/>
          <w:szCs w:val="28"/>
        </w:rPr>
        <w:instrText xml:space="preserve"> PAGEREF _Toc20332 \h </w:instrText>
      </w:r>
      <w:r>
        <w:rPr>
          <w:sz w:val="28"/>
          <w:szCs w:val="28"/>
        </w:rPr>
        <w:fldChar w:fldCharType="separate"/>
      </w:r>
      <w:r>
        <w:rPr>
          <w:sz w:val="28"/>
          <w:szCs w:val="28"/>
        </w:rPr>
        <w:t>13</w:t>
      </w:r>
      <w:r>
        <w:rPr>
          <w:sz w:val="28"/>
          <w:szCs w:val="28"/>
        </w:rPr>
        <w:fldChar w:fldCharType="end"/>
      </w:r>
      <w:r>
        <w:rPr>
          <w:rFonts w:eastAsia="方正仿宋_GBK"/>
          <w:spacing w:val="6"/>
          <w:sz w:val="28"/>
          <w:szCs w:val="28"/>
        </w:rPr>
        <w:fldChar w:fldCharType="end"/>
      </w:r>
    </w:p>
    <w:p w14:paraId="5EB8E97D">
      <w:pPr>
        <w:pStyle w:val="15"/>
        <w:tabs>
          <w:tab w:val="right" w:leader="dot" w:pos="8787"/>
        </w:tabs>
        <w:rPr>
          <w:sz w:val="28"/>
          <w:szCs w:val="28"/>
        </w:rPr>
      </w:pPr>
      <w:r>
        <w:rPr>
          <w:rFonts w:eastAsia="方正仿宋_GBK"/>
          <w:spacing w:val="6"/>
          <w:sz w:val="28"/>
          <w:szCs w:val="28"/>
        </w:rPr>
        <w:fldChar w:fldCharType="begin"/>
      </w:r>
      <w:r>
        <w:rPr>
          <w:rFonts w:eastAsia="方正仿宋_GBK"/>
          <w:spacing w:val="6"/>
          <w:sz w:val="28"/>
          <w:szCs w:val="28"/>
        </w:rPr>
        <w:instrText xml:space="preserve"> HYPERLINK \l _Toc30598 </w:instrText>
      </w:r>
      <w:r>
        <w:rPr>
          <w:rFonts w:eastAsia="方正仿宋_GBK"/>
          <w:spacing w:val="6"/>
          <w:sz w:val="28"/>
          <w:szCs w:val="28"/>
        </w:rPr>
        <w:fldChar w:fldCharType="separate"/>
      </w:r>
      <w:r>
        <w:rPr>
          <w:rFonts w:eastAsia="方正楷体_GBK"/>
          <w:bCs/>
          <w:sz w:val="28"/>
          <w:szCs w:val="28"/>
        </w:rPr>
        <w:t>（一）项目投入评价（满分</w:t>
      </w:r>
      <w:r>
        <w:rPr>
          <w:rFonts w:hint="eastAsia" w:eastAsia="方正楷体_GBK"/>
          <w:bCs/>
          <w:sz w:val="28"/>
          <w:szCs w:val="28"/>
        </w:rPr>
        <w:t>20</w:t>
      </w:r>
      <w:r>
        <w:rPr>
          <w:rFonts w:eastAsia="方正楷体_GBK"/>
          <w:bCs/>
          <w:sz w:val="28"/>
          <w:szCs w:val="28"/>
        </w:rPr>
        <w:t>分，得分</w:t>
      </w:r>
      <w:r>
        <w:rPr>
          <w:rFonts w:hint="eastAsia" w:eastAsia="方正楷体_GBK"/>
          <w:bCs/>
          <w:sz w:val="28"/>
          <w:szCs w:val="28"/>
        </w:rPr>
        <w:t>16</w:t>
      </w:r>
      <w:r>
        <w:rPr>
          <w:rFonts w:eastAsia="方正楷体_GBK"/>
          <w:bCs/>
          <w:sz w:val="28"/>
          <w:szCs w:val="28"/>
        </w:rPr>
        <w:t>分）</w:t>
      </w:r>
      <w:r>
        <w:rPr>
          <w:sz w:val="28"/>
          <w:szCs w:val="28"/>
        </w:rPr>
        <w:tab/>
      </w:r>
      <w:r>
        <w:rPr>
          <w:sz w:val="28"/>
          <w:szCs w:val="28"/>
        </w:rPr>
        <w:fldChar w:fldCharType="begin"/>
      </w:r>
      <w:r>
        <w:rPr>
          <w:sz w:val="28"/>
          <w:szCs w:val="28"/>
        </w:rPr>
        <w:instrText xml:space="preserve"> PAGEREF _Toc30598 \h </w:instrText>
      </w:r>
      <w:r>
        <w:rPr>
          <w:sz w:val="28"/>
          <w:szCs w:val="28"/>
        </w:rPr>
        <w:fldChar w:fldCharType="separate"/>
      </w:r>
      <w:r>
        <w:rPr>
          <w:sz w:val="28"/>
          <w:szCs w:val="28"/>
        </w:rPr>
        <w:t>13</w:t>
      </w:r>
      <w:r>
        <w:rPr>
          <w:sz w:val="28"/>
          <w:szCs w:val="28"/>
        </w:rPr>
        <w:fldChar w:fldCharType="end"/>
      </w:r>
      <w:r>
        <w:rPr>
          <w:rFonts w:eastAsia="方正仿宋_GBK"/>
          <w:spacing w:val="6"/>
          <w:sz w:val="28"/>
          <w:szCs w:val="28"/>
        </w:rPr>
        <w:fldChar w:fldCharType="end"/>
      </w:r>
    </w:p>
    <w:p w14:paraId="5BECD0AC">
      <w:pPr>
        <w:pStyle w:val="15"/>
        <w:tabs>
          <w:tab w:val="right" w:leader="dot" w:pos="8787"/>
        </w:tabs>
        <w:rPr>
          <w:sz w:val="28"/>
          <w:szCs w:val="28"/>
        </w:rPr>
      </w:pPr>
      <w:r>
        <w:rPr>
          <w:rFonts w:eastAsia="方正仿宋_GBK"/>
          <w:spacing w:val="6"/>
          <w:sz w:val="28"/>
          <w:szCs w:val="28"/>
        </w:rPr>
        <w:fldChar w:fldCharType="begin"/>
      </w:r>
      <w:r>
        <w:rPr>
          <w:rFonts w:eastAsia="方正仿宋_GBK"/>
          <w:spacing w:val="6"/>
          <w:sz w:val="28"/>
          <w:szCs w:val="28"/>
        </w:rPr>
        <w:instrText xml:space="preserve"> HYPERLINK \l _Toc28652 </w:instrText>
      </w:r>
      <w:r>
        <w:rPr>
          <w:rFonts w:eastAsia="方正仿宋_GBK"/>
          <w:spacing w:val="6"/>
          <w:sz w:val="28"/>
          <w:szCs w:val="28"/>
        </w:rPr>
        <w:fldChar w:fldCharType="separate"/>
      </w:r>
      <w:r>
        <w:rPr>
          <w:rFonts w:eastAsia="方正楷体_GBK"/>
          <w:bCs/>
          <w:sz w:val="28"/>
          <w:szCs w:val="28"/>
        </w:rPr>
        <w:t>（二）项目管理评价（满分</w:t>
      </w:r>
      <w:r>
        <w:rPr>
          <w:rFonts w:hint="eastAsia" w:eastAsia="方正楷体_GBK"/>
          <w:bCs/>
          <w:sz w:val="28"/>
          <w:szCs w:val="28"/>
        </w:rPr>
        <w:t>20</w:t>
      </w:r>
      <w:r>
        <w:rPr>
          <w:rFonts w:eastAsia="方正楷体_GBK"/>
          <w:bCs/>
          <w:sz w:val="28"/>
          <w:szCs w:val="28"/>
        </w:rPr>
        <w:t>分，得分</w:t>
      </w:r>
      <w:r>
        <w:rPr>
          <w:rFonts w:hint="eastAsia" w:eastAsia="方正楷体_GBK"/>
          <w:bCs/>
          <w:sz w:val="28"/>
          <w:szCs w:val="28"/>
          <w:lang w:val="en-US" w:eastAsia="zh-CN"/>
        </w:rPr>
        <w:t>19</w:t>
      </w:r>
      <w:r>
        <w:rPr>
          <w:rFonts w:eastAsia="方正楷体_GBK"/>
          <w:bCs/>
          <w:sz w:val="28"/>
          <w:szCs w:val="28"/>
        </w:rPr>
        <w:t>分）</w:t>
      </w:r>
      <w:r>
        <w:rPr>
          <w:sz w:val="28"/>
          <w:szCs w:val="28"/>
        </w:rPr>
        <w:tab/>
      </w:r>
      <w:r>
        <w:rPr>
          <w:sz w:val="28"/>
          <w:szCs w:val="28"/>
        </w:rPr>
        <w:fldChar w:fldCharType="begin"/>
      </w:r>
      <w:r>
        <w:rPr>
          <w:sz w:val="28"/>
          <w:szCs w:val="28"/>
        </w:rPr>
        <w:instrText xml:space="preserve"> PAGEREF _Toc28652 \h </w:instrText>
      </w:r>
      <w:r>
        <w:rPr>
          <w:sz w:val="28"/>
          <w:szCs w:val="28"/>
        </w:rPr>
        <w:fldChar w:fldCharType="separate"/>
      </w:r>
      <w:r>
        <w:rPr>
          <w:sz w:val="28"/>
          <w:szCs w:val="28"/>
        </w:rPr>
        <w:t>16</w:t>
      </w:r>
      <w:r>
        <w:rPr>
          <w:sz w:val="28"/>
          <w:szCs w:val="28"/>
        </w:rPr>
        <w:fldChar w:fldCharType="end"/>
      </w:r>
      <w:r>
        <w:rPr>
          <w:rFonts w:eastAsia="方正仿宋_GBK"/>
          <w:spacing w:val="6"/>
          <w:sz w:val="28"/>
          <w:szCs w:val="28"/>
        </w:rPr>
        <w:fldChar w:fldCharType="end"/>
      </w:r>
    </w:p>
    <w:p w14:paraId="49503591">
      <w:pPr>
        <w:pStyle w:val="15"/>
        <w:tabs>
          <w:tab w:val="right" w:leader="dot" w:pos="8787"/>
        </w:tabs>
        <w:rPr>
          <w:sz w:val="28"/>
          <w:szCs w:val="28"/>
        </w:rPr>
      </w:pPr>
      <w:r>
        <w:rPr>
          <w:rFonts w:eastAsia="方正仿宋_GBK"/>
          <w:spacing w:val="6"/>
          <w:sz w:val="28"/>
          <w:szCs w:val="28"/>
        </w:rPr>
        <w:fldChar w:fldCharType="begin"/>
      </w:r>
      <w:r>
        <w:rPr>
          <w:rFonts w:eastAsia="方正仿宋_GBK"/>
          <w:spacing w:val="6"/>
          <w:sz w:val="28"/>
          <w:szCs w:val="28"/>
        </w:rPr>
        <w:instrText xml:space="preserve"> HYPERLINK \l _Toc15243 </w:instrText>
      </w:r>
      <w:r>
        <w:rPr>
          <w:rFonts w:eastAsia="方正仿宋_GBK"/>
          <w:spacing w:val="6"/>
          <w:sz w:val="28"/>
          <w:szCs w:val="28"/>
        </w:rPr>
        <w:fldChar w:fldCharType="separate"/>
      </w:r>
      <w:r>
        <w:rPr>
          <w:rFonts w:eastAsia="方正楷体_GBK"/>
          <w:bCs/>
          <w:sz w:val="28"/>
          <w:szCs w:val="28"/>
        </w:rPr>
        <w:t>（三）项目产出评价（满分</w:t>
      </w:r>
      <w:r>
        <w:rPr>
          <w:rFonts w:hint="eastAsia" w:eastAsia="方正楷体_GBK"/>
          <w:bCs/>
          <w:sz w:val="28"/>
          <w:szCs w:val="28"/>
        </w:rPr>
        <w:t>30</w:t>
      </w:r>
      <w:r>
        <w:rPr>
          <w:rFonts w:eastAsia="方正楷体_GBK"/>
          <w:bCs/>
          <w:sz w:val="28"/>
          <w:szCs w:val="28"/>
        </w:rPr>
        <w:t>分，得分</w:t>
      </w:r>
      <w:r>
        <w:rPr>
          <w:rFonts w:hint="eastAsia" w:eastAsia="方正楷体_GBK"/>
          <w:bCs/>
          <w:sz w:val="28"/>
          <w:szCs w:val="28"/>
        </w:rPr>
        <w:t>18</w:t>
      </w:r>
      <w:r>
        <w:rPr>
          <w:rFonts w:eastAsia="方正楷体_GBK"/>
          <w:bCs/>
          <w:sz w:val="28"/>
          <w:szCs w:val="28"/>
        </w:rPr>
        <w:t>分）</w:t>
      </w:r>
      <w:r>
        <w:rPr>
          <w:sz w:val="28"/>
          <w:szCs w:val="28"/>
        </w:rPr>
        <w:tab/>
      </w:r>
      <w:r>
        <w:rPr>
          <w:sz w:val="28"/>
          <w:szCs w:val="28"/>
        </w:rPr>
        <w:fldChar w:fldCharType="begin"/>
      </w:r>
      <w:r>
        <w:rPr>
          <w:sz w:val="28"/>
          <w:szCs w:val="28"/>
        </w:rPr>
        <w:instrText xml:space="preserve"> PAGEREF _Toc15243 \h </w:instrText>
      </w:r>
      <w:r>
        <w:rPr>
          <w:sz w:val="28"/>
          <w:szCs w:val="28"/>
        </w:rPr>
        <w:fldChar w:fldCharType="separate"/>
      </w:r>
      <w:r>
        <w:rPr>
          <w:sz w:val="28"/>
          <w:szCs w:val="28"/>
        </w:rPr>
        <w:t>19</w:t>
      </w:r>
      <w:r>
        <w:rPr>
          <w:sz w:val="28"/>
          <w:szCs w:val="28"/>
        </w:rPr>
        <w:fldChar w:fldCharType="end"/>
      </w:r>
      <w:r>
        <w:rPr>
          <w:rFonts w:eastAsia="方正仿宋_GBK"/>
          <w:spacing w:val="6"/>
          <w:sz w:val="28"/>
          <w:szCs w:val="28"/>
        </w:rPr>
        <w:fldChar w:fldCharType="end"/>
      </w:r>
    </w:p>
    <w:p w14:paraId="6114D57D">
      <w:pPr>
        <w:pStyle w:val="15"/>
        <w:tabs>
          <w:tab w:val="right" w:leader="dot" w:pos="8787"/>
        </w:tabs>
        <w:rPr>
          <w:sz w:val="28"/>
          <w:szCs w:val="28"/>
        </w:rPr>
      </w:pPr>
      <w:r>
        <w:rPr>
          <w:rFonts w:eastAsia="方正仿宋_GBK"/>
          <w:spacing w:val="6"/>
          <w:sz w:val="28"/>
          <w:szCs w:val="28"/>
        </w:rPr>
        <w:fldChar w:fldCharType="begin"/>
      </w:r>
      <w:r>
        <w:rPr>
          <w:rFonts w:eastAsia="方正仿宋_GBK"/>
          <w:spacing w:val="6"/>
          <w:sz w:val="28"/>
          <w:szCs w:val="28"/>
        </w:rPr>
        <w:instrText xml:space="preserve"> HYPERLINK \l _Toc25963 </w:instrText>
      </w:r>
      <w:r>
        <w:rPr>
          <w:rFonts w:eastAsia="方正仿宋_GBK"/>
          <w:spacing w:val="6"/>
          <w:sz w:val="28"/>
          <w:szCs w:val="28"/>
        </w:rPr>
        <w:fldChar w:fldCharType="separate"/>
      </w:r>
      <w:r>
        <w:rPr>
          <w:rFonts w:eastAsia="方正楷体_GBK"/>
          <w:bCs/>
          <w:sz w:val="28"/>
          <w:szCs w:val="28"/>
        </w:rPr>
        <w:t>（四）项目效果评价（满分</w:t>
      </w:r>
      <w:r>
        <w:rPr>
          <w:rFonts w:hint="eastAsia" w:eastAsia="方正楷体_GBK"/>
          <w:bCs/>
          <w:sz w:val="28"/>
          <w:szCs w:val="28"/>
        </w:rPr>
        <w:t>30</w:t>
      </w:r>
      <w:r>
        <w:rPr>
          <w:rFonts w:eastAsia="方正楷体_GBK"/>
          <w:bCs/>
          <w:sz w:val="28"/>
          <w:szCs w:val="28"/>
        </w:rPr>
        <w:t>分，得分</w:t>
      </w:r>
      <w:r>
        <w:rPr>
          <w:rFonts w:hint="eastAsia" w:eastAsia="方正楷体_GBK"/>
          <w:bCs/>
          <w:sz w:val="28"/>
          <w:szCs w:val="28"/>
        </w:rPr>
        <w:t>2</w:t>
      </w:r>
      <w:r>
        <w:rPr>
          <w:rFonts w:hint="eastAsia" w:eastAsia="方正楷体_GBK"/>
          <w:bCs/>
          <w:sz w:val="28"/>
          <w:szCs w:val="28"/>
          <w:lang w:val="en-US" w:eastAsia="zh-CN"/>
        </w:rPr>
        <w:t>2</w:t>
      </w:r>
      <w:r>
        <w:rPr>
          <w:rFonts w:hint="eastAsia" w:eastAsia="方正楷体_GBK"/>
          <w:bCs/>
          <w:sz w:val="28"/>
          <w:szCs w:val="28"/>
        </w:rPr>
        <w:t>.01</w:t>
      </w:r>
      <w:r>
        <w:rPr>
          <w:rFonts w:eastAsia="方正楷体_GBK"/>
          <w:bCs/>
          <w:sz w:val="28"/>
          <w:szCs w:val="28"/>
        </w:rPr>
        <w:t>分）</w:t>
      </w:r>
      <w:r>
        <w:rPr>
          <w:sz w:val="28"/>
          <w:szCs w:val="28"/>
        </w:rPr>
        <w:tab/>
      </w:r>
      <w:r>
        <w:rPr>
          <w:sz w:val="28"/>
          <w:szCs w:val="28"/>
        </w:rPr>
        <w:fldChar w:fldCharType="begin"/>
      </w:r>
      <w:r>
        <w:rPr>
          <w:sz w:val="28"/>
          <w:szCs w:val="28"/>
        </w:rPr>
        <w:instrText xml:space="preserve"> PAGEREF _Toc25963 \h </w:instrText>
      </w:r>
      <w:r>
        <w:rPr>
          <w:sz w:val="28"/>
          <w:szCs w:val="28"/>
        </w:rPr>
        <w:fldChar w:fldCharType="separate"/>
      </w:r>
      <w:r>
        <w:rPr>
          <w:sz w:val="28"/>
          <w:szCs w:val="28"/>
        </w:rPr>
        <w:t>23</w:t>
      </w:r>
      <w:r>
        <w:rPr>
          <w:sz w:val="28"/>
          <w:szCs w:val="28"/>
        </w:rPr>
        <w:fldChar w:fldCharType="end"/>
      </w:r>
      <w:r>
        <w:rPr>
          <w:rFonts w:eastAsia="方正仿宋_GBK"/>
          <w:spacing w:val="6"/>
          <w:sz w:val="28"/>
          <w:szCs w:val="28"/>
        </w:rPr>
        <w:fldChar w:fldCharType="end"/>
      </w:r>
    </w:p>
    <w:p w14:paraId="1B0D2546">
      <w:pPr>
        <w:pStyle w:val="20"/>
        <w:tabs>
          <w:tab w:val="right" w:leader="dot" w:pos="8787"/>
        </w:tabs>
        <w:rPr>
          <w:sz w:val="28"/>
          <w:szCs w:val="28"/>
        </w:rPr>
      </w:pPr>
      <w:r>
        <w:rPr>
          <w:rFonts w:eastAsia="方正仿宋_GBK"/>
          <w:spacing w:val="6"/>
          <w:sz w:val="28"/>
          <w:szCs w:val="28"/>
        </w:rPr>
        <w:fldChar w:fldCharType="begin"/>
      </w:r>
      <w:r>
        <w:rPr>
          <w:rFonts w:eastAsia="方正仿宋_GBK"/>
          <w:spacing w:val="6"/>
          <w:sz w:val="28"/>
          <w:szCs w:val="28"/>
        </w:rPr>
        <w:instrText xml:space="preserve"> HYPERLINK \l _Toc4 </w:instrText>
      </w:r>
      <w:r>
        <w:rPr>
          <w:rFonts w:eastAsia="方正仿宋_GBK"/>
          <w:spacing w:val="6"/>
          <w:sz w:val="28"/>
          <w:szCs w:val="28"/>
        </w:rPr>
        <w:fldChar w:fldCharType="separate"/>
      </w:r>
      <w:r>
        <w:rPr>
          <w:rFonts w:eastAsia="方正黑体_GBK"/>
          <w:bCs/>
          <w:sz w:val="28"/>
          <w:szCs w:val="28"/>
        </w:rPr>
        <w:t>五、评价发现的主要问题</w:t>
      </w:r>
      <w:r>
        <w:rPr>
          <w:sz w:val="28"/>
          <w:szCs w:val="28"/>
        </w:rPr>
        <w:tab/>
      </w:r>
      <w:r>
        <w:rPr>
          <w:sz w:val="28"/>
          <w:szCs w:val="28"/>
        </w:rPr>
        <w:fldChar w:fldCharType="begin"/>
      </w:r>
      <w:r>
        <w:rPr>
          <w:sz w:val="28"/>
          <w:szCs w:val="28"/>
        </w:rPr>
        <w:instrText xml:space="preserve"> PAGEREF _Toc4 \h </w:instrText>
      </w:r>
      <w:r>
        <w:rPr>
          <w:sz w:val="28"/>
          <w:szCs w:val="28"/>
        </w:rPr>
        <w:fldChar w:fldCharType="separate"/>
      </w:r>
      <w:r>
        <w:rPr>
          <w:sz w:val="28"/>
          <w:szCs w:val="28"/>
        </w:rPr>
        <w:t>24</w:t>
      </w:r>
      <w:r>
        <w:rPr>
          <w:sz w:val="28"/>
          <w:szCs w:val="28"/>
        </w:rPr>
        <w:fldChar w:fldCharType="end"/>
      </w:r>
      <w:r>
        <w:rPr>
          <w:rFonts w:eastAsia="方正仿宋_GBK"/>
          <w:spacing w:val="6"/>
          <w:sz w:val="28"/>
          <w:szCs w:val="28"/>
        </w:rPr>
        <w:fldChar w:fldCharType="end"/>
      </w:r>
    </w:p>
    <w:p w14:paraId="47717FAC">
      <w:pPr>
        <w:pStyle w:val="15"/>
        <w:tabs>
          <w:tab w:val="right" w:leader="dot" w:pos="8787"/>
        </w:tabs>
        <w:rPr>
          <w:sz w:val="28"/>
          <w:szCs w:val="28"/>
        </w:rPr>
      </w:pPr>
      <w:r>
        <w:rPr>
          <w:rFonts w:eastAsia="方正仿宋_GBK"/>
          <w:spacing w:val="6"/>
          <w:sz w:val="28"/>
          <w:szCs w:val="28"/>
        </w:rPr>
        <w:fldChar w:fldCharType="begin"/>
      </w:r>
      <w:r>
        <w:rPr>
          <w:rFonts w:eastAsia="方正仿宋_GBK"/>
          <w:spacing w:val="6"/>
          <w:sz w:val="28"/>
          <w:szCs w:val="28"/>
        </w:rPr>
        <w:instrText xml:space="preserve"> HYPERLINK \l _Toc27708 </w:instrText>
      </w:r>
      <w:r>
        <w:rPr>
          <w:rFonts w:eastAsia="方正仿宋_GBK"/>
          <w:spacing w:val="6"/>
          <w:sz w:val="28"/>
          <w:szCs w:val="28"/>
        </w:rPr>
        <w:fldChar w:fldCharType="separate"/>
      </w:r>
      <w:r>
        <w:rPr>
          <w:rFonts w:hint="eastAsia" w:eastAsia="方正楷体_GBK"/>
          <w:bCs/>
          <w:sz w:val="28"/>
          <w:szCs w:val="28"/>
        </w:rPr>
        <w:t>（一）项目申报资金时点前期工作不扎实，项目实际建设规模和资金需求均存在较大偏离。</w:t>
      </w:r>
      <w:r>
        <w:rPr>
          <w:sz w:val="28"/>
          <w:szCs w:val="28"/>
        </w:rPr>
        <w:tab/>
      </w:r>
      <w:r>
        <w:rPr>
          <w:sz w:val="28"/>
          <w:szCs w:val="28"/>
        </w:rPr>
        <w:fldChar w:fldCharType="begin"/>
      </w:r>
      <w:r>
        <w:rPr>
          <w:sz w:val="28"/>
          <w:szCs w:val="28"/>
        </w:rPr>
        <w:instrText xml:space="preserve"> PAGEREF _Toc27708 \h </w:instrText>
      </w:r>
      <w:r>
        <w:rPr>
          <w:sz w:val="28"/>
          <w:szCs w:val="28"/>
        </w:rPr>
        <w:fldChar w:fldCharType="separate"/>
      </w:r>
      <w:r>
        <w:rPr>
          <w:sz w:val="28"/>
          <w:szCs w:val="28"/>
        </w:rPr>
        <w:t>24</w:t>
      </w:r>
      <w:r>
        <w:rPr>
          <w:sz w:val="28"/>
          <w:szCs w:val="28"/>
        </w:rPr>
        <w:fldChar w:fldCharType="end"/>
      </w:r>
      <w:r>
        <w:rPr>
          <w:rFonts w:eastAsia="方正仿宋_GBK"/>
          <w:spacing w:val="6"/>
          <w:sz w:val="28"/>
          <w:szCs w:val="28"/>
        </w:rPr>
        <w:fldChar w:fldCharType="end"/>
      </w:r>
    </w:p>
    <w:p w14:paraId="482DD972">
      <w:pPr>
        <w:pStyle w:val="15"/>
        <w:tabs>
          <w:tab w:val="right" w:leader="dot" w:pos="8787"/>
        </w:tabs>
        <w:rPr>
          <w:sz w:val="28"/>
          <w:szCs w:val="28"/>
        </w:rPr>
      </w:pPr>
      <w:r>
        <w:rPr>
          <w:rFonts w:eastAsia="方正仿宋_GBK"/>
          <w:spacing w:val="6"/>
          <w:sz w:val="28"/>
          <w:szCs w:val="28"/>
        </w:rPr>
        <w:fldChar w:fldCharType="begin"/>
      </w:r>
      <w:r>
        <w:rPr>
          <w:rFonts w:eastAsia="方正仿宋_GBK"/>
          <w:spacing w:val="6"/>
          <w:sz w:val="28"/>
          <w:szCs w:val="28"/>
        </w:rPr>
        <w:instrText xml:space="preserve"> HYPERLINK \l _Toc9594 </w:instrText>
      </w:r>
      <w:r>
        <w:rPr>
          <w:rFonts w:eastAsia="方正仿宋_GBK"/>
          <w:spacing w:val="6"/>
          <w:sz w:val="28"/>
          <w:szCs w:val="28"/>
        </w:rPr>
        <w:fldChar w:fldCharType="separate"/>
      </w:r>
      <w:r>
        <w:rPr>
          <w:rFonts w:hint="eastAsia" w:eastAsia="方正楷体_GBK"/>
          <w:bCs/>
          <w:sz w:val="28"/>
          <w:szCs w:val="28"/>
        </w:rPr>
        <w:t>（二）项目前期工作进度缓慢，整体进度滞后。</w:t>
      </w:r>
      <w:r>
        <w:rPr>
          <w:sz w:val="28"/>
          <w:szCs w:val="28"/>
        </w:rPr>
        <w:tab/>
      </w:r>
      <w:r>
        <w:rPr>
          <w:sz w:val="28"/>
          <w:szCs w:val="28"/>
        </w:rPr>
        <w:fldChar w:fldCharType="begin"/>
      </w:r>
      <w:r>
        <w:rPr>
          <w:sz w:val="28"/>
          <w:szCs w:val="28"/>
        </w:rPr>
        <w:instrText xml:space="preserve"> PAGEREF _Toc9594 \h </w:instrText>
      </w:r>
      <w:r>
        <w:rPr>
          <w:sz w:val="28"/>
          <w:szCs w:val="28"/>
        </w:rPr>
        <w:fldChar w:fldCharType="separate"/>
      </w:r>
      <w:r>
        <w:rPr>
          <w:sz w:val="28"/>
          <w:szCs w:val="28"/>
        </w:rPr>
        <w:t>26</w:t>
      </w:r>
      <w:r>
        <w:rPr>
          <w:sz w:val="28"/>
          <w:szCs w:val="28"/>
        </w:rPr>
        <w:fldChar w:fldCharType="end"/>
      </w:r>
      <w:r>
        <w:rPr>
          <w:rFonts w:eastAsia="方正仿宋_GBK"/>
          <w:spacing w:val="6"/>
          <w:sz w:val="28"/>
          <w:szCs w:val="28"/>
        </w:rPr>
        <w:fldChar w:fldCharType="end"/>
      </w:r>
    </w:p>
    <w:p w14:paraId="2DD36851">
      <w:pPr>
        <w:pStyle w:val="15"/>
        <w:tabs>
          <w:tab w:val="right" w:leader="dot" w:pos="8787"/>
        </w:tabs>
        <w:rPr>
          <w:sz w:val="28"/>
          <w:szCs w:val="28"/>
        </w:rPr>
      </w:pPr>
      <w:r>
        <w:rPr>
          <w:rFonts w:eastAsia="方正仿宋_GBK"/>
          <w:spacing w:val="6"/>
          <w:sz w:val="28"/>
          <w:szCs w:val="28"/>
        </w:rPr>
        <w:fldChar w:fldCharType="begin"/>
      </w:r>
      <w:r>
        <w:rPr>
          <w:rFonts w:eastAsia="方正仿宋_GBK"/>
          <w:spacing w:val="6"/>
          <w:sz w:val="28"/>
          <w:szCs w:val="28"/>
        </w:rPr>
        <w:instrText xml:space="preserve"> HYPERLINK \l _Toc10818 </w:instrText>
      </w:r>
      <w:r>
        <w:rPr>
          <w:rFonts w:eastAsia="方正仿宋_GBK"/>
          <w:spacing w:val="6"/>
          <w:sz w:val="28"/>
          <w:szCs w:val="28"/>
        </w:rPr>
        <w:fldChar w:fldCharType="separate"/>
      </w:r>
      <w:r>
        <w:rPr>
          <w:rFonts w:hint="eastAsia" w:ascii="方正楷体_GBK" w:eastAsia="方正楷体_GBK"/>
          <w:bCs/>
          <w:sz w:val="28"/>
          <w:szCs w:val="28"/>
        </w:rPr>
        <w:t>（</w:t>
      </w:r>
      <w:r>
        <w:rPr>
          <w:rFonts w:hint="eastAsia" w:ascii="方正楷体_GBK" w:eastAsia="方正楷体_GBK"/>
          <w:bCs/>
          <w:sz w:val="28"/>
          <w:szCs w:val="28"/>
          <w:lang w:val="en-US" w:eastAsia="zh-CN"/>
        </w:rPr>
        <w:t>三</w:t>
      </w:r>
      <w:r>
        <w:rPr>
          <w:rFonts w:hint="eastAsia" w:ascii="方正楷体_GBK" w:eastAsia="方正楷体_GBK"/>
          <w:bCs/>
          <w:sz w:val="28"/>
          <w:szCs w:val="28"/>
        </w:rPr>
        <w:t>）绩效指标设置不够合理、具体，年度绩效自评工作流于形式，自评得分与实际情况不符。</w:t>
      </w:r>
      <w:r>
        <w:rPr>
          <w:sz w:val="28"/>
          <w:szCs w:val="28"/>
        </w:rPr>
        <w:tab/>
      </w:r>
      <w:r>
        <w:rPr>
          <w:sz w:val="28"/>
          <w:szCs w:val="28"/>
        </w:rPr>
        <w:fldChar w:fldCharType="begin"/>
      </w:r>
      <w:r>
        <w:rPr>
          <w:sz w:val="28"/>
          <w:szCs w:val="28"/>
        </w:rPr>
        <w:instrText xml:space="preserve"> PAGEREF _Toc10818 \h </w:instrText>
      </w:r>
      <w:r>
        <w:rPr>
          <w:sz w:val="28"/>
          <w:szCs w:val="28"/>
        </w:rPr>
        <w:fldChar w:fldCharType="separate"/>
      </w:r>
      <w:r>
        <w:rPr>
          <w:sz w:val="28"/>
          <w:szCs w:val="28"/>
        </w:rPr>
        <w:t>26</w:t>
      </w:r>
      <w:r>
        <w:rPr>
          <w:sz w:val="28"/>
          <w:szCs w:val="28"/>
        </w:rPr>
        <w:fldChar w:fldCharType="end"/>
      </w:r>
      <w:r>
        <w:rPr>
          <w:rFonts w:eastAsia="方正仿宋_GBK"/>
          <w:spacing w:val="6"/>
          <w:sz w:val="28"/>
          <w:szCs w:val="28"/>
        </w:rPr>
        <w:fldChar w:fldCharType="end"/>
      </w:r>
    </w:p>
    <w:p w14:paraId="171719FE">
      <w:pPr>
        <w:pStyle w:val="20"/>
        <w:tabs>
          <w:tab w:val="right" w:leader="dot" w:pos="8787"/>
        </w:tabs>
        <w:rPr>
          <w:sz w:val="28"/>
          <w:szCs w:val="28"/>
        </w:rPr>
      </w:pPr>
      <w:r>
        <w:rPr>
          <w:rFonts w:eastAsia="方正仿宋_GBK"/>
          <w:spacing w:val="6"/>
          <w:sz w:val="28"/>
          <w:szCs w:val="28"/>
        </w:rPr>
        <w:fldChar w:fldCharType="begin"/>
      </w:r>
      <w:r>
        <w:rPr>
          <w:rFonts w:eastAsia="方正仿宋_GBK"/>
          <w:spacing w:val="6"/>
          <w:sz w:val="28"/>
          <w:szCs w:val="28"/>
        </w:rPr>
        <w:instrText xml:space="preserve"> HYPERLINK \l _Toc19411 </w:instrText>
      </w:r>
      <w:r>
        <w:rPr>
          <w:rFonts w:eastAsia="方正仿宋_GBK"/>
          <w:spacing w:val="6"/>
          <w:sz w:val="28"/>
          <w:szCs w:val="28"/>
        </w:rPr>
        <w:fldChar w:fldCharType="separate"/>
      </w:r>
      <w:r>
        <w:rPr>
          <w:rFonts w:eastAsia="方正黑体_GBK"/>
          <w:bCs/>
          <w:sz w:val="28"/>
          <w:szCs w:val="28"/>
        </w:rPr>
        <w:t>六、相关建议</w:t>
      </w:r>
      <w:r>
        <w:rPr>
          <w:sz w:val="28"/>
          <w:szCs w:val="28"/>
        </w:rPr>
        <w:tab/>
      </w:r>
      <w:r>
        <w:rPr>
          <w:sz w:val="28"/>
          <w:szCs w:val="28"/>
        </w:rPr>
        <w:fldChar w:fldCharType="begin"/>
      </w:r>
      <w:r>
        <w:rPr>
          <w:sz w:val="28"/>
          <w:szCs w:val="28"/>
        </w:rPr>
        <w:instrText xml:space="preserve"> PAGEREF _Toc19411 \h </w:instrText>
      </w:r>
      <w:r>
        <w:rPr>
          <w:sz w:val="28"/>
          <w:szCs w:val="28"/>
        </w:rPr>
        <w:fldChar w:fldCharType="separate"/>
      </w:r>
      <w:r>
        <w:rPr>
          <w:sz w:val="28"/>
          <w:szCs w:val="28"/>
        </w:rPr>
        <w:t>28</w:t>
      </w:r>
      <w:r>
        <w:rPr>
          <w:sz w:val="28"/>
          <w:szCs w:val="28"/>
        </w:rPr>
        <w:fldChar w:fldCharType="end"/>
      </w:r>
      <w:r>
        <w:rPr>
          <w:rFonts w:eastAsia="方正仿宋_GBK"/>
          <w:spacing w:val="6"/>
          <w:sz w:val="28"/>
          <w:szCs w:val="28"/>
        </w:rPr>
        <w:fldChar w:fldCharType="end"/>
      </w:r>
    </w:p>
    <w:p w14:paraId="45D776A7">
      <w:pPr>
        <w:pStyle w:val="15"/>
        <w:tabs>
          <w:tab w:val="right" w:leader="dot" w:pos="8787"/>
        </w:tabs>
        <w:rPr>
          <w:sz w:val="28"/>
          <w:szCs w:val="28"/>
        </w:rPr>
      </w:pPr>
      <w:r>
        <w:rPr>
          <w:rFonts w:eastAsia="方正仿宋_GBK"/>
          <w:spacing w:val="6"/>
          <w:sz w:val="28"/>
          <w:szCs w:val="28"/>
        </w:rPr>
        <w:fldChar w:fldCharType="begin"/>
      </w:r>
      <w:r>
        <w:rPr>
          <w:rFonts w:eastAsia="方正仿宋_GBK"/>
          <w:spacing w:val="6"/>
          <w:sz w:val="28"/>
          <w:szCs w:val="28"/>
        </w:rPr>
        <w:instrText xml:space="preserve"> HYPERLINK \l _Toc21263 </w:instrText>
      </w:r>
      <w:r>
        <w:rPr>
          <w:rFonts w:eastAsia="方正仿宋_GBK"/>
          <w:spacing w:val="6"/>
          <w:sz w:val="28"/>
          <w:szCs w:val="28"/>
        </w:rPr>
        <w:fldChar w:fldCharType="separate"/>
      </w:r>
      <w:r>
        <w:rPr>
          <w:rFonts w:eastAsia="方正楷体_GBK"/>
          <w:bCs/>
          <w:sz w:val="28"/>
          <w:szCs w:val="28"/>
        </w:rPr>
        <w:t>（一）</w:t>
      </w:r>
      <w:r>
        <w:rPr>
          <w:rFonts w:hint="eastAsia" w:eastAsia="方正楷体_GBK"/>
          <w:bCs/>
          <w:sz w:val="28"/>
          <w:szCs w:val="28"/>
        </w:rPr>
        <w:t>加强项目前期工作研究深度、扎实推进前期工作的实施进度，提高财政资金配置效率和使用效益。</w:t>
      </w:r>
      <w:r>
        <w:rPr>
          <w:sz w:val="28"/>
          <w:szCs w:val="28"/>
        </w:rPr>
        <w:tab/>
      </w:r>
      <w:r>
        <w:rPr>
          <w:sz w:val="28"/>
          <w:szCs w:val="28"/>
        </w:rPr>
        <w:fldChar w:fldCharType="begin"/>
      </w:r>
      <w:r>
        <w:rPr>
          <w:sz w:val="28"/>
          <w:szCs w:val="28"/>
        </w:rPr>
        <w:instrText xml:space="preserve"> PAGEREF _Toc21263 \h </w:instrText>
      </w:r>
      <w:r>
        <w:rPr>
          <w:sz w:val="28"/>
          <w:szCs w:val="28"/>
        </w:rPr>
        <w:fldChar w:fldCharType="separate"/>
      </w:r>
      <w:r>
        <w:rPr>
          <w:sz w:val="28"/>
          <w:szCs w:val="28"/>
        </w:rPr>
        <w:t>28</w:t>
      </w:r>
      <w:r>
        <w:rPr>
          <w:sz w:val="28"/>
          <w:szCs w:val="28"/>
        </w:rPr>
        <w:fldChar w:fldCharType="end"/>
      </w:r>
      <w:r>
        <w:rPr>
          <w:rFonts w:eastAsia="方正仿宋_GBK"/>
          <w:spacing w:val="6"/>
          <w:sz w:val="28"/>
          <w:szCs w:val="28"/>
        </w:rPr>
        <w:fldChar w:fldCharType="end"/>
      </w:r>
    </w:p>
    <w:p w14:paraId="24ED0D20">
      <w:pPr>
        <w:pStyle w:val="15"/>
        <w:tabs>
          <w:tab w:val="right" w:leader="dot" w:pos="8787"/>
        </w:tabs>
        <w:rPr>
          <w:sz w:val="28"/>
          <w:szCs w:val="28"/>
        </w:rPr>
      </w:pPr>
      <w:r>
        <w:rPr>
          <w:rFonts w:eastAsia="方正仿宋_GBK"/>
          <w:spacing w:val="6"/>
          <w:sz w:val="28"/>
          <w:szCs w:val="28"/>
        </w:rPr>
        <w:fldChar w:fldCharType="begin"/>
      </w:r>
      <w:r>
        <w:rPr>
          <w:rFonts w:eastAsia="方正仿宋_GBK"/>
          <w:spacing w:val="6"/>
          <w:sz w:val="28"/>
          <w:szCs w:val="28"/>
        </w:rPr>
        <w:instrText xml:space="preserve"> HYPERLINK \l _Toc18048 </w:instrText>
      </w:r>
      <w:r>
        <w:rPr>
          <w:rFonts w:eastAsia="方正仿宋_GBK"/>
          <w:spacing w:val="6"/>
          <w:sz w:val="28"/>
          <w:szCs w:val="28"/>
        </w:rPr>
        <w:fldChar w:fldCharType="separate"/>
      </w:r>
      <w:r>
        <w:rPr>
          <w:rFonts w:hint="eastAsia" w:eastAsia="方正楷体_GBK"/>
          <w:bCs/>
          <w:sz w:val="28"/>
          <w:szCs w:val="28"/>
        </w:rPr>
        <w:t>（</w:t>
      </w:r>
      <w:r>
        <w:rPr>
          <w:rFonts w:hint="eastAsia" w:eastAsia="方正楷体_GBK"/>
          <w:bCs/>
          <w:sz w:val="28"/>
          <w:szCs w:val="28"/>
          <w:lang w:val="en-US" w:eastAsia="zh-CN"/>
        </w:rPr>
        <w:t>二</w:t>
      </w:r>
      <w:r>
        <w:rPr>
          <w:rFonts w:hint="eastAsia" w:eastAsia="方正楷体_GBK"/>
          <w:bCs/>
          <w:sz w:val="28"/>
          <w:szCs w:val="28"/>
        </w:rPr>
        <w:t>）重视绩效目标管理工作、提高绩效自评工作的严肃性，及时纠偏改错。</w:t>
      </w:r>
      <w:r>
        <w:rPr>
          <w:sz w:val="28"/>
          <w:szCs w:val="28"/>
        </w:rPr>
        <w:tab/>
      </w:r>
      <w:r>
        <w:rPr>
          <w:sz w:val="28"/>
          <w:szCs w:val="28"/>
        </w:rPr>
        <w:fldChar w:fldCharType="begin"/>
      </w:r>
      <w:r>
        <w:rPr>
          <w:sz w:val="28"/>
          <w:szCs w:val="28"/>
        </w:rPr>
        <w:instrText xml:space="preserve"> PAGEREF _Toc18048 \h </w:instrText>
      </w:r>
      <w:r>
        <w:rPr>
          <w:sz w:val="28"/>
          <w:szCs w:val="28"/>
        </w:rPr>
        <w:fldChar w:fldCharType="separate"/>
      </w:r>
      <w:r>
        <w:rPr>
          <w:sz w:val="28"/>
          <w:szCs w:val="28"/>
        </w:rPr>
        <w:t>28</w:t>
      </w:r>
      <w:r>
        <w:rPr>
          <w:sz w:val="28"/>
          <w:szCs w:val="28"/>
        </w:rPr>
        <w:fldChar w:fldCharType="end"/>
      </w:r>
      <w:r>
        <w:rPr>
          <w:rFonts w:eastAsia="方正仿宋_GBK"/>
          <w:spacing w:val="6"/>
          <w:sz w:val="28"/>
          <w:szCs w:val="28"/>
        </w:rPr>
        <w:fldChar w:fldCharType="end"/>
      </w:r>
    </w:p>
    <w:p w14:paraId="021F472C">
      <w:pPr>
        <w:pStyle w:val="15"/>
        <w:tabs>
          <w:tab w:val="right" w:leader="dot" w:pos="8787"/>
        </w:tabs>
        <w:rPr>
          <w:sz w:val="28"/>
          <w:szCs w:val="28"/>
        </w:rPr>
      </w:pPr>
      <w:r>
        <w:rPr>
          <w:rFonts w:eastAsia="方正仿宋_GBK"/>
          <w:spacing w:val="6"/>
          <w:sz w:val="28"/>
          <w:szCs w:val="28"/>
        </w:rPr>
        <w:fldChar w:fldCharType="begin"/>
      </w:r>
      <w:r>
        <w:rPr>
          <w:rFonts w:eastAsia="方正仿宋_GBK"/>
          <w:spacing w:val="6"/>
          <w:sz w:val="28"/>
          <w:szCs w:val="28"/>
        </w:rPr>
        <w:instrText xml:space="preserve"> HYPERLINK \l _Toc10737 </w:instrText>
      </w:r>
      <w:r>
        <w:rPr>
          <w:rFonts w:eastAsia="方正仿宋_GBK"/>
          <w:spacing w:val="6"/>
          <w:sz w:val="28"/>
          <w:szCs w:val="28"/>
        </w:rPr>
        <w:fldChar w:fldCharType="separate"/>
      </w:r>
      <w:r>
        <w:rPr>
          <w:rFonts w:hint="eastAsia" w:hAnsi="方正楷体_GBK" w:eastAsia="方正楷体_GBK" w:cs="方正楷体_GBK"/>
          <w:bCs/>
          <w:sz w:val="28"/>
          <w:szCs w:val="28"/>
        </w:rPr>
        <w:t>（</w:t>
      </w:r>
      <w:r>
        <w:rPr>
          <w:rFonts w:hint="eastAsia" w:hAnsi="方正楷体_GBK" w:eastAsia="方正楷体_GBK" w:cs="方正楷体_GBK"/>
          <w:bCs/>
          <w:sz w:val="28"/>
          <w:szCs w:val="28"/>
          <w:lang w:val="en-US" w:eastAsia="zh-CN"/>
        </w:rPr>
        <w:t>三</w:t>
      </w:r>
      <w:r>
        <w:rPr>
          <w:rFonts w:hint="eastAsia" w:hAnsi="方正楷体_GBK" w:eastAsia="方正楷体_GBK" w:cs="方正楷体_GBK"/>
          <w:bCs/>
          <w:sz w:val="28"/>
          <w:szCs w:val="28"/>
        </w:rPr>
        <w:t>）加强政策宣贯，做好项目解释、联系工作，提高居民对项目实施的认同感和支持率。</w:t>
      </w:r>
      <w:r>
        <w:rPr>
          <w:sz w:val="28"/>
          <w:szCs w:val="28"/>
        </w:rPr>
        <w:tab/>
      </w:r>
      <w:r>
        <w:rPr>
          <w:sz w:val="28"/>
          <w:szCs w:val="28"/>
        </w:rPr>
        <w:fldChar w:fldCharType="begin"/>
      </w:r>
      <w:r>
        <w:rPr>
          <w:sz w:val="28"/>
          <w:szCs w:val="28"/>
        </w:rPr>
        <w:instrText xml:space="preserve"> PAGEREF _Toc10737 \h </w:instrText>
      </w:r>
      <w:r>
        <w:rPr>
          <w:sz w:val="28"/>
          <w:szCs w:val="28"/>
        </w:rPr>
        <w:fldChar w:fldCharType="separate"/>
      </w:r>
      <w:r>
        <w:rPr>
          <w:sz w:val="28"/>
          <w:szCs w:val="28"/>
        </w:rPr>
        <w:t>29</w:t>
      </w:r>
      <w:r>
        <w:rPr>
          <w:sz w:val="28"/>
          <w:szCs w:val="28"/>
        </w:rPr>
        <w:fldChar w:fldCharType="end"/>
      </w:r>
      <w:r>
        <w:rPr>
          <w:rFonts w:eastAsia="方正仿宋_GBK"/>
          <w:spacing w:val="6"/>
          <w:sz w:val="28"/>
          <w:szCs w:val="28"/>
        </w:rPr>
        <w:fldChar w:fldCharType="end"/>
      </w:r>
    </w:p>
    <w:p w14:paraId="4DD2FB17">
      <w:pPr>
        <w:pStyle w:val="20"/>
        <w:tabs>
          <w:tab w:val="right" w:leader="dot" w:pos="8787"/>
        </w:tabs>
        <w:rPr>
          <w:sz w:val="28"/>
          <w:szCs w:val="28"/>
        </w:rPr>
      </w:pPr>
      <w:r>
        <w:rPr>
          <w:rFonts w:eastAsia="方正仿宋_GBK"/>
          <w:spacing w:val="6"/>
          <w:sz w:val="28"/>
          <w:szCs w:val="28"/>
        </w:rPr>
        <w:fldChar w:fldCharType="begin"/>
      </w:r>
      <w:r>
        <w:rPr>
          <w:rFonts w:eastAsia="方正仿宋_GBK"/>
          <w:spacing w:val="6"/>
          <w:sz w:val="28"/>
          <w:szCs w:val="28"/>
        </w:rPr>
        <w:instrText xml:space="preserve"> HYPERLINK \l _Toc31431 </w:instrText>
      </w:r>
      <w:r>
        <w:rPr>
          <w:rFonts w:eastAsia="方正仿宋_GBK"/>
          <w:spacing w:val="6"/>
          <w:sz w:val="28"/>
          <w:szCs w:val="28"/>
        </w:rPr>
        <w:fldChar w:fldCharType="separate"/>
      </w:r>
      <w:r>
        <w:rPr>
          <w:rFonts w:eastAsia="方正黑体_GBK"/>
          <w:bCs/>
          <w:sz w:val="28"/>
          <w:szCs w:val="28"/>
        </w:rPr>
        <w:t>七、其他需提醒的事项</w:t>
      </w:r>
      <w:r>
        <w:rPr>
          <w:sz w:val="28"/>
          <w:szCs w:val="28"/>
        </w:rPr>
        <w:tab/>
      </w:r>
      <w:r>
        <w:rPr>
          <w:sz w:val="28"/>
          <w:szCs w:val="28"/>
        </w:rPr>
        <w:fldChar w:fldCharType="begin"/>
      </w:r>
      <w:r>
        <w:rPr>
          <w:sz w:val="28"/>
          <w:szCs w:val="28"/>
        </w:rPr>
        <w:instrText xml:space="preserve"> PAGEREF _Toc31431 \h </w:instrText>
      </w:r>
      <w:r>
        <w:rPr>
          <w:sz w:val="28"/>
          <w:szCs w:val="28"/>
        </w:rPr>
        <w:fldChar w:fldCharType="separate"/>
      </w:r>
      <w:r>
        <w:rPr>
          <w:sz w:val="28"/>
          <w:szCs w:val="28"/>
        </w:rPr>
        <w:t>29</w:t>
      </w:r>
      <w:r>
        <w:rPr>
          <w:sz w:val="28"/>
          <w:szCs w:val="28"/>
        </w:rPr>
        <w:fldChar w:fldCharType="end"/>
      </w:r>
      <w:r>
        <w:rPr>
          <w:rFonts w:eastAsia="方正仿宋_GBK"/>
          <w:spacing w:val="6"/>
          <w:sz w:val="28"/>
          <w:szCs w:val="28"/>
        </w:rPr>
        <w:fldChar w:fldCharType="end"/>
      </w:r>
    </w:p>
    <w:p w14:paraId="1CCE7EE7">
      <w:pPr>
        <w:pStyle w:val="15"/>
        <w:tabs>
          <w:tab w:val="right" w:leader="dot" w:pos="8787"/>
        </w:tabs>
        <w:rPr>
          <w:sz w:val="28"/>
          <w:szCs w:val="28"/>
        </w:rPr>
      </w:pPr>
      <w:r>
        <w:rPr>
          <w:rFonts w:eastAsia="方正仿宋_GBK"/>
          <w:spacing w:val="6"/>
          <w:sz w:val="28"/>
          <w:szCs w:val="28"/>
        </w:rPr>
        <w:fldChar w:fldCharType="begin"/>
      </w:r>
      <w:r>
        <w:rPr>
          <w:rFonts w:eastAsia="方正仿宋_GBK"/>
          <w:spacing w:val="6"/>
          <w:sz w:val="28"/>
          <w:szCs w:val="28"/>
        </w:rPr>
        <w:instrText xml:space="preserve"> HYPERLINK \l _Toc14714 </w:instrText>
      </w:r>
      <w:r>
        <w:rPr>
          <w:rFonts w:eastAsia="方正仿宋_GBK"/>
          <w:spacing w:val="6"/>
          <w:sz w:val="28"/>
          <w:szCs w:val="28"/>
        </w:rPr>
        <w:fldChar w:fldCharType="separate"/>
      </w:r>
      <w:r>
        <w:rPr>
          <w:rFonts w:hint="eastAsia" w:eastAsia="方正楷体_GBK"/>
          <w:bCs/>
          <w:sz w:val="28"/>
          <w:szCs w:val="28"/>
        </w:rPr>
        <w:t>（一）项目决算口径可能无法与预算口径一一匹配</w:t>
      </w:r>
      <w:r>
        <w:rPr>
          <w:sz w:val="28"/>
          <w:szCs w:val="28"/>
        </w:rPr>
        <w:tab/>
      </w:r>
      <w:r>
        <w:rPr>
          <w:sz w:val="28"/>
          <w:szCs w:val="28"/>
        </w:rPr>
        <w:fldChar w:fldCharType="begin"/>
      </w:r>
      <w:r>
        <w:rPr>
          <w:sz w:val="28"/>
          <w:szCs w:val="28"/>
        </w:rPr>
        <w:instrText xml:space="preserve"> PAGEREF _Toc14714 \h </w:instrText>
      </w:r>
      <w:r>
        <w:rPr>
          <w:sz w:val="28"/>
          <w:szCs w:val="28"/>
        </w:rPr>
        <w:fldChar w:fldCharType="separate"/>
      </w:r>
      <w:r>
        <w:rPr>
          <w:sz w:val="28"/>
          <w:szCs w:val="28"/>
        </w:rPr>
        <w:t>29</w:t>
      </w:r>
      <w:r>
        <w:rPr>
          <w:sz w:val="28"/>
          <w:szCs w:val="28"/>
        </w:rPr>
        <w:fldChar w:fldCharType="end"/>
      </w:r>
      <w:r>
        <w:rPr>
          <w:rFonts w:eastAsia="方正仿宋_GBK"/>
          <w:spacing w:val="6"/>
          <w:sz w:val="28"/>
          <w:szCs w:val="28"/>
        </w:rPr>
        <w:fldChar w:fldCharType="end"/>
      </w:r>
    </w:p>
    <w:p w14:paraId="20EB4355">
      <w:pPr>
        <w:pStyle w:val="15"/>
        <w:tabs>
          <w:tab w:val="right" w:leader="dot" w:pos="8787"/>
        </w:tabs>
        <w:rPr>
          <w:sz w:val="28"/>
          <w:szCs w:val="28"/>
        </w:rPr>
      </w:pPr>
      <w:r>
        <w:rPr>
          <w:rFonts w:eastAsia="方正仿宋_GBK"/>
          <w:spacing w:val="6"/>
          <w:sz w:val="28"/>
          <w:szCs w:val="28"/>
        </w:rPr>
        <w:fldChar w:fldCharType="begin"/>
      </w:r>
      <w:r>
        <w:rPr>
          <w:rFonts w:eastAsia="方正仿宋_GBK"/>
          <w:spacing w:val="6"/>
          <w:sz w:val="28"/>
          <w:szCs w:val="28"/>
        </w:rPr>
        <w:instrText xml:space="preserve"> HYPERLINK \l _Toc16816 </w:instrText>
      </w:r>
      <w:r>
        <w:rPr>
          <w:rFonts w:eastAsia="方正仿宋_GBK"/>
          <w:spacing w:val="6"/>
          <w:sz w:val="28"/>
          <w:szCs w:val="28"/>
        </w:rPr>
        <w:fldChar w:fldCharType="separate"/>
      </w:r>
      <w:r>
        <w:rPr>
          <w:rFonts w:hint="eastAsia" w:eastAsia="方正楷体_GBK"/>
          <w:bCs/>
          <w:sz w:val="28"/>
          <w:szCs w:val="28"/>
        </w:rPr>
        <w:t>（二）存在大量无法入户整改的情况</w:t>
      </w:r>
      <w:r>
        <w:rPr>
          <w:sz w:val="28"/>
          <w:szCs w:val="28"/>
        </w:rPr>
        <w:tab/>
      </w:r>
      <w:r>
        <w:rPr>
          <w:sz w:val="28"/>
          <w:szCs w:val="28"/>
        </w:rPr>
        <w:fldChar w:fldCharType="begin"/>
      </w:r>
      <w:r>
        <w:rPr>
          <w:sz w:val="28"/>
          <w:szCs w:val="28"/>
        </w:rPr>
        <w:instrText xml:space="preserve"> PAGEREF _Toc16816 \h </w:instrText>
      </w:r>
      <w:r>
        <w:rPr>
          <w:sz w:val="28"/>
          <w:szCs w:val="28"/>
        </w:rPr>
        <w:fldChar w:fldCharType="separate"/>
      </w:r>
      <w:r>
        <w:rPr>
          <w:sz w:val="28"/>
          <w:szCs w:val="28"/>
        </w:rPr>
        <w:t>30</w:t>
      </w:r>
      <w:r>
        <w:rPr>
          <w:sz w:val="28"/>
          <w:szCs w:val="28"/>
        </w:rPr>
        <w:fldChar w:fldCharType="end"/>
      </w:r>
      <w:r>
        <w:rPr>
          <w:rFonts w:eastAsia="方正仿宋_GBK"/>
          <w:spacing w:val="6"/>
          <w:sz w:val="28"/>
          <w:szCs w:val="28"/>
        </w:rPr>
        <w:fldChar w:fldCharType="end"/>
      </w:r>
    </w:p>
    <w:p w14:paraId="189AF2A5">
      <w:pPr>
        <w:pStyle w:val="15"/>
        <w:tabs>
          <w:tab w:val="right" w:leader="dot" w:pos="8787"/>
        </w:tabs>
        <w:rPr>
          <w:sz w:val="28"/>
          <w:szCs w:val="28"/>
        </w:rPr>
      </w:pPr>
      <w:r>
        <w:rPr>
          <w:rFonts w:eastAsia="方正仿宋_GBK"/>
          <w:spacing w:val="6"/>
          <w:sz w:val="28"/>
          <w:szCs w:val="28"/>
        </w:rPr>
        <w:fldChar w:fldCharType="begin"/>
      </w:r>
      <w:r>
        <w:rPr>
          <w:rFonts w:eastAsia="方正仿宋_GBK"/>
          <w:spacing w:val="6"/>
          <w:sz w:val="28"/>
          <w:szCs w:val="28"/>
        </w:rPr>
        <w:instrText xml:space="preserve"> HYPERLINK \l _Toc5197 </w:instrText>
      </w:r>
      <w:r>
        <w:rPr>
          <w:rFonts w:eastAsia="方正仿宋_GBK"/>
          <w:spacing w:val="6"/>
          <w:sz w:val="28"/>
          <w:szCs w:val="28"/>
        </w:rPr>
        <w:fldChar w:fldCharType="separate"/>
      </w:r>
      <w:r>
        <w:rPr>
          <w:rFonts w:hint="eastAsia" w:eastAsia="方正楷体_GBK"/>
          <w:bCs/>
          <w:sz w:val="28"/>
          <w:szCs w:val="28"/>
        </w:rPr>
        <w:t>（三）可能引发负面舆情或投诉事件</w:t>
      </w:r>
      <w:r>
        <w:rPr>
          <w:sz w:val="28"/>
          <w:szCs w:val="28"/>
        </w:rPr>
        <w:tab/>
      </w:r>
      <w:r>
        <w:rPr>
          <w:sz w:val="28"/>
          <w:szCs w:val="28"/>
        </w:rPr>
        <w:fldChar w:fldCharType="begin"/>
      </w:r>
      <w:r>
        <w:rPr>
          <w:sz w:val="28"/>
          <w:szCs w:val="28"/>
        </w:rPr>
        <w:instrText xml:space="preserve"> PAGEREF _Toc5197 \h </w:instrText>
      </w:r>
      <w:r>
        <w:rPr>
          <w:sz w:val="28"/>
          <w:szCs w:val="28"/>
        </w:rPr>
        <w:fldChar w:fldCharType="separate"/>
      </w:r>
      <w:r>
        <w:rPr>
          <w:sz w:val="28"/>
          <w:szCs w:val="28"/>
        </w:rPr>
        <w:t>31</w:t>
      </w:r>
      <w:r>
        <w:rPr>
          <w:sz w:val="28"/>
          <w:szCs w:val="28"/>
        </w:rPr>
        <w:fldChar w:fldCharType="end"/>
      </w:r>
      <w:r>
        <w:rPr>
          <w:rFonts w:eastAsia="方正仿宋_GBK"/>
          <w:spacing w:val="6"/>
          <w:sz w:val="28"/>
          <w:szCs w:val="28"/>
        </w:rPr>
        <w:fldChar w:fldCharType="end"/>
      </w:r>
    </w:p>
    <w:p w14:paraId="189D8671">
      <w:pPr>
        <w:pStyle w:val="62"/>
        <w:widowControl w:val="0"/>
        <w:tabs>
          <w:tab w:val="right" w:leader="dot" w:pos="8306"/>
        </w:tabs>
        <w:adjustRightInd w:val="0"/>
        <w:snapToGrid w:val="0"/>
        <w:spacing w:afterLines="50" w:line="400" w:lineRule="exact"/>
        <w:ind w:left="420"/>
        <w:rPr>
          <w:rFonts w:eastAsia="方正小标宋_GBK"/>
          <w:spacing w:val="6"/>
          <w:sz w:val="28"/>
          <w:szCs w:val="28"/>
        </w:rPr>
      </w:pPr>
      <w:r>
        <w:rPr>
          <w:rFonts w:eastAsia="方正仿宋_GBK"/>
          <w:spacing w:val="6"/>
          <w:sz w:val="28"/>
          <w:szCs w:val="28"/>
        </w:rPr>
        <w:fldChar w:fldCharType="end"/>
      </w:r>
    </w:p>
    <w:p w14:paraId="35266446">
      <w:pPr>
        <w:spacing w:beforeLines="50" w:line="600" w:lineRule="exact"/>
        <w:jc w:val="center"/>
        <w:outlineLvl w:val="0"/>
        <w:rPr>
          <w:rFonts w:eastAsia="方正小标宋_GBK"/>
          <w:color w:val="000000"/>
          <w:kern w:val="0"/>
          <w:sz w:val="28"/>
          <w:szCs w:val="28"/>
        </w:rPr>
        <w:sectPr>
          <w:headerReference r:id="rId5" w:type="default"/>
          <w:footerReference r:id="rId6" w:type="default"/>
          <w:pgSz w:w="11906" w:h="16838"/>
          <w:pgMar w:top="1440" w:right="1418" w:bottom="1440" w:left="1701" w:header="851" w:footer="992" w:gutter="0"/>
          <w:pgNumType w:start="1"/>
          <w:cols w:space="720" w:num="1"/>
          <w:docGrid w:type="linesAndChars" w:linePitch="312" w:charSpace="0"/>
        </w:sectPr>
      </w:pPr>
      <w:bookmarkStart w:id="12" w:name="_Toc7949"/>
      <w:bookmarkStart w:id="13" w:name="_Toc4441"/>
      <w:bookmarkStart w:id="14" w:name="_Toc601"/>
      <w:bookmarkStart w:id="15" w:name="_Toc7646"/>
      <w:bookmarkStart w:id="16" w:name="_Toc25288"/>
      <w:bookmarkStart w:id="17" w:name="_Toc32393"/>
      <w:bookmarkStart w:id="18" w:name="_Toc27788"/>
      <w:bookmarkStart w:id="19" w:name="_Toc28322"/>
      <w:bookmarkStart w:id="20" w:name="_Toc124328955"/>
      <w:bookmarkStart w:id="21" w:name="_Toc11544"/>
      <w:bookmarkStart w:id="22" w:name="_Toc22885"/>
      <w:bookmarkStart w:id="23" w:name="_Toc31688"/>
    </w:p>
    <w:p w14:paraId="18E98465">
      <w:pPr>
        <w:spacing w:beforeLines="50" w:line="600" w:lineRule="exact"/>
        <w:jc w:val="center"/>
        <w:outlineLvl w:val="0"/>
        <w:rPr>
          <w:rFonts w:eastAsia="方正小标宋_GBK"/>
          <w:color w:val="000000"/>
          <w:kern w:val="0"/>
          <w:sz w:val="36"/>
          <w:szCs w:val="36"/>
        </w:rPr>
      </w:pPr>
      <w:bookmarkStart w:id="24" w:name="_Toc6770"/>
      <w:bookmarkStart w:id="25" w:name="_Toc170396671"/>
      <w:bookmarkStart w:id="26" w:name="_Toc8738"/>
      <w:bookmarkStart w:id="27" w:name="_Toc26618"/>
      <w:bookmarkStart w:id="28" w:name="_Toc170909591"/>
      <w:bookmarkStart w:id="29" w:name="_Toc23886"/>
      <w:r>
        <w:rPr>
          <w:rFonts w:eastAsia="方正小标宋_GBK"/>
          <w:color w:val="000000"/>
          <w:kern w:val="0"/>
          <w:sz w:val="36"/>
          <w:szCs w:val="36"/>
        </w:rPr>
        <w:t>铜梁区城市燃气管道老化更新改造项目</w:t>
      </w:r>
      <w:bookmarkEnd w:id="12"/>
      <w:bookmarkEnd w:id="24"/>
      <w:bookmarkEnd w:id="25"/>
      <w:bookmarkEnd w:id="26"/>
      <w:bookmarkEnd w:id="27"/>
      <w:bookmarkEnd w:id="28"/>
      <w:bookmarkEnd w:id="29"/>
    </w:p>
    <w:p w14:paraId="7DA7A996">
      <w:pPr>
        <w:spacing w:line="600" w:lineRule="exact"/>
        <w:jc w:val="center"/>
        <w:rPr>
          <w:rFonts w:eastAsia="方正小标宋_GBK"/>
          <w:color w:val="000000"/>
          <w:kern w:val="0"/>
          <w:sz w:val="36"/>
          <w:szCs w:val="36"/>
        </w:rPr>
      </w:pPr>
      <w:r>
        <w:rPr>
          <w:rFonts w:eastAsia="方正小标宋_GBK"/>
          <w:color w:val="000000"/>
          <w:kern w:val="0"/>
          <w:sz w:val="36"/>
          <w:szCs w:val="36"/>
        </w:rPr>
        <w:t>绩效评价报告</w:t>
      </w:r>
    </w:p>
    <w:p w14:paraId="29069CD7">
      <w:pPr>
        <w:jc w:val="right"/>
        <w:rPr>
          <w:rFonts w:eastAsia="方正仿宋_GBK"/>
          <w:bCs/>
          <w:sz w:val="32"/>
          <w:szCs w:val="32"/>
        </w:rPr>
      </w:pPr>
      <w:r>
        <w:rPr>
          <w:rFonts w:eastAsia="方正仿宋_GBK"/>
          <w:bCs/>
          <w:sz w:val="32"/>
          <w:szCs w:val="32"/>
        </w:rPr>
        <w:t>众环渝综字（2024）</w:t>
      </w:r>
      <w:r>
        <w:rPr>
          <w:rFonts w:hint="eastAsia" w:eastAsia="方正仿宋_GBK"/>
          <w:bCs/>
          <w:sz w:val="32"/>
          <w:szCs w:val="32"/>
        </w:rPr>
        <w:t>00071</w:t>
      </w:r>
      <w:r>
        <w:rPr>
          <w:rFonts w:eastAsia="方正仿宋_GBK"/>
          <w:bCs/>
          <w:sz w:val="32"/>
          <w:szCs w:val="32"/>
        </w:rPr>
        <w:t>号</w:t>
      </w:r>
    </w:p>
    <w:p w14:paraId="64DA98B1">
      <w:pPr>
        <w:widowControl/>
        <w:spacing w:line="600" w:lineRule="exact"/>
        <w:rPr>
          <w:rFonts w:eastAsia="方正仿宋_GBK"/>
          <w:color w:val="000000"/>
          <w:kern w:val="0"/>
          <w:sz w:val="32"/>
          <w:szCs w:val="32"/>
        </w:rPr>
      </w:pPr>
    </w:p>
    <w:p w14:paraId="32088D87">
      <w:pPr>
        <w:widowControl/>
        <w:spacing w:line="600" w:lineRule="exact"/>
        <w:rPr>
          <w:rFonts w:eastAsia="方正仿宋_GBK"/>
          <w:b/>
          <w:bCs/>
          <w:sz w:val="32"/>
          <w:szCs w:val="32"/>
        </w:rPr>
      </w:pPr>
      <w:r>
        <w:rPr>
          <w:rFonts w:eastAsia="方正仿宋_GBK"/>
          <w:b/>
          <w:bCs/>
          <w:color w:val="000000"/>
          <w:kern w:val="0"/>
          <w:sz w:val="32"/>
          <w:szCs w:val="32"/>
        </w:rPr>
        <w:t xml:space="preserve">重庆市铜梁区财政局： </w:t>
      </w:r>
    </w:p>
    <w:p w14:paraId="0A5920B3">
      <w:pPr>
        <w:spacing w:line="600" w:lineRule="exact"/>
        <w:ind w:firstLine="640" w:firstLineChars="200"/>
        <w:rPr>
          <w:rFonts w:eastAsia="方正仿宋_GBK"/>
          <w:sz w:val="32"/>
          <w:szCs w:val="32"/>
        </w:rPr>
      </w:pPr>
      <w:r>
        <w:rPr>
          <w:rFonts w:eastAsia="方正仿宋_GBK"/>
          <w:sz w:val="32"/>
          <w:szCs w:val="32"/>
        </w:rPr>
        <w:t>中审众环会计师事务所（特殊普通合伙）重庆分所（以下简称：我们）接受贵方的委托，对铜梁区2023年城市燃气管道老化更新改造项目开展绩效评价工作。</w:t>
      </w:r>
    </w:p>
    <w:p w14:paraId="2878DA01">
      <w:pPr>
        <w:widowControl/>
        <w:spacing w:line="600" w:lineRule="exact"/>
        <w:ind w:firstLine="640" w:firstLineChars="200"/>
        <w:rPr>
          <w:rFonts w:eastAsia="方正仿宋_GBK"/>
          <w:color w:val="000000"/>
          <w:kern w:val="0"/>
          <w:sz w:val="32"/>
          <w:szCs w:val="32"/>
        </w:rPr>
      </w:pPr>
      <w:r>
        <w:rPr>
          <w:rFonts w:eastAsia="方正仿宋_GBK"/>
          <w:color w:val="000000"/>
          <w:kern w:val="0"/>
          <w:sz w:val="32"/>
          <w:szCs w:val="32"/>
        </w:rPr>
        <w:t>本报告基础资料主要来源为重庆市铜梁区财政局、重庆市铜梁区</w:t>
      </w:r>
      <w:r>
        <w:rPr>
          <w:rFonts w:hint="eastAsia" w:eastAsia="方正仿宋_GBK"/>
          <w:color w:val="000000"/>
          <w:kern w:val="0"/>
          <w:sz w:val="32"/>
          <w:szCs w:val="32"/>
        </w:rPr>
        <w:t>经济和信息化委员会</w:t>
      </w:r>
      <w:r>
        <w:rPr>
          <w:rFonts w:eastAsia="方正仿宋_GBK"/>
          <w:color w:val="000000"/>
          <w:kern w:val="0"/>
          <w:sz w:val="32"/>
          <w:szCs w:val="32"/>
        </w:rPr>
        <w:t>。本报告内容是在有限资料和有限时间条件下，履行政策文件查阅、现场走访核实、资料查询、口头访谈、开展问卷调查以及财务资料抽查等程序，对项目开展情况进行了广泛而深入的了解后编制而成，在报告的编写过程中，我们依据设定的绩效目标，遵循规范的评</w:t>
      </w:r>
      <w:r>
        <w:rPr>
          <w:rFonts w:hint="eastAsia" w:eastAsia="方正仿宋_GBK"/>
          <w:color w:val="000000"/>
          <w:kern w:val="0"/>
          <w:sz w:val="32"/>
          <w:szCs w:val="32"/>
        </w:rPr>
        <w:t>价</w:t>
      </w:r>
      <w:r>
        <w:rPr>
          <w:rFonts w:eastAsia="方正仿宋_GBK"/>
          <w:color w:val="000000"/>
          <w:kern w:val="0"/>
          <w:sz w:val="32"/>
          <w:szCs w:val="32"/>
        </w:rPr>
        <w:t>程序以及行业通行的标准和方法，保障所提供的信息和评价结果的质量，但本报告结论受相关资料、信息的完整性、真实性和准确性的影响。</w:t>
      </w:r>
    </w:p>
    <w:p w14:paraId="397AFC91"/>
    <w:p w14:paraId="62CCB568">
      <w:pPr>
        <w:spacing w:line="600" w:lineRule="exact"/>
        <w:jc w:val="center"/>
        <w:outlineLvl w:val="0"/>
        <w:rPr>
          <w:rFonts w:eastAsia="仿宋"/>
          <w:sz w:val="30"/>
          <w:szCs w:val="30"/>
        </w:rPr>
      </w:pPr>
      <w:r>
        <w:br w:type="page"/>
      </w:r>
      <w:bookmarkStart w:id="30" w:name="_Toc3522"/>
      <w:bookmarkStart w:id="31" w:name="_Toc170909592"/>
      <w:bookmarkStart w:id="32" w:name="_Toc11098"/>
      <w:r>
        <w:rPr>
          <w:rFonts w:eastAsia="方正小标宋_GBK"/>
          <w:bCs/>
          <w:sz w:val="32"/>
          <w:szCs w:val="32"/>
        </w:rPr>
        <w:t>第一部分  报告概述</w:t>
      </w:r>
      <w:bookmarkEnd w:id="30"/>
      <w:bookmarkEnd w:id="31"/>
      <w:bookmarkEnd w:id="32"/>
    </w:p>
    <w:p w14:paraId="442E2E62">
      <w:pPr>
        <w:spacing w:line="600" w:lineRule="exact"/>
        <w:ind w:firstLine="640" w:firstLineChars="200"/>
        <w:rPr>
          <w:rFonts w:eastAsia="方正黑体_GBK"/>
          <w:bCs/>
          <w:sz w:val="32"/>
          <w:szCs w:val="32"/>
        </w:rPr>
      </w:pPr>
      <w:bookmarkStart w:id="33" w:name="_Toc15716"/>
      <w:bookmarkStart w:id="34" w:name="_Toc4585"/>
      <w:bookmarkStart w:id="35" w:name="_Toc8038"/>
    </w:p>
    <w:p w14:paraId="6A0AFF12">
      <w:pPr>
        <w:spacing w:line="600" w:lineRule="exact"/>
        <w:ind w:firstLine="640" w:firstLineChars="200"/>
        <w:outlineLvl w:val="1"/>
        <w:rPr>
          <w:rFonts w:eastAsia="方正黑体_GBK"/>
          <w:bCs/>
          <w:sz w:val="32"/>
          <w:szCs w:val="32"/>
        </w:rPr>
      </w:pPr>
      <w:bookmarkStart w:id="36" w:name="_Toc26470"/>
      <w:bookmarkStart w:id="37" w:name="_Toc8303"/>
      <w:bookmarkStart w:id="38" w:name="_Toc170909593"/>
      <w:r>
        <w:rPr>
          <w:rFonts w:eastAsia="方正黑体_GBK"/>
          <w:bCs/>
          <w:sz w:val="32"/>
          <w:szCs w:val="32"/>
        </w:rPr>
        <w:t>一、报告体系说明</w:t>
      </w:r>
      <w:bookmarkEnd w:id="33"/>
      <w:bookmarkEnd w:id="34"/>
      <w:bookmarkEnd w:id="35"/>
      <w:bookmarkEnd w:id="36"/>
      <w:bookmarkEnd w:id="37"/>
      <w:bookmarkEnd w:id="38"/>
    </w:p>
    <w:p w14:paraId="753FAA7E">
      <w:pPr>
        <w:spacing w:line="600" w:lineRule="exact"/>
        <w:ind w:firstLine="640" w:firstLineChars="200"/>
        <w:rPr>
          <w:rFonts w:eastAsia="方正仿宋_GBK"/>
          <w:bCs/>
          <w:sz w:val="32"/>
          <w:szCs w:val="32"/>
        </w:rPr>
      </w:pPr>
      <w:r>
        <w:rPr>
          <w:rFonts w:eastAsia="方正仿宋_GBK"/>
          <w:sz w:val="32"/>
          <w:szCs w:val="32"/>
        </w:rPr>
        <w:t>本报告由两大部分组成，第一部分为报告概述，汇报本次绩效评价工作的评价结论。第二部分为报告正文，详细汇报本次绩效评价项目的基本情况、绩效管理情况、评价工作的开展、评价结论以及发现的问题和建议等。</w:t>
      </w:r>
    </w:p>
    <w:p w14:paraId="4B9C7858">
      <w:pPr>
        <w:spacing w:line="600" w:lineRule="exact"/>
        <w:ind w:firstLine="640" w:firstLineChars="200"/>
        <w:outlineLvl w:val="1"/>
      </w:pPr>
      <w:bookmarkStart w:id="39" w:name="_Toc23187"/>
      <w:bookmarkStart w:id="40" w:name="_Toc957"/>
      <w:bookmarkStart w:id="41" w:name="_Toc170909594"/>
      <w:bookmarkStart w:id="42" w:name="_Toc22411"/>
      <w:bookmarkStart w:id="43" w:name="_Toc26410"/>
      <w:bookmarkStart w:id="44" w:name="_Toc1879"/>
      <w:r>
        <w:rPr>
          <w:rFonts w:eastAsia="方正黑体_GBK"/>
          <w:bCs/>
          <w:sz w:val="32"/>
          <w:szCs w:val="32"/>
        </w:rPr>
        <w:t>二、项目概况</w:t>
      </w:r>
      <w:bookmarkEnd w:id="39"/>
      <w:bookmarkEnd w:id="40"/>
      <w:bookmarkEnd w:id="41"/>
      <w:bookmarkEnd w:id="42"/>
      <w:bookmarkEnd w:id="43"/>
      <w:bookmarkEnd w:id="44"/>
    </w:p>
    <w:p w14:paraId="39AF6803">
      <w:pPr>
        <w:spacing w:line="600" w:lineRule="exact"/>
        <w:ind w:firstLine="640" w:firstLineChars="200"/>
        <w:rPr>
          <w:rFonts w:eastAsia="方正仿宋_GBK"/>
          <w:sz w:val="32"/>
          <w:szCs w:val="32"/>
        </w:rPr>
      </w:pPr>
      <w:bookmarkStart w:id="45" w:name="_Toc32544"/>
      <w:bookmarkStart w:id="46" w:name="_Toc6808"/>
      <w:bookmarkStart w:id="47" w:name="_Toc23692"/>
      <w:r>
        <w:rPr>
          <w:rFonts w:hint="eastAsia" w:eastAsia="方正仿宋_GBK"/>
          <w:sz w:val="32"/>
          <w:szCs w:val="32"/>
        </w:rPr>
        <w:t>根据《重庆市铜梁区发展和改革委员会关于下达城市燃气管道等老化更新改造2022年中央预算内投资计划的通知》（铜发改委〔2022〕170号）：本项目预算于2022年8月11日下达；实施内容为“对经评估存在安全隐患、无法通过落实管控措施保障安全的庭院管道、立管及用户设施等的更新改造。共涉及居民约45000户，其中：改造约33000户居民燃气立管、居民户内燃气管道、橡胶软管、加装燃气安全装置等（含建设过程中燃气设施改造后路面、绿化、人行道砖修复等）；改造约12000户居民户内燃气管道、橡胶软管、加装燃气安全装置。共改造燃气立管约113公里，城镇燃气智能管理系统建设”；计划总投资11,776万元，下达中央预算资金7,066万元；实施单位为重庆市铜梁区经济和信息化委员会（以下简称：区经信委）；开工年份为2022年、建成年份为2023年。截至2023年12月31日，预算完成金额为846.12万元，预算执行率为11.97%。</w:t>
      </w:r>
    </w:p>
    <w:p w14:paraId="204F2D1C">
      <w:pPr>
        <w:spacing w:line="600" w:lineRule="exact"/>
        <w:ind w:firstLine="640" w:firstLineChars="200"/>
        <w:outlineLvl w:val="1"/>
        <w:rPr>
          <w:rFonts w:eastAsia="方正黑体_GBK"/>
          <w:bCs/>
          <w:sz w:val="32"/>
          <w:szCs w:val="32"/>
        </w:rPr>
      </w:pPr>
      <w:bookmarkStart w:id="48" w:name="_Toc2962"/>
      <w:bookmarkStart w:id="49" w:name="_Toc170909595"/>
      <w:bookmarkStart w:id="50" w:name="_Toc13124"/>
      <w:r>
        <w:rPr>
          <w:rFonts w:eastAsia="方正黑体_GBK"/>
          <w:bCs/>
          <w:sz w:val="32"/>
          <w:szCs w:val="32"/>
        </w:rPr>
        <w:t>三、评价主要结论</w:t>
      </w:r>
      <w:bookmarkEnd w:id="45"/>
      <w:bookmarkEnd w:id="46"/>
      <w:bookmarkEnd w:id="47"/>
      <w:bookmarkEnd w:id="48"/>
      <w:bookmarkEnd w:id="49"/>
      <w:bookmarkEnd w:id="50"/>
    </w:p>
    <w:p w14:paraId="6C727AD2">
      <w:pPr>
        <w:spacing w:line="600" w:lineRule="exact"/>
        <w:ind w:firstLine="640" w:firstLineChars="200"/>
        <w:rPr>
          <w:rFonts w:eastAsia="方正仿宋_GBK"/>
          <w:sz w:val="32"/>
          <w:szCs w:val="32"/>
        </w:rPr>
      </w:pPr>
      <w:r>
        <w:rPr>
          <w:rFonts w:eastAsia="方正仿宋_GBK"/>
          <w:sz w:val="32"/>
          <w:szCs w:val="32"/>
        </w:rPr>
        <w:t>通过</w:t>
      </w:r>
      <w:r>
        <w:rPr>
          <w:rFonts w:eastAsia="方正仿宋_GBK"/>
          <w:color w:val="000000"/>
          <w:kern w:val="0"/>
          <w:sz w:val="32"/>
          <w:szCs w:val="32"/>
        </w:rPr>
        <w:t>政策文件查阅、现场走访核实、资料查询、口头访谈、开展问卷调查以及财务资料抽查等</w:t>
      </w:r>
      <w:r>
        <w:rPr>
          <w:rFonts w:eastAsia="方正仿宋_GBK"/>
          <w:sz w:val="32"/>
          <w:szCs w:val="32"/>
        </w:rPr>
        <w:t>评价工作</w:t>
      </w:r>
      <w:r>
        <w:rPr>
          <w:rFonts w:eastAsia="方正仿宋_GBK"/>
          <w:color w:val="000000"/>
          <w:kern w:val="0"/>
          <w:sz w:val="32"/>
          <w:szCs w:val="32"/>
        </w:rPr>
        <w:t>程序</w:t>
      </w:r>
      <w:r>
        <w:rPr>
          <w:rFonts w:eastAsia="方正仿宋_GBK"/>
          <w:sz w:val="32"/>
          <w:szCs w:val="32"/>
        </w:rPr>
        <w:t>，结合</w:t>
      </w:r>
      <w:r>
        <w:rPr>
          <w:rFonts w:hint="eastAsia" w:eastAsia="方正仿宋_GBK"/>
          <w:sz w:val="32"/>
          <w:szCs w:val="32"/>
        </w:rPr>
        <w:t>《城市燃气管道等老化更新改造和保障性安居工程中央预算内投资专项管理暂行办法》（发改投资规〔2022〕910号）、</w:t>
      </w:r>
      <w:r>
        <w:rPr>
          <w:rFonts w:eastAsia="方正仿宋_GBK"/>
          <w:sz w:val="32"/>
          <w:szCs w:val="32"/>
        </w:rPr>
        <w:t>《铜梁区区级政策和项目预算绩效管理办法》（铜财〔2022〕411号）</w:t>
      </w:r>
      <w:r>
        <w:rPr>
          <w:rFonts w:hint="eastAsia" w:eastAsia="方正仿宋_GBK"/>
          <w:sz w:val="32"/>
          <w:szCs w:val="32"/>
        </w:rPr>
        <w:t>、《重庆市铜梁区发展和改革委员会关于下达城市燃气管道等老化更新改造2022年中央预算内投资计划的通知》（铜发改委〔2022〕170号）</w:t>
      </w:r>
      <w:r>
        <w:rPr>
          <w:rFonts w:eastAsia="方正仿宋_GBK"/>
          <w:sz w:val="32"/>
          <w:szCs w:val="32"/>
        </w:rPr>
        <w:t>中对绩效评价的相关要求和绩效评价指标体系评分标准，铜梁区城市燃气管道老化更新改造项目绩效评价得分为</w:t>
      </w:r>
      <w:r>
        <w:rPr>
          <w:rFonts w:hint="eastAsia" w:eastAsia="方正仿宋_GBK"/>
          <w:sz w:val="32"/>
          <w:szCs w:val="32"/>
        </w:rPr>
        <w:t>75.01</w:t>
      </w:r>
      <w:r>
        <w:rPr>
          <w:rFonts w:eastAsia="方正仿宋_GBK"/>
          <w:sz w:val="32"/>
          <w:szCs w:val="32"/>
        </w:rPr>
        <w:t>分，评价等级为</w:t>
      </w:r>
      <w:r>
        <w:rPr>
          <w:rFonts w:hint="eastAsia" w:eastAsia="方正仿宋_GBK"/>
          <w:sz w:val="32"/>
          <w:szCs w:val="32"/>
        </w:rPr>
        <w:t>中</w:t>
      </w:r>
      <w:r>
        <w:rPr>
          <w:rFonts w:eastAsia="方正仿宋_GBK"/>
          <w:sz w:val="32"/>
          <w:szCs w:val="32"/>
        </w:rPr>
        <w:t>。</w:t>
      </w:r>
    </w:p>
    <w:p w14:paraId="71BAF407">
      <w:pPr>
        <w:spacing w:line="760" w:lineRule="exact"/>
        <w:jc w:val="center"/>
        <w:outlineLvl w:val="0"/>
        <w:rPr>
          <w:rFonts w:eastAsia="仿宋"/>
          <w:sz w:val="30"/>
          <w:szCs w:val="30"/>
        </w:rPr>
      </w:pPr>
      <w:r>
        <w:rPr>
          <w:rFonts w:eastAsia="方正仿宋_GBK"/>
          <w:b/>
          <w:sz w:val="32"/>
          <w:szCs w:val="32"/>
        </w:rPr>
        <w:br w:type="page"/>
      </w:r>
      <w:bookmarkStart w:id="51" w:name="_Toc29089"/>
      <w:bookmarkStart w:id="52" w:name="_Toc23416"/>
      <w:bookmarkStart w:id="53" w:name="_Toc13548"/>
      <w:bookmarkStart w:id="54" w:name="_Toc2613"/>
      <w:bookmarkStart w:id="55" w:name="_Toc170909596"/>
      <w:bookmarkStart w:id="56" w:name="_Toc11444"/>
      <w:r>
        <w:rPr>
          <w:rFonts w:eastAsia="方正小标宋_GBK"/>
          <w:bCs/>
          <w:sz w:val="32"/>
          <w:szCs w:val="32"/>
        </w:rPr>
        <w:t>第二部分  报告正文</w:t>
      </w:r>
      <w:bookmarkEnd w:id="51"/>
      <w:bookmarkEnd w:id="52"/>
      <w:bookmarkEnd w:id="53"/>
      <w:bookmarkEnd w:id="54"/>
      <w:bookmarkEnd w:id="55"/>
      <w:bookmarkEnd w:id="56"/>
    </w:p>
    <w:p w14:paraId="1DE89274">
      <w:pPr>
        <w:spacing w:line="600" w:lineRule="exact"/>
        <w:ind w:firstLine="640" w:firstLineChars="200"/>
        <w:rPr>
          <w:rFonts w:eastAsia="方正黑体_GBK"/>
          <w:bCs/>
          <w:sz w:val="32"/>
          <w:szCs w:val="32"/>
        </w:rPr>
      </w:pPr>
      <w:bookmarkStart w:id="57" w:name="_Toc21114"/>
      <w:bookmarkStart w:id="58" w:name="_Toc3658"/>
      <w:bookmarkStart w:id="59" w:name="_Toc28147"/>
    </w:p>
    <w:p w14:paraId="7B2F3505">
      <w:pPr>
        <w:spacing w:line="600" w:lineRule="exact"/>
        <w:ind w:firstLine="640" w:firstLineChars="200"/>
        <w:outlineLvl w:val="1"/>
        <w:rPr>
          <w:rFonts w:eastAsia="方正黑体_GBK"/>
          <w:bCs/>
          <w:sz w:val="32"/>
          <w:szCs w:val="32"/>
        </w:rPr>
      </w:pPr>
      <w:bookmarkStart w:id="60" w:name="_Toc994"/>
      <w:bookmarkStart w:id="61" w:name="_Toc170909597"/>
      <w:bookmarkStart w:id="62" w:name="_Toc12313"/>
      <w:r>
        <w:rPr>
          <w:rFonts w:eastAsia="方正黑体_GBK"/>
          <w:bCs/>
          <w:sz w:val="32"/>
          <w:szCs w:val="32"/>
        </w:rPr>
        <w:t>一、项目基本情况</w:t>
      </w:r>
      <w:bookmarkEnd w:id="57"/>
      <w:bookmarkEnd w:id="58"/>
      <w:bookmarkEnd w:id="59"/>
      <w:bookmarkEnd w:id="60"/>
      <w:bookmarkEnd w:id="61"/>
      <w:bookmarkEnd w:id="62"/>
    </w:p>
    <w:p w14:paraId="559FD9A4">
      <w:pPr>
        <w:spacing w:line="600" w:lineRule="exact"/>
        <w:ind w:firstLine="640" w:firstLineChars="200"/>
        <w:outlineLvl w:val="2"/>
        <w:rPr>
          <w:rFonts w:eastAsia="方正楷体_GBK"/>
          <w:bCs/>
          <w:sz w:val="32"/>
          <w:szCs w:val="32"/>
        </w:rPr>
      </w:pPr>
      <w:bookmarkStart w:id="63" w:name="_Toc5804"/>
      <w:bookmarkStart w:id="64" w:name="_Toc28202"/>
      <w:bookmarkStart w:id="65" w:name="_Toc170909598"/>
      <w:bookmarkStart w:id="66" w:name="_Toc24387"/>
      <w:bookmarkStart w:id="67" w:name="_Toc26643"/>
      <w:r>
        <w:rPr>
          <w:rFonts w:eastAsia="方正楷体_GBK"/>
          <w:bCs/>
          <w:sz w:val="32"/>
          <w:szCs w:val="32"/>
        </w:rPr>
        <w:t>（一）项目</w:t>
      </w:r>
      <w:bookmarkEnd w:id="63"/>
      <w:bookmarkEnd w:id="64"/>
      <w:r>
        <w:rPr>
          <w:rFonts w:eastAsia="方正楷体_GBK"/>
          <w:bCs/>
          <w:sz w:val="32"/>
          <w:szCs w:val="32"/>
        </w:rPr>
        <w:t>背景和目的</w:t>
      </w:r>
      <w:bookmarkEnd w:id="65"/>
      <w:bookmarkEnd w:id="66"/>
      <w:bookmarkEnd w:id="67"/>
    </w:p>
    <w:p w14:paraId="05DF6F15">
      <w:pPr>
        <w:spacing w:line="600" w:lineRule="exact"/>
        <w:ind w:firstLine="640" w:firstLineChars="200"/>
        <w:rPr>
          <w:rFonts w:eastAsia="方正仿宋_GBK"/>
          <w:bCs/>
          <w:sz w:val="32"/>
          <w:szCs w:val="32"/>
        </w:rPr>
      </w:pPr>
      <w:bookmarkStart w:id="68" w:name="_Toc28261"/>
      <w:bookmarkStart w:id="69" w:name="_Toc2703"/>
      <w:r>
        <w:rPr>
          <w:rFonts w:hint="eastAsia" w:eastAsia="方正仿宋_GBK"/>
          <w:bCs/>
          <w:sz w:val="32"/>
          <w:szCs w:val="32"/>
        </w:rPr>
        <w:t>1.项目背景</w:t>
      </w:r>
    </w:p>
    <w:p w14:paraId="31ECAF67">
      <w:pPr>
        <w:spacing w:line="600" w:lineRule="exact"/>
        <w:ind w:firstLine="640" w:firstLineChars="200"/>
        <w:rPr>
          <w:rFonts w:eastAsia="方正仿宋_GBK"/>
          <w:bCs/>
          <w:sz w:val="32"/>
          <w:szCs w:val="32"/>
        </w:rPr>
      </w:pPr>
      <w:r>
        <w:rPr>
          <w:rFonts w:hint="eastAsia" w:eastAsia="方正仿宋_GBK"/>
          <w:bCs/>
          <w:sz w:val="32"/>
          <w:szCs w:val="32"/>
        </w:rPr>
        <w:t>2021年，“6.13”湖北十堰燃气爆炸事故发生后，习近平总书记多次就城市燃气管道等老化更新改造作出重要批示。2021年11月，习近平总书记批示强调城市管道包括燃气管道老化更新改造是件重要工程，要马上规划部署实施。2021年底召开的中央经济工作会议和2022年4月召开的中央财经委11次会议，习近平总书记又强调“必须把城市燃气管道等老化更新改造作为重要的一项基础设施工程来抓”。2022年6月，国务院办公厅印发《城市燃气管道等老化更新改造实施方案（2022—2025年）》，要求各地在2025年底前基本完成城市燃气管道等老化更新改造任务。2022年8月1日，重庆市人民政府办公厅印发《重庆市城市燃气管道老化更新改造实施方案（2022—2025年）》，明确城市燃气管道老化更新改造范围、实施流程、目标要求等内容。2022年8月31日，重庆市铜梁区人民政府办公室印发《重庆市铜梁区城市燃气管道老化更新改造实施方案（2022—2025年）》，对实施目标、实施对象及主体、实施任务等作了具体安排。</w:t>
      </w:r>
    </w:p>
    <w:p w14:paraId="1AA1FF97">
      <w:pPr>
        <w:spacing w:line="600" w:lineRule="exact"/>
        <w:ind w:firstLine="640" w:firstLineChars="200"/>
        <w:rPr>
          <w:rFonts w:eastAsia="方正仿宋_GBK"/>
          <w:bCs/>
          <w:sz w:val="32"/>
          <w:szCs w:val="32"/>
        </w:rPr>
      </w:pPr>
      <w:r>
        <w:rPr>
          <w:rFonts w:hint="eastAsia" w:eastAsia="方正仿宋_GBK"/>
          <w:bCs/>
          <w:sz w:val="32"/>
          <w:szCs w:val="32"/>
        </w:rPr>
        <w:t>2.实施目的</w:t>
      </w:r>
    </w:p>
    <w:p w14:paraId="7D7D557A">
      <w:pPr>
        <w:spacing w:line="600" w:lineRule="exact"/>
        <w:ind w:firstLine="640" w:firstLineChars="200"/>
        <w:rPr>
          <w:rFonts w:eastAsia="方正仿宋_GBK"/>
          <w:bCs/>
          <w:sz w:val="32"/>
          <w:szCs w:val="32"/>
        </w:rPr>
      </w:pPr>
      <w:r>
        <w:rPr>
          <w:rFonts w:hint="eastAsia" w:eastAsia="方正仿宋_GBK"/>
          <w:bCs/>
          <w:sz w:val="32"/>
          <w:szCs w:val="32"/>
        </w:rPr>
        <w:t>随着城镇燃气管道运行年限增加，燃气管道老化破损、供气适应性不强等问题逐步凸显，推动城镇燃气老化更新改造，以提高铜梁区城镇燃气管道运行的安全水平、消除安全隐患、保护公共安全和人民群众生命财产安全。</w:t>
      </w:r>
    </w:p>
    <w:p w14:paraId="121655E5">
      <w:pPr>
        <w:spacing w:line="600" w:lineRule="exact"/>
        <w:ind w:firstLine="640" w:firstLineChars="200"/>
        <w:outlineLvl w:val="2"/>
        <w:rPr>
          <w:rFonts w:eastAsia="方正楷体_GBK"/>
          <w:bCs/>
          <w:sz w:val="32"/>
          <w:szCs w:val="32"/>
        </w:rPr>
      </w:pPr>
      <w:bookmarkStart w:id="70" w:name="_Toc170909599"/>
      <w:bookmarkStart w:id="71" w:name="_Toc26657"/>
      <w:bookmarkStart w:id="72" w:name="_Toc22032"/>
      <w:r>
        <w:rPr>
          <w:rFonts w:eastAsia="方正楷体_GBK"/>
          <w:bCs/>
          <w:sz w:val="32"/>
          <w:szCs w:val="32"/>
        </w:rPr>
        <w:t>（二）</w:t>
      </w:r>
      <w:bookmarkEnd w:id="68"/>
      <w:bookmarkEnd w:id="69"/>
      <w:r>
        <w:rPr>
          <w:rFonts w:eastAsia="方正楷体_GBK"/>
          <w:bCs/>
          <w:sz w:val="32"/>
          <w:szCs w:val="32"/>
        </w:rPr>
        <w:t>预算批复及下达情况</w:t>
      </w:r>
      <w:bookmarkEnd w:id="70"/>
      <w:bookmarkEnd w:id="71"/>
      <w:bookmarkEnd w:id="72"/>
    </w:p>
    <w:p w14:paraId="5897AA42">
      <w:pPr>
        <w:spacing w:line="600" w:lineRule="exact"/>
        <w:ind w:firstLine="640" w:firstLineChars="200"/>
        <w:rPr>
          <w:rFonts w:eastAsia="方正仿宋_GBK"/>
          <w:sz w:val="32"/>
          <w:szCs w:val="32"/>
        </w:rPr>
      </w:pPr>
      <w:r>
        <w:rPr>
          <w:rFonts w:hint="eastAsia" w:eastAsia="方正仿宋_GBK"/>
          <w:sz w:val="32"/>
          <w:szCs w:val="32"/>
        </w:rPr>
        <w:t>《重庆市铜梁区发展和改革委员会关于下达城市燃气管道等老化更新改造2022年中央预算内投资计划的通知》（铜发改委〔2022〕170号）</w:t>
      </w:r>
      <w:r>
        <w:rPr>
          <w:rFonts w:eastAsia="方正仿宋_GBK"/>
          <w:sz w:val="32"/>
          <w:szCs w:val="32"/>
        </w:rPr>
        <w:t>，</w:t>
      </w:r>
      <w:r>
        <w:rPr>
          <w:rFonts w:hint="eastAsia" w:eastAsia="方正仿宋_GBK"/>
          <w:sz w:val="32"/>
          <w:szCs w:val="32"/>
        </w:rPr>
        <w:t>本项目中央预算内投资计划7,066万元于2022年8月11日下达到区经信委，资金的使用方向为城市燃气管道老化更新改造。</w:t>
      </w:r>
    </w:p>
    <w:p w14:paraId="6110422F">
      <w:pPr>
        <w:spacing w:line="600" w:lineRule="exact"/>
        <w:ind w:firstLine="640" w:firstLineChars="200"/>
        <w:outlineLvl w:val="2"/>
        <w:rPr>
          <w:rFonts w:eastAsia="方正楷体_GBK"/>
          <w:bCs/>
          <w:sz w:val="32"/>
          <w:szCs w:val="32"/>
        </w:rPr>
      </w:pPr>
      <w:bookmarkStart w:id="73" w:name="_Toc170909600"/>
      <w:bookmarkStart w:id="74" w:name="_Toc18490"/>
      <w:bookmarkStart w:id="75" w:name="_Toc21257"/>
      <w:r>
        <w:rPr>
          <w:rFonts w:eastAsia="方正楷体_GBK"/>
          <w:bCs/>
          <w:sz w:val="32"/>
          <w:szCs w:val="32"/>
        </w:rPr>
        <w:t>（三）项目实施情况</w:t>
      </w:r>
      <w:bookmarkEnd w:id="73"/>
      <w:bookmarkEnd w:id="74"/>
      <w:bookmarkEnd w:id="75"/>
    </w:p>
    <w:p w14:paraId="1328FA8B">
      <w:pPr>
        <w:spacing w:line="600" w:lineRule="exact"/>
        <w:ind w:firstLine="640" w:firstLineChars="200"/>
        <w:rPr>
          <w:rFonts w:eastAsia="方正仿宋_GBK"/>
          <w:color w:val="FF0000"/>
          <w:sz w:val="32"/>
          <w:szCs w:val="32"/>
        </w:rPr>
      </w:pPr>
      <w:r>
        <w:rPr>
          <w:rFonts w:hint="eastAsia" w:eastAsia="方正仿宋_GBK"/>
          <w:sz w:val="32"/>
          <w:szCs w:val="32"/>
        </w:rPr>
        <w:t>2022年2月，立项批复；2022年8月，中央预算资金下达；2022年11月，可研批复；2022年11月，概算批复；2023年2月，预算批复；2023年4月20日发布招标公告。5月11日完成开标工作，5月16日，出具中标通知书；2023年6月，监理下达开工令。截至2023年12月31日，本工程进度完成率为77.32%。</w:t>
      </w:r>
    </w:p>
    <w:p w14:paraId="1F17AA74">
      <w:pPr>
        <w:spacing w:line="600" w:lineRule="exact"/>
        <w:ind w:firstLine="640" w:firstLineChars="200"/>
        <w:outlineLvl w:val="1"/>
        <w:rPr>
          <w:rFonts w:eastAsia="方正黑体_GBK"/>
          <w:bCs/>
          <w:sz w:val="32"/>
          <w:szCs w:val="32"/>
        </w:rPr>
      </w:pPr>
      <w:bookmarkStart w:id="76" w:name="_Toc18221"/>
      <w:bookmarkStart w:id="77" w:name="_Toc5318"/>
      <w:bookmarkStart w:id="78" w:name="_Toc5058"/>
      <w:bookmarkStart w:id="79" w:name="_Toc22725"/>
      <w:bookmarkStart w:id="80" w:name="_Toc170909601"/>
      <w:bookmarkStart w:id="81" w:name="_Toc11580"/>
      <w:r>
        <w:rPr>
          <w:rFonts w:eastAsia="方正黑体_GBK"/>
          <w:bCs/>
          <w:sz w:val="32"/>
          <w:szCs w:val="32"/>
        </w:rPr>
        <w:t>二、绩效管理情况</w:t>
      </w:r>
      <w:bookmarkEnd w:id="76"/>
      <w:bookmarkEnd w:id="77"/>
      <w:bookmarkEnd w:id="78"/>
      <w:bookmarkEnd w:id="79"/>
      <w:bookmarkEnd w:id="80"/>
      <w:bookmarkEnd w:id="81"/>
    </w:p>
    <w:p w14:paraId="18758577">
      <w:pPr>
        <w:spacing w:line="600" w:lineRule="exact"/>
        <w:ind w:firstLine="640" w:firstLineChars="200"/>
        <w:outlineLvl w:val="2"/>
        <w:rPr>
          <w:rFonts w:eastAsia="方正楷体_GBK"/>
          <w:bCs/>
          <w:sz w:val="32"/>
          <w:szCs w:val="32"/>
        </w:rPr>
      </w:pPr>
      <w:bookmarkStart w:id="82" w:name="_Toc12045"/>
      <w:bookmarkStart w:id="83" w:name="_Toc4552"/>
      <w:bookmarkStart w:id="84" w:name="_Toc8574"/>
      <w:bookmarkStart w:id="85" w:name="_Toc170909602"/>
      <w:bookmarkStart w:id="86" w:name="_Toc31100"/>
      <w:r>
        <w:rPr>
          <w:rFonts w:eastAsia="方正楷体_GBK"/>
          <w:bCs/>
          <w:sz w:val="32"/>
          <w:szCs w:val="32"/>
        </w:rPr>
        <w:t>（一）绩效目标设置情况</w:t>
      </w:r>
      <w:bookmarkEnd w:id="82"/>
      <w:bookmarkEnd w:id="83"/>
      <w:bookmarkEnd w:id="84"/>
      <w:bookmarkEnd w:id="85"/>
      <w:bookmarkEnd w:id="86"/>
    </w:p>
    <w:p w14:paraId="6254B563">
      <w:pPr>
        <w:spacing w:line="600" w:lineRule="exact"/>
        <w:ind w:firstLine="640" w:firstLineChars="200"/>
        <w:rPr>
          <w:rFonts w:hAnsi="方正仿宋_GBK" w:eastAsia="方正仿宋_GBK" w:cs="方正仿宋_GBK"/>
          <w:bCs/>
          <w:sz w:val="32"/>
          <w:szCs w:val="32"/>
        </w:rPr>
      </w:pPr>
      <w:bookmarkStart w:id="87" w:name="_Toc29988"/>
      <w:bookmarkStart w:id="88" w:name="_Toc25474"/>
      <w:r>
        <w:rPr>
          <w:rFonts w:hint="eastAsia" w:eastAsia="方正仿宋_GBK"/>
          <w:sz w:val="32"/>
          <w:szCs w:val="32"/>
        </w:rPr>
        <w:t>根据《重庆市铜梁区发展和改革委员会关于下达城市燃气管道等老化更新改造2022年中央预算内投资计划的通知》（铜发改委〔2022〕170号）后附的《绩效目标申报表》</w:t>
      </w:r>
      <w:r>
        <w:rPr>
          <w:rFonts w:hint="eastAsia" w:hAnsi="方正仿宋_GBK" w:eastAsia="方正仿宋_GBK" w:cs="方正仿宋_GBK"/>
          <w:bCs/>
          <w:sz w:val="32"/>
          <w:szCs w:val="32"/>
        </w:rPr>
        <w:t>，本项目绩效总体目标为：</w:t>
      </w:r>
      <w:r>
        <w:rPr>
          <w:rFonts w:hAnsi="方正仿宋_GBK" w:eastAsia="方正仿宋_GBK" w:cs="方正仿宋_GBK"/>
          <w:bCs/>
          <w:sz w:val="32"/>
          <w:szCs w:val="32"/>
        </w:rPr>
        <w:t>按照《国家发展和改革委员会关于印发&lt;中央预算内投资保障性安居工程专项管理暂行办法&gt;的通知》</w:t>
      </w:r>
      <w:r>
        <w:rPr>
          <w:rFonts w:hint="eastAsia" w:hAnsi="方正仿宋_GBK" w:eastAsia="方正仿宋_GBK" w:cs="方正仿宋_GBK"/>
          <w:bCs/>
          <w:sz w:val="32"/>
          <w:szCs w:val="32"/>
        </w:rPr>
        <w:t>（</w:t>
      </w:r>
      <w:r>
        <w:rPr>
          <w:rFonts w:hAnsi="方正仿宋_GBK" w:eastAsia="方正仿宋_GBK" w:cs="方正仿宋_GBK"/>
          <w:bCs/>
          <w:sz w:val="32"/>
          <w:szCs w:val="32"/>
        </w:rPr>
        <w:t>发改投资规〔2019〕1035号</w:t>
      </w:r>
      <w:r>
        <w:rPr>
          <w:rFonts w:hint="eastAsia" w:hAnsi="方正仿宋_GBK" w:eastAsia="方正仿宋_GBK" w:cs="方正仿宋_GBK"/>
          <w:bCs/>
          <w:sz w:val="32"/>
          <w:szCs w:val="32"/>
        </w:rPr>
        <w:t>）</w:t>
      </w:r>
      <w:r>
        <w:rPr>
          <w:rFonts w:hAnsi="方正仿宋_GBK" w:eastAsia="方正仿宋_GBK" w:cs="方正仿宋_GBK"/>
          <w:bCs/>
          <w:sz w:val="32"/>
          <w:szCs w:val="32"/>
        </w:rPr>
        <w:t>《城市燃气管道等老化更新改造和保障性安居工程中央预算内投资专项管理暂行办法》</w:t>
      </w:r>
      <w:r>
        <w:rPr>
          <w:rFonts w:hint="eastAsia" w:hAnsi="方正仿宋_GBK" w:eastAsia="方正仿宋_GBK" w:cs="方正仿宋_GBK"/>
          <w:bCs/>
          <w:sz w:val="32"/>
          <w:szCs w:val="32"/>
        </w:rPr>
        <w:t>（</w:t>
      </w:r>
      <w:r>
        <w:rPr>
          <w:rFonts w:hAnsi="方正仿宋_GBK" w:eastAsia="方正仿宋_GBK" w:cs="方正仿宋_GBK"/>
          <w:bCs/>
          <w:sz w:val="32"/>
          <w:szCs w:val="32"/>
        </w:rPr>
        <w:t>发改投资规〔2022〕910号</w:t>
      </w:r>
      <w:r>
        <w:rPr>
          <w:rFonts w:hint="eastAsia" w:hAnsi="方正仿宋_GBK" w:eastAsia="方正仿宋_GBK" w:cs="方正仿宋_GBK"/>
          <w:bCs/>
          <w:sz w:val="32"/>
          <w:szCs w:val="32"/>
        </w:rPr>
        <w:t>）</w:t>
      </w:r>
      <w:r>
        <w:rPr>
          <w:rFonts w:hAnsi="方正仿宋_GBK" w:eastAsia="方正仿宋_GBK" w:cs="方正仿宋_GBK"/>
          <w:bCs/>
          <w:sz w:val="32"/>
          <w:szCs w:val="32"/>
        </w:rPr>
        <w:t>等文件规定将城市燃气管道等老化更新改造专项中央预算内投资下达到相关项目，用于更新改造材质落后、使用年限较长、运行环境存在安全隐患，不符合相关标准规范规定的城市燃气、供水、排水、供热等老化管道和设施。</w:t>
      </w:r>
      <w:r>
        <w:rPr>
          <w:rFonts w:hint="eastAsia" w:hAnsi="方正仿宋_GBK" w:eastAsia="方正仿宋_GBK" w:cs="方正仿宋_GBK"/>
          <w:bCs/>
          <w:sz w:val="32"/>
          <w:szCs w:val="32"/>
        </w:rPr>
        <w:t>分解到具体的绩效指标，主要设置实施效果指标、过程管理指标两个一级指标，并对应设置了产出、效益、资金管理等多个二级指标。具体绩效目标详见下表：</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2"/>
        <w:gridCol w:w="1973"/>
        <w:gridCol w:w="3945"/>
        <w:gridCol w:w="1603"/>
      </w:tblGrid>
      <w:tr w14:paraId="79619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pct"/>
            <w:shd w:val="clear" w:color="auto" w:fill="D1D1D1"/>
            <w:vAlign w:val="center"/>
          </w:tcPr>
          <w:p w14:paraId="0BD895E7">
            <w:pPr>
              <w:adjustRightInd w:val="0"/>
              <w:snapToGrid w:val="0"/>
              <w:jc w:val="center"/>
              <w:rPr>
                <w:rFonts w:eastAsia="方正仿宋_GBK"/>
                <w:b/>
                <w:sz w:val="24"/>
              </w:rPr>
            </w:pPr>
            <w:r>
              <w:rPr>
                <w:rFonts w:eastAsia="方正仿宋_GBK"/>
                <w:b/>
                <w:sz w:val="24"/>
              </w:rPr>
              <w:t>一级指标</w:t>
            </w:r>
          </w:p>
        </w:tc>
        <w:tc>
          <w:tcPr>
            <w:tcW w:w="1095" w:type="pct"/>
            <w:shd w:val="clear" w:color="auto" w:fill="D1D1D1"/>
            <w:vAlign w:val="center"/>
          </w:tcPr>
          <w:p w14:paraId="00F53200">
            <w:pPr>
              <w:adjustRightInd w:val="0"/>
              <w:snapToGrid w:val="0"/>
              <w:jc w:val="center"/>
              <w:rPr>
                <w:rFonts w:eastAsia="方正仿宋_GBK"/>
                <w:b/>
                <w:sz w:val="24"/>
              </w:rPr>
            </w:pPr>
            <w:r>
              <w:rPr>
                <w:rFonts w:eastAsia="方正仿宋_GBK"/>
                <w:b/>
                <w:sz w:val="24"/>
              </w:rPr>
              <w:t>二级指标</w:t>
            </w:r>
          </w:p>
        </w:tc>
        <w:tc>
          <w:tcPr>
            <w:tcW w:w="2190" w:type="pct"/>
            <w:shd w:val="clear" w:color="auto" w:fill="D1D1D1"/>
            <w:vAlign w:val="center"/>
          </w:tcPr>
          <w:p w14:paraId="3AAEA3DC">
            <w:pPr>
              <w:adjustRightInd w:val="0"/>
              <w:snapToGrid w:val="0"/>
              <w:jc w:val="center"/>
              <w:rPr>
                <w:rFonts w:eastAsia="方正仿宋_GBK"/>
                <w:b/>
                <w:sz w:val="24"/>
              </w:rPr>
            </w:pPr>
            <w:r>
              <w:rPr>
                <w:rFonts w:eastAsia="方正仿宋_GBK"/>
                <w:b/>
                <w:sz w:val="24"/>
              </w:rPr>
              <w:t>三级指标</w:t>
            </w:r>
          </w:p>
        </w:tc>
        <w:tc>
          <w:tcPr>
            <w:tcW w:w="890" w:type="pct"/>
            <w:shd w:val="clear" w:color="auto" w:fill="D1D1D1"/>
            <w:vAlign w:val="center"/>
          </w:tcPr>
          <w:p w14:paraId="34472615">
            <w:pPr>
              <w:adjustRightInd w:val="0"/>
              <w:snapToGrid w:val="0"/>
              <w:jc w:val="center"/>
              <w:rPr>
                <w:rFonts w:eastAsia="方正仿宋_GBK"/>
                <w:b/>
                <w:sz w:val="24"/>
              </w:rPr>
            </w:pPr>
            <w:r>
              <w:rPr>
                <w:rFonts w:eastAsia="方正仿宋_GBK"/>
                <w:b/>
                <w:sz w:val="24"/>
              </w:rPr>
              <w:t>指标值</w:t>
            </w:r>
          </w:p>
        </w:tc>
      </w:tr>
      <w:tr w14:paraId="01BC9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pct"/>
            <w:vMerge w:val="restart"/>
            <w:vAlign w:val="center"/>
          </w:tcPr>
          <w:p w14:paraId="56EDB7EA">
            <w:pPr>
              <w:adjustRightInd w:val="0"/>
              <w:snapToGrid w:val="0"/>
              <w:jc w:val="center"/>
              <w:rPr>
                <w:rFonts w:eastAsia="方正仿宋_GBK"/>
                <w:sz w:val="24"/>
              </w:rPr>
            </w:pPr>
            <w:r>
              <w:rPr>
                <w:rFonts w:eastAsia="方正仿宋_GBK"/>
                <w:sz w:val="24"/>
              </w:rPr>
              <w:t>实施效果指标</w:t>
            </w:r>
          </w:p>
        </w:tc>
        <w:tc>
          <w:tcPr>
            <w:tcW w:w="1095" w:type="pct"/>
            <w:vMerge w:val="restart"/>
            <w:vAlign w:val="center"/>
          </w:tcPr>
          <w:p w14:paraId="357A82D4">
            <w:pPr>
              <w:adjustRightInd w:val="0"/>
              <w:snapToGrid w:val="0"/>
              <w:jc w:val="center"/>
              <w:rPr>
                <w:rFonts w:eastAsia="方正仿宋_GBK"/>
                <w:sz w:val="24"/>
              </w:rPr>
            </w:pPr>
            <w:r>
              <w:rPr>
                <w:rFonts w:eastAsia="方正仿宋_GBK"/>
                <w:sz w:val="24"/>
              </w:rPr>
              <w:t>产出指标</w:t>
            </w:r>
          </w:p>
        </w:tc>
        <w:tc>
          <w:tcPr>
            <w:tcW w:w="2190" w:type="pct"/>
            <w:vAlign w:val="center"/>
          </w:tcPr>
          <w:p w14:paraId="3026556C">
            <w:pPr>
              <w:adjustRightInd w:val="0"/>
              <w:snapToGrid w:val="0"/>
              <w:jc w:val="center"/>
              <w:rPr>
                <w:rFonts w:eastAsia="方正仿宋_GBK"/>
                <w:bCs/>
                <w:sz w:val="24"/>
              </w:rPr>
            </w:pPr>
            <w:r>
              <w:rPr>
                <w:rFonts w:eastAsia="方正仿宋_GBK"/>
                <w:bCs/>
                <w:sz w:val="24"/>
              </w:rPr>
              <w:t>支持城市燃气管道等老化更新改造项目</w:t>
            </w:r>
          </w:p>
        </w:tc>
        <w:tc>
          <w:tcPr>
            <w:tcW w:w="890" w:type="pct"/>
            <w:vAlign w:val="center"/>
          </w:tcPr>
          <w:p w14:paraId="542D2E0D">
            <w:pPr>
              <w:adjustRightInd w:val="0"/>
              <w:snapToGrid w:val="0"/>
              <w:jc w:val="center"/>
              <w:rPr>
                <w:rFonts w:eastAsia="方正仿宋_GBK"/>
                <w:bCs/>
                <w:sz w:val="24"/>
              </w:rPr>
            </w:pPr>
            <w:r>
              <w:rPr>
                <w:rFonts w:eastAsia="方正仿宋_GBK"/>
                <w:bCs/>
                <w:sz w:val="24"/>
              </w:rPr>
              <w:t>完成年度改造计划</w:t>
            </w:r>
          </w:p>
        </w:tc>
      </w:tr>
      <w:tr w14:paraId="1AC82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pct"/>
            <w:vMerge w:val="continue"/>
            <w:vAlign w:val="center"/>
          </w:tcPr>
          <w:p w14:paraId="43BC029C">
            <w:pPr>
              <w:adjustRightInd w:val="0"/>
              <w:snapToGrid w:val="0"/>
              <w:jc w:val="center"/>
              <w:rPr>
                <w:rFonts w:eastAsia="方正仿宋_GBK"/>
                <w:bCs/>
                <w:sz w:val="24"/>
              </w:rPr>
            </w:pPr>
          </w:p>
        </w:tc>
        <w:tc>
          <w:tcPr>
            <w:tcW w:w="1095" w:type="pct"/>
            <w:vMerge w:val="continue"/>
            <w:vAlign w:val="center"/>
          </w:tcPr>
          <w:p w14:paraId="425D8E9A">
            <w:pPr>
              <w:adjustRightInd w:val="0"/>
              <w:snapToGrid w:val="0"/>
              <w:jc w:val="center"/>
              <w:rPr>
                <w:rFonts w:eastAsia="方正仿宋_GBK"/>
                <w:bCs/>
                <w:sz w:val="24"/>
              </w:rPr>
            </w:pPr>
          </w:p>
        </w:tc>
        <w:tc>
          <w:tcPr>
            <w:tcW w:w="2190" w:type="pct"/>
            <w:vAlign w:val="center"/>
          </w:tcPr>
          <w:p w14:paraId="4515BFA2">
            <w:pPr>
              <w:adjustRightInd w:val="0"/>
              <w:snapToGrid w:val="0"/>
              <w:jc w:val="center"/>
              <w:rPr>
                <w:rFonts w:eastAsia="方正仿宋_GBK"/>
                <w:bCs/>
                <w:sz w:val="24"/>
              </w:rPr>
            </w:pPr>
            <w:r>
              <w:rPr>
                <w:rFonts w:eastAsia="方正仿宋_GBK"/>
                <w:bCs/>
                <w:sz w:val="24"/>
              </w:rPr>
              <w:t>下达中央预算内投资</w:t>
            </w:r>
          </w:p>
        </w:tc>
        <w:tc>
          <w:tcPr>
            <w:tcW w:w="890" w:type="pct"/>
            <w:vAlign w:val="center"/>
          </w:tcPr>
          <w:p w14:paraId="35BF9AAD">
            <w:pPr>
              <w:adjustRightInd w:val="0"/>
              <w:snapToGrid w:val="0"/>
              <w:jc w:val="center"/>
              <w:rPr>
                <w:rFonts w:eastAsia="方正仿宋_GBK"/>
                <w:bCs/>
                <w:sz w:val="24"/>
              </w:rPr>
            </w:pPr>
            <w:r>
              <w:rPr>
                <w:rFonts w:eastAsia="方正仿宋_GBK"/>
                <w:bCs/>
                <w:sz w:val="24"/>
              </w:rPr>
              <w:t>11</w:t>
            </w:r>
            <w:r>
              <w:rPr>
                <w:rFonts w:hint="eastAsia" w:eastAsia="方正仿宋_GBK"/>
                <w:bCs/>
                <w:sz w:val="24"/>
              </w:rPr>
              <w:t>,</w:t>
            </w:r>
            <w:r>
              <w:rPr>
                <w:rFonts w:eastAsia="方正仿宋_GBK"/>
                <w:bCs/>
                <w:sz w:val="24"/>
              </w:rPr>
              <w:t>097万元</w:t>
            </w:r>
          </w:p>
        </w:tc>
      </w:tr>
      <w:tr w14:paraId="7AA26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pct"/>
            <w:vMerge w:val="continue"/>
            <w:vAlign w:val="center"/>
          </w:tcPr>
          <w:p w14:paraId="44325BD5">
            <w:pPr>
              <w:adjustRightInd w:val="0"/>
              <w:snapToGrid w:val="0"/>
              <w:jc w:val="center"/>
              <w:rPr>
                <w:rFonts w:eastAsia="方正仿宋_GBK"/>
                <w:bCs/>
                <w:sz w:val="24"/>
              </w:rPr>
            </w:pPr>
          </w:p>
        </w:tc>
        <w:tc>
          <w:tcPr>
            <w:tcW w:w="1095" w:type="pct"/>
            <w:vAlign w:val="center"/>
          </w:tcPr>
          <w:p w14:paraId="07D84745">
            <w:pPr>
              <w:adjustRightInd w:val="0"/>
              <w:snapToGrid w:val="0"/>
              <w:jc w:val="center"/>
              <w:rPr>
                <w:rFonts w:eastAsia="方正仿宋_GBK"/>
                <w:bCs/>
                <w:sz w:val="24"/>
              </w:rPr>
            </w:pPr>
            <w:r>
              <w:rPr>
                <w:rFonts w:eastAsia="方正仿宋_GBK"/>
                <w:bCs/>
                <w:sz w:val="24"/>
              </w:rPr>
              <w:t>效益指标</w:t>
            </w:r>
          </w:p>
        </w:tc>
        <w:tc>
          <w:tcPr>
            <w:tcW w:w="2190" w:type="pct"/>
            <w:vAlign w:val="center"/>
          </w:tcPr>
          <w:p w14:paraId="5215C6C6">
            <w:pPr>
              <w:adjustRightInd w:val="0"/>
              <w:snapToGrid w:val="0"/>
              <w:jc w:val="center"/>
              <w:rPr>
                <w:rFonts w:eastAsia="方正仿宋_GBK"/>
                <w:bCs/>
                <w:sz w:val="24"/>
              </w:rPr>
            </w:pPr>
            <w:r>
              <w:rPr>
                <w:rFonts w:eastAsia="方正仿宋_GBK"/>
                <w:bCs/>
                <w:sz w:val="24"/>
              </w:rPr>
              <w:t>提高群众获得感、幸福感</w:t>
            </w:r>
          </w:p>
        </w:tc>
        <w:tc>
          <w:tcPr>
            <w:tcW w:w="890" w:type="pct"/>
            <w:vAlign w:val="center"/>
          </w:tcPr>
          <w:p w14:paraId="48A4799F">
            <w:pPr>
              <w:adjustRightInd w:val="0"/>
              <w:snapToGrid w:val="0"/>
              <w:jc w:val="center"/>
              <w:rPr>
                <w:rFonts w:eastAsia="方正仿宋_GBK"/>
                <w:bCs/>
                <w:sz w:val="24"/>
              </w:rPr>
            </w:pPr>
            <w:r>
              <w:rPr>
                <w:rFonts w:eastAsia="方正仿宋_GBK"/>
                <w:bCs/>
                <w:sz w:val="24"/>
              </w:rPr>
              <w:t>有效提高</w:t>
            </w:r>
          </w:p>
        </w:tc>
      </w:tr>
      <w:tr w14:paraId="6C992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pct"/>
            <w:vMerge w:val="continue"/>
            <w:vAlign w:val="center"/>
          </w:tcPr>
          <w:p w14:paraId="26FEBECA">
            <w:pPr>
              <w:adjustRightInd w:val="0"/>
              <w:snapToGrid w:val="0"/>
              <w:jc w:val="center"/>
              <w:rPr>
                <w:rFonts w:eastAsia="方正仿宋_GBK"/>
                <w:bCs/>
                <w:sz w:val="24"/>
              </w:rPr>
            </w:pPr>
          </w:p>
        </w:tc>
        <w:tc>
          <w:tcPr>
            <w:tcW w:w="1095" w:type="pct"/>
            <w:vAlign w:val="center"/>
          </w:tcPr>
          <w:p w14:paraId="13212B57">
            <w:pPr>
              <w:adjustRightInd w:val="0"/>
              <w:snapToGrid w:val="0"/>
              <w:jc w:val="center"/>
              <w:rPr>
                <w:rFonts w:eastAsia="方正仿宋_GBK"/>
                <w:bCs/>
                <w:sz w:val="24"/>
              </w:rPr>
            </w:pPr>
            <w:r>
              <w:rPr>
                <w:rFonts w:eastAsia="方正仿宋_GBK"/>
                <w:bCs/>
                <w:sz w:val="24"/>
              </w:rPr>
              <w:t>满意度指标</w:t>
            </w:r>
          </w:p>
        </w:tc>
        <w:tc>
          <w:tcPr>
            <w:tcW w:w="2190" w:type="pct"/>
            <w:vAlign w:val="center"/>
          </w:tcPr>
          <w:p w14:paraId="23711EB3">
            <w:pPr>
              <w:adjustRightInd w:val="0"/>
              <w:snapToGrid w:val="0"/>
              <w:jc w:val="center"/>
              <w:rPr>
                <w:rFonts w:eastAsia="方正仿宋_GBK"/>
                <w:bCs/>
                <w:sz w:val="24"/>
              </w:rPr>
            </w:pPr>
            <w:r>
              <w:rPr>
                <w:rFonts w:eastAsia="方正仿宋_GBK"/>
                <w:bCs/>
                <w:sz w:val="24"/>
              </w:rPr>
              <w:t>居民满意度</w:t>
            </w:r>
          </w:p>
        </w:tc>
        <w:tc>
          <w:tcPr>
            <w:tcW w:w="890" w:type="pct"/>
            <w:vAlign w:val="center"/>
          </w:tcPr>
          <w:p w14:paraId="396183C1">
            <w:pPr>
              <w:adjustRightInd w:val="0"/>
              <w:snapToGrid w:val="0"/>
              <w:jc w:val="center"/>
              <w:rPr>
                <w:rFonts w:eastAsia="方正仿宋_GBK"/>
                <w:bCs/>
                <w:sz w:val="24"/>
              </w:rPr>
            </w:pPr>
            <w:r>
              <w:rPr>
                <w:rFonts w:eastAsia="方正仿宋_GBK"/>
                <w:bCs/>
                <w:sz w:val="24"/>
              </w:rPr>
              <w:t>≥80%</w:t>
            </w:r>
          </w:p>
        </w:tc>
      </w:tr>
      <w:tr w14:paraId="6C69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pct"/>
            <w:vMerge w:val="restart"/>
            <w:vAlign w:val="center"/>
          </w:tcPr>
          <w:p w14:paraId="3AB0ED58">
            <w:pPr>
              <w:adjustRightInd w:val="0"/>
              <w:snapToGrid w:val="0"/>
              <w:jc w:val="center"/>
              <w:rPr>
                <w:rFonts w:eastAsia="方正仿宋_GBK"/>
                <w:bCs/>
                <w:sz w:val="24"/>
              </w:rPr>
            </w:pPr>
            <w:r>
              <w:rPr>
                <w:rFonts w:eastAsia="方正仿宋_GBK"/>
                <w:bCs/>
                <w:sz w:val="24"/>
              </w:rPr>
              <w:t>过程管理指标</w:t>
            </w:r>
          </w:p>
        </w:tc>
        <w:tc>
          <w:tcPr>
            <w:tcW w:w="1095" w:type="pct"/>
            <w:vMerge w:val="restart"/>
            <w:vAlign w:val="center"/>
          </w:tcPr>
          <w:p w14:paraId="07A9DE3C">
            <w:pPr>
              <w:adjustRightInd w:val="0"/>
              <w:snapToGrid w:val="0"/>
              <w:jc w:val="center"/>
              <w:rPr>
                <w:rFonts w:eastAsia="方正仿宋_GBK"/>
                <w:bCs/>
                <w:sz w:val="24"/>
              </w:rPr>
            </w:pPr>
            <w:r>
              <w:rPr>
                <w:rFonts w:eastAsia="方正仿宋_GBK"/>
                <w:bCs/>
                <w:sz w:val="24"/>
              </w:rPr>
              <w:t>计划管理指标</w:t>
            </w:r>
          </w:p>
        </w:tc>
        <w:tc>
          <w:tcPr>
            <w:tcW w:w="2190" w:type="pct"/>
            <w:vAlign w:val="center"/>
          </w:tcPr>
          <w:p w14:paraId="5CF2CF61">
            <w:pPr>
              <w:adjustRightInd w:val="0"/>
              <w:snapToGrid w:val="0"/>
              <w:jc w:val="center"/>
              <w:rPr>
                <w:rFonts w:eastAsia="方正仿宋_GBK"/>
                <w:bCs/>
                <w:sz w:val="24"/>
              </w:rPr>
            </w:pPr>
            <w:r>
              <w:rPr>
                <w:rFonts w:eastAsia="方正仿宋_GBK"/>
                <w:bCs/>
                <w:sz w:val="24"/>
              </w:rPr>
              <w:t>投资计划分解（转发）用时达标率</w:t>
            </w:r>
          </w:p>
        </w:tc>
        <w:tc>
          <w:tcPr>
            <w:tcW w:w="890" w:type="pct"/>
            <w:vAlign w:val="center"/>
          </w:tcPr>
          <w:p w14:paraId="5A6637E3">
            <w:pPr>
              <w:adjustRightInd w:val="0"/>
              <w:snapToGrid w:val="0"/>
              <w:jc w:val="center"/>
              <w:rPr>
                <w:rFonts w:eastAsia="方正仿宋_GBK"/>
                <w:bCs/>
                <w:sz w:val="24"/>
              </w:rPr>
            </w:pPr>
            <w:r>
              <w:rPr>
                <w:rFonts w:eastAsia="方正仿宋_GBK"/>
                <w:bCs/>
                <w:sz w:val="24"/>
              </w:rPr>
              <w:t>100%</w:t>
            </w:r>
          </w:p>
        </w:tc>
      </w:tr>
      <w:tr w14:paraId="389FB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pct"/>
            <w:vMerge w:val="continue"/>
            <w:vAlign w:val="center"/>
          </w:tcPr>
          <w:p w14:paraId="6B126435">
            <w:pPr>
              <w:adjustRightInd w:val="0"/>
              <w:snapToGrid w:val="0"/>
              <w:jc w:val="center"/>
              <w:rPr>
                <w:rFonts w:eastAsia="方正仿宋_GBK"/>
                <w:bCs/>
                <w:sz w:val="24"/>
              </w:rPr>
            </w:pPr>
          </w:p>
        </w:tc>
        <w:tc>
          <w:tcPr>
            <w:tcW w:w="1095" w:type="pct"/>
            <w:vMerge w:val="continue"/>
            <w:vAlign w:val="center"/>
          </w:tcPr>
          <w:p w14:paraId="2597C3EB">
            <w:pPr>
              <w:adjustRightInd w:val="0"/>
              <w:snapToGrid w:val="0"/>
              <w:jc w:val="center"/>
              <w:rPr>
                <w:rFonts w:eastAsia="方正仿宋_GBK"/>
                <w:bCs/>
                <w:sz w:val="24"/>
              </w:rPr>
            </w:pPr>
          </w:p>
        </w:tc>
        <w:tc>
          <w:tcPr>
            <w:tcW w:w="2190" w:type="pct"/>
            <w:vAlign w:val="center"/>
          </w:tcPr>
          <w:p w14:paraId="0BAED337">
            <w:pPr>
              <w:adjustRightInd w:val="0"/>
              <w:snapToGrid w:val="0"/>
              <w:jc w:val="center"/>
              <w:rPr>
                <w:rFonts w:eastAsia="方正仿宋_GBK"/>
                <w:bCs/>
                <w:sz w:val="24"/>
              </w:rPr>
            </w:pPr>
            <w:r>
              <w:rPr>
                <w:rFonts w:eastAsia="方正仿宋_GBK"/>
                <w:bCs/>
                <w:sz w:val="24"/>
              </w:rPr>
              <w:t>“两个责任”按项目落实到位率</w:t>
            </w:r>
          </w:p>
        </w:tc>
        <w:tc>
          <w:tcPr>
            <w:tcW w:w="890" w:type="pct"/>
            <w:vAlign w:val="center"/>
          </w:tcPr>
          <w:p w14:paraId="5B1C457F">
            <w:pPr>
              <w:adjustRightInd w:val="0"/>
              <w:snapToGrid w:val="0"/>
              <w:jc w:val="center"/>
              <w:rPr>
                <w:rFonts w:eastAsia="方正仿宋_GBK"/>
                <w:bCs/>
                <w:sz w:val="24"/>
              </w:rPr>
            </w:pPr>
            <w:r>
              <w:rPr>
                <w:rFonts w:eastAsia="方正仿宋_GBK"/>
                <w:bCs/>
                <w:sz w:val="24"/>
              </w:rPr>
              <w:t>100%</w:t>
            </w:r>
          </w:p>
        </w:tc>
      </w:tr>
      <w:tr w14:paraId="3CFBA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pct"/>
            <w:vMerge w:val="continue"/>
            <w:vAlign w:val="center"/>
          </w:tcPr>
          <w:p w14:paraId="35BC2FBD">
            <w:pPr>
              <w:adjustRightInd w:val="0"/>
              <w:snapToGrid w:val="0"/>
              <w:jc w:val="center"/>
              <w:rPr>
                <w:rFonts w:eastAsia="方正仿宋_GBK"/>
                <w:bCs/>
                <w:sz w:val="24"/>
              </w:rPr>
            </w:pPr>
          </w:p>
        </w:tc>
        <w:tc>
          <w:tcPr>
            <w:tcW w:w="1095" w:type="pct"/>
            <w:vMerge w:val="restart"/>
            <w:vAlign w:val="center"/>
          </w:tcPr>
          <w:p w14:paraId="600CAB1E">
            <w:pPr>
              <w:adjustRightInd w:val="0"/>
              <w:snapToGrid w:val="0"/>
              <w:jc w:val="center"/>
              <w:rPr>
                <w:rFonts w:eastAsia="方正仿宋_GBK"/>
                <w:sz w:val="24"/>
              </w:rPr>
            </w:pPr>
            <w:r>
              <w:rPr>
                <w:rFonts w:eastAsia="方正仿宋_GBK"/>
                <w:sz w:val="24"/>
              </w:rPr>
              <w:t>资金管理指标</w:t>
            </w:r>
          </w:p>
        </w:tc>
        <w:tc>
          <w:tcPr>
            <w:tcW w:w="2190" w:type="pct"/>
            <w:vAlign w:val="center"/>
          </w:tcPr>
          <w:p w14:paraId="0C8DE8AD">
            <w:pPr>
              <w:adjustRightInd w:val="0"/>
              <w:snapToGrid w:val="0"/>
              <w:jc w:val="center"/>
              <w:rPr>
                <w:rFonts w:eastAsia="方正仿宋_GBK"/>
                <w:bCs/>
                <w:sz w:val="24"/>
              </w:rPr>
            </w:pPr>
            <w:r>
              <w:rPr>
                <w:rFonts w:eastAsia="方正仿宋_GBK"/>
                <w:bCs/>
                <w:sz w:val="24"/>
              </w:rPr>
              <w:t>中央预算内投资支付率</w:t>
            </w:r>
          </w:p>
        </w:tc>
        <w:tc>
          <w:tcPr>
            <w:tcW w:w="890" w:type="pct"/>
            <w:vAlign w:val="center"/>
          </w:tcPr>
          <w:p w14:paraId="4E624D72">
            <w:pPr>
              <w:adjustRightInd w:val="0"/>
              <w:snapToGrid w:val="0"/>
              <w:jc w:val="center"/>
              <w:rPr>
                <w:rFonts w:eastAsia="方正仿宋_GBK"/>
                <w:bCs/>
                <w:sz w:val="24"/>
              </w:rPr>
            </w:pPr>
            <w:r>
              <w:rPr>
                <w:rFonts w:eastAsia="方正仿宋_GBK"/>
                <w:bCs/>
                <w:sz w:val="24"/>
              </w:rPr>
              <w:t>≥65%</w:t>
            </w:r>
          </w:p>
        </w:tc>
      </w:tr>
      <w:tr w14:paraId="505D5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pct"/>
            <w:vMerge w:val="continue"/>
            <w:vAlign w:val="center"/>
          </w:tcPr>
          <w:p w14:paraId="7D158F0A">
            <w:pPr>
              <w:adjustRightInd w:val="0"/>
              <w:snapToGrid w:val="0"/>
              <w:jc w:val="center"/>
              <w:rPr>
                <w:rFonts w:eastAsia="方正仿宋_GBK"/>
                <w:bCs/>
                <w:sz w:val="24"/>
              </w:rPr>
            </w:pPr>
          </w:p>
        </w:tc>
        <w:tc>
          <w:tcPr>
            <w:tcW w:w="1095" w:type="pct"/>
            <w:vMerge w:val="continue"/>
            <w:vAlign w:val="center"/>
          </w:tcPr>
          <w:p w14:paraId="09F151C6">
            <w:pPr>
              <w:adjustRightInd w:val="0"/>
              <w:snapToGrid w:val="0"/>
              <w:jc w:val="center"/>
              <w:rPr>
                <w:rFonts w:eastAsia="方正仿宋_GBK"/>
                <w:bCs/>
                <w:sz w:val="24"/>
              </w:rPr>
            </w:pPr>
          </w:p>
        </w:tc>
        <w:tc>
          <w:tcPr>
            <w:tcW w:w="2190" w:type="pct"/>
            <w:vAlign w:val="center"/>
          </w:tcPr>
          <w:p w14:paraId="3246FF2E">
            <w:pPr>
              <w:adjustRightInd w:val="0"/>
              <w:snapToGrid w:val="0"/>
              <w:jc w:val="center"/>
              <w:rPr>
                <w:rFonts w:eastAsia="方正仿宋_GBK"/>
                <w:bCs/>
                <w:sz w:val="24"/>
              </w:rPr>
            </w:pPr>
            <w:r>
              <w:rPr>
                <w:rFonts w:eastAsia="方正仿宋_GBK"/>
                <w:bCs/>
                <w:sz w:val="24"/>
              </w:rPr>
              <w:t>年度投资计划完成率</w:t>
            </w:r>
          </w:p>
        </w:tc>
        <w:tc>
          <w:tcPr>
            <w:tcW w:w="890" w:type="pct"/>
            <w:vAlign w:val="center"/>
          </w:tcPr>
          <w:p w14:paraId="2ADB5851">
            <w:pPr>
              <w:adjustRightInd w:val="0"/>
              <w:snapToGrid w:val="0"/>
              <w:jc w:val="center"/>
              <w:rPr>
                <w:rFonts w:eastAsia="方正仿宋_GBK"/>
                <w:bCs/>
                <w:sz w:val="24"/>
              </w:rPr>
            </w:pPr>
            <w:r>
              <w:rPr>
                <w:rFonts w:eastAsia="方正仿宋_GBK"/>
                <w:bCs/>
                <w:sz w:val="24"/>
              </w:rPr>
              <w:t>≥80%</w:t>
            </w:r>
          </w:p>
        </w:tc>
      </w:tr>
      <w:tr w14:paraId="5798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pct"/>
            <w:vMerge w:val="continue"/>
            <w:vAlign w:val="center"/>
          </w:tcPr>
          <w:p w14:paraId="0A0655E0">
            <w:pPr>
              <w:adjustRightInd w:val="0"/>
              <w:snapToGrid w:val="0"/>
              <w:jc w:val="center"/>
              <w:rPr>
                <w:rFonts w:eastAsia="方正仿宋_GBK"/>
                <w:bCs/>
                <w:sz w:val="24"/>
              </w:rPr>
            </w:pPr>
          </w:p>
        </w:tc>
        <w:tc>
          <w:tcPr>
            <w:tcW w:w="1095" w:type="pct"/>
            <w:vMerge w:val="restart"/>
            <w:vAlign w:val="center"/>
          </w:tcPr>
          <w:p w14:paraId="2BFF71B1">
            <w:pPr>
              <w:adjustRightInd w:val="0"/>
              <w:snapToGrid w:val="0"/>
              <w:jc w:val="center"/>
              <w:rPr>
                <w:rFonts w:eastAsia="方正仿宋_GBK"/>
                <w:bCs/>
                <w:sz w:val="24"/>
              </w:rPr>
            </w:pPr>
            <w:r>
              <w:rPr>
                <w:rFonts w:eastAsia="方正仿宋_GBK"/>
                <w:bCs/>
                <w:sz w:val="24"/>
              </w:rPr>
              <w:t>项目管理指标</w:t>
            </w:r>
          </w:p>
        </w:tc>
        <w:tc>
          <w:tcPr>
            <w:tcW w:w="2190" w:type="pct"/>
            <w:vAlign w:val="center"/>
          </w:tcPr>
          <w:p w14:paraId="35F53F72">
            <w:pPr>
              <w:adjustRightInd w:val="0"/>
              <w:snapToGrid w:val="0"/>
              <w:jc w:val="center"/>
              <w:rPr>
                <w:rFonts w:eastAsia="方正仿宋_GBK"/>
                <w:bCs/>
                <w:sz w:val="24"/>
              </w:rPr>
            </w:pPr>
            <w:r>
              <w:rPr>
                <w:rFonts w:eastAsia="方正仿宋_GBK"/>
                <w:bCs/>
                <w:sz w:val="24"/>
              </w:rPr>
              <w:t>项目开工率</w:t>
            </w:r>
          </w:p>
        </w:tc>
        <w:tc>
          <w:tcPr>
            <w:tcW w:w="890" w:type="pct"/>
            <w:vAlign w:val="center"/>
          </w:tcPr>
          <w:p w14:paraId="5836D9EF">
            <w:pPr>
              <w:adjustRightInd w:val="0"/>
              <w:snapToGrid w:val="0"/>
              <w:jc w:val="center"/>
              <w:rPr>
                <w:rFonts w:eastAsia="方正仿宋_GBK"/>
                <w:bCs/>
                <w:sz w:val="24"/>
              </w:rPr>
            </w:pPr>
            <w:r>
              <w:rPr>
                <w:rFonts w:eastAsia="方正仿宋_GBK"/>
                <w:bCs/>
                <w:sz w:val="24"/>
              </w:rPr>
              <w:t>≥95%</w:t>
            </w:r>
          </w:p>
        </w:tc>
      </w:tr>
      <w:tr w14:paraId="65AFA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pct"/>
            <w:vMerge w:val="continue"/>
            <w:vAlign w:val="center"/>
          </w:tcPr>
          <w:p w14:paraId="35F8DCD2">
            <w:pPr>
              <w:adjustRightInd w:val="0"/>
              <w:snapToGrid w:val="0"/>
              <w:jc w:val="center"/>
              <w:rPr>
                <w:rFonts w:eastAsia="方正仿宋_GBK"/>
                <w:bCs/>
                <w:sz w:val="24"/>
              </w:rPr>
            </w:pPr>
          </w:p>
        </w:tc>
        <w:tc>
          <w:tcPr>
            <w:tcW w:w="1095" w:type="pct"/>
            <w:vMerge w:val="continue"/>
            <w:vAlign w:val="center"/>
          </w:tcPr>
          <w:p w14:paraId="1A76960D">
            <w:pPr>
              <w:adjustRightInd w:val="0"/>
              <w:snapToGrid w:val="0"/>
              <w:jc w:val="center"/>
              <w:rPr>
                <w:rFonts w:eastAsia="方正仿宋_GBK"/>
                <w:bCs/>
                <w:sz w:val="24"/>
              </w:rPr>
            </w:pPr>
          </w:p>
        </w:tc>
        <w:tc>
          <w:tcPr>
            <w:tcW w:w="2190" w:type="pct"/>
            <w:vAlign w:val="center"/>
          </w:tcPr>
          <w:p w14:paraId="03B9C1C0">
            <w:pPr>
              <w:adjustRightInd w:val="0"/>
              <w:snapToGrid w:val="0"/>
              <w:jc w:val="center"/>
              <w:rPr>
                <w:rFonts w:eastAsia="方正仿宋_GBK"/>
                <w:bCs/>
                <w:sz w:val="24"/>
              </w:rPr>
            </w:pPr>
            <w:r>
              <w:rPr>
                <w:rFonts w:eastAsia="方正仿宋_GBK"/>
                <w:bCs/>
                <w:sz w:val="24"/>
              </w:rPr>
              <w:t>超规模、超标准、超概算项目比例</w:t>
            </w:r>
          </w:p>
        </w:tc>
        <w:tc>
          <w:tcPr>
            <w:tcW w:w="890" w:type="pct"/>
            <w:vAlign w:val="center"/>
          </w:tcPr>
          <w:p w14:paraId="0DE0BC09">
            <w:pPr>
              <w:adjustRightInd w:val="0"/>
              <w:snapToGrid w:val="0"/>
              <w:jc w:val="center"/>
              <w:rPr>
                <w:rFonts w:eastAsia="方正仿宋_GBK"/>
                <w:bCs/>
                <w:sz w:val="24"/>
              </w:rPr>
            </w:pPr>
            <w:r>
              <w:rPr>
                <w:rFonts w:eastAsia="方正仿宋_GBK"/>
                <w:bCs/>
                <w:sz w:val="24"/>
              </w:rPr>
              <w:t>≤5%</w:t>
            </w:r>
          </w:p>
        </w:tc>
      </w:tr>
      <w:tr w14:paraId="73F68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pct"/>
            <w:vMerge w:val="continue"/>
            <w:vAlign w:val="center"/>
          </w:tcPr>
          <w:p w14:paraId="236146D3">
            <w:pPr>
              <w:adjustRightInd w:val="0"/>
              <w:snapToGrid w:val="0"/>
              <w:jc w:val="center"/>
              <w:rPr>
                <w:rFonts w:eastAsia="方正仿宋_GBK"/>
                <w:bCs/>
                <w:sz w:val="24"/>
              </w:rPr>
            </w:pPr>
          </w:p>
        </w:tc>
        <w:tc>
          <w:tcPr>
            <w:tcW w:w="1095" w:type="pct"/>
            <w:vAlign w:val="center"/>
          </w:tcPr>
          <w:p w14:paraId="07A51355">
            <w:pPr>
              <w:adjustRightInd w:val="0"/>
              <w:snapToGrid w:val="0"/>
              <w:jc w:val="center"/>
              <w:rPr>
                <w:rFonts w:eastAsia="方正仿宋_GBK"/>
                <w:bCs/>
                <w:sz w:val="24"/>
              </w:rPr>
            </w:pPr>
            <w:r>
              <w:rPr>
                <w:rFonts w:eastAsia="方正仿宋_GBK"/>
                <w:bCs/>
                <w:sz w:val="24"/>
              </w:rPr>
              <w:t>监督检查指标</w:t>
            </w:r>
          </w:p>
        </w:tc>
        <w:tc>
          <w:tcPr>
            <w:tcW w:w="2190" w:type="pct"/>
            <w:vAlign w:val="center"/>
          </w:tcPr>
          <w:p w14:paraId="7A935743">
            <w:pPr>
              <w:adjustRightInd w:val="0"/>
              <w:snapToGrid w:val="0"/>
              <w:jc w:val="center"/>
              <w:rPr>
                <w:rFonts w:eastAsia="方正仿宋_GBK"/>
                <w:bCs/>
                <w:sz w:val="24"/>
              </w:rPr>
            </w:pPr>
            <w:r>
              <w:rPr>
                <w:rFonts w:eastAsia="方正仿宋_GBK"/>
                <w:bCs/>
                <w:sz w:val="24"/>
              </w:rPr>
              <w:t>审计、督查、巡视等指出问题项目比例</w:t>
            </w:r>
          </w:p>
        </w:tc>
        <w:tc>
          <w:tcPr>
            <w:tcW w:w="890" w:type="pct"/>
            <w:vAlign w:val="center"/>
          </w:tcPr>
          <w:p w14:paraId="578E1B5D">
            <w:pPr>
              <w:adjustRightInd w:val="0"/>
              <w:snapToGrid w:val="0"/>
              <w:jc w:val="center"/>
              <w:rPr>
                <w:rFonts w:eastAsia="方正仿宋_GBK"/>
                <w:bCs/>
                <w:sz w:val="24"/>
              </w:rPr>
            </w:pPr>
            <w:r>
              <w:rPr>
                <w:rFonts w:eastAsia="方正仿宋_GBK"/>
                <w:bCs/>
                <w:sz w:val="24"/>
              </w:rPr>
              <w:t>≤1%</w:t>
            </w:r>
          </w:p>
        </w:tc>
      </w:tr>
      <w:bookmarkEnd w:id="87"/>
      <w:bookmarkEnd w:id="88"/>
    </w:tbl>
    <w:p w14:paraId="30BEABC9">
      <w:pPr>
        <w:spacing w:line="600" w:lineRule="exact"/>
        <w:ind w:firstLine="640" w:firstLineChars="200"/>
        <w:outlineLvl w:val="2"/>
        <w:rPr>
          <w:rFonts w:eastAsia="方正楷体_GBK"/>
          <w:bCs/>
          <w:sz w:val="32"/>
          <w:szCs w:val="32"/>
        </w:rPr>
      </w:pPr>
      <w:bookmarkStart w:id="89" w:name="_Toc22952"/>
      <w:bookmarkStart w:id="90" w:name="_Toc170909603"/>
      <w:bookmarkStart w:id="91" w:name="_Toc14145"/>
      <w:r>
        <w:rPr>
          <w:rFonts w:eastAsia="方正楷体_GBK"/>
          <w:bCs/>
          <w:sz w:val="32"/>
          <w:szCs w:val="32"/>
        </w:rPr>
        <w:t>（</w:t>
      </w:r>
      <w:r>
        <w:rPr>
          <w:rFonts w:hint="eastAsia" w:eastAsia="方正楷体_GBK"/>
          <w:bCs/>
          <w:sz w:val="32"/>
          <w:szCs w:val="32"/>
        </w:rPr>
        <w:t>二</w:t>
      </w:r>
      <w:r>
        <w:rPr>
          <w:rFonts w:eastAsia="方正楷体_GBK"/>
          <w:bCs/>
          <w:sz w:val="32"/>
          <w:szCs w:val="32"/>
        </w:rPr>
        <w:t>）绩效自评情况</w:t>
      </w:r>
      <w:bookmarkEnd w:id="89"/>
      <w:bookmarkEnd w:id="90"/>
      <w:bookmarkEnd w:id="91"/>
    </w:p>
    <w:p w14:paraId="62417FA4">
      <w:pPr>
        <w:spacing w:line="600" w:lineRule="exact"/>
        <w:ind w:firstLine="640" w:firstLineChars="200"/>
        <w:rPr>
          <w:rFonts w:eastAsia="方正仿宋_GBK"/>
          <w:bCs/>
          <w:sz w:val="32"/>
          <w:szCs w:val="32"/>
        </w:rPr>
      </w:pPr>
      <w:r>
        <w:rPr>
          <w:rFonts w:eastAsia="方正仿宋_GBK"/>
          <w:bCs/>
          <w:sz w:val="32"/>
          <w:szCs w:val="32"/>
        </w:rPr>
        <w:t>经</w:t>
      </w:r>
      <w:r>
        <w:rPr>
          <w:rFonts w:hint="eastAsia" w:eastAsia="方正仿宋_GBK"/>
          <w:bCs/>
          <w:sz w:val="32"/>
          <w:szCs w:val="32"/>
        </w:rPr>
        <w:t>查阅区经信委提供的</w:t>
      </w:r>
      <w:r>
        <w:rPr>
          <w:rFonts w:eastAsia="方正仿宋_GBK"/>
          <w:bCs/>
          <w:sz w:val="32"/>
          <w:szCs w:val="32"/>
        </w:rPr>
        <w:t>《</w:t>
      </w:r>
      <w:r>
        <w:rPr>
          <w:rFonts w:hint="eastAsia" w:eastAsia="方正仿宋_GBK"/>
          <w:bCs/>
          <w:sz w:val="32"/>
          <w:szCs w:val="32"/>
        </w:rPr>
        <w:t>2022年城市燃气管道等老化更新改造中央基建投资2023年度二级项目绩效自评表</w:t>
      </w:r>
      <w:r>
        <w:rPr>
          <w:rFonts w:eastAsia="方正仿宋_GBK"/>
          <w:bCs/>
          <w:sz w:val="32"/>
          <w:szCs w:val="32"/>
        </w:rPr>
        <w:t>》，</w:t>
      </w:r>
      <w:r>
        <w:rPr>
          <w:rFonts w:hint="eastAsia" w:eastAsia="方正仿宋_GBK"/>
          <w:bCs/>
          <w:sz w:val="32"/>
          <w:szCs w:val="32"/>
        </w:rPr>
        <w:t>区经信委将本项目、2022年铜梁区城市燃气用户软管更换及安全装置加装项目、2022年铜梁区老旧小区改造龙城片区城市燃气管道等老化更新改造项目、2022年铜梁区老旧小区改造龙山片区城市燃气管道等老化更新改造项目、2022年铜梁区老旧小区改造正街片区城市燃气管道等老化更新改造项目共计五个项目合并评价，无本项目单独的绩效自评表。自评表评价内容包括支持城市燃气管道等老化更新改造项目，提高群众获得感、幸福感，居民满意度，下达中央预算内投资、财政拨款执行率共计五个指标，自评得分为100分，无偏离绩效情况。</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708"/>
        <w:gridCol w:w="1702"/>
        <w:gridCol w:w="1700"/>
        <w:gridCol w:w="850"/>
        <w:gridCol w:w="816"/>
      </w:tblGrid>
      <w:tr w14:paraId="6A802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792" w:type="pct"/>
            <w:shd w:val="clear" w:color="auto" w:fill="D1D1D1"/>
            <w:noWrap/>
            <w:vAlign w:val="center"/>
          </w:tcPr>
          <w:p w14:paraId="0D17E4FF">
            <w:pPr>
              <w:widowControl/>
              <w:adjustRightInd w:val="0"/>
              <w:snapToGrid w:val="0"/>
              <w:jc w:val="center"/>
              <w:textAlignment w:val="center"/>
              <w:rPr>
                <w:rFonts w:eastAsia="方正仿宋_GBK"/>
                <w:b/>
                <w:bCs/>
                <w:color w:val="000000"/>
                <w:sz w:val="24"/>
              </w:rPr>
            </w:pPr>
            <w:r>
              <w:rPr>
                <w:rFonts w:eastAsia="方正仿宋_GBK"/>
                <w:b/>
                <w:bCs/>
                <w:color w:val="000000"/>
                <w:kern w:val="0"/>
                <w:sz w:val="24"/>
              </w:rPr>
              <w:t>指标名称</w:t>
            </w:r>
          </w:p>
        </w:tc>
        <w:tc>
          <w:tcPr>
            <w:tcW w:w="393" w:type="pct"/>
            <w:shd w:val="clear" w:color="auto" w:fill="D1D1D1"/>
            <w:noWrap/>
            <w:vAlign w:val="center"/>
          </w:tcPr>
          <w:p w14:paraId="6850D155">
            <w:pPr>
              <w:widowControl/>
              <w:adjustRightInd w:val="0"/>
              <w:snapToGrid w:val="0"/>
              <w:jc w:val="center"/>
              <w:textAlignment w:val="center"/>
              <w:rPr>
                <w:rFonts w:eastAsia="方正仿宋_GBK"/>
                <w:b/>
                <w:bCs/>
                <w:color w:val="000000"/>
                <w:sz w:val="24"/>
              </w:rPr>
            </w:pPr>
            <w:r>
              <w:rPr>
                <w:rFonts w:eastAsia="方正仿宋_GBK"/>
                <w:b/>
                <w:bCs/>
                <w:color w:val="000000"/>
                <w:kern w:val="0"/>
                <w:sz w:val="24"/>
              </w:rPr>
              <w:t>指标性质</w:t>
            </w:r>
          </w:p>
        </w:tc>
        <w:tc>
          <w:tcPr>
            <w:tcW w:w="945" w:type="pct"/>
            <w:shd w:val="clear" w:color="auto" w:fill="D1D1D1"/>
            <w:noWrap/>
            <w:vAlign w:val="center"/>
          </w:tcPr>
          <w:p w14:paraId="4E54FB13">
            <w:pPr>
              <w:widowControl/>
              <w:adjustRightInd w:val="0"/>
              <w:snapToGrid w:val="0"/>
              <w:jc w:val="center"/>
              <w:textAlignment w:val="center"/>
              <w:rPr>
                <w:rFonts w:eastAsia="方正仿宋_GBK"/>
                <w:b/>
                <w:bCs/>
                <w:color w:val="000000"/>
                <w:sz w:val="24"/>
              </w:rPr>
            </w:pPr>
            <w:r>
              <w:rPr>
                <w:rFonts w:eastAsia="方正仿宋_GBK"/>
                <w:b/>
                <w:bCs/>
                <w:color w:val="000000"/>
                <w:kern w:val="0"/>
                <w:sz w:val="24"/>
              </w:rPr>
              <w:t>指标值</w:t>
            </w:r>
          </w:p>
        </w:tc>
        <w:tc>
          <w:tcPr>
            <w:tcW w:w="944" w:type="pct"/>
            <w:shd w:val="clear" w:color="auto" w:fill="D1D1D1"/>
            <w:noWrap/>
            <w:vAlign w:val="center"/>
          </w:tcPr>
          <w:p w14:paraId="7F846298">
            <w:pPr>
              <w:widowControl/>
              <w:adjustRightInd w:val="0"/>
              <w:snapToGrid w:val="0"/>
              <w:jc w:val="center"/>
              <w:textAlignment w:val="center"/>
              <w:rPr>
                <w:rFonts w:eastAsia="方正仿宋_GBK"/>
                <w:b/>
                <w:bCs/>
                <w:color w:val="000000"/>
                <w:sz w:val="24"/>
              </w:rPr>
            </w:pPr>
            <w:r>
              <w:rPr>
                <w:rFonts w:eastAsia="方正仿宋_GBK"/>
                <w:b/>
                <w:bCs/>
                <w:color w:val="000000"/>
                <w:kern w:val="0"/>
                <w:sz w:val="24"/>
              </w:rPr>
              <w:t>全年完成值</w:t>
            </w:r>
          </w:p>
        </w:tc>
        <w:tc>
          <w:tcPr>
            <w:tcW w:w="472" w:type="pct"/>
            <w:shd w:val="clear" w:color="auto" w:fill="D1D1D1"/>
            <w:noWrap/>
            <w:vAlign w:val="center"/>
          </w:tcPr>
          <w:p w14:paraId="22782D91">
            <w:pPr>
              <w:widowControl/>
              <w:adjustRightInd w:val="0"/>
              <w:snapToGrid w:val="0"/>
              <w:jc w:val="center"/>
              <w:textAlignment w:val="center"/>
              <w:rPr>
                <w:rFonts w:eastAsia="方正仿宋_GBK"/>
                <w:b/>
                <w:bCs/>
                <w:color w:val="000000"/>
                <w:sz w:val="24"/>
              </w:rPr>
            </w:pPr>
            <w:r>
              <w:rPr>
                <w:rFonts w:eastAsia="方正仿宋_GBK"/>
                <w:b/>
                <w:bCs/>
                <w:color w:val="000000"/>
                <w:kern w:val="0"/>
                <w:sz w:val="24"/>
              </w:rPr>
              <w:t>指标权重</w:t>
            </w:r>
          </w:p>
        </w:tc>
        <w:tc>
          <w:tcPr>
            <w:tcW w:w="453" w:type="pct"/>
            <w:shd w:val="clear" w:color="auto" w:fill="D1D1D1"/>
            <w:noWrap/>
            <w:vAlign w:val="center"/>
          </w:tcPr>
          <w:p w14:paraId="40814793">
            <w:pPr>
              <w:widowControl/>
              <w:adjustRightInd w:val="0"/>
              <w:snapToGrid w:val="0"/>
              <w:jc w:val="center"/>
              <w:textAlignment w:val="center"/>
              <w:rPr>
                <w:rFonts w:eastAsia="方正仿宋_GBK"/>
                <w:b/>
                <w:bCs/>
                <w:color w:val="000000"/>
                <w:sz w:val="24"/>
              </w:rPr>
            </w:pPr>
            <w:r>
              <w:rPr>
                <w:rFonts w:eastAsia="方正仿宋_GBK"/>
                <w:b/>
                <w:bCs/>
                <w:color w:val="000000"/>
                <w:kern w:val="0"/>
                <w:sz w:val="24"/>
              </w:rPr>
              <w:t>指标得分</w:t>
            </w:r>
          </w:p>
        </w:tc>
      </w:tr>
      <w:tr w14:paraId="590D8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92" w:type="pct"/>
            <w:noWrap/>
            <w:vAlign w:val="center"/>
          </w:tcPr>
          <w:p w14:paraId="54D08054">
            <w:pPr>
              <w:widowControl/>
              <w:adjustRightInd w:val="0"/>
              <w:snapToGrid w:val="0"/>
              <w:jc w:val="left"/>
              <w:textAlignment w:val="center"/>
              <w:rPr>
                <w:rFonts w:eastAsia="方正仿宋_GBK"/>
                <w:color w:val="000000"/>
                <w:sz w:val="24"/>
              </w:rPr>
            </w:pPr>
            <w:r>
              <w:rPr>
                <w:rFonts w:eastAsia="方正仿宋_GBK"/>
                <w:color w:val="000000"/>
                <w:kern w:val="0"/>
                <w:sz w:val="24"/>
              </w:rPr>
              <w:t>支持城市燃气管道等老化更新改造项目</w:t>
            </w:r>
          </w:p>
        </w:tc>
        <w:tc>
          <w:tcPr>
            <w:tcW w:w="393" w:type="pct"/>
            <w:noWrap/>
            <w:vAlign w:val="center"/>
          </w:tcPr>
          <w:p w14:paraId="52FCD5C7">
            <w:pPr>
              <w:widowControl/>
              <w:adjustRightInd w:val="0"/>
              <w:snapToGrid w:val="0"/>
              <w:jc w:val="center"/>
              <w:textAlignment w:val="center"/>
              <w:rPr>
                <w:rFonts w:eastAsia="方正仿宋_GBK"/>
                <w:color w:val="000000"/>
                <w:sz w:val="24"/>
              </w:rPr>
            </w:pPr>
            <w:r>
              <w:rPr>
                <w:rFonts w:eastAsia="方正仿宋_GBK"/>
                <w:color w:val="000000"/>
                <w:kern w:val="0"/>
                <w:sz w:val="24"/>
              </w:rPr>
              <w:t>定性</w:t>
            </w:r>
          </w:p>
        </w:tc>
        <w:tc>
          <w:tcPr>
            <w:tcW w:w="945" w:type="pct"/>
            <w:noWrap/>
            <w:vAlign w:val="center"/>
          </w:tcPr>
          <w:p w14:paraId="6B874E30">
            <w:pPr>
              <w:widowControl/>
              <w:adjustRightInd w:val="0"/>
              <w:snapToGrid w:val="0"/>
              <w:jc w:val="center"/>
              <w:textAlignment w:val="center"/>
              <w:rPr>
                <w:rFonts w:eastAsia="方正仿宋_GBK"/>
                <w:color w:val="000000"/>
                <w:sz w:val="24"/>
              </w:rPr>
            </w:pPr>
            <w:r>
              <w:rPr>
                <w:rFonts w:eastAsia="方正仿宋_GBK"/>
                <w:color w:val="000000"/>
                <w:kern w:val="0"/>
                <w:sz w:val="24"/>
              </w:rPr>
              <w:t>完成年度改造计划</w:t>
            </w:r>
          </w:p>
        </w:tc>
        <w:tc>
          <w:tcPr>
            <w:tcW w:w="944" w:type="pct"/>
            <w:noWrap/>
            <w:vAlign w:val="center"/>
          </w:tcPr>
          <w:p w14:paraId="10FE6B4A">
            <w:pPr>
              <w:widowControl/>
              <w:adjustRightInd w:val="0"/>
              <w:snapToGrid w:val="0"/>
              <w:jc w:val="center"/>
              <w:textAlignment w:val="center"/>
              <w:rPr>
                <w:rFonts w:eastAsia="方正仿宋_GBK"/>
                <w:color w:val="000000"/>
                <w:sz w:val="24"/>
              </w:rPr>
            </w:pPr>
            <w:r>
              <w:rPr>
                <w:rFonts w:eastAsia="方正仿宋_GBK"/>
                <w:color w:val="000000"/>
                <w:kern w:val="0"/>
                <w:sz w:val="24"/>
              </w:rPr>
              <w:t>1</w:t>
            </w:r>
          </w:p>
        </w:tc>
        <w:tc>
          <w:tcPr>
            <w:tcW w:w="472" w:type="pct"/>
            <w:noWrap/>
            <w:vAlign w:val="center"/>
          </w:tcPr>
          <w:p w14:paraId="5ED812BF">
            <w:pPr>
              <w:widowControl/>
              <w:adjustRightInd w:val="0"/>
              <w:snapToGrid w:val="0"/>
              <w:jc w:val="center"/>
              <w:textAlignment w:val="center"/>
              <w:rPr>
                <w:rFonts w:eastAsia="方正仿宋_GBK"/>
                <w:color w:val="000000"/>
                <w:sz w:val="24"/>
              </w:rPr>
            </w:pPr>
            <w:r>
              <w:rPr>
                <w:rFonts w:eastAsia="方正仿宋_GBK"/>
                <w:color w:val="000000"/>
                <w:kern w:val="0"/>
                <w:sz w:val="24"/>
              </w:rPr>
              <w:t>40%</w:t>
            </w:r>
          </w:p>
        </w:tc>
        <w:tc>
          <w:tcPr>
            <w:tcW w:w="453" w:type="pct"/>
            <w:noWrap/>
            <w:vAlign w:val="center"/>
          </w:tcPr>
          <w:p w14:paraId="6F8A438A">
            <w:pPr>
              <w:widowControl/>
              <w:adjustRightInd w:val="0"/>
              <w:snapToGrid w:val="0"/>
              <w:jc w:val="center"/>
              <w:textAlignment w:val="center"/>
              <w:rPr>
                <w:rFonts w:eastAsia="方正仿宋_GBK"/>
                <w:color w:val="000000"/>
                <w:sz w:val="24"/>
              </w:rPr>
            </w:pPr>
            <w:r>
              <w:rPr>
                <w:rFonts w:eastAsia="方正仿宋_GBK"/>
                <w:color w:val="000000"/>
                <w:kern w:val="0"/>
                <w:sz w:val="24"/>
              </w:rPr>
              <w:t>40</w:t>
            </w:r>
          </w:p>
        </w:tc>
      </w:tr>
      <w:tr w14:paraId="65C54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92" w:type="pct"/>
            <w:noWrap/>
            <w:vAlign w:val="center"/>
          </w:tcPr>
          <w:p w14:paraId="7D0A00C3">
            <w:pPr>
              <w:widowControl/>
              <w:adjustRightInd w:val="0"/>
              <w:snapToGrid w:val="0"/>
              <w:jc w:val="left"/>
              <w:textAlignment w:val="center"/>
              <w:rPr>
                <w:rFonts w:eastAsia="方正仿宋_GBK"/>
                <w:color w:val="000000"/>
                <w:sz w:val="24"/>
              </w:rPr>
            </w:pPr>
            <w:r>
              <w:rPr>
                <w:rFonts w:eastAsia="方正仿宋_GBK"/>
                <w:color w:val="000000"/>
                <w:kern w:val="0"/>
                <w:sz w:val="24"/>
              </w:rPr>
              <w:t>提高群众获得感、幸福感</w:t>
            </w:r>
          </w:p>
        </w:tc>
        <w:tc>
          <w:tcPr>
            <w:tcW w:w="393" w:type="pct"/>
            <w:noWrap/>
            <w:vAlign w:val="center"/>
          </w:tcPr>
          <w:p w14:paraId="1F268FF1">
            <w:pPr>
              <w:widowControl/>
              <w:adjustRightInd w:val="0"/>
              <w:snapToGrid w:val="0"/>
              <w:jc w:val="center"/>
              <w:textAlignment w:val="center"/>
              <w:rPr>
                <w:rFonts w:eastAsia="方正仿宋_GBK"/>
                <w:color w:val="000000"/>
                <w:sz w:val="24"/>
              </w:rPr>
            </w:pPr>
            <w:r>
              <w:rPr>
                <w:rFonts w:eastAsia="方正仿宋_GBK"/>
                <w:color w:val="000000"/>
                <w:kern w:val="0"/>
                <w:sz w:val="24"/>
              </w:rPr>
              <w:t>定性</w:t>
            </w:r>
          </w:p>
        </w:tc>
        <w:tc>
          <w:tcPr>
            <w:tcW w:w="945" w:type="pct"/>
            <w:noWrap/>
            <w:vAlign w:val="center"/>
          </w:tcPr>
          <w:p w14:paraId="06FAF882">
            <w:pPr>
              <w:widowControl/>
              <w:adjustRightInd w:val="0"/>
              <w:snapToGrid w:val="0"/>
              <w:jc w:val="center"/>
              <w:textAlignment w:val="center"/>
              <w:rPr>
                <w:rFonts w:eastAsia="方正仿宋_GBK"/>
                <w:color w:val="000000"/>
                <w:sz w:val="24"/>
              </w:rPr>
            </w:pPr>
            <w:r>
              <w:rPr>
                <w:rFonts w:eastAsia="方正仿宋_GBK"/>
                <w:color w:val="000000"/>
                <w:kern w:val="0"/>
                <w:sz w:val="24"/>
              </w:rPr>
              <w:t>有效提高</w:t>
            </w:r>
          </w:p>
        </w:tc>
        <w:tc>
          <w:tcPr>
            <w:tcW w:w="944" w:type="pct"/>
            <w:noWrap/>
            <w:vAlign w:val="center"/>
          </w:tcPr>
          <w:p w14:paraId="08DC0080">
            <w:pPr>
              <w:widowControl/>
              <w:adjustRightInd w:val="0"/>
              <w:snapToGrid w:val="0"/>
              <w:jc w:val="center"/>
              <w:textAlignment w:val="center"/>
              <w:rPr>
                <w:rFonts w:eastAsia="方正仿宋_GBK"/>
                <w:color w:val="000000"/>
                <w:sz w:val="24"/>
              </w:rPr>
            </w:pPr>
            <w:r>
              <w:rPr>
                <w:rFonts w:eastAsia="方正仿宋_GBK"/>
                <w:color w:val="000000"/>
                <w:kern w:val="0"/>
                <w:sz w:val="24"/>
              </w:rPr>
              <w:t>1</w:t>
            </w:r>
          </w:p>
        </w:tc>
        <w:tc>
          <w:tcPr>
            <w:tcW w:w="472" w:type="pct"/>
            <w:noWrap/>
            <w:vAlign w:val="center"/>
          </w:tcPr>
          <w:p w14:paraId="077AEB97">
            <w:pPr>
              <w:widowControl/>
              <w:adjustRightInd w:val="0"/>
              <w:snapToGrid w:val="0"/>
              <w:jc w:val="center"/>
              <w:textAlignment w:val="center"/>
              <w:rPr>
                <w:rFonts w:eastAsia="方正仿宋_GBK"/>
                <w:color w:val="000000"/>
                <w:sz w:val="24"/>
              </w:rPr>
            </w:pPr>
            <w:r>
              <w:rPr>
                <w:rFonts w:eastAsia="方正仿宋_GBK"/>
                <w:color w:val="000000"/>
                <w:kern w:val="0"/>
                <w:sz w:val="24"/>
              </w:rPr>
              <w:t>20%</w:t>
            </w:r>
          </w:p>
        </w:tc>
        <w:tc>
          <w:tcPr>
            <w:tcW w:w="453" w:type="pct"/>
            <w:noWrap/>
            <w:vAlign w:val="center"/>
          </w:tcPr>
          <w:p w14:paraId="5E05A9B2">
            <w:pPr>
              <w:widowControl/>
              <w:adjustRightInd w:val="0"/>
              <w:snapToGrid w:val="0"/>
              <w:jc w:val="center"/>
              <w:textAlignment w:val="center"/>
              <w:rPr>
                <w:rFonts w:eastAsia="方正仿宋_GBK"/>
                <w:color w:val="000000"/>
                <w:sz w:val="24"/>
              </w:rPr>
            </w:pPr>
            <w:r>
              <w:rPr>
                <w:rFonts w:eastAsia="方正仿宋_GBK"/>
                <w:color w:val="000000"/>
                <w:kern w:val="0"/>
                <w:sz w:val="24"/>
              </w:rPr>
              <w:t>20</w:t>
            </w:r>
          </w:p>
        </w:tc>
      </w:tr>
      <w:tr w14:paraId="17FBD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92" w:type="pct"/>
            <w:noWrap/>
            <w:vAlign w:val="center"/>
          </w:tcPr>
          <w:p w14:paraId="3B482C1C">
            <w:pPr>
              <w:widowControl/>
              <w:adjustRightInd w:val="0"/>
              <w:snapToGrid w:val="0"/>
              <w:jc w:val="left"/>
              <w:textAlignment w:val="center"/>
              <w:rPr>
                <w:rFonts w:eastAsia="方正仿宋_GBK"/>
                <w:color w:val="000000"/>
                <w:sz w:val="24"/>
              </w:rPr>
            </w:pPr>
            <w:r>
              <w:rPr>
                <w:rFonts w:eastAsia="方正仿宋_GBK"/>
                <w:color w:val="000000"/>
                <w:kern w:val="0"/>
                <w:sz w:val="24"/>
              </w:rPr>
              <w:t>居民满意度（%）</w:t>
            </w:r>
          </w:p>
        </w:tc>
        <w:tc>
          <w:tcPr>
            <w:tcW w:w="393" w:type="pct"/>
            <w:noWrap/>
            <w:vAlign w:val="center"/>
          </w:tcPr>
          <w:p w14:paraId="5CDBFFEA">
            <w:pPr>
              <w:widowControl/>
              <w:adjustRightInd w:val="0"/>
              <w:snapToGrid w:val="0"/>
              <w:jc w:val="center"/>
              <w:textAlignment w:val="center"/>
              <w:rPr>
                <w:rFonts w:eastAsia="方正仿宋_GBK"/>
                <w:color w:val="000000"/>
                <w:sz w:val="24"/>
              </w:rPr>
            </w:pPr>
            <w:r>
              <w:rPr>
                <w:rFonts w:hint="eastAsia" w:eastAsia="方正仿宋_GBK"/>
                <w:color w:val="000000"/>
                <w:sz w:val="24"/>
              </w:rPr>
              <w:t>定量</w:t>
            </w:r>
          </w:p>
        </w:tc>
        <w:tc>
          <w:tcPr>
            <w:tcW w:w="945" w:type="pct"/>
            <w:noWrap/>
            <w:vAlign w:val="center"/>
          </w:tcPr>
          <w:p w14:paraId="5D814D94">
            <w:pPr>
              <w:widowControl/>
              <w:adjustRightInd w:val="0"/>
              <w:snapToGrid w:val="0"/>
              <w:jc w:val="center"/>
              <w:textAlignment w:val="center"/>
              <w:rPr>
                <w:rFonts w:eastAsia="方正仿宋_GBK"/>
                <w:color w:val="000000"/>
                <w:sz w:val="24"/>
              </w:rPr>
            </w:pPr>
            <w:r>
              <w:rPr>
                <w:rFonts w:eastAsia="方正仿宋_GBK"/>
                <w:color w:val="000000"/>
                <w:kern w:val="0"/>
                <w:sz w:val="24"/>
              </w:rPr>
              <w:t>≥80</w:t>
            </w:r>
          </w:p>
        </w:tc>
        <w:tc>
          <w:tcPr>
            <w:tcW w:w="944" w:type="pct"/>
            <w:noWrap/>
            <w:vAlign w:val="center"/>
          </w:tcPr>
          <w:p w14:paraId="12D61E3C">
            <w:pPr>
              <w:widowControl/>
              <w:adjustRightInd w:val="0"/>
              <w:snapToGrid w:val="0"/>
              <w:jc w:val="center"/>
              <w:textAlignment w:val="center"/>
              <w:rPr>
                <w:rFonts w:eastAsia="方正仿宋_GBK"/>
                <w:color w:val="000000"/>
                <w:sz w:val="24"/>
              </w:rPr>
            </w:pPr>
            <w:r>
              <w:rPr>
                <w:rFonts w:eastAsia="方正仿宋_GBK"/>
                <w:color w:val="000000"/>
                <w:kern w:val="0"/>
                <w:sz w:val="24"/>
              </w:rPr>
              <w:t>0</w:t>
            </w:r>
          </w:p>
        </w:tc>
        <w:tc>
          <w:tcPr>
            <w:tcW w:w="472" w:type="pct"/>
            <w:noWrap/>
            <w:vAlign w:val="center"/>
          </w:tcPr>
          <w:p w14:paraId="4833CB00">
            <w:pPr>
              <w:widowControl/>
              <w:adjustRightInd w:val="0"/>
              <w:snapToGrid w:val="0"/>
              <w:jc w:val="center"/>
              <w:textAlignment w:val="center"/>
              <w:rPr>
                <w:rFonts w:eastAsia="方正仿宋_GBK"/>
                <w:color w:val="000000"/>
                <w:sz w:val="24"/>
              </w:rPr>
            </w:pPr>
            <w:r>
              <w:rPr>
                <w:rFonts w:eastAsia="方正仿宋_GBK"/>
                <w:color w:val="000000"/>
                <w:kern w:val="0"/>
                <w:sz w:val="24"/>
              </w:rPr>
              <w:t>10%</w:t>
            </w:r>
          </w:p>
        </w:tc>
        <w:tc>
          <w:tcPr>
            <w:tcW w:w="453" w:type="pct"/>
            <w:noWrap/>
            <w:vAlign w:val="center"/>
          </w:tcPr>
          <w:p w14:paraId="0874A3BE">
            <w:pPr>
              <w:widowControl/>
              <w:adjustRightInd w:val="0"/>
              <w:snapToGrid w:val="0"/>
              <w:jc w:val="center"/>
              <w:textAlignment w:val="center"/>
              <w:rPr>
                <w:rFonts w:eastAsia="方正仿宋_GBK"/>
                <w:color w:val="000000"/>
                <w:sz w:val="24"/>
              </w:rPr>
            </w:pPr>
            <w:r>
              <w:rPr>
                <w:rFonts w:eastAsia="方正仿宋_GBK"/>
                <w:color w:val="000000"/>
                <w:kern w:val="0"/>
                <w:sz w:val="24"/>
              </w:rPr>
              <w:t>10</w:t>
            </w:r>
          </w:p>
        </w:tc>
      </w:tr>
      <w:tr w14:paraId="3E4E0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92" w:type="pct"/>
            <w:noWrap/>
            <w:vAlign w:val="center"/>
          </w:tcPr>
          <w:p w14:paraId="41F1B02B">
            <w:pPr>
              <w:widowControl/>
              <w:adjustRightInd w:val="0"/>
              <w:snapToGrid w:val="0"/>
              <w:jc w:val="left"/>
              <w:textAlignment w:val="center"/>
              <w:rPr>
                <w:rFonts w:eastAsia="方正仿宋_GBK"/>
                <w:color w:val="000000"/>
                <w:sz w:val="24"/>
              </w:rPr>
            </w:pPr>
            <w:r>
              <w:rPr>
                <w:rFonts w:eastAsia="方正仿宋_GBK"/>
                <w:color w:val="000000"/>
                <w:kern w:val="0"/>
                <w:sz w:val="24"/>
              </w:rPr>
              <w:t>下达中央预算内投资（万元）</w:t>
            </w:r>
          </w:p>
        </w:tc>
        <w:tc>
          <w:tcPr>
            <w:tcW w:w="393" w:type="pct"/>
            <w:noWrap/>
            <w:vAlign w:val="center"/>
          </w:tcPr>
          <w:p w14:paraId="26BC0D11">
            <w:pPr>
              <w:widowControl/>
              <w:adjustRightInd w:val="0"/>
              <w:snapToGrid w:val="0"/>
              <w:jc w:val="center"/>
              <w:textAlignment w:val="center"/>
              <w:rPr>
                <w:rFonts w:eastAsia="方正仿宋_GBK"/>
                <w:color w:val="000000"/>
                <w:sz w:val="24"/>
              </w:rPr>
            </w:pPr>
            <w:r>
              <w:rPr>
                <w:rFonts w:hint="eastAsia" w:eastAsia="方正仿宋_GBK"/>
                <w:color w:val="000000"/>
                <w:sz w:val="24"/>
              </w:rPr>
              <w:t>定量</w:t>
            </w:r>
          </w:p>
        </w:tc>
        <w:tc>
          <w:tcPr>
            <w:tcW w:w="945" w:type="pct"/>
            <w:noWrap/>
            <w:vAlign w:val="center"/>
          </w:tcPr>
          <w:p w14:paraId="7F1A3677">
            <w:pPr>
              <w:widowControl/>
              <w:adjustRightInd w:val="0"/>
              <w:snapToGrid w:val="0"/>
              <w:jc w:val="center"/>
              <w:textAlignment w:val="center"/>
              <w:rPr>
                <w:rFonts w:eastAsia="方正仿宋_GBK"/>
                <w:color w:val="000000"/>
                <w:sz w:val="24"/>
              </w:rPr>
            </w:pPr>
            <w:r>
              <w:rPr>
                <w:rFonts w:eastAsia="方正仿宋_GBK"/>
                <w:color w:val="000000"/>
                <w:kern w:val="0"/>
                <w:sz w:val="24"/>
              </w:rPr>
              <w:t>11,097</w:t>
            </w:r>
          </w:p>
        </w:tc>
        <w:tc>
          <w:tcPr>
            <w:tcW w:w="944" w:type="pct"/>
            <w:noWrap/>
            <w:vAlign w:val="center"/>
          </w:tcPr>
          <w:p w14:paraId="35018301">
            <w:pPr>
              <w:widowControl/>
              <w:adjustRightInd w:val="0"/>
              <w:snapToGrid w:val="0"/>
              <w:jc w:val="center"/>
              <w:textAlignment w:val="center"/>
              <w:rPr>
                <w:rFonts w:eastAsia="方正仿宋_GBK"/>
                <w:color w:val="000000"/>
                <w:sz w:val="24"/>
              </w:rPr>
            </w:pPr>
            <w:r>
              <w:rPr>
                <w:rFonts w:eastAsia="方正仿宋_GBK"/>
                <w:color w:val="000000"/>
                <w:kern w:val="0"/>
                <w:sz w:val="24"/>
              </w:rPr>
              <w:t>11,097</w:t>
            </w:r>
          </w:p>
        </w:tc>
        <w:tc>
          <w:tcPr>
            <w:tcW w:w="472" w:type="pct"/>
            <w:noWrap/>
            <w:vAlign w:val="center"/>
          </w:tcPr>
          <w:p w14:paraId="3B88FBA0">
            <w:pPr>
              <w:widowControl/>
              <w:adjustRightInd w:val="0"/>
              <w:snapToGrid w:val="0"/>
              <w:jc w:val="center"/>
              <w:textAlignment w:val="center"/>
              <w:rPr>
                <w:rFonts w:eastAsia="方正仿宋_GBK"/>
                <w:color w:val="000000"/>
                <w:sz w:val="24"/>
              </w:rPr>
            </w:pPr>
            <w:r>
              <w:rPr>
                <w:rFonts w:eastAsia="方正仿宋_GBK"/>
                <w:color w:val="000000"/>
                <w:kern w:val="0"/>
                <w:sz w:val="24"/>
              </w:rPr>
              <w:t>20%</w:t>
            </w:r>
          </w:p>
        </w:tc>
        <w:tc>
          <w:tcPr>
            <w:tcW w:w="453" w:type="pct"/>
            <w:noWrap/>
            <w:vAlign w:val="center"/>
          </w:tcPr>
          <w:p w14:paraId="321D862E">
            <w:pPr>
              <w:widowControl/>
              <w:adjustRightInd w:val="0"/>
              <w:snapToGrid w:val="0"/>
              <w:jc w:val="center"/>
              <w:textAlignment w:val="center"/>
              <w:rPr>
                <w:rFonts w:eastAsia="方正仿宋_GBK"/>
                <w:color w:val="000000"/>
                <w:sz w:val="24"/>
              </w:rPr>
            </w:pPr>
            <w:r>
              <w:rPr>
                <w:rFonts w:eastAsia="方正仿宋_GBK"/>
                <w:color w:val="000000"/>
                <w:kern w:val="0"/>
                <w:sz w:val="24"/>
              </w:rPr>
              <w:t>20</w:t>
            </w:r>
          </w:p>
        </w:tc>
      </w:tr>
      <w:tr w14:paraId="1A779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92" w:type="pct"/>
            <w:noWrap/>
            <w:vAlign w:val="center"/>
          </w:tcPr>
          <w:p w14:paraId="1316093D">
            <w:pPr>
              <w:widowControl/>
              <w:adjustRightInd w:val="0"/>
              <w:snapToGrid w:val="0"/>
              <w:textAlignment w:val="center"/>
              <w:rPr>
                <w:rFonts w:eastAsia="方正仿宋_GBK"/>
                <w:color w:val="000000"/>
                <w:kern w:val="0"/>
                <w:sz w:val="24"/>
              </w:rPr>
            </w:pPr>
            <w:r>
              <w:rPr>
                <w:rFonts w:eastAsia="方正仿宋_GBK"/>
                <w:color w:val="000000"/>
                <w:kern w:val="0"/>
                <w:sz w:val="24"/>
              </w:rPr>
              <w:t>财政拨款执行率（元）</w:t>
            </w:r>
          </w:p>
        </w:tc>
        <w:tc>
          <w:tcPr>
            <w:tcW w:w="393" w:type="pct"/>
            <w:noWrap/>
            <w:vAlign w:val="center"/>
          </w:tcPr>
          <w:p w14:paraId="45456F10">
            <w:pPr>
              <w:widowControl/>
              <w:adjustRightInd w:val="0"/>
              <w:snapToGrid w:val="0"/>
              <w:jc w:val="center"/>
              <w:textAlignment w:val="center"/>
              <w:rPr>
                <w:rFonts w:eastAsia="方正仿宋_GBK"/>
                <w:color w:val="000000"/>
                <w:kern w:val="0"/>
                <w:sz w:val="24"/>
              </w:rPr>
            </w:pPr>
            <w:r>
              <w:rPr>
                <w:rFonts w:hint="eastAsia" w:eastAsia="方正仿宋_GBK"/>
                <w:color w:val="000000"/>
                <w:sz w:val="24"/>
              </w:rPr>
              <w:t>定量</w:t>
            </w:r>
          </w:p>
        </w:tc>
        <w:tc>
          <w:tcPr>
            <w:tcW w:w="945" w:type="pct"/>
            <w:noWrap/>
            <w:vAlign w:val="center"/>
          </w:tcPr>
          <w:p w14:paraId="77D45D36">
            <w:pPr>
              <w:widowControl/>
              <w:adjustRightInd w:val="0"/>
              <w:snapToGrid w:val="0"/>
              <w:jc w:val="center"/>
              <w:textAlignment w:val="center"/>
              <w:rPr>
                <w:rFonts w:eastAsia="方正仿宋_GBK"/>
                <w:color w:val="000000"/>
                <w:kern w:val="0"/>
                <w:sz w:val="24"/>
              </w:rPr>
            </w:pPr>
            <w:r>
              <w:rPr>
                <w:rFonts w:eastAsia="方正仿宋_GBK"/>
                <w:color w:val="000000"/>
                <w:kern w:val="0"/>
                <w:sz w:val="24"/>
              </w:rPr>
              <w:t xml:space="preserve">25,680,011.12 </w:t>
            </w:r>
          </w:p>
        </w:tc>
        <w:tc>
          <w:tcPr>
            <w:tcW w:w="944" w:type="pct"/>
            <w:noWrap/>
            <w:vAlign w:val="center"/>
          </w:tcPr>
          <w:p w14:paraId="003AB367">
            <w:pPr>
              <w:widowControl/>
              <w:adjustRightInd w:val="0"/>
              <w:snapToGrid w:val="0"/>
              <w:jc w:val="center"/>
              <w:textAlignment w:val="center"/>
              <w:rPr>
                <w:rFonts w:eastAsia="方正仿宋_GBK"/>
                <w:color w:val="000000"/>
                <w:kern w:val="0"/>
                <w:sz w:val="24"/>
              </w:rPr>
            </w:pPr>
            <w:r>
              <w:rPr>
                <w:rFonts w:eastAsia="方正仿宋_GBK"/>
                <w:color w:val="000000"/>
                <w:kern w:val="0"/>
                <w:sz w:val="24"/>
              </w:rPr>
              <w:t xml:space="preserve">25,680,011.12 </w:t>
            </w:r>
          </w:p>
        </w:tc>
        <w:tc>
          <w:tcPr>
            <w:tcW w:w="472" w:type="pct"/>
            <w:noWrap/>
            <w:vAlign w:val="center"/>
          </w:tcPr>
          <w:p w14:paraId="118484E2">
            <w:pPr>
              <w:widowControl/>
              <w:adjustRightInd w:val="0"/>
              <w:snapToGrid w:val="0"/>
              <w:jc w:val="center"/>
              <w:textAlignment w:val="center"/>
              <w:rPr>
                <w:rFonts w:eastAsia="方正仿宋_GBK"/>
                <w:color w:val="000000"/>
                <w:kern w:val="0"/>
                <w:sz w:val="24"/>
              </w:rPr>
            </w:pPr>
            <w:r>
              <w:rPr>
                <w:rFonts w:eastAsia="方正仿宋_GBK"/>
                <w:color w:val="000000"/>
                <w:kern w:val="0"/>
                <w:sz w:val="24"/>
              </w:rPr>
              <w:t>10%</w:t>
            </w:r>
          </w:p>
        </w:tc>
        <w:tc>
          <w:tcPr>
            <w:tcW w:w="453" w:type="pct"/>
            <w:noWrap/>
            <w:vAlign w:val="center"/>
          </w:tcPr>
          <w:p w14:paraId="6D5D6BE8">
            <w:pPr>
              <w:widowControl/>
              <w:adjustRightInd w:val="0"/>
              <w:snapToGrid w:val="0"/>
              <w:jc w:val="center"/>
              <w:textAlignment w:val="center"/>
              <w:rPr>
                <w:rFonts w:eastAsia="方正仿宋_GBK"/>
                <w:color w:val="000000"/>
                <w:kern w:val="0"/>
                <w:sz w:val="24"/>
              </w:rPr>
            </w:pPr>
            <w:r>
              <w:rPr>
                <w:rFonts w:eastAsia="方正仿宋_GBK"/>
                <w:color w:val="000000"/>
                <w:kern w:val="0"/>
                <w:sz w:val="24"/>
              </w:rPr>
              <w:t>10</w:t>
            </w:r>
          </w:p>
        </w:tc>
      </w:tr>
      <w:tr w14:paraId="6E7B8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92" w:type="pct"/>
            <w:noWrap/>
            <w:vAlign w:val="center"/>
          </w:tcPr>
          <w:p w14:paraId="2712718A">
            <w:pPr>
              <w:widowControl/>
              <w:adjustRightInd w:val="0"/>
              <w:snapToGrid w:val="0"/>
              <w:jc w:val="center"/>
              <w:textAlignment w:val="center"/>
              <w:rPr>
                <w:rFonts w:eastAsia="方正仿宋_GBK"/>
                <w:b/>
                <w:bCs/>
                <w:color w:val="000000"/>
                <w:kern w:val="0"/>
                <w:sz w:val="24"/>
              </w:rPr>
            </w:pPr>
            <w:r>
              <w:rPr>
                <w:rFonts w:eastAsia="方正仿宋_GBK"/>
                <w:b/>
                <w:bCs/>
                <w:color w:val="000000"/>
                <w:kern w:val="0"/>
                <w:sz w:val="24"/>
              </w:rPr>
              <w:t>合计</w:t>
            </w:r>
          </w:p>
        </w:tc>
        <w:tc>
          <w:tcPr>
            <w:tcW w:w="393" w:type="pct"/>
            <w:noWrap/>
            <w:vAlign w:val="center"/>
          </w:tcPr>
          <w:p w14:paraId="1B862B35">
            <w:pPr>
              <w:widowControl/>
              <w:adjustRightInd w:val="0"/>
              <w:snapToGrid w:val="0"/>
              <w:jc w:val="center"/>
              <w:textAlignment w:val="center"/>
              <w:rPr>
                <w:rFonts w:eastAsia="方正仿宋_GBK"/>
                <w:b/>
                <w:bCs/>
                <w:color w:val="000000"/>
                <w:kern w:val="0"/>
                <w:sz w:val="24"/>
              </w:rPr>
            </w:pPr>
          </w:p>
        </w:tc>
        <w:tc>
          <w:tcPr>
            <w:tcW w:w="945" w:type="pct"/>
            <w:noWrap/>
            <w:vAlign w:val="center"/>
          </w:tcPr>
          <w:p w14:paraId="390E3440">
            <w:pPr>
              <w:widowControl/>
              <w:adjustRightInd w:val="0"/>
              <w:snapToGrid w:val="0"/>
              <w:jc w:val="center"/>
              <w:textAlignment w:val="center"/>
              <w:rPr>
                <w:rFonts w:eastAsia="方正仿宋_GBK"/>
                <w:b/>
                <w:bCs/>
                <w:color w:val="000000"/>
                <w:kern w:val="0"/>
                <w:sz w:val="24"/>
              </w:rPr>
            </w:pPr>
          </w:p>
        </w:tc>
        <w:tc>
          <w:tcPr>
            <w:tcW w:w="944" w:type="pct"/>
            <w:noWrap/>
            <w:vAlign w:val="center"/>
          </w:tcPr>
          <w:p w14:paraId="45ABDC66">
            <w:pPr>
              <w:widowControl/>
              <w:adjustRightInd w:val="0"/>
              <w:snapToGrid w:val="0"/>
              <w:jc w:val="center"/>
              <w:textAlignment w:val="center"/>
              <w:rPr>
                <w:rFonts w:eastAsia="方正仿宋_GBK"/>
                <w:b/>
                <w:bCs/>
                <w:color w:val="000000"/>
                <w:kern w:val="0"/>
                <w:sz w:val="24"/>
              </w:rPr>
            </w:pPr>
          </w:p>
        </w:tc>
        <w:tc>
          <w:tcPr>
            <w:tcW w:w="472" w:type="pct"/>
            <w:noWrap/>
            <w:vAlign w:val="center"/>
          </w:tcPr>
          <w:p w14:paraId="41A01CF3">
            <w:pPr>
              <w:widowControl/>
              <w:adjustRightInd w:val="0"/>
              <w:snapToGrid w:val="0"/>
              <w:jc w:val="center"/>
              <w:textAlignment w:val="center"/>
              <w:rPr>
                <w:rFonts w:eastAsia="方正仿宋_GBK"/>
                <w:b/>
                <w:bCs/>
                <w:color w:val="000000"/>
                <w:kern w:val="0"/>
                <w:sz w:val="24"/>
              </w:rPr>
            </w:pPr>
            <w:r>
              <w:rPr>
                <w:rFonts w:eastAsia="方正仿宋_GBK"/>
                <w:b/>
                <w:bCs/>
                <w:color w:val="000000"/>
                <w:kern w:val="0"/>
                <w:sz w:val="24"/>
              </w:rPr>
              <w:t>100%</w:t>
            </w:r>
          </w:p>
        </w:tc>
        <w:tc>
          <w:tcPr>
            <w:tcW w:w="453" w:type="pct"/>
            <w:noWrap/>
            <w:vAlign w:val="center"/>
          </w:tcPr>
          <w:p w14:paraId="25715D2D">
            <w:pPr>
              <w:widowControl/>
              <w:adjustRightInd w:val="0"/>
              <w:snapToGrid w:val="0"/>
              <w:jc w:val="center"/>
              <w:textAlignment w:val="center"/>
              <w:rPr>
                <w:rFonts w:eastAsia="方正仿宋_GBK"/>
                <w:b/>
                <w:bCs/>
                <w:color w:val="000000"/>
                <w:kern w:val="0"/>
                <w:sz w:val="24"/>
              </w:rPr>
            </w:pPr>
            <w:r>
              <w:rPr>
                <w:rFonts w:eastAsia="方正仿宋_GBK"/>
                <w:b/>
                <w:bCs/>
                <w:color w:val="000000"/>
                <w:kern w:val="0"/>
                <w:sz w:val="24"/>
              </w:rPr>
              <w:t>100</w:t>
            </w:r>
          </w:p>
        </w:tc>
      </w:tr>
    </w:tbl>
    <w:p w14:paraId="0EAA9F3F">
      <w:pPr>
        <w:ind w:firstLine="640" w:firstLineChars="200"/>
        <w:outlineLvl w:val="1"/>
        <w:rPr>
          <w:rFonts w:eastAsia="方正黑体_GBK"/>
          <w:bCs/>
          <w:sz w:val="32"/>
          <w:szCs w:val="32"/>
        </w:rPr>
      </w:pPr>
      <w:bookmarkStart w:id="92" w:name="_Toc25615"/>
      <w:bookmarkStart w:id="93" w:name="_Toc10834"/>
      <w:bookmarkStart w:id="94" w:name="_Toc29204"/>
      <w:bookmarkStart w:id="95" w:name="_Toc28311"/>
      <w:bookmarkStart w:id="96" w:name="_Toc170909604"/>
      <w:bookmarkStart w:id="97" w:name="_Toc10767"/>
      <w:r>
        <w:rPr>
          <w:rFonts w:eastAsia="方正黑体_GBK"/>
          <w:bCs/>
          <w:sz w:val="32"/>
          <w:szCs w:val="32"/>
        </w:rPr>
        <w:t>三、绩效评价工作情况</w:t>
      </w:r>
      <w:bookmarkEnd w:id="92"/>
      <w:bookmarkEnd w:id="93"/>
      <w:bookmarkEnd w:id="94"/>
      <w:bookmarkEnd w:id="95"/>
      <w:bookmarkEnd w:id="96"/>
      <w:bookmarkEnd w:id="97"/>
    </w:p>
    <w:p w14:paraId="19CFDB8D">
      <w:pPr>
        <w:spacing w:line="600" w:lineRule="exact"/>
        <w:ind w:firstLine="640" w:firstLineChars="200"/>
        <w:outlineLvl w:val="2"/>
        <w:rPr>
          <w:rFonts w:eastAsia="方正楷体_GBK"/>
          <w:bCs/>
          <w:sz w:val="32"/>
          <w:szCs w:val="32"/>
        </w:rPr>
      </w:pPr>
      <w:bookmarkStart w:id="98" w:name="_Toc18002"/>
      <w:bookmarkStart w:id="99" w:name="_Toc19945"/>
      <w:bookmarkStart w:id="100" w:name="_Toc28137"/>
      <w:bookmarkStart w:id="101" w:name="_Toc170909605"/>
      <w:bookmarkStart w:id="102" w:name="_Toc26374"/>
      <w:r>
        <w:rPr>
          <w:rFonts w:eastAsia="方正楷体_GBK"/>
          <w:bCs/>
          <w:sz w:val="32"/>
          <w:szCs w:val="32"/>
        </w:rPr>
        <w:t>（一）绩效评价对象</w:t>
      </w:r>
      <w:bookmarkEnd w:id="98"/>
      <w:bookmarkEnd w:id="99"/>
      <w:r>
        <w:rPr>
          <w:rFonts w:eastAsia="方正楷体_GBK"/>
          <w:bCs/>
          <w:sz w:val="32"/>
          <w:szCs w:val="32"/>
        </w:rPr>
        <w:t>和范围</w:t>
      </w:r>
      <w:bookmarkEnd w:id="100"/>
      <w:bookmarkEnd w:id="101"/>
      <w:bookmarkEnd w:id="102"/>
    </w:p>
    <w:p w14:paraId="5DECF0FD">
      <w:pPr>
        <w:spacing w:line="600" w:lineRule="exact"/>
        <w:ind w:firstLine="640" w:firstLineChars="200"/>
        <w:rPr>
          <w:rFonts w:eastAsia="方正仿宋_GBK"/>
          <w:bCs/>
          <w:sz w:val="32"/>
          <w:szCs w:val="32"/>
        </w:rPr>
      </w:pPr>
      <w:bookmarkStart w:id="103" w:name="_Toc119"/>
      <w:bookmarkStart w:id="104" w:name="_Toc7143"/>
      <w:r>
        <w:rPr>
          <w:rFonts w:eastAsia="方正仿宋_GBK"/>
          <w:bCs/>
          <w:sz w:val="32"/>
          <w:szCs w:val="32"/>
        </w:rPr>
        <w:t>本次绩效评价对象为铜梁区城市燃气管道老化更新改造项目；评价的时间范围为2023年度。</w:t>
      </w:r>
    </w:p>
    <w:p w14:paraId="19F3C4BA">
      <w:pPr>
        <w:spacing w:line="600" w:lineRule="exact"/>
        <w:ind w:firstLine="640" w:firstLineChars="200"/>
        <w:outlineLvl w:val="2"/>
        <w:rPr>
          <w:rFonts w:eastAsia="方正楷体_GBK"/>
          <w:bCs/>
          <w:sz w:val="32"/>
          <w:szCs w:val="32"/>
        </w:rPr>
      </w:pPr>
      <w:bookmarkStart w:id="105" w:name="_Toc170909606"/>
      <w:bookmarkStart w:id="106" w:name="_Toc10172"/>
      <w:bookmarkStart w:id="107" w:name="_Toc25290"/>
      <w:r>
        <w:rPr>
          <w:rFonts w:eastAsia="方正楷体_GBK"/>
          <w:bCs/>
          <w:sz w:val="32"/>
          <w:szCs w:val="32"/>
        </w:rPr>
        <w:t>（二）绩效评价目的</w:t>
      </w:r>
      <w:bookmarkEnd w:id="103"/>
      <w:bookmarkEnd w:id="104"/>
      <w:bookmarkEnd w:id="105"/>
      <w:bookmarkEnd w:id="106"/>
      <w:bookmarkEnd w:id="107"/>
    </w:p>
    <w:p w14:paraId="469142BC">
      <w:pPr>
        <w:spacing w:line="600" w:lineRule="exact"/>
        <w:ind w:firstLine="640" w:firstLineChars="200"/>
        <w:rPr>
          <w:rFonts w:eastAsia="方正仿宋_GBK"/>
          <w:sz w:val="32"/>
          <w:szCs w:val="32"/>
        </w:rPr>
      </w:pPr>
      <w:bookmarkStart w:id="108" w:name="_Toc16561"/>
      <w:bookmarkStart w:id="109" w:name="_Toc18908"/>
      <w:r>
        <w:rPr>
          <w:rFonts w:eastAsia="方正仿宋_GBK"/>
          <w:sz w:val="32"/>
          <w:szCs w:val="32"/>
        </w:rPr>
        <w:t>绩效评价的目的是依据设定的绩效目标，遵循规范的评估程序，按照《</w:t>
      </w:r>
      <w:r>
        <w:rPr>
          <w:rFonts w:hint="eastAsia" w:eastAsia="方正仿宋_GBK"/>
          <w:sz w:val="32"/>
          <w:szCs w:val="32"/>
        </w:rPr>
        <w:t>城市燃气管道等老化更新改造和保障性安居工程中央预算内投资专项管理暂行办法</w:t>
      </w:r>
      <w:r>
        <w:rPr>
          <w:rFonts w:eastAsia="方正仿宋_GBK"/>
          <w:sz w:val="32"/>
          <w:szCs w:val="32"/>
        </w:rPr>
        <w:t>》</w:t>
      </w:r>
      <w:r>
        <w:rPr>
          <w:rFonts w:hint="eastAsia" w:eastAsia="方正仿宋_GBK"/>
          <w:sz w:val="32"/>
          <w:szCs w:val="32"/>
        </w:rPr>
        <w:t>（发改投资规〔2022〕910号）</w:t>
      </w:r>
      <w:r>
        <w:rPr>
          <w:rFonts w:eastAsia="方正仿宋_GBK"/>
          <w:sz w:val="32"/>
          <w:szCs w:val="32"/>
        </w:rPr>
        <w:t>与《</w:t>
      </w:r>
      <w:r>
        <w:rPr>
          <w:rFonts w:hint="eastAsia" w:eastAsia="方正仿宋_GBK"/>
          <w:sz w:val="32"/>
          <w:szCs w:val="32"/>
        </w:rPr>
        <w:t>铜梁区区级政策和项目预算绩效管理办法</w:t>
      </w:r>
      <w:r>
        <w:rPr>
          <w:rFonts w:eastAsia="方正仿宋_GBK"/>
          <w:sz w:val="32"/>
          <w:szCs w:val="32"/>
        </w:rPr>
        <w:t>》（铜财〔2022〕411号）等相关规定，对预算资金的投入、使用情况，产出成果及其带来的效果进行全面而系统的客观评价。通过深入分析绩效评价的结果，我们致力于发现资金运用和管理过程中存在的薄弱环节以及关注项目产出和效果是否达到预期，进而提出针对性的建议，为进一步提升项目管理水平、提高财政资金配置效率和使用效益提供参考。</w:t>
      </w:r>
    </w:p>
    <w:p w14:paraId="68C238BC">
      <w:pPr>
        <w:spacing w:line="600" w:lineRule="exact"/>
        <w:ind w:firstLine="640" w:firstLineChars="200"/>
        <w:outlineLvl w:val="2"/>
        <w:rPr>
          <w:rFonts w:eastAsia="方正楷体_GBK"/>
          <w:bCs/>
          <w:sz w:val="32"/>
          <w:szCs w:val="32"/>
        </w:rPr>
      </w:pPr>
      <w:bookmarkStart w:id="110" w:name="_Toc7051"/>
      <w:bookmarkStart w:id="111" w:name="_Toc170909607"/>
      <w:bookmarkStart w:id="112" w:name="_Toc24567"/>
      <w:r>
        <w:rPr>
          <w:rFonts w:eastAsia="方正楷体_GBK"/>
          <w:bCs/>
          <w:sz w:val="32"/>
          <w:szCs w:val="32"/>
        </w:rPr>
        <w:t>（三）绩效评价原则和依据</w:t>
      </w:r>
      <w:bookmarkEnd w:id="108"/>
      <w:bookmarkEnd w:id="109"/>
      <w:bookmarkEnd w:id="110"/>
      <w:bookmarkEnd w:id="111"/>
      <w:bookmarkEnd w:id="112"/>
    </w:p>
    <w:p w14:paraId="7BECAA31">
      <w:pPr>
        <w:spacing w:line="600" w:lineRule="exact"/>
        <w:ind w:firstLine="640" w:firstLineChars="200"/>
        <w:rPr>
          <w:rFonts w:eastAsia="方正仿宋_GBK"/>
          <w:bCs/>
          <w:sz w:val="32"/>
          <w:szCs w:val="32"/>
        </w:rPr>
      </w:pPr>
      <w:r>
        <w:rPr>
          <w:rFonts w:eastAsia="方正仿宋_GBK"/>
          <w:bCs/>
          <w:sz w:val="32"/>
          <w:szCs w:val="32"/>
        </w:rPr>
        <w:t>1.评价原则</w:t>
      </w:r>
    </w:p>
    <w:p w14:paraId="3C16AAD8">
      <w:pPr>
        <w:spacing w:line="600" w:lineRule="exact"/>
        <w:ind w:firstLine="640" w:firstLineChars="200"/>
        <w:rPr>
          <w:rFonts w:eastAsia="方正仿宋_GBK"/>
          <w:bCs/>
          <w:sz w:val="32"/>
          <w:szCs w:val="32"/>
        </w:rPr>
      </w:pPr>
      <w:r>
        <w:rPr>
          <w:rFonts w:eastAsia="方正仿宋_GBK"/>
          <w:bCs/>
          <w:sz w:val="32"/>
          <w:szCs w:val="32"/>
        </w:rPr>
        <w:t>参照《项目支出绩效评价管理办法》（财预〔2020〕10号）规定，本次绩效评价遵循以下基本原则：</w:t>
      </w:r>
    </w:p>
    <w:p w14:paraId="1BAEB202">
      <w:pPr>
        <w:spacing w:line="600" w:lineRule="exact"/>
        <w:ind w:firstLine="640" w:firstLineChars="200"/>
        <w:rPr>
          <w:rFonts w:eastAsia="方正仿宋_GBK"/>
          <w:bCs/>
          <w:sz w:val="32"/>
          <w:szCs w:val="32"/>
        </w:rPr>
      </w:pPr>
      <w:r>
        <w:rPr>
          <w:rFonts w:eastAsia="方正仿宋_GBK"/>
          <w:bCs/>
          <w:sz w:val="32"/>
          <w:szCs w:val="32"/>
        </w:rPr>
        <w:t>（1）客观公正。绩效评价以事实和数据为基础，确保评估结果的公正和准确。</w:t>
      </w:r>
    </w:p>
    <w:p w14:paraId="33C6865F">
      <w:pPr>
        <w:spacing w:line="600" w:lineRule="exact"/>
        <w:ind w:firstLine="640" w:firstLineChars="200"/>
        <w:rPr>
          <w:rFonts w:eastAsia="方正仿宋_GBK"/>
          <w:bCs/>
          <w:sz w:val="32"/>
          <w:szCs w:val="32"/>
        </w:rPr>
      </w:pPr>
      <w:r>
        <w:rPr>
          <w:rFonts w:eastAsia="方正仿宋_GBK"/>
          <w:bCs/>
          <w:sz w:val="32"/>
          <w:szCs w:val="32"/>
        </w:rPr>
        <w:t>（2）科学规范。绩效评价应当运用科学合理的方法，按照规范的程序，确保评价过程的科学性和规范性。</w:t>
      </w:r>
    </w:p>
    <w:p w14:paraId="668E3BDC">
      <w:pPr>
        <w:spacing w:line="600" w:lineRule="exact"/>
        <w:ind w:firstLine="640" w:firstLineChars="200"/>
        <w:rPr>
          <w:rFonts w:eastAsia="方正仿宋_GBK"/>
          <w:bCs/>
          <w:sz w:val="32"/>
          <w:szCs w:val="32"/>
        </w:rPr>
      </w:pPr>
      <w:r>
        <w:rPr>
          <w:rFonts w:eastAsia="方正仿宋_GBK"/>
          <w:bCs/>
          <w:sz w:val="32"/>
          <w:szCs w:val="32"/>
        </w:rPr>
        <w:t>（3）激励约束。绩效评价结果应与预算安排、政策调整、改进管理实质性挂钩，体现奖优罚劣和激励相容导向，有效要安排、低效要压减、无效要问责。</w:t>
      </w:r>
    </w:p>
    <w:p w14:paraId="34997AF0">
      <w:pPr>
        <w:spacing w:line="600" w:lineRule="exact"/>
        <w:ind w:firstLine="640" w:firstLineChars="200"/>
        <w:rPr>
          <w:rFonts w:eastAsia="方正仿宋_GBK"/>
          <w:bCs/>
          <w:sz w:val="32"/>
          <w:szCs w:val="32"/>
        </w:rPr>
      </w:pPr>
      <w:r>
        <w:rPr>
          <w:rFonts w:eastAsia="方正仿宋_GBK"/>
          <w:bCs/>
          <w:sz w:val="32"/>
          <w:szCs w:val="32"/>
        </w:rPr>
        <w:t>（4）公开透明。绩效评价结果应依法依规公开，并自觉接受社会监督。</w:t>
      </w:r>
    </w:p>
    <w:p w14:paraId="2F2F38F5">
      <w:pPr>
        <w:spacing w:line="600" w:lineRule="exact"/>
        <w:ind w:firstLine="640" w:firstLineChars="200"/>
        <w:rPr>
          <w:rFonts w:eastAsia="方正仿宋_GBK"/>
          <w:bCs/>
          <w:sz w:val="32"/>
          <w:szCs w:val="32"/>
        </w:rPr>
      </w:pPr>
      <w:r>
        <w:rPr>
          <w:rFonts w:eastAsia="方正仿宋_GBK"/>
          <w:bCs/>
          <w:sz w:val="32"/>
          <w:szCs w:val="32"/>
        </w:rPr>
        <w:t>2.评价依据</w:t>
      </w:r>
    </w:p>
    <w:p w14:paraId="1A918974">
      <w:pPr>
        <w:spacing w:line="600" w:lineRule="exact"/>
        <w:ind w:firstLine="640" w:firstLineChars="200"/>
        <w:rPr>
          <w:rFonts w:eastAsia="方正仿宋_GBK"/>
          <w:sz w:val="32"/>
          <w:szCs w:val="32"/>
        </w:rPr>
      </w:pPr>
      <w:r>
        <w:rPr>
          <w:rFonts w:eastAsia="方正仿宋_GBK"/>
          <w:sz w:val="32"/>
          <w:szCs w:val="32"/>
        </w:rPr>
        <w:t>（1）《中华人民共和国预算法》；</w:t>
      </w:r>
    </w:p>
    <w:p w14:paraId="675A3F8F">
      <w:pPr>
        <w:spacing w:line="60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2</w:t>
      </w:r>
      <w:r>
        <w:rPr>
          <w:rFonts w:eastAsia="方正仿宋_GBK"/>
          <w:sz w:val="32"/>
          <w:szCs w:val="32"/>
        </w:rPr>
        <w:t>）</w:t>
      </w:r>
      <w:r>
        <w:rPr>
          <w:rFonts w:hint="eastAsia" w:eastAsia="方正仿宋_GBK"/>
          <w:sz w:val="32"/>
          <w:szCs w:val="32"/>
        </w:rPr>
        <w:t>《政府投资条例》（国务院令第712号）；</w:t>
      </w:r>
    </w:p>
    <w:p w14:paraId="6F8ACAB2">
      <w:pPr>
        <w:spacing w:line="60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3</w:t>
      </w:r>
      <w:r>
        <w:rPr>
          <w:rFonts w:eastAsia="方正仿宋_GBK"/>
          <w:sz w:val="32"/>
          <w:szCs w:val="32"/>
        </w:rPr>
        <w:t>）</w:t>
      </w:r>
      <w:r>
        <w:rPr>
          <w:rFonts w:hint="eastAsia" w:eastAsia="方正仿宋_GBK"/>
          <w:sz w:val="32"/>
          <w:szCs w:val="32"/>
        </w:rPr>
        <w:t>《中央预算内投资补助和贴息项目管理办法》（国家发展和改革委员会令2016年第45号）；</w:t>
      </w:r>
    </w:p>
    <w:p w14:paraId="717465DE">
      <w:pPr>
        <w:spacing w:line="60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4</w:t>
      </w:r>
      <w:r>
        <w:rPr>
          <w:rFonts w:eastAsia="方正仿宋_GBK"/>
          <w:sz w:val="32"/>
          <w:szCs w:val="32"/>
        </w:rPr>
        <w:t>）</w:t>
      </w:r>
      <w:r>
        <w:rPr>
          <w:rFonts w:hint="eastAsia" w:eastAsia="方正仿宋_GBK"/>
          <w:sz w:val="32"/>
          <w:szCs w:val="32"/>
        </w:rPr>
        <w:t>《城市燃气管道等老化更新改造和保障性安居工程中央预算内投资专项管理暂行办法》（发改投资规〔2022〕910号）；</w:t>
      </w:r>
    </w:p>
    <w:p w14:paraId="7F485E7C">
      <w:pPr>
        <w:spacing w:line="60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5</w:t>
      </w:r>
      <w:r>
        <w:rPr>
          <w:rFonts w:eastAsia="方正仿宋_GBK"/>
          <w:sz w:val="32"/>
          <w:szCs w:val="32"/>
        </w:rPr>
        <w:t>）</w:t>
      </w:r>
      <w:r>
        <w:rPr>
          <w:rFonts w:hint="eastAsia" w:eastAsia="方正仿宋_GBK"/>
          <w:sz w:val="32"/>
          <w:szCs w:val="32"/>
        </w:rPr>
        <w:t>《重庆市政府投资管理办法》（重庆市人民政府令第339号）；</w:t>
      </w:r>
    </w:p>
    <w:p w14:paraId="5685724D">
      <w:pPr>
        <w:spacing w:line="600" w:lineRule="exact"/>
        <w:ind w:firstLine="640" w:firstLineChars="200"/>
        <w:rPr>
          <w:rFonts w:eastAsia="方正仿宋_GBK"/>
          <w:sz w:val="32"/>
          <w:szCs w:val="32"/>
        </w:rPr>
      </w:pPr>
      <w:r>
        <w:rPr>
          <w:rFonts w:hint="eastAsia" w:eastAsia="方正仿宋_GBK"/>
          <w:sz w:val="32"/>
          <w:szCs w:val="32"/>
        </w:rPr>
        <w:t>（6）《铜梁区区级政策和项目预算绩效管理办法》（铜财〔2022〕411号）。</w:t>
      </w:r>
    </w:p>
    <w:p w14:paraId="46C391D3">
      <w:pPr>
        <w:spacing w:line="600" w:lineRule="exact"/>
        <w:ind w:firstLine="640" w:firstLineChars="200"/>
        <w:outlineLvl w:val="2"/>
        <w:rPr>
          <w:rFonts w:eastAsia="方正楷体_GBK"/>
          <w:bCs/>
          <w:sz w:val="32"/>
          <w:szCs w:val="32"/>
        </w:rPr>
      </w:pPr>
      <w:bookmarkStart w:id="113" w:name="_Toc170909608"/>
      <w:bookmarkStart w:id="114" w:name="_Toc9721"/>
      <w:bookmarkStart w:id="115" w:name="_Toc2808"/>
      <w:bookmarkStart w:id="116" w:name="_Toc27809"/>
      <w:bookmarkStart w:id="117" w:name="_Toc15793"/>
      <w:bookmarkStart w:id="118" w:name="_Toc23556"/>
      <w:bookmarkStart w:id="119" w:name="_Toc29074"/>
      <w:r>
        <w:rPr>
          <w:rFonts w:eastAsia="方正楷体_GBK"/>
          <w:bCs/>
          <w:sz w:val="32"/>
          <w:szCs w:val="32"/>
        </w:rPr>
        <w:t>（四）绩效评价方法及标准</w:t>
      </w:r>
      <w:bookmarkEnd w:id="113"/>
      <w:bookmarkEnd w:id="114"/>
      <w:bookmarkEnd w:id="115"/>
      <w:bookmarkEnd w:id="116"/>
      <w:bookmarkEnd w:id="117"/>
    </w:p>
    <w:p w14:paraId="5D2E2930">
      <w:pPr>
        <w:spacing w:line="600" w:lineRule="exact"/>
        <w:ind w:firstLine="640" w:firstLineChars="200"/>
        <w:rPr>
          <w:rFonts w:eastAsia="方正仿宋_GBK"/>
          <w:sz w:val="32"/>
          <w:szCs w:val="32"/>
        </w:rPr>
      </w:pPr>
      <w:r>
        <w:rPr>
          <w:rFonts w:eastAsia="方正仿宋_GBK"/>
          <w:sz w:val="32"/>
          <w:szCs w:val="32"/>
        </w:rPr>
        <w:t>1.评价方法</w:t>
      </w:r>
    </w:p>
    <w:p w14:paraId="087675C0">
      <w:pPr>
        <w:spacing w:line="600" w:lineRule="exact"/>
        <w:ind w:firstLine="640" w:firstLineChars="200"/>
        <w:rPr>
          <w:rFonts w:eastAsia="方正仿宋_GBK"/>
          <w:sz w:val="32"/>
          <w:szCs w:val="32"/>
        </w:rPr>
      </w:pPr>
      <w:r>
        <w:rPr>
          <w:rFonts w:eastAsia="方正仿宋_GBK"/>
          <w:sz w:val="32"/>
          <w:szCs w:val="32"/>
        </w:rPr>
        <w:t>本次绩效评价采用定量与定性、书面评价与实地核查相结合的方式开展，在具体的绩效评价工作中，根据评价指标特点，我们一般采取如下绩效评价的方法：</w:t>
      </w:r>
    </w:p>
    <w:p w14:paraId="29BF4454">
      <w:pPr>
        <w:spacing w:line="600" w:lineRule="exact"/>
        <w:ind w:firstLine="640" w:firstLineChars="200"/>
        <w:rPr>
          <w:rFonts w:eastAsia="方正仿宋_GBK"/>
          <w:sz w:val="32"/>
          <w:szCs w:val="32"/>
        </w:rPr>
      </w:pPr>
      <w:r>
        <w:rPr>
          <w:rFonts w:eastAsia="方正仿宋_GBK"/>
          <w:sz w:val="32"/>
          <w:szCs w:val="32"/>
        </w:rPr>
        <w:t>（1）成本效益分析法。是指将一定时期内的支出与效益进行对比分析，以评价绩效目标实现程度。</w:t>
      </w:r>
    </w:p>
    <w:p w14:paraId="6E6802CD">
      <w:pPr>
        <w:spacing w:line="600" w:lineRule="exact"/>
        <w:ind w:firstLine="640" w:firstLineChars="200"/>
        <w:rPr>
          <w:rFonts w:eastAsia="方正仿宋_GBK"/>
          <w:sz w:val="32"/>
          <w:szCs w:val="32"/>
        </w:rPr>
      </w:pPr>
      <w:r>
        <w:rPr>
          <w:rFonts w:eastAsia="方正仿宋_GBK"/>
          <w:sz w:val="32"/>
          <w:szCs w:val="32"/>
        </w:rPr>
        <w:t>（2）比较法。是指通过对绩效目标与实施效果、历史与当期情况、不同部门和地区同类支出的比较，综合分析绩效目标实现程度。</w:t>
      </w:r>
    </w:p>
    <w:p w14:paraId="3DA3ADCD">
      <w:pPr>
        <w:spacing w:line="600" w:lineRule="exact"/>
        <w:ind w:firstLine="640" w:firstLineChars="200"/>
        <w:rPr>
          <w:rFonts w:eastAsia="方正仿宋_GBK"/>
          <w:sz w:val="32"/>
          <w:szCs w:val="32"/>
        </w:rPr>
      </w:pPr>
      <w:r>
        <w:rPr>
          <w:rFonts w:eastAsia="方正仿宋_GBK"/>
          <w:sz w:val="32"/>
          <w:szCs w:val="32"/>
        </w:rPr>
        <w:t>（3）因素分析法。是指通过综合分析影响绩效目标实现、实施效果的内外因素，评价绩效目标实现程度。</w:t>
      </w:r>
    </w:p>
    <w:p w14:paraId="75465CC0">
      <w:pPr>
        <w:spacing w:line="600" w:lineRule="exact"/>
        <w:ind w:firstLine="640" w:firstLineChars="200"/>
        <w:rPr>
          <w:rFonts w:eastAsia="方正仿宋_GBK"/>
          <w:sz w:val="32"/>
          <w:szCs w:val="32"/>
        </w:rPr>
      </w:pPr>
      <w:r>
        <w:rPr>
          <w:rFonts w:eastAsia="方正仿宋_GBK"/>
          <w:sz w:val="32"/>
          <w:szCs w:val="32"/>
        </w:rPr>
        <w:t>（4）最低成本法。是指对效益确定却不易计量的多个同类对象的实施成本进行比较，评价绩效目标实现程度。</w:t>
      </w:r>
    </w:p>
    <w:p w14:paraId="5D964607">
      <w:pPr>
        <w:spacing w:line="600" w:lineRule="exact"/>
        <w:ind w:firstLine="640" w:firstLineChars="200"/>
        <w:rPr>
          <w:rFonts w:eastAsia="方正仿宋_GBK"/>
          <w:sz w:val="32"/>
          <w:szCs w:val="32"/>
        </w:rPr>
      </w:pPr>
      <w:r>
        <w:rPr>
          <w:rFonts w:eastAsia="方正仿宋_GBK"/>
          <w:sz w:val="32"/>
          <w:szCs w:val="32"/>
        </w:rPr>
        <w:t>（5）公众评判法。是指通过专家评估、公众问卷及抽样调查等对财政支出效果进行评判，评价绩效目标实现程度。</w:t>
      </w:r>
    </w:p>
    <w:p w14:paraId="503F0214">
      <w:pPr>
        <w:spacing w:line="600" w:lineRule="exact"/>
        <w:ind w:firstLine="640" w:firstLineChars="200"/>
        <w:rPr>
          <w:rFonts w:eastAsia="方正仿宋_GBK"/>
          <w:sz w:val="32"/>
          <w:szCs w:val="32"/>
        </w:rPr>
      </w:pPr>
      <w:r>
        <w:rPr>
          <w:rFonts w:eastAsia="方正仿宋_GBK"/>
          <w:sz w:val="32"/>
          <w:szCs w:val="32"/>
        </w:rPr>
        <w:t>2.评价标准</w:t>
      </w:r>
    </w:p>
    <w:p w14:paraId="58632BA6">
      <w:pPr>
        <w:spacing w:line="600" w:lineRule="exact"/>
        <w:ind w:firstLine="640" w:firstLineChars="200"/>
      </w:pPr>
      <w:r>
        <w:rPr>
          <w:rFonts w:hint="eastAsia" w:eastAsia="方正仿宋_GBK"/>
          <w:sz w:val="32"/>
          <w:szCs w:val="32"/>
        </w:rPr>
        <w:t>结合</w:t>
      </w:r>
      <w:r>
        <w:rPr>
          <w:rFonts w:eastAsia="方正仿宋_GBK"/>
          <w:sz w:val="32"/>
          <w:szCs w:val="32"/>
        </w:rPr>
        <w:t>《</w:t>
      </w:r>
      <w:r>
        <w:rPr>
          <w:rFonts w:hint="eastAsia" w:eastAsia="方正仿宋_GBK"/>
          <w:sz w:val="32"/>
          <w:szCs w:val="32"/>
        </w:rPr>
        <w:t>铜梁区区级政策和项目预算绩效管理办法</w:t>
      </w:r>
      <w:r>
        <w:rPr>
          <w:rFonts w:eastAsia="方正仿宋_GBK"/>
          <w:sz w:val="32"/>
          <w:szCs w:val="32"/>
        </w:rPr>
        <w:t>》（铜财〔2022〕411号）文件的规定，各指标按照以下规则计分：</w:t>
      </w:r>
    </w:p>
    <w:p w14:paraId="6A49435B">
      <w:pPr>
        <w:spacing w:line="600" w:lineRule="exact"/>
        <w:ind w:firstLine="640" w:firstLineChars="200"/>
        <w:rPr>
          <w:rFonts w:eastAsia="方正仿宋_GBK"/>
          <w:bCs/>
          <w:sz w:val="32"/>
          <w:szCs w:val="32"/>
        </w:rPr>
      </w:pPr>
      <w:r>
        <w:rPr>
          <w:rFonts w:eastAsia="方正仿宋_GBK"/>
          <w:bCs/>
          <w:sz w:val="32"/>
          <w:szCs w:val="32"/>
        </w:rPr>
        <w:t>（1）定量指标：达到目标确定的标准的，计满分；低于目标确定的标准，偏离度在15%以内的，按照该指标分值权重平均扣分；正负偏离度超过15%的，不得分。</w:t>
      </w:r>
    </w:p>
    <w:p w14:paraId="65CA656E">
      <w:pPr>
        <w:spacing w:line="600" w:lineRule="exact"/>
        <w:ind w:firstLine="640" w:firstLineChars="200"/>
        <w:rPr>
          <w:rFonts w:eastAsia="方正仿宋_GBK"/>
          <w:bCs/>
          <w:sz w:val="32"/>
          <w:szCs w:val="32"/>
        </w:rPr>
      </w:pPr>
      <w:r>
        <w:rPr>
          <w:rFonts w:eastAsia="方正仿宋_GBK"/>
          <w:bCs/>
          <w:sz w:val="32"/>
          <w:szCs w:val="32"/>
        </w:rPr>
        <w:t>（2）定性指标：全部或基本达成预期指标的，计相应权重 80%以上的分值；部分达成预期指标并具有一定效果的，计相应权重60%以上且低于80%的分值；未达成预期指标或效果较差的，不得分。</w:t>
      </w:r>
      <w:r>
        <w:rPr>
          <w:rFonts w:hint="eastAsia" w:eastAsia="方正仿宋_GBK"/>
          <w:bCs/>
          <w:sz w:val="32"/>
          <w:szCs w:val="32"/>
        </w:rPr>
        <w:t>并根据指标实际情况，采用不符合扣分或符合得分等规则确定分值。</w:t>
      </w:r>
    </w:p>
    <w:p w14:paraId="7ABE1854">
      <w:pPr>
        <w:spacing w:line="600" w:lineRule="exact"/>
        <w:ind w:firstLine="640" w:firstLineChars="200"/>
        <w:rPr>
          <w:rFonts w:eastAsia="方正仿宋_GBK"/>
          <w:bCs/>
          <w:sz w:val="32"/>
          <w:szCs w:val="32"/>
        </w:rPr>
      </w:pPr>
      <w:r>
        <w:rPr>
          <w:rFonts w:eastAsia="方正仿宋_GBK"/>
          <w:bCs/>
          <w:sz w:val="32"/>
          <w:szCs w:val="32"/>
        </w:rPr>
        <w:t>（3）不符合国家或重庆市标准的，不得分。</w:t>
      </w:r>
    </w:p>
    <w:p w14:paraId="20F041A3">
      <w:pPr>
        <w:spacing w:line="600" w:lineRule="exact"/>
        <w:ind w:firstLine="640" w:firstLineChars="200"/>
        <w:outlineLvl w:val="2"/>
        <w:rPr>
          <w:rFonts w:eastAsia="方正楷体_GBK"/>
          <w:bCs/>
          <w:sz w:val="32"/>
          <w:szCs w:val="32"/>
        </w:rPr>
      </w:pPr>
      <w:bookmarkStart w:id="120" w:name="_Toc170909609"/>
      <w:bookmarkStart w:id="121" w:name="_Toc14348"/>
      <w:bookmarkStart w:id="122" w:name="_Toc28846"/>
      <w:r>
        <w:rPr>
          <w:rFonts w:eastAsia="方正楷体_GBK"/>
          <w:bCs/>
          <w:sz w:val="32"/>
          <w:szCs w:val="32"/>
        </w:rPr>
        <w:t>（五）评价指标体系的确定</w:t>
      </w:r>
      <w:bookmarkEnd w:id="118"/>
      <w:bookmarkEnd w:id="119"/>
      <w:bookmarkEnd w:id="120"/>
      <w:bookmarkEnd w:id="121"/>
      <w:bookmarkEnd w:id="122"/>
    </w:p>
    <w:p w14:paraId="09AC1744">
      <w:pPr>
        <w:spacing w:line="600" w:lineRule="exact"/>
        <w:ind w:firstLine="640" w:firstLineChars="200"/>
        <w:rPr>
          <w:rFonts w:eastAsia="方正仿宋_GBK"/>
          <w:sz w:val="32"/>
          <w:szCs w:val="32"/>
        </w:rPr>
      </w:pPr>
      <w:r>
        <w:rPr>
          <w:rFonts w:hint="eastAsia" w:eastAsia="方正仿宋_GBK"/>
          <w:sz w:val="32"/>
          <w:szCs w:val="32"/>
        </w:rPr>
        <w:t>根据《铜梁区区级政策和项目预算绩效管理办法》（铜财〔2022〕411号），结合区经信委提供的本项目资金申报时填报的绩效目标表及项目实际情况，本项目评价指标体系设计分一级、二级、三级指标。一级指标设置投入、管理、产出和效果四大类，并按照2：2：3：3的比例分配权重；二级指标设置项目立项、资金落实、过程管理、绩效管理、数量指标、时效指标、质量指标、安全指标、成本指标、社会效益指标、可持续性影响指标和满意度指标12个方面；三级指标根据《城市燃气管道等老化更新改造和保障性安居工程中央预算内投资专项管理暂行办法》（发改投资规〔2022〕910号）、《铜梁区区级政策和项目预算绩效管理办法》（铜财〔2022〕411号）等文件以及项目的实际情况设置，每个指标不低于2分，每个核心指标不低于5分，总分实行100分满分制。</w:t>
      </w:r>
    </w:p>
    <w:p w14:paraId="4E276ACD">
      <w:pPr>
        <w:spacing w:line="600" w:lineRule="exact"/>
        <w:ind w:firstLine="640" w:firstLineChars="200"/>
        <w:rPr>
          <w:rFonts w:eastAsia="方正仿宋_GBK"/>
          <w:sz w:val="32"/>
          <w:szCs w:val="32"/>
        </w:rPr>
      </w:pPr>
      <w:r>
        <w:rPr>
          <w:rFonts w:eastAsia="方正仿宋_GBK"/>
          <w:sz w:val="32"/>
          <w:szCs w:val="32"/>
        </w:rPr>
        <w:t>1.投入类指标</w:t>
      </w:r>
    </w:p>
    <w:p w14:paraId="40727A46">
      <w:pPr>
        <w:spacing w:line="600" w:lineRule="exact"/>
        <w:ind w:firstLine="640" w:firstLineChars="200"/>
        <w:rPr>
          <w:rFonts w:eastAsia="方正仿宋_GBK"/>
          <w:sz w:val="32"/>
          <w:szCs w:val="32"/>
        </w:rPr>
      </w:pPr>
      <w:r>
        <w:rPr>
          <w:rFonts w:hint="eastAsia" w:eastAsia="方正仿宋_GBK"/>
          <w:sz w:val="32"/>
          <w:szCs w:val="32"/>
        </w:rPr>
        <w:t>投入类指标绩效评价重点为：（1）项目立项规范性；（2）绩效目标合理性；（3）绩效指标明确性；（4）资金落实及时性等</w:t>
      </w:r>
      <w:r>
        <w:rPr>
          <w:rFonts w:eastAsia="方正仿宋_GBK"/>
          <w:sz w:val="32"/>
          <w:szCs w:val="32"/>
        </w:rPr>
        <w:t>。根据以上评价重点，结合本项目实际情况，下设项目立项、资金落实2个二级指标。并在二级指标下，设置三级指标，其中项目立项要求立项</w:t>
      </w:r>
      <w:r>
        <w:rPr>
          <w:rFonts w:hint="eastAsia" w:eastAsia="方正仿宋_GBK"/>
          <w:sz w:val="32"/>
          <w:szCs w:val="32"/>
        </w:rPr>
        <w:t>规范</w:t>
      </w:r>
      <w:r>
        <w:rPr>
          <w:rFonts w:eastAsia="方正仿宋_GBK"/>
          <w:sz w:val="32"/>
          <w:szCs w:val="32"/>
        </w:rPr>
        <w:t>，符合</w:t>
      </w:r>
      <w:r>
        <w:rPr>
          <w:rFonts w:hint="eastAsia" w:eastAsia="方正仿宋_GBK"/>
          <w:sz w:val="32"/>
          <w:szCs w:val="32"/>
        </w:rPr>
        <w:t>《城市燃气管道等老化更新改造和保障性安居工程中央预算内投资专项管理暂行办法》（发改投资规〔2022〕910号）列支范围</w:t>
      </w:r>
      <w:r>
        <w:rPr>
          <w:rFonts w:eastAsia="方正仿宋_GBK"/>
          <w:sz w:val="32"/>
          <w:szCs w:val="32"/>
        </w:rPr>
        <w:t>；</w:t>
      </w:r>
      <w:r>
        <w:rPr>
          <w:rFonts w:hint="eastAsia" w:eastAsia="方正仿宋_GBK"/>
          <w:sz w:val="32"/>
          <w:szCs w:val="32"/>
        </w:rPr>
        <w:t>绩效目标合理</w:t>
      </w:r>
      <w:r>
        <w:rPr>
          <w:rFonts w:eastAsia="方正仿宋_GBK"/>
          <w:sz w:val="32"/>
          <w:szCs w:val="32"/>
        </w:rPr>
        <w:t>，</w:t>
      </w:r>
      <w:r>
        <w:rPr>
          <w:rFonts w:hint="eastAsia" w:eastAsia="方正仿宋_GBK"/>
          <w:sz w:val="32"/>
          <w:szCs w:val="32"/>
        </w:rPr>
        <w:t>绩效指标具有明确性</w:t>
      </w:r>
      <w:r>
        <w:rPr>
          <w:rFonts w:eastAsia="方正仿宋_GBK"/>
          <w:sz w:val="32"/>
          <w:szCs w:val="32"/>
        </w:rPr>
        <w:t>；资金落实要求资金及时到位。</w:t>
      </w:r>
    </w:p>
    <w:p w14:paraId="29BBCB35">
      <w:pPr>
        <w:spacing w:line="600" w:lineRule="exact"/>
        <w:ind w:firstLine="640" w:firstLineChars="200"/>
        <w:rPr>
          <w:rFonts w:eastAsia="方正仿宋_GBK"/>
          <w:sz w:val="32"/>
          <w:szCs w:val="32"/>
        </w:rPr>
      </w:pPr>
      <w:r>
        <w:rPr>
          <w:rFonts w:eastAsia="方正仿宋_GBK"/>
          <w:sz w:val="32"/>
          <w:szCs w:val="32"/>
        </w:rPr>
        <w:t>2.管理类指标</w:t>
      </w:r>
    </w:p>
    <w:p w14:paraId="1C74154E">
      <w:pPr>
        <w:spacing w:line="600" w:lineRule="exact"/>
        <w:ind w:firstLine="640" w:firstLineChars="200"/>
        <w:rPr>
          <w:rFonts w:eastAsia="方正仿宋_GBK"/>
          <w:sz w:val="32"/>
          <w:szCs w:val="32"/>
        </w:rPr>
      </w:pPr>
      <w:r>
        <w:rPr>
          <w:rFonts w:eastAsia="方正仿宋_GBK"/>
          <w:sz w:val="32"/>
          <w:szCs w:val="32"/>
        </w:rPr>
        <w:t>管理类指标绩效评价重点为：（1）</w:t>
      </w:r>
      <w:r>
        <w:rPr>
          <w:rFonts w:hint="eastAsia" w:eastAsia="方正仿宋_GBK"/>
          <w:sz w:val="32"/>
          <w:szCs w:val="32"/>
        </w:rPr>
        <w:t>项目管理制度的健全性以及执行有效性</w:t>
      </w:r>
      <w:r>
        <w:rPr>
          <w:rFonts w:eastAsia="方正仿宋_GBK"/>
          <w:sz w:val="32"/>
          <w:szCs w:val="32"/>
        </w:rPr>
        <w:t>；（2）</w:t>
      </w:r>
      <w:r>
        <w:rPr>
          <w:rFonts w:hint="eastAsia" w:eastAsia="方正仿宋_GBK"/>
          <w:sz w:val="32"/>
          <w:szCs w:val="32"/>
        </w:rPr>
        <w:t>项目质量、安全可控性</w:t>
      </w:r>
      <w:r>
        <w:rPr>
          <w:rFonts w:eastAsia="方正仿宋_GBK"/>
          <w:sz w:val="32"/>
          <w:szCs w:val="32"/>
        </w:rPr>
        <w:t>；（3）</w:t>
      </w:r>
      <w:r>
        <w:rPr>
          <w:rFonts w:hint="eastAsia" w:eastAsia="方正仿宋_GBK"/>
          <w:sz w:val="32"/>
          <w:szCs w:val="32"/>
        </w:rPr>
        <w:t>资金使用合规性</w:t>
      </w:r>
      <w:r>
        <w:rPr>
          <w:rFonts w:eastAsia="方正仿宋_GBK"/>
          <w:sz w:val="32"/>
          <w:szCs w:val="32"/>
        </w:rPr>
        <w:t>；（4）</w:t>
      </w:r>
      <w:r>
        <w:rPr>
          <w:rFonts w:hint="eastAsia" w:eastAsia="方正仿宋_GBK"/>
          <w:sz w:val="32"/>
          <w:szCs w:val="32"/>
        </w:rPr>
        <w:t>财务监控有效性；（5）绩效自评情况以及绩效运行监控情况</w:t>
      </w:r>
      <w:r>
        <w:rPr>
          <w:rFonts w:eastAsia="方正仿宋_GBK"/>
          <w:sz w:val="32"/>
          <w:szCs w:val="32"/>
        </w:rPr>
        <w:t>等。根据以上评价重点，结合本项目实际情况，下设</w:t>
      </w:r>
      <w:r>
        <w:rPr>
          <w:rFonts w:hint="eastAsia" w:eastAsia="方正仿宋_GBK"/>
          <w:sz w:val="32"/>
          <w:szCs w:val="32"/>
        </w:rPr>
        <w:t>过程</w:t>
      </w:r>
      <w:r>
        <w:rPr>
          <w:rFonts w:eastAsia="方正仿宋_GBK"/>
          <w:sz w:val="32"/>
          <w:szCs w:val="32"/>
        </w:rPr>
        <w:t>管理、</w:t>
      </w:r>
      <w:r>
        <w:rPr>
          <w:rFonts w:hint="eastAsia" w:eastAsia="方正仿宋_GBK"/>
          <w:sz w:val="32"/>
          <w:szCs w:val="32"/>
        </w:rPr>
        <w:t>绩效</w:t>
      </w:r>
      <w:r>
        <w:rPr>
          <w:rFonts w:eastAsia="方正仿宋_GBK"/>
          <w:sz w:val="32"/>
          <w:szCs w:val="32"/>
        </w:rPr>
        <w:t>管理2个二级指标。并在二级指标下，设置三级指标，其中</w:t>
      </w:r>
      <w:r>
        <w:rPr>
          <w:rFonts w:hint="eastAsia" w:eastAsia="方正仿宋_GBK"/>
          <w:sz w:val="32"/>
          <w:szCs w:val="32"/>
        </w:rPr>
        <w:t>过程</w:t>
      </w:r>
      <w:r>
        <w:rPr>
          <w:rFonts w:eastAsia="方正仿宋_GBK"/>
          <w:sz w:val="32"/>
          <w:szCs w:val="32"/>
        </w:rPr>
        <w:t>管理</w:t>
      </w:r>
      <w:r>
        <w:rPr>
          <w:rFonts w:hint="eastAsia" w:eastAsia="方正仿宋_GBK"/>
          <w:sz w:val="32"/>
          <w:szCs w:val="32"/>
        </w:rPr>
        <w:t>要求项目管理制度健全、执行有效，</w:t>
      </w:r>
      <w:r>
        <w:rPr>
          <w:rFonts w:eastAsia="方正仿宋_GBK"/>
          <w:sz w:val="32"/>
          <w:szCs w:val="32"/>
        </w:rPr>
        <w:t>合同签订和执行（涉及政府采购或购买服务的项目）</w:t>
      </w:r>
      <w:r>
        <w:rPr>
          <w:rFonts w:hint="eastAsia" w:eastAsia="方正仿宋_GBK"/>
          <w:sz w:val="32"/>
          <w:szCs w:val="32"/>
        </w:rPr>
        <w:t>符合相关法律法规要求，项目建立职责明确的安全管理体系，采取了安全管理标准、安全检查等必需的控制措施或手段，资金使用要符合《城市燃气管道等老化更新改造和保障性安居工程中央预算内投资专项管理暂行办法》中的要求，资金支付要经过相应审批，同时采取相应监控措施；绩效管理要求按照《铜梁区区级政策和项目预算绩效管理办法》（铜财〔2022〕411号）每年开展绩效自评，自评内容应包括项目预算安排及执行情况、绩效目标设定及完成情况、偏离绩效目标的原因和下一步改进措施等，要明确绩效运行监控方式。</w:t>
      </w:r>
    </w:p>
    <w:p w14:paraId="2E288A22">
      <w:pPr>
        <w:spacing w:line="600" w:lineRule="exact"/>
        <w:ind w:firstLine="640" w:firstLineChars="200"/>
        <w:rPr>
          <w:rFonts w:eastAsia="方正仿宋_GBK"/>
          <w:sz w:val="32"/>
          <w:szCs w:val="32"/>
        </w:rPr>
      </w:pPr>
      <w:r>
        <w:rPr>
          <w:rFonts w:eastAsia="方正仿宋_GBK"/>
          <w:sz w:val="32"/>
          <w:szCs w:val="32"/>
        </w:rPr>
        <w:t>3.产出类指标</w:t>
      </w:r>
    </w:p>
    <w:p w14:paraId="4C4AB4BD">
      <w:pPr>
        <w:spacing w:line="600" w:lineRule="exact"/>
        <w:ind w:firstLine="640" w:firstLineChars="200"/>
        <w:rPr>
          <w:rFonts w:eastAsia="方正仿宋_GBK"/>
          <w:sz w:val="32"/>
          <w:szCs w:val="32"/>
        </w:rPr>
      </w:pPr>
      <w:bookmarkStart w:id="123" w:name="_Toc26924"/>
      <w:bookmarkStart w:id="124" w:name="_Toc26205"/>
      <w:bookmarkStart w:id="125" w:name="_Toc1302"/>
      <w:r>
        <w:rPr>
          <w:rFonts w:hint="eastAsia" w:eastAsia="方正仿宋_GBK"/>
          <w:sz w:val="32"/>
          <w:szCs w:val="32"/>
        </w:rPr>
        <w:t>产出类指标绩效评价重点为：（1）项目产出数量是否与预期目标一致；（2）项目时效是否符合预期或相关要求；（3）产出项目质量是否偏离预期目标；（4）项目期内安全控制；（5）项目成本控制是否符合预期等。根据以上评价重点，结合本项目实际情况，下设数量、时效、质量、安全、成本5个二级指标。并在二级指标下，设置三级指标，其中数量指标要求项目实际完成数量达到预期；时效指标要求项目按时开工、按时完成，预算执行率符合资金下达文件要求；质量指标要求项目产出质量合格；安全指标要求项目期内未发生安全事故；成本指标要求项目总成本不能超过预期，如发生概算调整，其调整程序需完备。</w:t>
      </w:r>
    </w:p>
    <w:p w14:paraId="4FC8893B">
      <w:pPr>
        <w:spacing w:line="600" w:lineRule="exact"/>
        <w:ind w:firstLine="640" w:firstLineChars="200"/>
        <w:rPr>
          <w:rFonts w:eastAsia="方正仿宋_GBK"/>
          <w:sz w:val="32"/>
          <w:szCs w:val="32"/>
        </w:rPr>
      </w:pPr>
      <w:r>
        <w:rPr>
          <w:rFonts w:eastAsia="方正仿宋_GBK"/>
          <w:sz w:val="32"/>
          <w:szCs w:val="32"/>
        </w:rPr>
        <w:t>4.效果类指标</w:t>
      </w:r>
    </w:p>
    <w:p w14:paraId="47403FFB">
      <w:pPr>
        <w:spacing w:line="600" w:lineRule="exact"/>
        <w:ind w:firstLine="640" w:firstLineChars="200"/>
        <w:rPr>
          <w:rFonts w:eastAsia="方正仿宋_GBK"/>
          <w:sz w:val="32"/>
          <w:szCs w:val="32"/>
        </w:rPr>
      </w:pPr>
      <w:r>
        <w:rPr>
          <w:rFonts w:hint="eastAsia" w:eastAsia="方正仿宋_GBK"/>
          <w:sz w:val="32"/>
          <w:szCs w:val="32"/>
        </w:rPr>
        <w:t xml:space="preserve"> 效果类指标绩效评价重点为：（1）项目产出能否带来经济社会效益；（2）项目实施后，带来的效益是否可持续；（3）项目受益群众满意度等。根据以上评价重点，结合本项目实际情况，下设社会经济效益、可持续性影响、满意度3个二级指标。并在二级指标下，设置三级指标，其中社会经济效益要求本项目的实施是否能有效降低居民用气的安全隐患，明显提升用气的安全性；可持续性影响要求项目完成后对受益居民生命财产安全有着长远保障；服务对象满意度要求受益居民对本次项目的完成满意度应≥80%。</w:t>
      </w:r>
    </w:p>
    <w:p w14:paraId="5DBA55C1">
      <w:pPr>
        <w:spacing w:line="600" w:lineRule="exact"/>
        <w:ind w:firstLine="640" w:firstLineChars="200"/>
        <w:outlineLvl w:val="1"/>
        <w:rPr>
          <w:rFonts w:eastAsia="方正黑体_GBK"/>
          <w:bCs/>
          <w:sz w:val="32"/>
          <w:szCs w:val="32"/>
        </w:rPr>
      </w:pPr>
      <w:bookmarkStart w:id="126" w:name="_Toc170909610"/>
      <w:bookmarkStart w:id="127" w:name="_Toc1263"/>
      <w:bookmarkStart w:id="128" w:name="_Toc20332"/>
      <w:r>
        <w:rPr>
          <w:rFonts w:eastAsia="方正黑体_GBK"/>
          <w:bCs/>
          <w:sz w:val="32"/>
          <w:szCs w:val="32"/>
        </w:rPr>
        <w:t>四、绩效评价</w:t>
      </w:r>
      <w:bookmarkEnd w:id="123"/>
      <w:bookmarkEnd w:id="124"/>
      <w:bookmarkEnd w:id="125"/>
      <w:r>
        <w:rPr>
          <w:rFonts w:eastAsia="方正黑体_GBK"/>
          <w:bCs/>
          <w:sz w:val="32"/>
          <w:szCs w:val="32"/>
        </w:rPr>
        <w:t>结果</w:t>
      </w:r>
      <w:bookmarkEnd w:id="126"/>
      <w:bookmarkEnd w:id="127"/>
      <w:bookmarkEnd w:id="128"/>
    </w:p>
    <w:p w14:paraId="069D07D6">
      <w:pPr>
        <w:spacing w:line="600" w:lineRule="exact"/>
        <w:ind w:firstLine="640" w:firstLineChars="200"/>
        <w:rPr>
          <w:rFonts w:eastAsia="方正仿宋_GBK"/>
          <w:sz w:val="32"/>
          <w:szCs w:val="32"/>
        </w:rPr>
      </w:pPr>
      <w:r>
        <w:rPr>
          <w:rFonts w:hint="eastAsia" w:eastAsia="方正仿宋_GBK"/>
          <w:sz w:val="32"/>
          <w:szCs w:val="32"/>
        </w:rPr>
        <w:t>通过实施汇总数据、对比分析及实地调研核查等评价工作，结合《城市燃气管道等老化更新改造和保障性安居工程中央预算内投资专项管理暂行办法》（发改投资规〔2022〕910号）及《铜梁区区级政策和项目预算绩效管理办法》（铜财〔2022〕411号）中对绩效评价的相关要求和绩效评价指标体系评分标准，铜梁区城市燃气管道老化更新改造项目绩效评价得分为75.01分，评价等级为中。具体情况如下：</w:t>
      </w:r>
    </w:p>
    <w:p w14:paraId="40164031">
      <w:pPr>
        <w:spacing w:line="600" w:lineRule="exact"/>
        <w:ind w:firstLine="640" w:firstLineChars="200"/>
        <w:outlineLvl w:val="2"/>
        <w:rPr>
          <w:rFonts w:eastAsia="方正楷体_GBK"/>
          <w:bCs/>
          <w:sz w:val="32"/>
          <w:szCs w:val="32"/>
        </w:rPr>
      </w:pPr>
      <w:bookmarkStart w:id="129" w:name="_Toc3939"/>
      <w:bookmarkStart w:id="130" w:name="_Toc170909611"/>
      <w:bookmarkStart w:id="131" w:name="_Toc30598"/>
      <w:r>
        <w:rPr>
          <w:rFonts w:eastAsia="方正楷体_GBK"/>
          <w:bCs/>
          <w:sz w:val="32"/>
          <w:szCs w:val="32"/>
        </w:rPr>
        <w:t>（一）项目投入评价（满分</w:t>
      </w:r>
      <w:r>
        <w:rPr>
          <w:rFonts w:hint="eastAsia" w:eastAsia="方正楷体_GBK"/>
          <w:bCs/>
          <w:sz w:val="32"/>
          <w:szCs w:val="32"/>
        </w:rPr>
        <w:t>20</w:t>
      </w:r>
      <w:r>
        <w:rPr>
          <w:rFonts w:eastAsia="方正楷体_GBK"/>
          <w:bCs/>
          <w:sz w:val="32"/>
          <w:szCs w:val="32"/>
        </w:rPr>
        <w:t>分，得分</w:t>
      </w:r>
      <w:r>
        <w:rPr>
          <w:rFonts w:hint="eastAsia" w:eastAsia="方正楷体_GBK"/>
          <w:bCs/>
          <w:sz w:val="32"/>
          <w:szCs w:val="32"/>
        </w:rPr>
        <w:t>16</w:t>
      </w:r>
      <w:r>
        <w:rPr>
          <w:rFonts w:eastAsia="方正楷体_GBK"/>
          <w:bCs/>
          <w:sz w:val="32"/>
          <w:szCs w:val="32"/>
        </w:rPr>
        <w:t>分）</w:t>
      </w:r>
      <w:bookmarkEnd w:id="129"/>
      <w:bookmarkEnd w:id="130"/>
      <w:bookmarkEnd w:id="131"/>
    </w:p>
    <w:p w14:paraId="4D98A496">
      <w:pPr>
        <w:spacing w:line="600" w:lineRule="exact"/>
        <w:ind w:firstLine="640" w:firstLineChars="200"/>
        <w:rPr>
          <w:rFonts w:eastAsia="方正仿宋_GBK"/>
          <w:bCs/>
          <w:sz w:val="32"/>
          <w:szCs w:val="32"/>
        </w:rPr>
      </w:pPr>
      <w:r>
        <w:rPr>
          <w:rFonts w:eastAsia="方正仿宋_GBK"/>
          <w:bCs/>
          <w:sz w:val="32"/>
          <w:szCs w:val="32"/>
        </w:rPr>
        <w:t>1.项目立项（满分</w:t>
      </w:r>
      <w:r>
        <w:rPr>
          <w:rFonts w:hint="eastAsia" w:eastAsia="方正仿宋_GBK"/>
          <w:bCs/>
          <w:sz w:val="32"/>
          <w:szCs w:val="32"/>
        </w:rPr>
        <w:t>15</w:t>
      </w:r>
      <w:r>
        <w:rPr>
          <w:rFonts w:eastAsia="方正仿宋_GBK"/>
          <w:bCs/>
          <w:sz w:val="32"/>
          <w:szCs w:val="32"/>
        </w:rPr>
        <w:t>分，得分</w:t>
      </w:r>
      <w:r>
        <w:rPr>
          <w:rFonts w:hint="eastAsia" w:eastAsia="方正仿宋_GBK"/>
          <w:bCs/>
          <w:sz w:val="32"/>
          <w:szCs w:val="32"/>
        </w:rPr>
        <w:t>11</w:t>
      </w:r>
      <w:r>
        <w:rPr>
          <w:rFonts w:eastAsia="方正仿宋_GBK"/>
          <w:bCs/>
          <w:sz w:val="32"/>
          <w:szCs w:val="32"/>
        </w:rPr>
        <w:t>分）</w:t>
      </w:r>
    </w:p>
    <w:p w14:paraId="6821D48D">
      <w:pPr>
        <w:spacing w:line="600" w:lineRule="exact"/>
        <w:ind w:firstLine="640" w:firstLineChars="200"/>
        <w:rPr>
          <w:rFonts w:eastAsia="方正仿宋_GBK"/>
          <w:bCs/>
          <w:sz w:val="32"/>
          <w:szCs w:val="32"/>
        </w:rPr>
      </w:pPr>
      <w:r>
        <w:rPr>
          <w:rFonts w:eastAsia="方正仿宋_GBK"/>
          <w:bCs/>
          <w:sz w:val="32"/>
          <w:szCs w:val="32"/>
        </w:rPr>
        <w:t>（1）项目立项规范性（满分</w:t>
      </w:r>
      <w:r>
        <w:rPr>
          <w:rFonts w:hint="eastAsia" w:eastAsia="方正仿宋_GBK"/>
          <w:bCs/>
          <w:sz w:val="32"/>
          <w:szCs w:val="32"/>
        </w:rPr>
        <w:t>5</w:t>
      </w:r>
      <w:r>
        <w:rPr>
          <w:rFonts w:eastAsia="方正仿宋_GBK"/>
          <w:bCs/>
          <w:sz w:val="32"/>
          <w:szCs w:val="32"/>
        </w:rPr>
        <w:t>分，得分</w:t>
      </w:r>
      <w:r>
        <w:rPr>
          <w:rFonts w:hint="eastAsia" w:eastAsia="方正仿宋_GBK"/>
          <w:bCs/>
          <w:sz w:val="32"/>
          <w:szCs w:val="32"/>
        </w:rPr>
        <w:t>4</w:t>
      </w:r>
      <w:r>
        <w:rPr>
          <w:rFonts w:eastAsia="方正仿宋_GBK"/>
          <w:bCs/>
          <w:sz w:val="32"/>
          <w:szCs w:val="32"/>
        </w:rPr>
        <w:t>分）</w:t>
      </w:r>
    </w:p>
    <w:p w14:paraId="0F508C76">
      <w:pPr>
        <w:spacing w:line="600" w:lineRule="exact"/>
        <w:ind w:firstLine="640" w:firstLineChars="200"/>
        <w:rPr>
          <w:rFonts w:eastAsia="方正仿宋_GBK"/>
          <w:bCs/>
          <w:sz w:val="32"/>
          <w:szCs w:val="32"/>
        </w:rPr>
      </w:pPr>
      <w:r>
        <w:rPr>
          <w:rFonts w:hint="eastAsia" w:eastAsia="方正仿宋_GBK"/>
          <w:bCs/>
          <w:sz w:val="32"/>
          <w:szCs w:val="32"/>
        </w:rPr>
        <w:t>1）经查阅项目前期研究文件《2022 年铜梁区城市燃气管道老化更新改造项目项目建议书》《2022年铜梁区城市燃气管道老化更新改造项目可行性研究报告》以及项目批复文件《重庆市铜梁区发展和改革委员会关于2022年铜梁区城市燃气管道老化更新改造项目立项的批复》（铜发改委〔2022〕44号）、《重庆市铜梁区发展和改革委员会关于下达城市燃气管道等老化更新改造2022年中央预算内投资计划的通知》（铜发改委〔2022〕170号）、《重庆市铜梁区发展和改革委员会关于2022年铜梁区城市燃气管道老化更新改造项目可行性研究报告的批复》（铜发改委审〔2022〕713号），项目按照规定的程序申请设立、事前履行了必要的研究程序以及通过了相应审批。</w:t>
      </w:r>
    </w:p>
    <w:p w14:paraId="188F788E">
      <w:pPr>
        <w:spacing w:line="600" w:lineRule="exact"/>
        <w:ind w:firstLine="640" w:firstLineChars="200"/>
        <w:rPr>
          <w:rFonts w:eastAsia="方正仿宋_GBK"/>
          <w:bCs/>
          <w:sz w:val="32"/>
          <w:szCs w:val="32"/>
        </w:rPr>
      </w:pPr>
      <w:r>
        <w:rPr>
          <w:rFonts w:hint="eastAsia" w:eastAsia="方正仿宋_GBK"/>
          <w:bCs/>
          <w:sz w:val="32"/>
          <w:szCs w:val="32"/>
        </w:rPr>
        <w:t>2）根据《城市燃气管道等老化更新改造实施方案（2022—2025年）》（国办发〔2022〕22号）的规定，立管改造的范围为：运行年限满20年，经评估存在安全隐患的立管；运行年限不足20年，存在安全隐患，经评估无法通过落实管控措施保障安全的立管。本项目实施内容涉及37452户居民的燃气表更换、立管改造，我们数次向区经信委获取经评估需要改造的立项依据，截至报告日，未收到相关资料，本项扣1分。</w:t>
      </w:r>
    </w:p>
    <w:p w14:paraId="1B68905B">
      <w:pPr>
        <w:spacing w:line="600" w:lineRule="exact"/>
        <w:ind w:firstLine="640" w:firstLineChars="200"/>
        <w:rPr>
          <w:rFonts w:eastAsia="方正仿宋_GBK"/>
          <w:bCs/>
          <w:sz w:val="32"/>
          <w:szCs w:val="32"/>
        </w:rPr>
      </w:pPr>
      <w:r>
        <w:rPr>
          <w:rFonts w:hint="eastAsia" w:eastAsia="方正仿宋_GBK"/>
          <w:bCs/>
          <w:sz w:val="32"/>
          <w:szCs w:val="32"/>
        </w:rPr>
        <w:t>3）经查询区经信委提供的本项目资金申报时填报的绩效总体目标，本项目申请中央资金时申报的实施内容符合文件规定的列支范围。</w:t>
      </w:r>
    </w:p>
    <w:p w14:paraId="218B5398">
      <w:pPr>
        <w:spacing w:line="600" w:lineRule="exact"/>
        <w:ind w:firstLine="640" w:firstLineChars="200"/>
        <w:rPr>
          <w:rFonts w:eastAsia="方正仿宋_GBK"/>
          <w:bCs/>
          <w:sz w:val="32"/>
          <w:szCs w:val="32"/>
        </w:rPr>
      </w:pPr>
      <w:r>
        <w:rPr>
          <w:rFonts w:eastAsia="方正仿宋_GBK"/>
          <w:bCs/>
          <w:sz w:val="32"/>
          <w:szCs w:val="32"/>
        </w:rPr>
        <w:t>根据绩效评价指标表中评分标准的要求，</w:t>
      </w:r>
      <w:r>
        <w:rPr>
          <w:rFonts w:hint="eastAsia" w:eastAsia="方正仿宋_GBK"/>
          <w:bCs/>
          <w:sz w:val="32"/>
          <w:szCs w:val="32"/>
        </w:rPr>
        <w:t>本指标得分合计4分。</w:t>
      </w:r>
    </w:p>
    <w:p w14:paraId="281D6CC3">
      <w:pPr>
        <w:spacing w:line="600" w:lineRule="exact"/>
        <w:ind w:firstLine="640" w:firstLineChars="200"/>
        <w:rPr>
          <w:rFonts w:eastAsia="方正仿宋_GBK"/>
          <w:bCs/>
          <w:sz w:val="32"/>
          <w:szCs w:val="32"/>
        </w:rPr>
      </w:pPr>
      <w:r>
        <w:rPr>
          <w:rFonts w:hint="eastAsia" w:eastAsia="方正仿宋_GBK"/>
          <w:bCs/>
          <w:sz w:val="32"/>
          <w:szCs w:val="32"/>
        </w:rPr>
        <w:t>（2）绩效目标合理性（满分5分，得分3分）</w:t>
      </w:r>
    </w:p>
    <w:p w14:paraId="45CBD27C">
      <w:pPr>
        <w:spacing w:line="600" w:lineRule="exact"/>
        <w:ind w:firstLine="640" w:firstLineChars="200"/>
        <w:rPr>
          <w:rFonts w:eastAsia="方正仿宋_GBK"/>
          <w:bCs/>
          <w:sz w:val="32"/>
          <w:szCs w:val="32"/>
        </w:rPr>
      </w:pPr>
      <w:r>
        <w:rPr>
          <w:rFonts w:hint="eastAsia" w:eastAsia="方正仿宋_GBK"/>
          <w:bCs/>
          <w:sz w:val="32"/>
          <w:szCs w:val="32"/>
        </w:rPr>
        <w:t>经查阅区经信委提供的本项目资金申报时填报的绩效目标表：</w:t>
      </w:r>
    </w:p>
    <w:p w14:paraId="35C7DCA3">
      <w:pPr>
        <w:spacing w:line="600" w:lineRule="exact"/>
        <w:ind w:firstLine="640" w:firstLineChars="200"/>
        <w:rPr>
          <w:rFonts w:eastAsia="方正仿宋_GBK"/>
          <w:bCs/>
          <w:sz w:val="32"/>
          <w:szCs w:val="32"/>
        </w:rPr>
      </w:pPr>
      <w:r>
        <w:rPr>
          <w:rFonts w:hint="eastAsia" w:eastAsia="方正仿宋_GBK"/>
          <w:bCs/>
          <w:sz w:val="32"/>
          <w:szCs w:val="32"/>
        </w:rPr>
        <w:t>1）符合国家相关法律法规，国民经济发展规划和党委政府决策；</w:t>
      </w:r>
    </w:p>
    <w:p w14:paraId="2450A0F5">
      <w:pPr>
        <w:spacing w:line="600" w:lineRule="exact"/>
        <w:ind w:firstLine="640" w:firstLineChars="200"/>
        <w:rPr>
          <w:rFonts w:eastAsia="方正仿宋_GBK"/>
          <w:bCs/>
          <w:sz w:val="32"/>
          <w:szCs w:val="32"/>
        </w:rPr>
      </w:pPr>
      <w:r>
        <w:rPr>
          <w:rFonts w:hint="eastAsia" w:eastAsia="方正仿宋_GBK"/>
          <w:bCs/>
          <w:sz w:val="32"/>
          <w:szCs w:val="32"/>
        </w:rPr>
        <w:t>2）与区经信委职责密切相关；</w:t>
      </w:r>
    </w:p>
    <w:p w14:paraId="382FBF33">
      <w:pPr>
        <w:spacing w:line="600" w:lineRule="exact"/>
        <w:ind w:firstLine="640" w:firstLineChars="200"/>
        <w:rPr>
          <w:rFonts w:eastAsia="方正仿宋_GBK"/>
          <w:bCs/>
          <w:sz w:val="32"/>
          <w:szCs w:val="32"/>
        </w:rPr>
      </w:pPr>
      <w:r>
        <w:rPr>
          <w:rFonts w:hint="eastAsia" w:eastAsia="方正仿宋_GBK"/>
          <w:bCs/>
          <w:sz w:val="32"/>
          <w:szCs w:val="32"/>
        </w:rPr>
        <w:t>3）项目绩效总体目标与项目实施内容相匹配；</w:t>
      </w:r>
    </w:p>
    <w:p w14:paraId="64473279">
      <w:pPr>
        <w:spacing w:line="600" w:lineRule="exact"/>
        <w:ind w:firstLine="640" w:firstLineChars="200"/>
        <w:rPr>
          <w:rFonts w:eastAsia="方正仿宋_GBK"/>
          <w:bCs/>
          <w:sz w:val="32"/>
          <w:szCs w:val="32"/>
        </w:rPr>
      </w:pPr>
      <w:r>
        <w:rPr>
          <w:rFonts w:hint="eastAsia" w:eastAsia="方正仿宋_GBK"/>
          <w:bCs/>
          <w:sz w:val="32"/>
          <w:szCs w:val="32"/>
        </w:rPr>
        <w:t>4）产出效益和效果部分符合客观事实以及正常的业绩水平，存在指标体系不够完整、未全面反映正常业绩水平的情况，如产出指标无相关的质量、时效性等指标；又如效益指标中无社会效益等指标，本项扣1分；</w:t>
      </w:r>
    </w:p>
    <w:p w14:paraId="5758DF17">
      <w:pPr>
        <w:spacing w:line="600" w:lineRule="exact"/>
        <w:ind w:firstLine="640" w:firstLineChars="200"/>
        <w:rPr>
          <w:rFonts w:eastAsia="方正仿宋_GBK"/>
          <w:bCs/>
          <w:sz w:val="32"/>
          <w:szCs w:val="32"/>
        </w:rPr>
      </w:pPr>
      <w:r>
        <w:rPr>
          <w:rFonts w:hint="eastAsia" w:eastAsia="方正仿宋_GBK"/>
          <w:bCs/>
          <w:sz w:val="32"/>
          <w:szCs w:val="32"/>
        </w:rPr>
        <w:t>5）绩效目标存在不合理的情况，成本指标的评价内容为下达中央预算内投资，与本项目成本控制关联性不强，本项扣1分。</w:t>
      </w:r>
    </w:p>
    <w:p w14:paraId="7D259780">
      <w:pPr>
        <w:spacing w:line="600" w:lineRule="exact"/>
        <w:ind w:firstLine="640" w:firstLineChars="200"/>
        <w:rPr>
          <w:rFonts w:eastAsia="方正仿宋_GBK"/>
          <w:bCs/>
          <w:sz w:val="32"/>
          <w:szCs w:val="32"/>
        </w:rPr>
      </w:pPr>
      <w:r>
        <w:rPr>
          <w:rFonts w:hint="eastAsia" w:eastAsia="方正仿宋_GBK"/>
          <w:bCs/>
          <w:sz w:val="32"/>
          <w:szCs w:val="32"/>
        </w:rPr>
        <w:t>根据绩效评价指标表中评分标准的要求，本指标得分合计3分。</w:t>
      </w:r>
    </w:p>
    <w:p w14:paraId="44FDFDEE">
      <w:pPr>
        <w:spacing w:line="600" w:lineRule="exact"/>
        <w:ind w:firstLine="640" w:firstLineChars="200"/>
        <w:rPr>
          <w:rFonts w:eastAsia="方正仿宋_GBK"/>
          <w:bCs/>
          <w:sz w:val="32"/>
          <w:szCs w:val="32"/>
        </w:rPr>
      </w:pPr>
      <w:r>
        <w:rPr>
          <w:rFonts w:hint="eastAsia" w:eastAsia="方正仿宋_GBK"/>
          <w:bCs/>
          <w:sz w:val="32"/>
          <w:szCs w:val="32"/>
        </w:rPr>
        <w:t>（3）绩效指标明确性（满分5分，得分4分）</w:t>
      </w:r>
    </w:p>
    <w:p w14:paraId="31953177">
      <w:pPr>
        <w:spacing w:line="600" w:lineRule="exact"/>
        <w:ind w:firstLine="640" w:firstLineChars="200"/>
        <w:rPr>
          <w:rFonts w:eastAsia="方正仿宋_GBK"/>
          <w:bCs/>
          <w:sz w:val="32"/>
          <w:szCs w:val="32"/>
        </w:rPr>
      </w:pPr>
      <w:r>
        <w:rPr>
          <w:rFonts w:hint="eastAsia" w:eastAsia="方正仿宋_GBK"/>
          <w:bCs/>
          <w:sz w:val="32"/>
          <w:szCs w:val="32"/>
        </w:rPr>
        <w:t>经查阅区经信委提供的本项目资金申报时填报的绩效目标表：</w:t>
      </w:r>
    </w:p>
    <w:p w14:paraId="559133F1">
      <w:pPr>
        <w:spacing w:line="600" w:lineRule="exact"/>
        <w:ind w:firstLine="640" w:firstLineChars="200"/>
        <w:rPr>
          <w:rFonts w:eastAsia="方正仿宋_GBK"/>
          <w:bCs/>
          <w:sz w:val="32"/>
          <w:szCs w:val="32"/>
        </w:rPr>
      </w:pPr>
      <w:r>
        <w:rPr>
          <w:rFonts w:hint="eastAsia" w:eastAsia="方正仿宋_GBK"/>
          <w:bCs/>
          <w:sz w:val="32"/>
          <w:szCs w:val="32"/>
        </w:rPr>
        <w:t>1）将项目绩效目标细化分解为部分具体的绩效指标；</w:t>
      </w:r>
    </w:p>
    <w:p w14:paraId="2BE33956">
      <w:pPr>
        <w:spacing w:line="600" w:lineRule="exact"/>
        <w:ind w:firstLine="640" w:firstLineChars="200"/>
        <w:rPr>
          <w:rFonts w:eastAsia="方正仿宋_GBK"/>
          <w:bCs/>
          <w:sz w:val="32"/>
          <w:szCs w:val="32"/>
        </w:rPr>
      </w:pPr>
      <w:r>
        <w:rPr>
          <w:rFonts w:hint="eastAsia" w:eastAsia="方正仿宋_GBK"/>
          <w:bCs/>
          <w:sz w:val="32"/>
          <w:szCs w:val="32"/>
        </w:rPr>
        <w:t>2）绩效目标不够清晰，可衡量度较差，如本项目产出指标为完成年度改造计划，但是具体年度改造计划未明确列示，本项扣1分；</w:t>
      </w:r>
    </w:p>
    <w:p w14:paraId="0DD8C449">
      <w:pPr>
        <w:spacing w:line="600" w:lineRule="exact"/>
        <w:ind w:firstLine="640" w:firstLineChars="200"/>
        <w:rPr>
          <w:rFonts w:eastAsia="方正仿宋_GBK"/>
          <w:bCs/>
          <w:sz w:val="32"/>
          <w:szCs w:val="32"/>
        </w:rPr>
      </w:pPr>
      <w:r>
        <w:rPr>
          <w:rFonts w:hint="eastAsia" w:eastAsia="方正仿宋_GBK"/>
          <w:bCs/>
          <w:sz w:val="32"/>
          <w:szCs w:val="32"/>
        </w:rPr>
        <w:t>3）项目绩效目标包括年度绩效目标和绩效总目标，项目绩效目标与项目年度任务数或计划数相对应；</w:t>
      </w:r>
    </w:p>
    <w:p w14:paraId="5B7D46EB">
      <w:pPr>
        <w:spacing w:line="600" w:lineRule="exact"/>
        <w:ind w:firstLine="640" w:firstLineChars="200"/>
        <w:rPr>
          <w:rFonts w:eastAsia="方正仿宋_GBK"/>
          <w:bCs/>
          <w:sz w:val="32"/>
          <w:szCs w:val="32"/>
        </w:rPr>
      </w:pPr>
      <w:r>
        <w:rPr>
          <w:rFonts w:hint="eastAsia" w:eastAsia="方正仿宋_GBK"/>
          <w:bCs/>
          <w:sz w:val="32"/>
          <w:szCs w:val="32"/>
        </w:rPr>
        <w:t>4）年度绩效目标与项目在与预算年度计划执行的资金规模相对应，项目存续期绩效总目标与项目存续期计划执行的资金总规模相对应。</w:t>
      </w:r>
    </w:p>
    <w:p w14:paraId="75903807">
      <w:pPr>
        <w:spacing w:line="600" w:lineRule="exact"/>
        <w:ind w:firstLine="640" w:firstLineChars="200"/>
        <w:rPr>
          <w:rFonts w:eastAsia="方正仿宋_GBK"/>
          <w:bCs/>
          <w:sz w:val="32"/>
          <w:szCs w:val="32"/>
        </w:rPr>
      </w:pPr>
      <w:r>
        <w:rPr>
          <w:rFonts w:hint="eastAsia" w:eastAsia="方正仿宋_GBK"/>
          <w:bCs/>
          <w:sz w:val="32"/>
          <w:szCs w:val="32"/>
        </w:rPr>
        <w:t>根据绩效评价指标表中评分标准的要求，本指标得分合计4分。</w:t>
      </w:r>
    </w:p>
    <w:p w14:paraId="30C74025">
      <w:pPr>
        <w:spacing w:line="600" w:lineRule="exact"/>
        <w:ind w:firstLine="640" w:firstLineChars="200"/>
        <w:rPr>
          <w:rFonts w:eastAsia="方正仿宋_GBK"/>
          <w:bCs/>
          <w:sz w:val="32"/>
          <w:szCs w:val="32"/>
        </w:rPr>
      </w:pPr>
      <w:r>
        <w:rPr>
          <w:rFonts w:hint="eastAsia" w:eastAsia="方正仿宋_GBK"/>
          <w:bCs/>
          <w:sz w:val="32"/>
          <w:szCs w:val="32"/>
        </w:rPr>
        <w:t>2</w:t>
      </w:r>
      <w:r>
        <w:rPr>
          <w:rFonts w:eastAsia="方正仿宋_GBK"/>
          <w:bCs/>
          <w:sz w:val="32"/>
          <w:szCs w:val="32"/>
        </w:rPr>
        <w:t>.</w:t>
      </w:r>
      <w:r>
        <w:rPr>
          <w:rFonts w:hint="eastAsia" w:eastAsia="方正仿宋_GBK"/>
          <w:bCs/>
          <w:sz w:val="32"/>
          <w:szCs w:val="32"/>
        </w:rPr>
        <w:t>资金落实</w:t>
      </w:r>
      <w:r>
        <w:rPr>
          <w:rFonts w:eastAsia="方正仿宋_GBK"/>
          <w:bCs/>
          <w:sz w:val="32"/>
          <w:szCs w:val="32"/>
        </w:rPr>
        <w:t>（满分</w:t>
      </w:r>
      <w:r>
        <w:rPr>
          <w:rFonts w:hint="eastAsia" w:eastAsia="方正仿宋_GBK"/>
          <w:bCs/>
          <w:sz w:val="32"/>
          <w:szCs w:val="32"/>
        </w:rPr>
        <w:t>5</w:t>
      </w:r>
      <w:r>
        <w:rPr>
          <w:rFonts w:eastAsia="方正仿宋_GBK"/>
          <w:bCs/>
          <w:sz w:val="32"/>
          <w:szCs w:val="32"/>
        </w:rPr>
        <w:t>分，得分</w:t>
      </w:r>
      <w:r>
        <w:rPr>
          <w:rFonts w:hint="eastAsia" w:eastAsia="方正仿宋_GBK"/>
          <w:bCs/>
          <w:sz w:val="32"/>
          <w:szCs w:val="32"/>
        </w:rPr>
        <w:t>5</w:t>
      </w:r>
      <w:r>
        <w:rPr>
          <w:rFonts w:eastAsia="方正仿宋_GBK"/>
          <w:bCs/>
          <w:sz w:val="32"/>
          <w:szCs w:val="32"/>
        </w:rPr>
        <w:t>分）</w:t>
      </w:r>
    </w:p>
    <w:p w14:paraId="55D59D12">
      <w:pPr>
        <w:spacing w:line="600" w:lineRule="exact"/>
        <w:ind w:firstLine="640" w:firstLineChars="200"/>
        <w:rPr>
          <w:rFonts w:eastAsia="方正仿宋_GBK"/>
          <w:bCs/>
          <w:sz w:val="32"/>
          <w:szCs w:val="32"/>
        </w:rPr>
      </w:pPr>
      <w:r>
        <w:rPr>
          <w:rFonts w:eastAsia="方正仿宋_GBK"/>
          <w:bCs/>
          <w:sz w:val="32"/>
          <w:szCs w:val="32"/>
        </w:rPr>
        <w:t>（1）</w:t>
      </w:r>
      <w:r>
        <w:rPr>
          <w:rFonts w:hint="eastAsia" w:eastAsia="方正仿宋_GBK"/>
          <w:bCs/>
          <w:sz w:val="32"/>
          <w:szCs w:val="32"/>
        </w:rPr>
        <w:t>到位及时率</w:t>
      </w:r>
      <w:r>
        <w:rPr>
          <w:rFonts w:eastAsia="方正仿宋_GBK"/>
          <w:bCs/>
          <w:sz w:val="32"/>
          <w:szCs w:val="32"/>
        </w:rPr>
        <w:t>（满分</w:t>
      </w:r>
      <w:r>
        <w:rPr>
          <w:rFonts w:hint="eastAsia" w:eastAsia="方正仿宋_GBK"/>
          <w:bCs/>
          <w:sz w:val="32"/>
          <w:szCs w:val="32"/>
        </w:rPr>
        <w:t>5</w:t>
      </w:r>
      <w:r>
        <w:rPr>
          <w:rFonts w:eastAsia="方正仿宋_GBK"/>
          <w:bCs/>
          <w:sz w:val="32"/>
          <w:szCs w:val="32"/>
        </w:rPr>
        <w:t>分，得分</w:t>
      </w:r>
      <w:r>
        <w:rPr>
          <w:rFonts w:hint="eastAsia" w:eastAsia="方正仿宋_GBK"/>
          <w:bCs/>
          <w:sz w:val="32"/>
          <w:szCs w:val="32"/>
        </w:rPr>
        <w:t>5</w:t>
      </w:r>
      <w:r>
        <w:rPr>
          <w:rFonts w:eastAsia="方正仿宋_GBK"/>
          <w:bCs/>
          <w:sz w:val="32"/>
          <w:szCs w:val="32"/>
        </w:rPr>
        <w:t>分）</w:t>
      </w:r>
    </w:p>
    <w:p w14:paraId="7A7ECD84">
      <w:pPr>
        <w:spacing w:line="600" w:lineRule="exact"/>
        <w:ind w:firstLine="640" w:firstLineChars="200"/>
        <w:rPr>
          <w:rFonts w:eastAsia="方正仿宋_GBK"/>
          <w:bCs/>
          <w:sz w:val="32"/>
          <w:szCs w:val="32"/>
        </w:rPr>
      </w:pPr>
      <w:r>
        <w:rPr>
          <w:rFonts w:hint="eastAsia" w:eastAsia="方正仿宋_GBK"/>
          <w:bCs/>
          <w:sz w:val="32"/>
          <w:szCs w:val="32"/>
        </w:rPr>
        <w:t>经查阅《重庆市铜梁区发展和改革委员会关于下达城市燃气管道等老化更新改造2022年中央预算内投资计划的通知》（铜发改委〔2022〕170号）、本项目合同签订及支付情况，截至2023年末，本项目应支付合同金额846.12万元，实际到位资金7,066.00万元，资金到位及时率≥100%。</w:t>
      </w:r>
    </w:p>
    <w:p w14:paraId="4C158CDD">
      <w:pPr>
        <w:spacing w:line="600" w:lineRule="exact"/>
        <w:ind w:firstLine="640" w:firstLineChars="200"/>
        <w:rPr>
          <w:rFonts w:eastAsia="方正仿宋_GBK"/>
          <w:bCs/>
          <w:sz w:val="32"/>
          <w:szCs w:val="32"/>
        </w:rPr>
      </w:pPr>
      <w:r>
        <w:rPr>
          <w:rFonts w:eastAsia="方正仿宋_GBK"/>
          <w:bCs/>
          <w:sz w:val="32"/>
          <w:szCs w:val="32"/>
        </w:rPr>
        <w:t>根据绩效评价指标表中评分标准的要求，</w:t>
      </w:r>
      <w:r>
        <w:rPr>
          <w:rFonts w:hint="eastAsia" w:eastAsia="方正仿宋_GBK"/>
          <w:bCs/>
          <w:sz w:val="32"/>
          <w:szCs w:val="32"/>
        </w:rPr>
        <w:t>本指标得分合计5分。</w:t>
      </w:r>
    </w:p>
    <w:p w14:paraId="72696B20">
      <w:pPr>
        <w:spacing w:line="600" w:lineRule="exact"/>
        <w:ind w:firstLine="640" w:firstLineChars="200"/>
        <w:outlineLvl w:val="2"/>
        <w:rPr>
          <w:rFonts w:eastAsia="方正楷体_GBK"/>
          <w:bCs/>
          <w:sz w:val="32"/>
          <w:szCs w:val="32"/>
        </w:rPr>
      </w:pPr>
      <w:bookmarkStart w:id="132" w:name="_Toc170909612"/>
      <w:bookmarkStart w:id="133" w:name="_Toc28002"/>
      <w:bookmarkStart w:id="134" w:name="_Toc28652"/>
      <w:r>
        <w:rPr>
          <w:rFonts w:eastAsia="方正楷体_GBK"/>
          <w:bCs/>
          <w:sz w:val="32"/>
          <w:szCs w:val="32"/>
        </w:rPr>
        <w:t>（二）项目管理评价（满分</w:t>
      </w:r>
      <w:r>
        <w:rPr>
          <w:rFonts w:hint="eastAsia" w:eastAsia="方正楷体_GBK"/>
          <w:bCs/>
          <w:sz w:val="32"/>
          <w:szCs w:val="32"/>
        </w:rPr>
        <w:t>20</w:t>
      </w:r>
      <w:r>
        <w:rPr>
          <w:rFonts w:eastAsia="方正楷体_GBK"/>
          <w:bCs/>
          <w:sz w:val="32"/>
          <w:szCs w:val="32"/>
        </w:rPr>
        <w:t>分，得分</w:t>
      </w:r>
      <w:r>
        <w:rPr>
          <w:rFonts w:hint="eastAsia" w:eastAsia="方正楷体_GBK"/>
          <w:bCs/>
          <w:sz w:val="32"/>
          <w:szCs w:val="32"/>
          <w:lang w:val="en-US" w:eastAsia="zh-CN"/>
        </w:rPr>
        <w:t>19</w:t>
      </w:r>
      <w:r>
        <w:rPr>
          <w:rFonts w:eastAsia="方正楷体_GBK"/>
          <w:bCs/>
          <w:sz w:val="32"/>
          <w:szCs w:val="32"/>
        </w:rPr>
        <w:t>分）</w:t>
      </w:r>
      <w:bookmarkEnd w:id="132"/>
      <w:bookmarkEnd w:id="133"/>
      <w:bookmarkEnd w:id="134"/>
    </w:p>
    <w:p w14:paraId="45550ADE">
      <w:pPr>
        <w:spacing w:line="600" w:lineRule="exact"/>
        <w:ind w:firstLine="640" w:firstLineChars="200"/>
        <w:rPr>
          <w:rFonts w:eastAsia="方正仿宋_GBK"/>
          <w:bCs/>
          <w:sz w:val="32"/>
          <w:szCs w:val="32"/>
        </w:rPr>
      </w:pPr>
      <w:r>
        <w:rPr>
          <w:rFonts w:eastAsia="方正仿宋_GBK"/>
          <w:bCs/>
          <w:sz w:val="32"/>
          <w:szCs w:val="32"/>
        </w:rPr>
        <w:t>1.</w:t>
      </w:r>
      <w:r>
        <w:rPr>
          <w:rFonts w:hint="eastAsia" w:eastAsia="方正仿宋_GBK"/>
          <w:bCs/>
          <w:sz w:val="32"/>
          <w:szCs w:val="32"/>
        </w:rPr>
        <w:t>过程管理</w:t>
      </w:r>
      <w:r>
        <w:rPr>
          <w:rFonts w:eastAsia="方正仿宋_GBK"/>
          <w:bCs/>
          <w:sz w:val="32"/>
          <w:szCs w:val="32"/>
        </w:rPr>
        <w:t>（满分</w:t>
      </w:r>
      <w:r>
        <w:rPr>
          <w:rFonts w:hint="eastAsia" w:eastAsia="方正仿宋_GBK"/>
          <w:bCs/>
          <w:sz w:val="32"/>
          <w:szCs w:val="32"/>
        </w:rPr>
        <w:t>15</w:t>
      </w:r>
      <w:r>
        <w:rPr>
          <w:rFonts w:eastAsia="方正仿宋_GBK"/>
          <w:bCs/>
          <w:sz w:val="32"/>
          <w:szCs w:val="32"/>
        </w:rPr>
        <w:t>分，得分</w:t>
      </w:r>
      <w:r>
        <w:rPr>
          <w:rFonts w:hint="eastAsia" w:eastAsia="方正仿宋_GBK"/>
          <w:bCs/>
          <w:sz w:val="32"/>
          <w:szCs w:val="32"/>
          <w:lang w:val="en-US" w:eastAsia="zh-CN"/>
        </w:rPr>
        <w:t>15</w:t>
      </w:r>
      <w:r>
        <w:rPr>
          <w:rFonts w:eastAsia="方正仿宋_GBK"/>
          <w:bCs/>
          <w:sz w:val="32"/>
          <w:szCs w:val="32"/>
        </w:rPr>
        <w:t>分）</w:t>
      </w:r>
    </w:p>
    <w:p w14:paraId="75C5D2B5">
      <w:pPr>
        <w:spacing w:line="600" w:lineRule="exact"/>
        <w:ind w:firstLine="640" w:firstLineChars="200"/>
        <w:rPr>
          <w:rFonts w:eastAsia="方正仿宋_GBK"/>
          <w:bCs/>
          <w:sz w:val="32"/>
          <w:szCs w:val="32"/>
        </w:rPr>
      </w:pPr>
      <w:bookmarkStart w:id="135" w:name="_Hlk170896252"/>
      <w:r>
        <w:rPr>
          <w:rFonts w:eastAsia="方正仿宋_GBK"/>
          <w:bCs/>
          <w:sz w:val="32"/>
          <w:szCs w:val="32"/>
        </w:rPr>
        <w:t>（</w:t>
      </w:r>
      <w:r>
        <w:rPr>
          <w:rFonts w:hint="eastAsia" w:eastAsia="方正仿宋_GBK"/>
          <w:bCs/>
          <w:sz w:val="32"/>
          <w:szCs w:val="32"/>
        </w:rPr>
        <w:t>1</w:t>
      </w:r>
      <w:r>
        <w:rPr>
          <w:rFonts w:eastAsia="方正仿宋_GBK"/>
          <w:bCs/>
          <w:sz w:val="32"/>
          <w:szCs w:val="32"/>
        </w:rPr>
        <w:t>）</w:t>
      </w:r>
      <w:r>
        <w:rPr>
          <w:rFonts w:hint="eastAsia" w:eastAsia="方正仿宋_GBK"/>
          <w:bCs/>
          <w:sz w:val="32"/>
          <w:szCs w:val="32"/>
        </w:rPr>
        <w:t>管理制度</w:t>
      </w:r>
      <w:r>
        <w:rPr>
          <w:rFonts w:eastAsia="方正仿宋_GBK"/>
          <w:bCs/>
          <w:sz w:val="32"/>
          <w:szCs w:val="32"/>
        </w:rPr>
        <w:t>（满分</w:t>
      </w:r>
      <w:r>
        <w:rPr>
          <w:rFonts w:hint="eastAsia" w:eastAsia="方正仿宋_GBK"/>
          <w:bCs/>
          <w:sz w:val="32"/>
          <w:szCs w:val="32"/>
        </w:rPr>
        <w:t>3</w:t>
      </w:r>
      <w:r>
        <w:rPr>
          <w:rFonts w:eastAsia="方正仿宋_GBK"/>
          <w:bCs/>
          <w:sz w:val="32"/>
          <w:szCs w:val="32"/>
        </w:rPr>
        <w:t>分，得分</w:t>
      </w:r>
      <w:r>
        <w:rPr>
          <w:rFonts w:hint="eastAsia" w:eastAsia="方正仿宋_GBK"/>
          <w:bCs/>
          <w:sz w:val="32"/>
          <w:szCs w:val="32"/>
        </w:rPr>
        <w:t>3</w:t>
      </w:r>
      <w:r>
        <w:rPr>
          <w:rFonts w:eastAsia="方正仿宋_GBK"/>
          <w:bCs/>
          <w:sz w:val="32"/>
          <w:szCs w:val="32"/>
        </w:rPr>
        <w:t>分）</w:t>
      </w:r>
    </w:p>
    <w:p w14:paraId="5F7DBDC4">
      <w:pPr>
        <w:spacing w:line="600" w:lineRule="exact"/>
        <w:ind w:firstLine="640" w:firstLineChars="200"/>
        <w:rPr>
          <w:rFonts w:eastAsia="方正仿宋_GBK"/>
          <w:bCs/>
          <w:sz w:val="32"/>
          <w:szCs w:val="32"/>
        </w:rPr>
      </w:pPr>
      <w:r>
        <w:rPr>
          <w:rFonts w:hint="eastAsia" w:eastAsia="方正仿宋_GBK"/>
          <w:bCs/>
          <w:sz w:val="32"/>
          <w:szCs w:val="32"/>
        </w:rPr>
        <w:t>经查阅区经信委提供的本项目适用的《工程项目管理规定》以及《重庆市铜梁区经济和信息化委员会财务管理制度》，相关制度合法、合规、完整，与项目实际工作相契合，能够对项目工作开展起到指导和约束的作用。</w:t>
      </w:r>
    </w:p>
    <w:p w14:paraId="2196F0A5">
      <w:pPr>
        <w:spacing w:line="600" w:lineRule="exact"/>
        <w:ind w:firstLine="640" w:firstLineChars="200"/>
        <w:rPr>
          <w:rFonts w:eastAsia="方正仿宋_GBK"/>
          <w:bCs/>
          <w:sz w:val="32"/>
          <w:szCs w:val="32"/>
        </w:rPr>
      </w:pPr>
      <w:r>
        <w:rPr>
          <w:rFonts w:eastAsia="方正仿宋_GBK"/>
          <w:bCs/>
          <w:sz w:val="32"/>
          <w:szCs w:val="32"/>
        </w:rPr>
        <w:t>根据绩效评价指标表中评分标准的要求，</w:t>
      </w:r>
      <w:r>
        <w:rPr>
          <w:rFonts w:hint="eastAsia" w:eastAsia="方正仿宋_GBK"/>
          <w:bCs/>
          <w:sz w:val="32"/>
          <w:szCs w:val="32"/>
        </w:rPr>
        <w:t>本指标得分合计3分。</w:t>
      </w:r>
    </w:p>
    <w:bookmarkEnd w:id="135"/>
    <w:p w14:paraId="173AA3CC">
      <w:pPr>
        <w:spacing w:line="600" w:lineRule="exact"/>
        <w:ind w:firstLine="640" w:firstLineChars="200"/>
        <w:rPr>
          <w:rFonts w:eastAsia="方正仿宋_GBK"/>
          <w:bCs/>
          <w:sz w:val="32"/>
          <w:szCs w:val="32"/>
        </w:rPr>
      </w:pPr>
      <w:r>
        <w:rPr>
          <w:rFonts w:eastAsia="方正仿宋_GBK"/>
          <w:bCs/>
          <w:sz w:val="32"/>
          <w:szCs w:val="32"/>
        </w:rPr>
        <w:t>（</w:t>
      </w:r>
      <w:r>
        <w:rPr>
          <w:rFonts w:hint="eastAsia" w:eastAsia="方正仿宋_GBK"/>
          <w:bCs/>
          <w:sz w:val="32"/>
          <w:szCs w:val="32"/>
        </w:rPr>
        <w:t>2</w:t>
      </w:r>
      <w:r>
        <w:rPr>
          <w:rFonts w:eastAsia="方正仿宋_GBK"/>
          <w:bCs/>
          <w:sz w:val="32"/>
          <w:szCs w:val="32"/>
        </w:rPr>
        <w:t>）</w:t>
      </w:r>
      <w:r>
        <w:rPr>
          <w:rFonts w:hint="eastAsia" w:eastAsia="方正仿宋_GBK"/>
          <w:bCs/>
          <w:sz w:val="32"/>
          <w:szCs w:val="32"/>
        </w:rPr>
        <w:t>制度执行有效性</w:t>
      </w:r>
      <w:r>
        <w:rPr>
          <w:rFonts w:eastAsia="方正仿宋_GBK"/>
          <w:bCs/>
          <w:sz w:val="32"/>
          <w:szCs w:val="32"/>
        </w:rPr>
        <w:t>（满分</w:t>
      </w:r>
      <w:r>
        <w:rPr>
          <w:rFonts w:hint="eastAsia" w:eastAsia="方正仿宋_GBK"/>
          <w:bCs/>
          <w:sz w:val="32"/>
          <w:szCs w:val="32"/>
        </w:rPr>
        <w:t>3</w:t>
      </w:r>
      <w:r>
        <w:rPr>
          <w:rFonts w:eastAsia="方正仿宋_GBK"/>
          <w:bCs/>
          <w:sz w:val="32"/>
          <w:szCs w:val="32"/>
        </w:rPr>
        <w:t>分，得分</w:t>
      </w:r>
      <w:r>
        <w:rPr>
          <w:rFonts w:hint="eastAsia" w:eastAsia="方正仿宋_GBK"/>
          <w:bCs/>
          <w:sz w:val="32"/>
          <w:szCs w:val="32"/>
        </w:rPr>
        <w:t>3</w:t>
      </w:r>
      <w:r>
        <w:rPr>
          <w:rFonts w:eastAsia="方正仿宋_GBK"/>
          <w:bCs/>
          <w:sz w:val="32"/>
          <w:szCs w:val="32"/>
        </w:rPr>
        <w:t>分）</w:t>
      </w:r>
    </w:p>
    <w:p w14:paraId="3747B64C">
      <w:pPr>
        <w:spacing w:line="600" w:lineRule="exact"/>
        <w:ind w:firstLine="640" w:firstLineChars="200"/>
        <w:rPr>
          <w:rFonts w:eastAsia="方正仿宋_GBK"/>
          <w:bCs/>
          <w:sz w:val="32"/>
          <w:szCs w:val="32"/>
        </w:rPr>
      </w:pPr>
      <w:r>
        <w:rPr>
          <w:rFonts w:hint="eastAsia" w:eastAsia="方正仿宋_GBK"/>
          <w:bCs/>
          <w:sz w:val="32"/>
          <w:szCs w:val="32"/>
        </w:rPr>
        <w:t>1）经查阅《中华人民共和国招标投标法》《中华人民共和国招标投标法实施条例》等法律法规以及区经信委内部管理制度规定，未发现本项目招标、采购、项目实施等各环节存在违反相关法律法规和制度管理规定的情况；</w:t>
      </w:r>
    </w:p>
    <w:p w14:paraId="2213B030">
      <w:pPr>
        <w:spacing w:line="600" w:lineRule="exact"/>
        <w:ind w:firstLine="640" w:firstLineChars="200"/>
        <w:rPr>
          <w:rFonts w:eastAsia="方正仿宋_GBK"/>
          <w:bCs/>
          <w:sz w:val="32"/>
          <w:szCs w:val="32"/>
        </w:rPr>
      </w:pPr>
      <w:r>
        <w:rPr>
          <w:rFonts w:hint="eastAsia" w:eastAsia="方正仿宋_GBK"/>
          <w:bCs/>
          <w:sz w:val="32"/>
          <w:szCs w:val="32"/>
        </w:rPr>
        <w:t>2）本项目不涉及调整和支出调整事项；</w:t>
      </w:r>
    </w:p>
    <w:p w14:paraId="23194EBA">
      <w:pPr>
        <w:spacing w:line="600" w:lineRule="exact"/>
        <w:ind w:firstLine="640" w:firstLineChars="200"/>
        <w:rPr>
          <w:rFonts w:eastAsia="方正仿宋_GBK"/>
          <w:bCs/>
          <w:sz w:val="32"/>
          <w:szCs w:val="32"/>
        </w:rPr>
      </w:pPr>
      <w:r>
        <w:rPr>
          <w:rFonts w:hint="eastAsia" w:eastAsia="方正仿宋_GBK"/>
          <w:bCs/>
          <w:sz w:val="32"/>
          <w:szCs w:val="32"/>
        </w:rPr>
        <w:t>3）项目相关资料如合同书、支付凭证等齐全并及时归档；</w:t>
      </w:r>
    </w:p>
    <w:p w14:paraId="39BB089F">
      <w:pPr>
        <w:spacing w:line="600" w:lineRule="exact"/>
        <w:ind w:firstLine="640" w:firstLineChars="200"/>
        <w:rPr>
          <w:rFonts w:eastAsia="方正仿宋_GBK"/>
          <w:bCs/>
          <w:sz w:val="32"/>
          <w:szCs w:val="32"/>
        </w:rPr>
      </w:pPr>
      <w:r>
        <w:rPr>
          <w:rFonts w:hint="eastAsia" w:eastAsia="方正仿宋_GBK"/>
          <w:bCs/>
          <w:sz w:val="32"/>
          <w:szCs w:val="32"/>
        </w:rPr>
        <w:t>4）区经信委成立了铜梁区城市燃气管道老化更新改造工作专项小组负责项目的组织开展工作，各参加单位人员、物资按时到位。</w:t>
      </w:r>
    </w:p>
    <w:p w14:paraId="068218A4">
      <w:pPr>
        <w:spacing w:line="600" w:lineRule="exact"/>
        <w:ind w:firstLine="640" w:firstLineChars="200"/>
        <w:rPr>
          <w:rFonts w:eastAsia="方正仿宋_GBK"/>
          <w:bCs/>
          <w:sz w:val="32"/>
          <w:szCs w:val="32"/>
        </w:rPr>
      </w:pPr>
      <w:r>
        <w:rPr>
          <w:rFonts w:eastAsia="方正仿宋_GBK"/>
          <w:bCs/>
          <w:sz w:val="32"/>
          <w:szCs w:val="32"/>
        </w:rPr>
        <w:t>根据绩效评价指标表中评分标准的要求，</w:t>
      </w:r>
      <w:r>
        <w:rPr>
          <w:rFonts w:hint="eastAsia" w:eastAsia="方正仿宋_GBK"/>
          <w:bCs/>
          <w:sz w:val="32"/>
          <w:szCs w:val="32"/>
        </w:rPr>
        <w:t>本指标得分合计3分。</w:t>
      </w:r>
    </w:p>
    <w:p w14:paraId="4558C77B">
      <w:pPr>
        <w:spacing w:line="600" w:lineRule="exact"/>
        <w:ind w:firstLine="640" w:firstLineChars="200"/>
        <w:rPr>
          <w:rFonts w:eastAsia="方正仿宋_GBK"/>
          <w:bCs/>
          <w:sz w:val="32"/>
          <w:szCs w:val="32"/>
        </w:rPr>
      </w:pPr>
      <w:r>
        <w:rPr>
          <w:rFonts w:eastAsia="方正仿宋_GBK"/>
          <w:bCs/>
          <w:sz w:val="32"/>
          <w:szCs w:val="32"/>
        </w:rPr>
        <w:t>（</w:t>
      </w:r>
      <w:r>
        <w:rPr>
          <w:rFonts w:hint="eastAsia" w:eastAsia="方正仿宋_GBK"/>
          <w:bCs/>
          <w:sz w:val="32"/>
          <w:szCs w:val="32"/>
        </w:rPr>
        <w:t>3</w:t>
      </w:r>
      <w:r>
        <w:rPr>
          <w:rFonts w:eastAsia="方正仿宋_GBK"/>
          <w:bCs/>
          <w:sz w:val="32"/>
          <w:szCs w:val="32"/>
        </w:rPr>
        <w:t>）</w:t>
      </w:r>
      <w:r>
        <w:rPr>
          <w:rFonts w:hint="eastAsia" w:eastAsia="方正仿宋_GBK"/>
          <w:bCs/>
          <w:sz w:val="32"/>
          <w:szCs w:val="32"/>
        </w:rPr>
        <w:t>项目质量、安全可控性</w:t>
      </w:r>
      <w:r>
        <w:rPr>
          <w:rFonts w:eastAsia="方正仿宋_GBK"/>
          <w:bCs/>
          <w:sz w:val="32"/>
          <w:szCs w:val="32"/>
        </w:rPr>
        <w:t>（满分</w:t>
      </w:r>
      <w:r>
        <w:rPr>
          <w:rFonts w:hint="eastAsia" w:eastAsia="方正仿宋_GBK"/>
          <w:bCs/>
          <w:sz w:val="32"/>
          <w:szCs w:val="32"/>
        </w:rPr>
        <w:t>3</w:t>
      </w:r>
      <w:r>
        <w:rPr>
          <w:rFonts w:eastAsia="方正仿宋_GBK"/>
          <w:bCs/>
          <w:sz w:val="32"/>
          <w:szCs w:val="32"/>
        </w:rPr>
        <w:t>分，得分</w:t>
      </w:r>
      <w:r>
        <w:rPr>
          <w:rFonts w:hint="eastAsia" w:eastAsia="方正仿宋_GBK"/>
          <w:bCs/>
          <w:sz w:val="32"/>
          <w:szCs w:val="32"/>
        </w:rPr>
        <w:t>3</w:t>
      </w:r>
      <w:r>
        <w:rPr>
          <w:rFonts w:eastAsia="方正仿宋_GBK"/>
          <w:bCs/>
          <w:sz w:val="32"/>
          <w:szCs w:val="32"/>
        </w:rPr>
        <w:t>分）</w:t>
      </w:r>
    </w:p>
    <w:p w14:paraId="36DA8288">
      <w:pPr>
        <w:spacing w:line="600" w:lineRule="exact"/>
        <w:ind w:firstLine="640" w:firstLineChars="200"/>
        <w:rPr>
          <w:rFonts w:eastAsia="方正仿宋_GBK"/>
          <w:bCs/>
          <w:sz w:val="32"/>
          <w:szCs w:val="32"/>
        </w:rPr>
      </w:pPr>
      <w:r>
        <w:rPr>
          <w:rFonts w:hint="eastAsia" w:eastAsia="方正仿宋_GBK"/>
          <w:bCs/>
          <w:sz w:val="32"/>
          <w:szCs w:val="32"/>
        </w:rPr>
        <w:t>1）区经信委主要通过委托监理单位对项目进行质量控制、安全检查，监理单位每半月形成《监理例会月报》，对期间的质量、安全工作开展情况，发现的问题及处理措施进行汇报；</w:t>
      </w:r>
    </w:p>
    <w:p w14:paraId="0BC6E8B9">
      <w:pPr>
        <w:spacing w:line="600" w:lineRule="exact"/>
        <w:ind w:firstLine="640" w:firstLineChars="200"/>
        <w:rPr>
          <w:rFonts w:eastAsia="方正仿宋_GBK"/>
          <w:bCs/>
          <w:sz w:val="32"/>
          <w:szCs w:val="32"/>
        </w:rPr>
      </w:pPr>
      <w:r>
        <w:rPr>
          <w:rFonts w:hint="eastAsia" w:eastAsia="方正仿宋_GBK"/>
          <w:bCs/>
          <w:sz w:val="32"/>
          <w:szCs w:val="32"/>
        </w:rPr>
        <w:t>2）查看项目施工合同，对施工单位质量标准要求为：符合强制性质量标准，符合国家和重庆市现行有关施工质量验收规范要求，并达到合格标准，且须得到施工片区供气公司的验收合格直至通气。施工单位建立了施工管理制度和质量保证体系；</w:t>
      </w:r>
    </w:p>
    <w:p w14:paraId="1C3B5D80">
      <w:pPr>
        <w:spacing w:line="600" w:lineRule="exact"/>
        <w:ind w:firstLine="640" w:firstLineChars="200"/>
        <w:rPr>
          <w:rFonts w:eastAsia="方正仿宋_GBK"/>
          <w:bCs/>
          <w:sz w:val="32"/>
          <w:szCs w:val="32"/>
        </w:rPr>
      </w:pPr>
      <w:r>
        <w:rPr>
          <w:rFonts w:hint="eastAsia" w:eastAsia="方正仿宋_GBK"/>
          <w:bCs/>
          <w:sz w:val="32"/>
          <w:szCs w:val="32"/>
        </w:rPr>
        <w:t>3）经查看现场影像资料，查询到区经信委、监理单位对项目质量、安全施工情况进行了日常检查。</w:t>
      </w:r>
    </w:p>
    <w:p w14:paraId="7DD15398">
      <w:pPr>
        <w:spacing w:line="600" w:lineRule="exact"/>
        <w:ind w:firstLine="640" w:firstLineChars="200"/>
        <w:rPr>
          <w:rFonts w:eastAsia="方正仿宋_GBK"/>
          <w:bCs/>
          <w:sz w:val="32"/>
          <w:szCs w:val="32"/>
        </w:rPr>
      </w:pPr>
      <w:r>
        <w:rPr>
          <w:rFonts w:eastAsia="方正仿宋_GBK"/>
          <w:bCs/>
          <w:sz w:val="32"/>
          <w:szCs w:val="32"/>
        </w:rPr>
        <w:t>根据绩效评价指标表中评分标准的要求，</w:t>
      </w:r>
      <w:r>
        <w:rPr>
          <w:rFonts w:hint="eastAsia" w:eastAsia="方正仿宋_GBK"/>
          <w:bCs/>
          <w:sz w:val="32"/>
          <w:szCs w:val="32"/>
        </w:rPr>
        <w:t>本指标得分合计3分。</w:t>
      </w:r>
    </w:p>
    <w:p w14:paraId="44D2D1E3">
      <w:pPr>
        <w:spacing w:line="600" w:lineRule="exact"/>
        <w:ind w:firstLine="640" w:firstLineChars="200"/>
        <w:rPr>
          <w:rFonts w:eastAsia="方正仿宋_GBK"/>
          <w:bCs/>
          <w:sz w:val="32"/>
          <w:szCs w:val="32"/>
        </w:rPr>
      </w:pPr>
      <w:r>
        <w:rPr>
          <w:rFonts w:eastAsia="方正仿宋_GBK"/>
          <w:bCs/>
          <w:sz w:val="32"/>
          <w:szCs w:val="32"/>
        </w:rPr>
        <w:t>（</w:t>
      </w:r>
      <w:r>
        <w:rPr>
          <w:rFonts w:hint="eastAsia" w:eastAsia="方正仿宋_GBK"/>
          <w:bCs/>
          <w:sz w:val="32"/>
          <w:szCs w:val="32"/>
        </w:rPr>
        <w:t>4</w:t>
      </w:r>
      <w:r>
        <w:rPr>
          <w:rFonts w:eastAsia="方正仿宋_GBK"/>
          <w:bCs/>
          <w:sz w:val="32"/>
          <w:szCs w:val="32"/>
        </w:rPr>
        <w:t>）</w:t>
      </w:r>
      <w:r>
        <w:rPr>
          <w:rFonts w:hint="eastAsia" w:eastAsia="方正仿宋_GBK"/>
          <w:bCs/>
          <w:sz w:val="32"/>
          <w:szCs w:val="32"/>
        </w:rPr>
        <w:t>资金使用合规性</w:t>
      </w:r>
      <w:r>
        <w:rPr>
          <w:rFonts w:eastAsia="方正仿宋_GBK"/>
          <w:bCs/>
          <w:sz w:val="32"/>
          <w:szCs w:val="32"/>
        </w:rPr>
        <w:t>（满分</w:t>
      </w:r>
      <w:r>
        <w:rPr>
          <w:rFonts w:hint="eastAsia" w:eastAsia="方正仿宋_GBK"/>
          <w:bCs/>
          <w:sz w:val="32"/>
          <w:szCs w:val="32"/>
        </w:rPr>
        <w:t>4</w:t>
      </w:r>
      <w:r>
        <w:rPr>
          <w:rFonts w:eastAsia="方正仿宋_GBK"/>
          <w:bCs/>
          <w:sz w:val="32"/>
          <w:szCs w:val="32"/>
        </w:rPr>
        <w:t>分，得分</w:t>
      </w:r>
      <w:r>
        <w:rPr>
          <w:rFonts w:hint="eastAsia" w:eastAsia="方正仿宋_GBK"/>
          <w:bCs/>
          <w:sz w:val="32"/>
          <w:szCs w:val="32"/>
          <w:lang w:val="en-US" w:eastAsia="zh-CN"/>
        </w:rPr>
        <w:t>4</w:t>
      </w:r>
      <w:r>
        <w:rPr>
          <w:rFonts w:eastAsia="方正仿宋_GBK"/>
          <w:bCs/>
          <w:sz w:val="32"/>
          <w:szCs w:val="32"/>
        </w:rPr>
        <w:t>分）</w:t>
      </w:r>
    </w:p>
    <w:p w14:paraId="0B266E3D">
      <w:pPr>
        <w:spacing w:line="600" w:lineRule="exact"/>
        <w:ind w:firstLine="640" w:firstLineChars="200"/>
        <w:rPr>
          <w:rFonts w:eastAsia="方正仿宋_GBK"/>
          <w:bCs/>
          <w:sz w:val="32"/>
          <w:szCs w:val="32"/>
        </w:rPr>
      </w:pPr>
      <w:r>
        <w:rPr>
          <w:rFonts w:hint="eastAsia" w:eastAsia="方正仿宋_GBK"/>
          <w:bCs/>
          <w:sz w:val="32"/>
          <w:szCs w:val="32"/>
        </w:rPr>
        <w:t>1）本项目资金拨付的审批程序和手续完整，重大开支均由区经信委党组会研究决定；</w:t>
      </w:r>
    </w:p>
    <w:p w14:paraId="741DC303">
      <w:pPr>
        <w:spacing w:line="600" w:lineRule="exact"/>
        <w:ind w:firstLine="640" w:firstLineChars="200"/>
        <w:rPr>
          <w:rFonts w:eastAsia="方正仿宋_GBK"/>
          <w:bCs/>
          <w:sz w:val="32"/>
          <w:szCs w:val="32"/>
        </w:rPr>
      </w:pPr>
      <w:r>
        <w:rPr>
          <w:rFonts w:hint="eastAsia" w:eastAsia="方正仿宋_GBK"/>
          <w:bCs/>
          <w:sz w:val="32"/>
          <w:szCs w:val="32"/>
        </w:rPr>
        <w:t>2）资金使用符合预算批复和合同规定用途；</w:t>
      </w:r>
    </w:p>
    <w:p w14:paraId="74996353">
      <w:pPr>
        <w:spacing w:line="600" w:lineRule="exact"/>
        <w:ind w:firstLine="640" w:firstLineChars="200"/>
        <w:rPr>
          <w:rFonts w:eastAsia="方正仿宋_GBK"/>
          <w:bCs/>
          <w:sz w:val="32"/>
          <w:szCs w:val="32"/>
        </w:rPr>
      </w:pPr>
      <w:r>
        <w:rPr>
          <w:rFonts w:eastAsia="方正仿宋_GBK"/>
          <w:bCs/>
          <w:sz w:val="32"/>
          <w:szCs w:val="32"/>
        </w:rPr>
        <w:t>根据绩效评价指标表中评分标准的要求，</w:t>
      </w:r>
      <w:r>
        <w:rPr>
          <w:rFonts w:hint="eastAsia" w:eastAsia="方正仿宋_GBK"/>
          <w:bCs/>
          <w:sz w:val="32"/>
          <w:szCs w:val="32"/>
        </w:rPr>
        <w:t>本指标得分合计</w:t>
      </w:r>
      <w:r>
        <w:rPr>
          <w:rFonts w:hint="eastAsia" w:eastAsia="方正仿宋_GBK"/>
          <w:bCs/>
          <w:sz w:val="32"/>
          <w:szCs w:val="32"/>
          <w:lang w:val="en-US" w:eastAsia="zh-CN"/>
        </w:rPr>
        <w:t>4</w:t>
      </w:r>
      <w:r>
        <w:rPr>
          <w:rFonts w:hint="eastAsia" w:eastAsia="方正仿宋_GBK"/>
          <w:bCs/>
          <w:sz w:val="32"/>
          <w:szCs w:val="32"/>
        </w:rPr>
        <w:t>分。</w:t>
      </w:r>
    </w:p>
    <w:p w14:paraId="32D9666B">
      <w:pPr>
        <w:spacing w:line="600" w:lineRule="exact"/>
        <w:ind w:firstLine="640" w:firstLineChars="200"/>
        <w:rPr>
          <w:rFonts w:eastAsia="方正仿宋_GBK"/>
          <w:bCs/>
          <w:sz w:val="32"/>
          <w:szCs w:val="32"/>
        </w:rPr>
      </w:pPr>
      <w:r>
        <w:rPr>
          <w:rFonts w:eastAsia="方正仿宋_GBK"/>
          <w:bCs/>
          <w:sz w:val="32"/>
          <w:szCs w:val="32"/>
        </w:rPr>
        <w:t>（</w:t>
      </w:r>
      <w:r>
        <w:rPr>
          <w:rFonts w:hint="eastAsia" w:eastAsia="方正仿宋_GBK"/>
          <w:bCs/>
          <w:sz w:val="32"/>
          <w:szCs w:val="32"/>
        </w:rPr>
        <w:t>5</w:t>
      </w:r>
      <w:r>
        <w:rPr>
          <w:rFonts w:eastAsia="方正仿宋_GBK"/>
          <w:bCs/>
          <w:sz w:val="32"/>
          <w:szCs w:val="32"/>
        </w:rPr>
        <w:t>）</w:t>
      </w:r>
      <w:r>
        <w:rPr>
          <w:rFonts w:hint="eastAsia" w:eastAsia="方正仿宋_GBK"/>
          <w:bCs/>
          <w:sz w:val="32"/>
          <w:szCs w:val="32"/>
        </w:rPr>
        <w:t>财务监控有效性</w:t>
      </w:r>
      <w:r>
        <w:rPr>
          <w:rFonts w:eastAsia="方正仿宋_GBK"/>
          <w:bCs/>
          <w:sz w:val="32"/>
          <w:szCs w:val="32"/>
        </w:rPr>
        <w:t>（满分</w:t>
      </w:r>
      <w:r>
        <w:rPr>
          <w:rFonts w:hint="eastAsia" w:eastAsia="方正仿宋_GBK"/>
          <w:bCs/>
          <w:sz w:val="32"/>
          <w:szCs w:val="32"/>
        </w:rPr>
        <w:t>2</w:t>
      </w:r>
      <w:r>
        <w:rPr>
          <w:rFonts w:eastAsia="方正仿宋_GBK"/>
          <w:bCs/>
          <w:sz w:val="32"/>
          <w:szCs w:val="32"/>
        </w:rPr>
        <w:t>分，得分</w:t>
      </w:r>
      <w:r>
        <w:rPr>
          <w:rFonts w:hint="eastAsia" w:eastAsia="方正仿宋_GBK"/>
          <w:bCs/>
          <w:sz w:val="32"/>
          <w:szCs w:val="32"/>
        </w:rPr>
        <w:t>2</w:t>
      </w:r>
      <w:r>
        <w:rPr>
          <w:rFonts w:eastAsia="方正仿宋_GBK"/>
          <w:bCs/>
          <w:sz w:val="32"/>
          <w:szCs w:val="32"/>
        </w:rPr>
        <w:t>分）</w:t>
      </w:r>
    </w:p>
    <w:p w14:paraId="31D056FD">
      <w:pPr>
        <w:spacing w:line="600" w:lineRule="exact"/>
        <w:ind w:firstLine="640" w:firstLineChars="200"/>
        <w:rPr>
          <w:rFonts w:eastAsia="方正仿宋_GBK"/>
          <w:bCs/>
          <w:sz w:val="32"/>
          <w:szCs w:val="32"/>
        </w:rPr>
      </w:pPr>
      <w:r>
        <w:rPr>
          <w:rFonts w:hint="eastAsia" w:eastAsia="方正仿宋_GBK"/>
          <w:bCs/>
          <w:sz w:val="32"/>
          <w:szCs w:val="32"/>
        </w:rPr>
        <w:t>1）本项目依据《重庆市铜梁区经济和信息化委员会财务管理制度》对资金安全、规范运作进行监控；</w:t>
      </w:r>
    </w:p>
    <w:p w14:paraId="31074D27">
      <w:pPr>
        <w:spacing w:line="600" w:lineRule="exact"/>
        <w:ind w:firstLine="640" w:firstLineChars="200"/>
        <w:rPr>
          <w:rFonts w:eastAsia="方正仿宋_GBK"/>
          <w:bCs/>
          <w:sz w:val="32"/>
          <w:szCs w:val="32"/>
        </w:rPr>
      </w:pPr>
      <w:r>
        <w:rPr>
          <w:rFonts w:hint="eastAsia" w:eastAsia="方正仿宋_GBK"/>
          <w:bCs/>
          <w:sz w:val="32"/>
          <w:szCs w:val="32"/>
        </w:rPr>
        <w:t>2）在项目支出审批中，实行委分管财务领导、业务分管领导与科室负责人审批签字制，2万元（含）以上的需经委党组研究同意。</w:t>
      </w:r>
    </w:p>
    <w:p w14:paraId="3718E881">
      <w:pPr>
        <w:spacing w:line="600" w:lineRule="exact"/>
        <w:ind w:firstLine="640" w:firstLineChars="200"/>
        <w:rPr>
          <w:rFonts w:eastAsia="方正仿宋_GBK"/>
          <w:bCs/>
          <w:sz w:val="32"/>
          <w:szCs w:val="32"/>
        </w:rPr>
      </w:pPr>
      <w:r>
        <w:rPr>
          <w:rFonts w:eastAsia="方正仿宋_GBK"/>
          <w:bCs/>
          <w:sz w:val="32"/>
          <w:szCs w:val="32"/>
        </w:rPr>
        <w:t>根据绩效评价指标表中评分标准的要求，</w:t>
      </w:r>
      <w:r>
        <w:rPr>
          <w:rFonts w:hint="eastAsia" w:eastAsia="方正仿宋_GBK"/>
          <w:bCs/>
          <w:sz w:val="32"/>
          <w:szCs w:val="32"/>
        </w:rPr>
        <w:t>本指标得分合计2分。</w:t>
      </w:r>
    </w:p>
    <w:p w14:paraId="2B00A406">
      <w:pPr>
        <w:spacing w:line="600" w:lineRule="exact"/>
        <w:ind w:firstLine="640" w:firstLineChars="200"/>
        <w:rPr>
          <w:rFonts w:eastAsia="方正仿宋_GBK"/>
          <w:bCs/>
          <w:sz w:val="32"/>
          <w:szCs w:val="32"/>
        </w:rPr>
      </w:pPr>
      <w:r>
        <w:rPr>
          <w:rFonts w:hint="eastAsia" w:eastAsia="方正仿宋_GBK"/>
          <w:bCs/>
          <w:sz w:val="32"/>
          <w:szCs w:val="32"/>
        </w:rPr>
        <w:t>2</w:t>
      </w:r>
      <w:r>
        <w:rPr>
          <w:rFonts w:eastAsia="方正仿宋_GBK"/>
          <w:bCs/>
          <w:sz w:val="32"/>
          <w:szCs w:val="32"/>
        </w:rPr>
        <w:t>.</w:t>
      </w:r>
      <w:r>
        <w:rPr>
          <w:rFonts w:hint="eastAsia" w:eastAsia="方正仿宋_GBK"/>
          <w:bCs/>
          <w:sz w:val="32"/>
          <w:szCs w:val="32"/>
        </w:rPr>
        <w:t>绩效管理</w:t>
      </w:r>
      <w:r>
        <w:rPr>
          <w:rFonts w:eastAsia="方正仿宋_GBK"/>
          <w:bCs/>
          <w:sz w:val="32"/>
          <w:szCs w:val="32"/>
        </w:rPr>
        <w:t>（满分</w:t>
      </w:r>
      <w:r>
        <w:rPr>
          <w:rFonts w:hint="eastAsia" w:eastAsia="方正仿宋_GBK"/>
          <w:bCs/>
          <w:sz w:val="32"/>
          <w:szCs w:val="32"/>
        </w:rPr>
        <w:t>5</w:t>
      </w:r>
      <w:r>
        <w:rPr>
          <w:rFonts w:eastAsia="方正仿宋_GBK"/>
          <w:bCs/>
          <w:sz w:val="32"/>
          <w:szCs w:val="32"/>
        </w:rPr>
        <w:t>分，得分</w:t>
      </w:r>
      <w:r>
        <w:rPr>
          <w:rFonts w:hint="eastAsia" w:eastAsia="方正仿宋_GBK"/>
          <w:bCs/>
          <w:sz w:val="32"/>
          <w:szCs w:val="32"/>
        </w:rPr>
        <w:t>4</w:t>
      </w:r>
      <w:r>
        <w:rPr>
          <w:rFonts w:eastAsia="方正仿宋_GBK"/>
          <w:bCs/>
          <w:sz w:val="32"/>
          <w:szCs w:val="32"/>
        </w:rPr>
        <w:t>分）</w:t>
      </w:r>
    </w:p>
    <w:p w14:paraId="33C22E1C">
      <w:pPr>
        <w:spacing w:line="600" w:lineRule="exact"/>
        <w:ind w:firstLine="640" w:firstLineChars="200"/>
        <w:rPr>
          <w:rFonts w:eastAsia="方正仿宋_GBK"/>
          <w:bCs/>
          <w:sz w:val="32"/>
          <w:szCs w:val="32"/>
        </w:rPr>
      </w:pPr>
      <w:r>
        <w:rPr>
          <w:rFonts w:eastAsia="方正仿宋_GBK"/>
          <w:bCs/>
          <w:sz w:val="32"/>
          <w:szCs w:val="32"/>
        </w:rPr>
        <w:t>（</w:t>
      </w:r>
      <w:r>
        <w:rPr>
          <w:rFonts w:hint="eastAsia" w:eastAsia="方正仿宋_GBK"/>
          <w:bCs/>
          <w:sz w:val="32"/>
          <w:szCs w:val="32"/>
        </w:rPr>
        <w:t>1</w:t>
      </w:r>
      <w:r>
        <w:rPr>
          <w:rFonts w:eastAsia="方正仿宋_GBK"/>
          <w:bCs/>
          <w:sz w:val="32"/>
          <w:szCs w:val="32"/>
        </w:rPr>
        <w:t>）</w:t>
      </w:r>
      <w:r>
        <w:rPr>
          <w:rFonts w:hint="eastAsia" w:eastAsia="方正仿宋_GBK"/>
          <w:bCs/>
          <w:sz w:val="32"/>
          <w:szCs w:val="32"/>
        </w:rPr>
        <w:t>绩效自评</w:t>
      </w:r>
      <w:r>
        <w:rPr>
          <w:rFonts w:eastAsia="方正仿宋_GBK"/>
          <w:bCs/>
          <w:sz w:val="32"/>
          <w:szCs w:val="32"/>
        </w:rPr>
        <w:t>（满分</w:t>
      </w:r>
      <w:r>
        <w:rPr>
          <w:rFonts w:hint="eastAsia" w:eastAsia="方正仿宋_GBK"/>
          <w:bCs/>
          <w:sz w:val="32"/>
          <w:szCs w:val="32"/>
        </w:rPr>
        <w:t>3</w:t>
      </w:r>
      <w:r>
        <w:rPr>
          <w:rFonts w:eastAsia="方正仿宋_GBK"/>
          <w:bCs/>
          <w:sz w:val="32"/>
          <w:szCs w:val="32"/>
        </w:rPr>
        <w:t>分，得分</w:t>
      </w:r>
      <w:r>
        <w:rPr>
          <w:rFonts w:hint="eastAsia" w:eastAsia="方正仿宋_GBK"/>
          <w:bCs/>
          <w:sz w:val="32"/>
          <w:szCs w:val="32"/>
        </w:rPr>
        <w:t>2</w:t>
      </w:r>
      <w:r>
        <w:rPr>
          <w:rFonts w:eastAsia="方正仿宋_GBK"/>
          <w:bCs/>
          <w:sz w:val="32"/>
          <w:szCs w:val="32"/>
        </w:rPr>
        <w:t>分）</w:t>
      </w:r>
    </w:p>
    <w:p w14:paraId="7B9E1EBC">
      <w:pPr>
        <w:spacing w:line="600" w:lineRule="exact"/>
        <w:ind w:firstLine="640" w:firstLineChars="200"/>
        <w:rPr>
          <w:rFonts w:eastAsia="方正仿宋_GBK"/>
          <w:bCs/>
          <w:sz w:val="32"/>
          <w:szCs w:val="32"/>
        </w:rPr>
      </w:pPr>
      <w:r>
        <w:rPr>
          <w:rFonts w:hint="eastAsia" w:eastAsia="方正仿宋_GBK"/>
          <w:bCs/>
          <w:sz w:val="32"/>
          <w:szCs w:val="32"/>
        </w:rPr>
        <w:t>1）经查阅区经信委提供的《2022年城市燃气管道等老化更新改造中央基建投资2023年度二级项目绩效自评表》，本项目于2023年开展了绩效自评工作，自评结果以自评表的形式反映；</w:t>
      </w:r>
    </w:p>
    <w:p w14:paraId="4B9E31B5">
      <w:pPr>
        <w:spacing w:line="600" w:lineRule="exact"/>
        <w:ind w:firstLine="640" w:firstLineChars="200"/>
        <w:rPr>
          <w:rFonts w:eastAsia="方正仿宋_GBK"/>
          <w:bCs/>
          <w:sz w:val="32"/>
          <w:szCs w:val="32"/>
        </w:rPr>
      </w:pPr>
      <w:r>
        <w:rPr>
          <w:rFonts w:hint="eastAsia" w:eastAsia="方正仿宋_GBK"/>
          <w:bCs/>
          <w:sz w:val="32"/>
          <w:szCs w:val="32"/>
        </w:rPr>
        <w:t>2）项目自评内容是否包括项目预算安排及执行情况、绩效目标设定及完成情况，因自评结果认为本项目未偏离绩效目标，故无偏离绩效目标的原因和下一步改进措施等内容；</w:t>
      </w:r>
    </w:p>
    <w:p w14:paraId="6D560DD4">
      <w:pPr>
        <w:spacing w:line="600" w:lineRule="exact"/>
        <w:ind w:firstLine="640" w:firstLineChars="200"/>
        <w:rPr>
          <w:rFonts w:eastAsia="方正仿宋_GBK"/>
          <w:bCs/>
          <w:sz w:val="32"/>
          <w:szCs w:val="32"/>
        </w:rPr>
      </w:pPr>
      <w:r>
        <w:rPr>
          <w:rFonts w:hint="eastAsia" w:eastAsia="方正仿宋_GBK"/>
          <w:bCs/>
          <w:sz w:val="32"/>
          <w:szCs w:val="32"/>
        </w:rPr>
        <w:t>3）绩效自评结果与实际不够匹配，具体体现为预算执行率（五个项目合并自评口径）23.14%，但执行率得分为满分；本项目计划完成时间为2023年12月，实际未在2023年完成，但完成改造计划得分也为满分，本项扣1分。</w:t>
      </w:r>
    </w:p>
    <w:p w14:paraId="54B3F3D4">
      <w:pPr>
        <w:spacing w:line="600" w:lineRule="exact"/>
        <w:ind w:firstLine="640" w:firstLineChars="200"/>
        <w:rPr>
          <w:rFonts w:eastAsia="方正仿宋_GBK"/>
          <w:bCs/>
          <w:sz w:val="32"/>
          <w:szCs w:val="32"/>
        </w:rPr>
      </w:pPr>
      <w:r>
        <w:rPr>
          <w:rFonts w:eastAsia="方正仿宋_GBK"/>
          <w:bCs/>
          <w:sz w:val="32"/>
          <w:szCs w:val="32"/>
        </w:rPr>
        <w:t>根据绩效评价指标表中评分标准的要求，</w:t>
      </w:r>
      <w:r>
        <w:rPr>
          <w:rFonts w:hint="eastAsia" w:eastAsia="方正仿宋_GBK"/>
          <w:bCs/>
          <w:sz w:val="32"/>
          <w:szCs w:val="32"/>
        </w:rPr>
        <w:t>本指标得分合计2分。</w:t>
      </w:r>
    </w:p>
    <w:p w14:paraId="6D4D559B">
      <w:pPr>
        <w:spacing w:line="600" w:lineRule="exact"/>
        <w:ind w:firstLine="640" w:firstLineChars="200"/>
        <w:rPr>
          <w:rFonts w:eastAsia="方正仿宋_GBK"/>
          <w:bCs/>
          <w:sz w:val="32"/>
          <w:szCs w:val="32"/>
        </w:rPr>
      </w:pPr>
      <w:r>
        <w:rPr>
          <w:rFonts w:eastAsia="方正仿宋_GBK"/>
          <w:bCs/>
          <w:sz w:val="32"/>
          <w:szCs w:val="32"/>
        </w:rPr>
        <w:t>（</w:t>
      </w:r>
      <w:r>
        <w:rPr>
          <w:rFonts w:hint="eastAsia" w:eastAsia="方正仿宋_GBK"/>
          <w:bCs/>
          <w:sz w:val="32"/>
          <w:szCs w:val="32"/>
        </w:rPr>
        <w:t>2</w:t>
      </w:r>
      <w:r>
        <w:rPr>
          <w:rFonts w:eastAsia="方正仿宋_GBK"/>
          <w:bCs/>
          <w:sz w:val="32"/>
          <w:szCs w:val="32"/>
        </w:rPr>
        <w:t>）</w:t>
      </w:r>
      <w:r>
        <w:rPr>
          <w:rFonts w:hint="eastAsia" w:eastAsia="方正仿宋_GBK"/>
          <w:bCs/>
          <w:sz w:val="32"/>
          <w:szCs w:val="32"/>
        </w:rPr>
        <w:t>绩效运行监控</w:t>
      </w:r>
      <w:r>
        <w:rPr>
          <w:rFonts w:eastAsia="方正仿宋_GBK"/>
          <w:bCs/>
          <w:sz w:val="32"/>
          <w:szCs w:val="32"/>
        </w:rPr>
        <w:t>（满分</w:t>
      </w:r>
      <w:r>
        <w:rPr>
          <w:rFonts w:hint="eastAsia" w:eastAsia="方正仿宋_GBK"/>
          <w:bCs/>
          <w:sz w:val="32"/>
          <w:szCs w:val="32"/>
        </w:rPr>
        <w:t>2</w:t>
      </w:r>
      <w:r>
        <w:rPr>
          <w:rFonts w:eastAsia="方正仿宋_GBK"/>
          <w:bCs/>
          <w:sz w:val="32"/>
          <w:szCs w:val="32"/>
        </w:rPr>
        <w:t>分，得分</w:t>
      </w:r>
      <w:r>
        <w:rPr>
          <w:rFonts w:hint="eastAsia" w:eastAsia="方正仿宋_GBK"/>
          <w:bCs/>
          <w:sz w:val="32"/>
          <w:szCs w:val="32"/>
        </w:rPr>
        <w:t>2</w:t>
      </w:r>
      <w:r>
        <w:rPr>
          <w:rFonts w:eastAsia="方正仿宋_GBK"/>
          <w:bCs/>
          <w:sz w:val="32"/>
          <w:szCs w:val="32"/>
        </w:rPr>
        <w:t>分）</w:t>
      </w:r>
    </w:p>
    <w:p w14:paraId="2F16E8FF">
      <w:pPr>
        <w:spacing w:line="600" w:lineRule="exact"/>
        <w:ind w:firstLine="640" w:firstLineChars="200"/>
        <w:rPr>
          <w:rFonts w:eastAsia="方正仿宋_GBK"/>
          <w:bCs/>
          <w:sz w:val="32"/>
          <w:szCs w:val="32"/>
        </w:rPr>
      </w:pPr>
      <w:r>
        <w:rPr>
          <w:rFonts w:hint="eastAsia" w:eastAsia="方正仿宋_GBK"/>
          <w:bCs/>
          <w:sz w:val="32"/>
          <w:szCs w:val="32"/>
        </w:rPr>
        <w:t>1）本项目实行持续监控，监控人为铜梁区城市燃气管道老化更新改造工作专项小组；</w:t>
      </w:r>
    </w:p>
    <w:p w14:paraId="55C4BEBC">
      <w:pPr>
        <w:spacing w:line="600" w:lineRule="exact"/>
        <w:ind w:firstLine="640" w:firstLineChars="200"/>
        <w:rPr>
          <w:rFonts w:eastAsia="方正仿宋_GBK"/>
          <w:bCs/>
          <w:sz w:val="32"/>
          <w:szCs w:val="32"/>
        </w:rPr>
      </w:pPr>
      <w:r>
        <w:rPr>
          <w:rFonts w:hint="eastAsia" w:eastAsia="方正仿宋_GBK"/>
          <w:bCs/>
          <w:sz w:val="32"/>
          <w:szCs w:val="32"/>
        </w:rPr>
        <w:t>2）经访谈和查询本项目建设工程监理例会会议纪要，区经信委通过日常检查、听取监理单位报告、每半月组织召开工作例会等形式对项目进行持续监控。工作例会参会单位包含建设单位、监理单位、设计单位、跟审单位和施工单位，会议主要内容为听取施工单位对工作完成情况、计划情况和需要解决问题的汇报，听取监理单位工作汇报及对施工单位的要求，建设单位对本项目质量、进度、安全、造价等方面的工作进行要求和部署，持续对绩效运行情况进行监控。</w:t>
      </w:r>
    </w:p>
    <w:p w14:paraId="7FAF264E">
      <w:pPr>
        <w:spacing w:line="600" w:lineRule="exact"/>
        <w:ind w:firstLine="640" w:firstLineChars="200"/>
        <w:rPr>
          <w:rFonts w:eastAsia="方正仿宋_GBK"/>
          <w:bCs/>
          <w:sz w:val="32"/>
          <w:szCs w:val="32"/>
        </w:rPr>
      </w:pPr>
      <w:r>
        <w:rPr>
          <w:rFonts w:eastAsia="方正仿宋_GBK"/>
          <w:bCs/>
          <w:sz w:val="32"/>
          <w:szCs w:val="32"/>
        </w:rPr>
        <w:t>根据绩效评价指标表中评分标准的要求，</w:t>
      </w:r>
      <w:r>
        <w:rPr>
          <w:rFonts w:hint="eastAsia" w:eastAsia="方正仿宋_GBK"/>
          <w:bCs/>
          <w:sz w:val="32"/>
          <w:szCs w:val="32"/>
        </w:rPr>
        <w:t>本指标得分合计2分。</w:t>
      </w:r>
    </w:p>
    <w:p w14:paraId="5C695973">
      <w:pPr>
        <w:spacing w:line="600" w:lineRule="exact"/>
        <w:ind w:firstLine="640" w:firstLineChars="200"/>
        <w:outlineLvl w:val="2"/>
        <w:rPr>
          <w:rFonts w:eastAsia="方正楷体_GBK"/>
          <w:bCs/>
          <w:sz w:val="32"/>
          <w:szCs w:val="32"/>
        </w:rPr>
      </w:pPr>
      <w:bookmarkStart w:id="136" w:name="_Toc10563"/>
      <w:bookmarkStart w:id="137" w:name="_Toc170909613"/>
      <w:bookmarkStart w:id="138" w:name="_Toc15243"/>
      <w:r>
        <w:rPr>
          <w:rFonts w:eastAsia="方正楷体_GBK"/>
          <w:bCs/>
          <w:sz w:val="32"/>
          <w:szCs w:val="32"/>
        </w:rPr>
        <w:t>（三）项目产出评价（满分</w:t>
      </w:r>
      <w:r>
        <w:rPr>
          <w:rFonts w:hint="eastAsia" w:eastAsia="方正楷体_GBK"/>
          <w:bCs/>
          <w:sz w:val="32"/>
          <w:szCs w:val="32"/>
        </w:rPr>
        <w:t>30</w:t>
      </w:r>
      <w:r>
        <w:rPr>
          <w:rFonts w:eastAsia="方正楷体_GBK"/>
          <w:bCs/>
          <w:sz w:val="32"/>
          <w:szCs w:val="32"/>
        </w:rPr>
        <w:t>分，得分</w:t>
      </w:r>
      <w:r>
        <w:rPr>
          <w:rFonts w:hint="eastAsia" w:eastAsia="方正楷体_GBK"/>
          <w:bCs/>
          <w:sz w:val="32"/>
          <w:szCs w:val="32"/>
        </w:rPr>
        <w:t>18</w:t>
      </w:r>
      <w:r>
        <w:rPr>
          <w:rFonts w:eastAsia="方正楷体_GBK"/>
          <w:bCs/>
          <w:sz w:val="32"/>
          <w:szCs w:val="32"/>
        </w:rPr>
        <w:t>分）</w:t>
      </w:r>
      <w:bookmarkEnd w:id="136"/>
      <w:bookmarkEnd w:id="137"/>
      <w:bookmarkEnd w:id="138"/>
    </w:p>
    <w:p w14:paraId="6E33E4F3">
      <w:pPr>
        <w:spacing w:line="600" w:lineRule="exact"/>
        <w:ind w:firstLine="640" w:firstLineChars="200"/>
        <w:rPr>
          <w:rFonts w:eastAsia="方正仿宋_GBK"/>
          <w:bCs/>
          <w:sz w:val="32"/>
          <w:szCs w:val="32"/>
        </w:rPr>
      </w:pPr>
      <w:r>
        <w:rPr>
          <w:rFonts w:hint="eastAsia" w:eastAsia="方正仿宋_GBK"/>
          <w:bCs/>
          <w:sz w:val="32"/>
          <w:szCs w:val="32"/>
        </w:rPr>
        <w:t>1</w:t>
      </w:r>
      <w:r>
        <w:rPr>
          <w:rFonts w:eastAsia="方正仿宋_GBK"/>
          <w:bCs/>
          <w:sz w:val="32"/>
          <w:szCs w:val="32"/>
        </w:rPr>
        <w:t>.</w:t>
      </w:r>
      <w:r>
        <w:rPr>
          <w:rFonts w:hint="eastAsia" w:eastAsia="方正仿宋_GBK"/>
          <w:bCs/>
          <w:sz w:val="32"/>
          <w:szCs w:val="32"/>
        </w:rPr>
        <w:t>数量指标</w:t>
      </w:r>
      <w:r>
        <w:rPr>
          <w:rFonts w:eastAsia="方正仿宋_GBK"/>
          <w:bCs/>
          <w:sz w:val="32"/>
          <w:szCs w:val="32"/>
        </w:rPr>
        <w:t>（满分</w:t>
      </w:r>
      <w:r>
        <w:rPr>
          <w:rFonts w:hint="eastAsia" w:eastAsia="方正仿宋_GBK"/>
          <w:bCs/>
          <w:sz w:val="32"/>
          <w:szCs w:val="32"/>
        </w:rPr>
        <w:t>6</w:t>
      </w:r>
      <w:r>
        <w:rPr>
          <w:rFonts w:eastAsia="方正仿宋_GBK"/>
          <w:bCs/>
          <w:sz w:val="32"/>
          <w:szCs w:val="32"/>
        </w:rPr>
        <w:t>分，得分</w:t>
      </w:r>
      <w:r>
        <w:rPr>
          <w:rFonts w:hint="eastAsia" w:eastAsia="方正仿宋_GBK"/>
          <w:bCs/>
          <w:sz w:val="32"/>
          <w:szCs w:val="32"/>
        </w:rPr>
        <w:t>0</w:t>
      </w:r>
      <w:r>
        <w:rPr>
          <w:rFonts w:eastAsia="方正仿宋_GBK"/>
          <w:bCs/>
          <w:sz w:val="32"/>
          <w:szCs w:val="32"/>
        </w:rPr>
        <w:t>分）</w:t>
      </w:r>
    </w:p>
    <w:p w14:paraId="1F29E81C">
      <w:pPr>
        <w:spacing w:line="600" w:lineRule="exact"/>
        <w:ind w:firstLine="640" w:firstLineChars="200"/>
        <w:rPr>
          <w:rFonts w:eastAsia="方正仿宋_GBK"/>
          <w:bCs/>
          <w:sz w:val="32"/>
          <w:szCs w:val="32"/>
        </w:rPr>
      </w:pPr>
      <w:r>
        <w:rPr>
          <w:rFonts w:eastAsia="方正仿宋_GBK"/>
          <w:bCs/>
          <w:sz w:val="32"/>
          <w:szCs w:val="32"/>
        </w:rPr>
        <w:t>（</w:t>
      </w:r>
      <w:r>
        <w:rPr>
          <w:rFonts w:hint="eastAsia" w:eastAsia="方正仿宋_GBK"/>
          <w:bCs/>
          <w:sz w:val="32"/>
          <w:szCs w:val="32"/>
        </w:rPr>
        <w:t>1</w:t>
      </w:r>
      <w:r>
        <w:rPr>
          <w:rFonts w:eastAsia="方正仿宋_GBK"/>
          <w:bCs/>
          <w:sz w:val="32"/>
          <w:szCs w:val="32"/>
        </w:rPr>
        <w:t>）</w:t>
      </w:r>
      <w:r>
        <w:rPr>
          <w:rFonts w:hint="eastAsia" w:eastAsia="方正仿宋_GBK"/>
          <w:bCs/>
          <w:sz w:val="32"/>
          <w:szCs w:val="32"/>
        </w:rPr>
        <w:t>实际完成率</w:t>
      </w:r>
      <w:r>
        <w:rPr>
          <w:rFonts w:eastAsia="方正仿宋_GBK"/>
          <w:bCs/>
          <w:sz w:val="32"/>
          <w:szCs w:val="32"/>
        </w:rPr>
        <w:t>（满分</w:t>
      </w:r>
      <w:r>
        <w:rPr>
          <w:rFonts w:hint="eastAsia" w:eastAsia="方正仿宋_GBK"/>
          <w:bCs/>
          <w:sz w:val="32"/>
          <w:szCs w:val="32"/>
        </w:rPr>
        <w:t>6</w:t>
      </w:r>
      <w:r>
        <w:rPr>
          <w:rFonts w:eastAsia="方正仿宋_GBK"/>
          <w:bCs/>
          <w:sz w:val="32"/>
          <w:szCs w:val="32"/>
        </w:rPr>
        <w:t>分，得分</w:t>
      </w:r>
      <w:r>
        <w:rPr>
          <w:rFonts w:hint="eastAsia" w:eastAsia="方正仿宋_GBK"/>
          <w:bCs/>
          <w:sz w:val="32"/>
          <w:szCs w:val="32"/>
        </w:rPr>
        <w:t>0</w:t>
      </w:r>
      <w:r>
        <w:rPr>
          <w:rFonts w:eastAsia="方正仿宋_GBK"/>
          <w:bCs/>
          <w:sz w:val="32"/>
          <w:szCs w:val="32"/>
        </w:rPr>
        <w:t>分）</w:t>
      </w:r>
    </w:p>
    <w:p w14:paraId="6284E4FC">
      <w:pPr>
        <w:spacing w:line="600" w:lineRule="exact"/>
        <w:ind w:firstLine="640" w:firstLineChars="200"/>
        <w:rPr>
          <w:rFonts w:eastAsia="方正仿宋_GBK"/>
          <w:bCs/>
          <w:sz w:val="32"/>
          <w:szCs w:val="32"/>
        </w:rPr>
      </w:pPr>
      <w:r>
        <w:rPr>
          <w:rFonts w:hint="eastAsia" w:eastAsia="方正仿宋_GBK"/>
          <w:bCs/>
          <w:sz w:val="32"/>
          <w:szCs w:val="32"/>
        </w:rPr>
        <w:t>根据《重庆市铜梁区发展和改革委员会关于2022年铜梁区城市燃气管道老化更新改造项目投资概算的批复》（铜发改委审〔2022〕748号）以及查阅本项目进度情况统计周报，本项目截至2023年12月31日计划产出和实际完成情况如下：</w:t>
      </w:r>
    </w:p>
    <w:p w14:paraId="7B3A121C">
      <w:pPr>
        <w:spacing w:line="600" w:lineRule="exact"/>
        <w:ind w:firstLine="640" w:firstLineChars="200"/>
        <w:rPr>
          <w:rFonts w:eastAsia="方正仿宋_GBK"/>
          <w:bCs/>
          <w:sz w:val="32"/>
          <w:szCs w:val="32"/>
        </w:rPr>
      </w:pPr>
      <w:r>
        <w:rPr>
          <w:rFonts w:eastAsia="方正仿宋_GBK"/>
          <w:bCs/>
          <w:sz w:val="32"/>
          <w:szCs w:val="32"/>
        </w:rPr>
        <w:t>1</w:t>
      </w:r>
      <w:r>
        <w:rPr>
          <w:rFonts w:hint="eastAsia" w:eastAsia="方正仿宋_GBK"/>
          <w:bCs/>
          <w:sz w:val="32"/>
          <w:szCs w:val="32"/>
        </w:rPr>
        <w:t>）更换燃气表计划完成37452块，实际完成数量区经信委无法提供准确数字，此项不纳入完成率计算；</w:t>
      </w:r>
    </w:p>
    <w:p w14:paraId="28E0599F">
      <w:pPr>
        <w:spacing w:line="600" w:lineRule="exact"/>
        <w:ind w:firstLine="640" w:firstLineChars="200"/>
        <w:rPr>
          <w:rFonts w:eastAsia="方正仿宋_GBK"/>
          <w:bCs/>
          <w:sz w:val="32"/>
          <w:szCs w:val="32"/>
        </w:rPr>
      </w:pPr>
      <w:r>
        <w:rPr>
          <w:rFonts w:eastAsia="方正仿宋_GBK"/>
          <w:bCs/>
          <w:sz w:val="32"/>
          <w:szCs w:val="32"/>
        </w:rPr>
        <w:t>2</w:t>
      </w:r>
      <w:r>
        <w:rPr>
          <w:rFonts w:hint="eastAsia" w:eastAsia="方正仿宋_GBK"/>
          <w:bCs/>
          <w:sz w:val="32"/>
          <w:szCs w:val="32"/>
        </w:rPr>
        <w:t>）无缝钢管（DN32）（含管件）计划完成42000米，实际完成30316米，完成率72.18%；</w:t>
      </w:r>
    </w:p>
    <w:p w14:paraId="2618E213">
      <w:pPr>
        <w:spacing w:line="600" w:lineRule="exact"/>
        <w:ind w:firstLine="640" w:firstLineChars="200"/>
        <w:rPr>
          <w:rFonts w:eastAsia="方正仿宋_GBK"/>
          <w:bCs/>
          <w:sz w:val="32"/>
          <w:szCs w:val="32"/>
        </w:rPr>
      </w:pPr>
      <w:r>
        <w:rPr>
          <w:rFonts w:eastAsia="方正仿宋_GBK"/>
          <w:bCs/>
          <w:sz w:val="32"/>
          <w:szCs w:val="32"/>
        </w:rPr>
        <w:t>3</w:t>
      </w:r>
      <w:r>
        <w:rPr>
          <w:rFonts w:hint="eastAsia" w:eastAsia="方正仿宋_GBK"/>
          <w:bCs/>
          <w:sz w:val="32"/>
          <w:szCs w:val="32"/>
        </w:rPr>
        <w:t>）DN15不锈钢球阀计划完成187260个，实际完成96227个，完成率51.39%，DN32不锈钢球阀计划完成8000个，实际完成5876个，完成率73.45%；</w:t>
      </w:r>
    </w:p>
    <w:p w14:paraId="6BA5234D">
      <w:pPr>
        <w:spacing w:line="600" w:lineRule="exact"/>
        <w:ind w:firstLine="640" w:firstLineChars="200"/>
        <w:rPr>
          <w:rFonts w:eastAsia="方正仿宋_GBK"/>
          <w:bCs/>
          <w:sz w:val="32"/>
          <w:szCs w:val="32"/>
        </w:rPr>
      </w:pPr>
      <w:r>
        <w:rPr>
          <w:rFonts w:eastAsia="方正仿宋_GBK"/>
          <w:bCs/>
          <w:sz w:val="32"/>
          <w:szCs w:val="32"/>
        </w:rPr>
        <w:t>4</w:t>
      </w:r>
      <w:r>
        <w:rPr>
          <w:rFonts w:hint="eastAsia" w:eastAsia="方正仿宋_GBK"/>
          <w:bCs/>
          <w:sz w:val="32"/>
          <w:szCs w:val="32"/>
        </w:rPr>
        <w:t>）燃气用304不锈钢波纹管Φ计划完成16845000米，实际完成16703672米，完成率99.16%；</w:t>
      </w:r>
    </w:p>
    <w:p w14:paraId="72C202B6">
      <w:pPr>
        <w:spacing w:line="600" w:lineRule="exact"/>
        <w:ind w:firstLine="640" w:firstLineChars="200"/>
        <w:rPr>
          <w:rFonts w:eastAsia="方正仿宋_GBK"/>
          <w:bCs/>
          <w:sz w:val="32"/>
          <w:szCs w:val="32"/>
        </w:rPr>
      </w:pPr>
      <w:r>
        <w:rPr>
          <w:rFonts w:eastAsia="方正仿宋_GBK"/>
          <w:bCs/>
          <w:sz w:val="32"/>
          <w:szCs w:val="32"/>
        </w:rPr>
        <w:t>5</w:t>
      </w:r>
      <w:r>
        <w:rPr>
          <w:rFonts w:hint="eastAsia" w:eastAsia="方正仿宋_GBK"/>
          <w:bCs/>
          <w:sz w:val="32"/>
          <w:szCs w:val="32"/>
        </w:rPr>
        <w:t>）专用燃具连接管道安装（灶具）计划完成37452根，实际完成31728根，完成率84.72%；</w:t>
      </w:r>
    </w:p>
    <w:p w14:paraId="75874AEE">
      <w:pPr>
        <w:spacing w:line="600" w:lineRule="exact"/>
        <w:ind w:firstLine="640" w:firstLineChars="200"/>
        <w:rPr>
          <w:rFonts w:eastAsia="方正仿宋_GBK"/>
          <w:bCs/>
          <w:sz w:val="32"/>
          <w:szCs w:val="32"/>
        </w:rPr>
      </w:pPr>
      <w:r>
        <w:rPr>
          <w:rFonts w:eastAsia="方正仿宋_GBK"/>
          <w:bCs/>
          <w:sz w:val="32"/>
          <w:szCs w:val="32"/>
        </w:rPr>
        <w:t>6</w:t>
      </w:r>
      <w:r>
        <w:rPr>
          <w:rFonts w:hint="eastAsia" w:eastAsia="方正仿宋_GBK"/>
          <w:bCs/>
          <w:sz w:val="32"/>
          <w:szCs w:val="32"/>
        </w:rPr>
        <w:t>）专用燃具连接管道安装（热水器）计划完成37452根，实际完成31738根，完成率84.74%；</w:t>
      </w:r>
    </w:p>
    <w:p w14:paraId="4171C44A">
      <w:pPr>
        <w:spacing w:line="600" w:lineRule="exact"/>
        <w:ind w:firstLine="640" w:firstLineChars="200"/>
        <w:rPr>
          <w:rFonts w:eastAsia="方正仿宋_GBK"/>
          <w:bCs/>
          <w:sz w:val="32"/>
          <w:szCs w:val="32"/>
        </w:rPr>
      </w:pPr>
      <w:r>
        <w:rPr>
          <w:rFonts w:eastAsia="方正仿宋_GBK"/>
          <w:bCs/>
          <w:sz w:val="32"/>
          <w:szCs w:val="32"/>
        </w:rPr>
        <w:t>7</w:t>
      </w:r>
      <w:r>
        <w:rPr>
          <w:rFonts w:hint="eastAsia" w:eastAsia="方正仿宋_GBK"/>
          <w:bCs/>
          <w:sz w:val="32"/>
          <w:szCs w:val="32"/>
        </w:rPr>
        <w:t>）报警器计划完成37452套，实际完成31728套，完成率84.72%；</w:t>
      </w:r>
    </w:p>
    <w:p w14:paraId="33DDD8F8">
      <w:pPr>
        <w:spacing w:line="600" w:lineRule="exact"/>
        <w:ind w:firstLine="640" w:firstLineChars="200"/>
        <w:rPr>
          <w:rFonts w:eastAsia="方正仿宋_GBK"/>
          <w:bCs/>
          <w:sz w:val="32"/>
          <w:szCs w:val="32"/>
        </w:rPr>
      </w:pPr>
      <w:r>
        <w:rPr>
          <w:rFonts w:eastAsia="方正仿宋_GBK"/>
          <w:bCs/>
          <w:sz w:val="32"/>
          <w:szCs w:val="32"/>
        </w:rPr>
        <w:t>8</w:t>
      </w:r>
      <w:r>
        <w:rPr>
          <w:rFonts w:hint="eastAsia" w:eastAsia="方正仿宋_GBK"/>
          <w:bCs/>
          <w:sz w:val="32"/>
          <w:szCs w:val="32"/>
        </w:rPr>
        <w:t>）室外立柱处管沟开挖计划完成3348m³，实际完成2863 m³，完成率85.51%；</w:t>
      </w:r>
    </w:p>
    <w:p w14:paraId="7C50E165">
      <w:pPr>
        <w:spacing w:line="600" w:lineRule="exact"/>
        <w:ind w:firstLine="640" w:firstLineChars="200"/>
        <w:rPr>
          <w:rFonts w:eastAsia="方正仿宋_GBK"/>
          <w:bCs/>
          <w:sz w:val="32"/>
          <w:szCs w:val="32"/>
        </w:rPr>
      </w:pPr>
      <w:r>
        <w:rPr>
          <w:rFonts w:eastAsia="方正仿宋_GBK"/>
          <w:bCs/>
          <w:sz w:val="32"/>
          <w:szCs w:val="32"/>
        </w:rPr>
        <w:t>9</w:t>
      </w:r>
      <w:r>
        <w:rPr>
          <w:rFonts w:hint="eastAsia" w:eastAsia="方正仿宋_GBK"/>
          <w:bCs/>
          <w:sz w:val="32"/>
          <w:szCs w:val="32"/>
        </w:rPr>
        <w:t>）潜能燃气智慧安全生产保障系统等项目，计划完成100%，实际完成60%，完成率60%。</w:t>
      </w:r>
    </w:p>
    <w:p w14:paraId="67282ECF">
      <w:pPr>
        <w:spacing w:line="600" w:lineRule="exact"/>
        <w:ind w:firstLine="640" w:firstLineChars="200"/>
        <w:rPr>
          <w:rFonts w:eastAsia="方正仿宋_GBK"/>
          <w:bCs/>
          <w:sz w:val="32"/>
          <w:szCs w:val="32"/>
        </w:rPr>
      </w:pPr>
      <w:r>
        <w:rPr>
          <w:rFonts w:hint="eastAsia" w:eastAsia="方正仿宋_GBK"/>
          <w:bCs/>
          <w:sz w:val="32"/>
          <w:szCs w:val="32"/>
        </w:rPr>
        <w:t>整体完整率取算术平均数为77.32%，未达到85%，</w:t>
      </w:r>
      <w:r>
        <w:rPr>
          <w:rFonts w:eastAsia="方正仿宋_GBK"/>
          <w:bCs/>
          <w:sz w:val="32"/>
          <w:szCs w:val="32"/>
        </w:rPr>
        <w:t>根据绩效评价指标表中评分标准的要求，</w:t>
      </w:r>
      <w:r>
        <w:rPr>
          <w:rFonts w:hint="eastAsia" w:eastAsia="方正仿宋_GBK"/>
          <w:bCs/>
          <w:sz w:val="32"/>
          <w:szCs w:val="32"/>
        </w:rPr>
        <w:t>本指标得分合计0分。</w:t>
      </w:r>
    </w:p>
    <w:p w14:paraId="2FE5C24C">
      <w:pPr>
        <w:spacing w:line="600" w:lineRule="exact"/>
        <w:ind w:firstLine="640" w:firstLineChars="200"/>
        <w:rPr>
          <w:rFonts w:eastAsia="方正仿宋_GBK"/>
          <w:bCs/>
          <w:sz w:val="32"/>
          <w:szCs w:val="32"/>
        </w:rPr>
      </w:pPr>
      <w:r>
        <w:rPr>
          <w:rFonts w:hint="eastAsia" w:eastAsia="方正仿宋_GBK"/>
          <w:bCs/>
          <w:sz w:val="32"/>
          <w:szCs w:val="32"/>
        </w:rPr>
        <w:t>2.时效指标（满分6分，得分0分）</w:t>
      </w:r>
    </w:p>
    <w:p w14:paraId="49F7910D">
      <w:pPr>
        <w:spacing w:line="600" w:lineRule="exact"/>
        <w:ind w:firstLine="640" w:firstLineChars="200"/>
        <w:rPr>
          <w:rFonts w:eastAsia="方正仿宋_GBK"/>
          <w:bCs/>
          <w:sz w:val="32"/>
          <w:szCs w:val="32"/>
        </w:rPr>
      </w:pPr>
      <w:r>
        <w:rPr>
          <w:rFonts w:eastAsia="方正仿宋_GBK"/>
          <w:bCs/>
          <w:sz w:val="32"/>
          <w:szCs w:val="32"/>
        </w:rPr>
        <w:t>（</w:t>
      </w:r>
      <w:r>
        <w:rPr>
          <w:rFonts w:hint="eastAsia" w:eastAsia="方正仿宋_GBK"/>
          <w:bCs/>
          <w:sz w:val="32"/>
          <w:szCs w:val="32"/>
        </w:rPr>
        <w:t>1</w:t>
      </w:r>
      <w:r>
        <w:rPr>
          <w:rFonts w:eastAsia="方正仿宋_GBK"/>
          <w:bCs/>
          <w:sz w:val="32"/>
          <w:szCs w:val="32"/>
        </w:rPr>
        <w:t>）</w:t>
      </w:r>
      <w:r>
        <w:rPr>
          <w:rFonts w:hint="eastAsia" w:eastAsia="方正仿宋_GBK"/>
          <w:bCs/>
          <w:sz w:val="32"/>
          <w:szCs w:val="32"/>
        </w:rPr>
        <w:t>按时开工率</w:t>
      </w:r>
      <w:r>
        <w:rPr>
          <w:rFonts w:eastAsia="方正仿宋_GBK"/>
          <w:bCs/>
          <w:sz w:val="32"/>
          <w:szCs w:val="32"/>
        </w:rPr>
        <w:t>（满分</w:t>
      </w:r>
      <w:r>
        <w:rPr>
          <w:rFonts w:hint="eastAsia" w:eastAsia="方正仿宋_GBK"/>
          <w:bCs/>
          <w:sz w:val="32"/>
          <w:szCs w:val="32"/>
        </w:rPr>
        <w:t>3</w:t>
      </w:r>
      <w:r>
        <w:rPr>
          <w:rFonts w:eastAsia="方正仿宋_GBK"/>
          <w:bCs/>
          <w:sz w:val="32"/>
          <w:szCs w:val="32"/>
        </w:rPr>
        <w:t>分，得分</w:t>
      </w:r>
      <w:r>
        <w:rPr>
          <w:rFonts w:hint="eastAsia" w:eastAsia="方正仿宋_GBK"/>
          <w:bCs/>
          <w:sz w:val="32"/>
          <w:szCs w:val="32"/>
        </w:rPr>
        <w:t>0</w:t>
      </w:r>
      <w:r>
        <w:rPr>
          <w:rFonts w:eastAsia="方正仿宋_GBK"/>
          <w:bCs/>
          <w:sz w:val="32"/>
          <w:szCs w:val="32"/>
        </w:rPr>
        <w:t>分）</w:t>
      </w:r>
    </w:p>
    <w:p w14:paraId="2A422905">
      <w:pPr>
        <w:spacing w:line="600" w:lineRule="exact"/>
        <w:ind w:firstLine="640" w:firstLineChars="200"/>
        <w:rPr>
          <w:rFonts w:eastAsia="方正仿宋_GBK"/>
          <w:bCs/>
          <w:sz w:val="32"/>
          <w:szCs w:val="32"/>
        </w:rPr>
      </w:pPr>
      <w:r>
        <w:rPr>
          <w:rFonts w:hint="eastAsia" w:eastAsia="方正仿宋_GBK"/>
          <w:bCs/>
          <w:sz w:val="32"/>
          <w:szCs w:val="32"/>
        </w:rPr>
        <w:t>根据《城市燃气管道等老化更新改造和保障性安居工程中央预算内投资专项管理暂行办法》（发改投资规〔2022〕910号）：年内无法开工的不得申报；中央预算内投资计划下达后超过六个月未开工建设的应对项目进行调整。根据《重庆市铜梁区发展和改革委员会关于下达城市燃气管道等老化更新改造2022年中央预算内投资计划的通知》（铜发改委〔2022〕170号），本项目中央预算专项资金下达时间为2022年8月。根据项目监理单位下达的《工程开工令》（监理〔2023〕开工令001号）以及监理月报，本项目实际开工时间为2023年6月。</w:t>
      </w:r>
    </w:p>
    <w:p w14:paraId="1F75E2ED">
      <w:pPr>
        <w:spacing w:line="600" w:lineRule="exact"/>
        <w:ind w:firstLine="640" w:firstLineChars="200"/>
        <w:rPr>
          <w:rFonts w:eastAsia="方正仿宋_GBK"/>
          <w:bCs/>
          <w:sz w:val="32"/>
          <w:szCs w:val="32"/>
        </w:rPr>
      </w:pPr>
      <w:r>
        <w:rPr>
          <w:rFonts w:hint="eastAsia" w:eastAsia="方正仿宋_GBK"/>
          <w:bCs/>
          <w:sz w:val="32"/>
          <w:szCs w:val="32"/>
        </w:rPr>
        <w:t>1）本项目未在中央预算专项资金下达的当年开工，本项扣1.5分；</w:t>
      </w:r>
    </w:p>
    <w:p w14:paraId="47660D21">
      <w:pPr>
        <w:spacing w:line="600" w:lineRule="exact"/>
        <w:ind w:firstLine="640" w:firstLineChars="200"/>
        <w:rPr>
          <w:rFonts w:eastAsia="方正仿宋_GBK"/>
          <w:bCs/>
          <w:sz w:val="32"/>
          <w:szCs w:val="32"/>
        </w:rPr>
      </w:pPr>
      <w:r>
        <w:rPr>
          <w:rFonts w:hint="eastAsia" w:eastAsia="方正仿宋_GBK"/>
          <w:bCs/>
          <w:sz w:val="32"/>
          <w:szCs w:val="32"/>
        </w:rPr>
        <w:t>2）本项目未在中央预算内投资计划下达后六个月内开工，本项扣1.5分。</w:t>
      </w:r>
    </w:p>
    <w:p w14:paraId="1820339C">
      <w:pPr>
        <w:spacing w:line="600" w:lineRule="exact"/>
        <w:ind w:firstLine="640" w:firstLineChars="200"/>
        <w:rPr>
          <w:rFonts w:eastAsia="方正仿宋_GBK"/>
          <w:bCs/>
          <w:sz w:val="32"/>
          <w:szCs w:val="32"/>
        </w:rPr>
      </w:pPr>
      <w:r>
        <w:rPr>
          <w:rFonts w:eastAsia="方正仿宋_GBK"/>
          <w:bCs/>
          <w:sz w:val="32"/>
          <w:szCs w:val="32"/>
        </w:rPr>
        <w:t>根据绩效评价指标表中评分标准的要求，</w:t>
      </w:r>
      <w:r>
        <w:rPr>
          <w:rFonts w:hint="eastAsia" w:eastAsia="方正仿宋_GBK"/>
          <w:bCs/>
          <w:sz w:val="32"/>
          <w:szCs w:val="32"/>
        </w:rPr>
        <w:t>本指标得分合计0分。</w:t>
      </w:r>
    </w:p>
    <w:p w14:paraId="5AC98A3C">
      <w:pPr>
        <w:spacing w:line="600" w:lineRule="exact"/>
        <w:ind w:firstLine="640" w:firstLineChars="200"/>
        <w:rPr>
          <w:rFonts w:eastAsia="方正仿宋_GBK"/>
          <w:bCs/>
          <w:sz w:val="32"/>
          <w:szCs w:val="32"/>
        </w:rPr>
      </w:pPr>
      <w:r>
        <w:rPr>
          <w:rFonts w:eastAsia="方正仿宋_GBK"/>
          <w:bCs/>
          <w:sz w:val="32"/>
          <w:szCs w:val="32"/>
        </w:rPr>
        <w:t>（</w:t>
      </w:r>
      <w:r>
        <w:rPr>
          <w:rFonts w:hint="eastAsia" w:eastAsia="方正仿宋_GBK"/>
          <w:bCs/>
          <w:sz w:val="32"/>
          <w:szCs w:val="32"/>
        </w:rPr>
        <w:t>2</w:t>
      </w:r>
      <w:r>
        <w:rPr>
          <w:rFonts w:eastAsia="方正仿宋_GBK"/>
          <w:bCs/>
          <w:sz w:val="32"/>
          <w:szCs w:val="32"/>
        </w:rPr>
        <w:t>）</w:t>
      </w:r>
      <w:r>
        <w:rPr>
          <w:rFonts w:hint="eastAsia" w:eastAsia="方正仿宋_GBK"/>
          <w:bCs/>
          <w:sz w:val="32"/>
          <w:szCs w:val="32"/>
        </w:rPr>
        <w:t>完成及时率</w:t>
      </w:r>
      <w:r>
        <w:rPr>
          <w:rFonts w:eastAsia="方正仿宋_GBK"/>
          <w:bCs/>
          <w:sz w:val="32"/>
          <w:szCs w:val="32"/>
        </w:rPr>
        <w:t>（满分</w:t>
      </w:r>
      <w:r>
        <w:rPr>
          <w:rFonts w:hint="eastAsia" w:eastAsia="方正仿宋_GBK"/>
          <w:bCs/>
          <w:sz w:val="32"/>
          <w:szCs w:val="32"/>
        </w:rPr>
        <w:t>3</w:t>
      </w:r>
      <w:r>
        <w:rPr>
          <w:rFonts w:eastAsia="方正仿宋_GBK"/>
          <w:bCs/>
          <w:sz w:val="32"/>
          <w:szCs w:val="32"/>
        </w:rPr>
        <w:t>分，得分</w:t>
      </w:r>
      <w:r>
        <w:rPr>
          <w:rFonts w:hint="eastAsia" w:eastAsia="方正仿宋_GBK"/>
          <w:bCs/>
          <w:sz w:val="32"/>
          <w:szCs w:val="32"/>
        </w:rPr>
        <w:t>0</w:t>
      </w:r>
      <w:r>
        <w:rPr>
          <w:rFonts w:eastAsia="方正仿宋_GBK"/>
          <w:bCs/>
          <w:sz w:val="32"/>
          <w:szCs w:val="32"/>
        </w:rPr>
        <w:t>分）</w:t>
      </w:r>
    </w:p>
    <w:p w14:paraId="567DF056">
      <w:pPr>
        <w:spacing w:line="600" w:lineRule="exact"/>
        <w:ind w:firstLine="640" w:firstLineChars="200"/>
        <w:rPr>
          <w:rFonts w:eastAsia="方正仿宋_GBK"/>
          <w:bCs/>
          <w:sz w:val="32"/>
          <w:szCs w:val="32"/>
        </w:rPr>
      </w:pPr>
      <w:r>
        <w:rPr>
          <w:rFonts w:hint="eastAsia" w:eastAsia="方正仿宋_GBK"/>
          <w:bCs/>
          <w:sz w:val="32"/>
          <w:szCs w:val="32"/>
        </w:rPr>
        <w:t>根据《重庆市铜梁区发展和改革委员会关于下达城市燃气管道等老化更新改造2022年中央预算内投资计划的通知》（铜发改委〔2022〕170号）、《重庆市铜梁区发展和改革委员会关于2022年铜梁区城市燃气管道老化更新改造项目可行性研究报告的批复》（铜发改委审〔2022〕713号）等文件，本项目计划工期为2022年9月-2023年12月，共计16个月。根据访谈及项目开展实际，因疫情防控等因素的影响，本项目前期工作滞后数月，施工期间因入户困难等原因，施工工期也存在一定延后，于2024年6月开展竣工验收工作，实际完成时间约22个月。完成及时率为-37.50%。</w:t>
      </w:r>
    </w:p>
    <w:p w14:paraId="293F297A">
      <w:pPr>
        <w:spacing w:line="600" w:lineRule="exact"/>
        <w:ind w:firstLine="640" w:firstLineChars="200"/>
        <w:rPr>
          <w:rFonts w:eastAsia="方正仿宋_GBK"/>
          <w:bCs/>
          <w:sz w:val="32"/>
          <w:szCs w:val="32"/>
        </w:rPr>
      </w:pPr>
      <w:r>
        <w:rPr>
          <w:rFonts w:eastAsia="方正仿宋_GBK"/>
          <w:bCs/>
          <w:sz w:val="32"/>
          <w:szCs w:val="32"/>
        </w:rPr>
        <w:t>完成及时率≤-15%，根据绩效评价指标表中评分标准的要求，</w:t>
      </w:r>
      <w:r>
        <w:rPr>
          <w:rFonts w:hint="eastAsia" w:eastAsia="方正仿宋_GBK"/>
          <w:bCs/>
          <w:sz w:val="32"/>
          <w:szCs w:val="32"/>
        </w:rPr>
        <w:t>本指标得分合计0分。</w:t>
      </w:r>
    </w:p>
    <w:p w14:paraId="73CD900F">
      <w:pPr>
        <w:spacing w:line="600" w:lineRule="exact"/>
        <w:ind w:firstLine="640" w:firstLineChars="200"/>
        <w:rPr>
          <w:rFonts w:eastAsia="方正仿宋_GBK"/>
          <w:bCs/>
          <w:sz w:val="32"/>
          <w:szCs w:val="32"/>
        </w:rPr>
      </w:pPr>
      <w:r>
        <w:rPr>
          <w:rFonts w:hint="eastAsia" w:eastAsia="方正仿宋_GBK"/>
          <w:bCs/>
          <w:sz w:val="32"/>
          <w:szCs w:val="32"/>
        </w:rPr>
        <w:t>3</w:t>
      </w:r>
      <w:r>
        <w:rPr>
          <w:rFonts w:eastAsia="方正仿宋_GBK"/>
          <w:bCs/>
          <w:sz w:val="32"/>
          <w:szCs w:val="32"/>
        </w:rPr>
        <w:t>.</w:t>
      </w:r>
      <w:r>
        <w:rPr>
          <w:rFonts w:hint="eastAsia" w:eastAsia="方正仿宋_GBK"/>
          <w:bCs/>
          <w:sz w:val="32"/>
          <w:szCs w:val="32"/>
        </w:rPr>
        <w:t>质量指标</w:t>
      </w:r>
      <w:r>
        <w:rPr>
          <w:rFonts w:eastAsia="方正仿宋_GBK"/>
          <w:bCs/>
          <w:sz w:val="32"/>
          <w:szCs w:val="32"/>
        </w:rPr>
        <w:t>（满分</w:t>
      </w:r>
      <w:r>
        <w:rPr>
          <w:rFonts w:hint="eastAsia" w:eastAsia="方正仿宋_GBK"/>
          <w:bCs/>
          <w:sz w:val="32"/>
          <w:szCs w:val="32"/>
        </w:rPr>
        <w:t>6</w:t>
      </w:r>
      <w:r>
        <w:rPr>
          <w:rFonts w:eastAsia="方正仿宋_GBK"/>
          <w:bCs/>
          <w:sz w:val="32"/>
          <w:szCs w:val="32"/>
        </w:rPr>
        <w:t>分，得分</w:t>
      </w:r>
      <w:r>
        <w:rPr>
          <w:rFonts w:hint="eastAsia" w:eastAsia="方正仿宋_GBK"/>
          <w:bCs/>
          <w:sz w:val="32"/>
          <w:szCs w:val="32"/>
        </w:rPr>
        <w:t>6</w:t>
      </w:r>
      <w:r>
        <w:rPr>
          <w:rFonts w:eastAsia="方正仿宋_GBK"/>
          <w:bCs/>
          <w:sz w:val="32"/>
          <w:szCs w:val="32"/>
        </w:rPr>
        <w:t>分）</w:t>
      </w:r>
    </w:p>
    <w:p w14:paraId="44D3F698">
      <w:pPr>
        <w:spacing w:line="600" w:lineRule="exact"/>
        <w:ind w:firstLine="640" w:firstLineChars="200"/>
        <w:rPr>
          <w:rFonts w:eastAsia="方正仿宋_GBK"/>
          <w:bCs/>
          <w:sz w:val="32"/>
          <w:szCs w:val="32"/>
        </w:rPr>
      </w:pPr>
      <w:r>
        <w:rPr>
          <w:rFonts w:eastAsia="方正仿宋_GBK"/>
          <w:bCs/>
          <w:sz w:val="32"/>
          <w:szCs w:val="32"/>
        </w:rPr>
        <w:t>（</w:t>
      </w:r>
      <w:r>
        <w:rPr>
          <w:rFonts w:hint="eastAsia" w:eastAsia="方正仿宋_GBK"/>
          <w:bCs/>
          <w:sz w:val="32"/>
          <w:szCs w:val="32"/>
        </w:rPr>
        <w:t>1</w:t>
      </w:r>
      <w:r>
        <w:rPr>
          <w:rFonts w:eastAsia="方正仿宋_GBK"/>
          <w:bCs/>
          <w:sz w:val="32"/>
          <w:szCs w:val="32"/>
        </w:rPr>
        <w:t>）</w:t>
      </w:r>
      <w:r>
        <w:rPr>
          <w:rFonts w:hint="eastAsia" w:eastAsia="方正仿宋_GBK"/>
          <w:bCs/>
          <w:sz w:val="32"/>
          <w:szCs w:val="32"/>
        </w:rPr>
        <w:t>质量达标率</w:t>
      </w:r>
      <w:r>
        <w:rPr>
          <w:rFonts w:eastAsia="方正仿宋_GBK"/>
          <w:bCs/>
          <w:sz w:val="32"/>
          <w:szCs w:val="32"/>
        </w:rPr>
        <w:t>（满分</w:t>
      </w:r>
      <w:r>
        <w:rPr>
          <w:rFonts w:hint="eastAsia" w:eastAsia="方正仿宋_GBK"/>
          <w:bCs/>
          <w:sz w:val="32"/>
          <w:szCs w:val="32"/>
        </w:rPr>
        <w:t>6</w:t>
      </w:r>
      <w:r>
        <w:rPr>
          <w:rFonts w:eastAsia="方正仿宋_GBK"/>
          <w:bCs/>
          <w:sz w:val="32"/>
          <w:szCs w:val="32"/>
        </w:rPr>
        <w:t>分，得分</w:t>
      </w:r>
      <w:r>
        <w:rPr>
          <w:rFonts w:hint="eastAsia" w:eastAsia="方正仿宋_GBK"/>
          <w:bCs/>
          <w:sz w:val="32"/>
          <w:szCs w:val="32"/>
        </w:rPr>
        <w:t>6</w:t>
      </w:r>
      <w:r>
        <w:rPr>
          <w:rFonts w:eastAsia="方正仿宋_GBK"/>
          <w:bCs/>
          <w:sz w:val="32"/>
          <w:szCs w:val="32"/>
        </w:rPr>
        <w:t>分）</w:t>
      </w:r>
    </w:p>
    <w:p w14:paraId="3BE32753">
      <w:pPr>
        <w:spacing w:line="600" w:lineRule="exact"/>
        <w:ind w:firstLine="640" w:firstLineChars="200"/>
        <w:rPr>
          <w:rFonts w:eastAsia="方正仿宋_GBK"/>
          <w:bCs/>
          <w:sz w:val="32"/>
          <w:szCs w:val="32"/>
        </w:rPr>
      </w:pPr>
      <w:r>
        <w:rPr>
          <w:rFonts w:hint="eastAsia" w:eastAsia="方正仿宋_GBK"/>
          <w:bCs/>
          <w:sz w:val="32"/>
          <w:szCs w:val="32"/>
        </w:rPr>
        <w:t>经查询监理例会月报，监理单位对本项目发现的质量问题要求施工单位按时整改，《监理例会月报第13期》工作通报中写明：截至本月，2023年度已经完结，期间未发生质量事故，质量整改完成率100%。</w:t>
      </w:r>
    </w:p>
    <w:p w14:paraId="53CD5BF3">
      <w:pPr>
        <w:spacing w:line="600" w:lineRule="exact"/>
        <w:ind w:firstLine="640" w:firstLineChars="200"/>
        <w:rPr>
          <w:rFonts w:eastAsia="方正仿宋_GBK"/>
          <w:bCs/>
          <w:sz w:val="32"/>
          <w:szCs w:val="32"/>
        </w:rPr>
      </w:pPr>
      <w:r>
        <w:rPr>
          <w:rFonts w:eastAsia="方正仿宋_GBK"/>
          <w:bCs/>
          <w:sz w:val="32"/>
          <w:szCs w:val="32"/>
        </w:rPr>
        <w:t>根据绩效评价指标表中评分标准的要求，</w:t>
      </w:r>
      <w:r>
        <w:rPr>
          <w:rFonts w:hint="eastAsia" w:eastAsia="方正仿宋_GBK"/>
          <w:bCs/>
          <w:sz w:val="32"/>
          <w:szCs w:val="32"/>
        </w:rPr>
        <w:t>本指标得分合计6分。</w:t>
      </w:r>
    </w:p>
    <w:p w14:paraId="002E8482">
      <w:pPr>
        <w:spacing w:line="600" w:lineRule="exact"/>
        <w:ind w:firstLine="640" w:firstLineChars="200"/>
        <w:rPr>
          <w:rFonts w:eastAsia="方正仿宋_GBK"/>
          <w:bCs/>
          <w:sz w:val="32"/>
          <w:szCs w:val="32"/>
        </w:rPr>
      </w:pPr>
      <w:r>
        <w:rPr>
          <w:rFonts w:hint="eastAsia" w:eastAsia="方正仿宋_GBK"/>
          <w:bCs/>
          <w:sz w:val="32"/>
          <w:szCs w:val="32"/>
        </w:rPr>
        <w:t>4</w:t>
      </w:r>
      <w:r>
        <w:rPr>
          <w:rFonts w:eastAsia="方正仿宋_GBK"/>
          <w:bCs/>
          <w:sz w:val="32"/>
          <w:szCs w:val="32"/>
        </w:rPr>
        <w:t>.</w:t>
      </w:r>
      <w:r>
        <w:rPr>
          <w:rFonts w:hint="eastAsia" w:eastAsia="方正仿宋_GBK"/>
          <w:bCs/>
          <w:sz w:val="32"/>
          <w:szCs w:val="32"/>
        </w:rPr>
        <w:t>安全指标</w:t>
      </w:r>
      <w:r>
        <w:rPr>
          <w:rFonts w:eastAsia="方正仿宋_GBK"/>
          <w:bCs/>
          <w:sz w:val="32"/>
          <w:szCs w:val="32"/>
        </w:rPr>
        <w:t>（满分</w:t>
      </w:r>
      <w:r>
        <w:rPr>
          <w:rFonts w:hint="eastAsia" w:eastAsia="方正仿宋_GBK"/>
          <w:bCs/>
          <w:sz w:val="32"/>
          <w:szCs w:val="32"/>
        </w:rPr>
        <w:t>6</w:t>
      </w:r>
      <w:r>
        <w:rPr>
          <w:rFonts w:eastAsia="方正仿宋_GBK"/>
          <w:bCs/>
          <w:sz w:val="32"/>
          <w:szCs w:val="32"/>
        </w:rPr>
        <w:t>分，得分</w:t>
      </w:r>
      <w:r>
        <w:rPr>
          <w:rFonts w:hint="eastAsia" w:eastAsia="方正仿宋_GBK"/>
          <w:bCs/>
          <w:sz w:val="32"/>
          <w:szCs w:val="32"/>
        </w:rPr>
        <w:t>6</w:t>
      </w:r>
      <w:r>
        <w:rPr>
          <w:rFonts w:eastAsia="方正仿宋_GBK"/>
          <w:bCs/>
          <w:sz w:val="32"/>
          <w:szCs w:val="32"/>
        </w:rPr>
        <w:t>分）</w:t>
      </w:r>
    </w:p>
    <w:p w14:paraId="4858F2B2">
      <w:pPr>
        <w:spacing w:line="600" w:lineRule="exact"/>
        <w:ind w:firstLine="640" w:firstLineChars="200"/>
        <w:rPr>
          <w:rFonts w:eastAsia="方正仿宋_GBK"/>
          <w:bCs/>
          <w:sz w:val="32"/>
          <w:szCs w:val="32"/>
        </w:rPr>
      </w:pPr>
      <w:r>
        <w:rPr>
          <w:rFonts w:eastAsia="方正仿宋_GBK"/>
          <w:bCs/>
          <w:sz w:val="32"/>
          <w:szCs w:val="32"/>
        </w:rPr>
        <w:t>（</w:t>
      </w:r>
      <w:r>
        <w:rPr>
          <w:rFonts w:hint="eastAsia" w:eastAsia="方正仿宋_GBK"/>
          <w:bCs/>
          <w:sz w:val="32"/>
          <w:szCs w:val="32"/>
        </w:rPr>
        <w:t>1</w:t>
      </w:r>
      <w:r>
        <w:rPr>
          <w:rFonts w:eastAsia="方正仿宋_GBK"/>
          <w:bCs/>
          <w:sz w:val="32"/>
          <w:szCs w:val="32"/>
        </w:rPr>
        <w:t>）</w:t>
      </w:r>
      <w:r>
        <w:rPr>
          <w:rFonts w:hint="eastAsia" w:eastAsia="方正仿宋_GBK"/>
          <w:bCs/>
          <w:sz w:val="32"/>
          <w:szCs w:val="32"/>
        </w:rPr>
        <w:t>安全事故情况</w:t>
      </w:r>
      <w:r>
        <w:rPr>
          <w:rFonts w:eastAsia="方正仿宋_GBK"/>
          <w:bCs/>
          <w:sz w:val="32"/>
          <w:szCs w:val="32"/>
        </w:rPr>
        <w:t>（满分</w:t>
      </w:r>
      <w:r>
        <w:rPr>
          <w:rFonts w:hint="eastAsia" w:eastAsia="方正仿宋_GBK"/>
          <w:bCs/>
          <w:sz w:val="32"/>
          <w:szCs w:val="32"/>
        </w:rPr>
        <w:t>6</w:t>
      </w:r>
      <w:r>
        <w:rPr>
          <w:rFonts w:eastAsia="方正仿宋_GBK"/>
          <w:bCs/>
          <w:sz w:val="32"/>
          <w:szCs w:val="32"/>
        </w:rPr>
        <w:t>分，得分</w:t>
      </w:r>
      <w:r>
        <w:rPr>
          <w:rFonts w:hint="eastAsia" w:eastAsia="方正仿宋_GBK"/>
          <w:bCs/>
          <w:sz w:val="32"/>
          <w:szCs w:val="32"/>
        </w:rPr>
        <w:t>6</w:t>
      </w:r>
      <w:r>
        <w:rPr>
          <w:rFonts w:eastAsia="方正仿宋_GBK"/>
          <w:bCs/>
          <w:sz w:val="32"/>
          <w:szCs w:val="32"/>
        </w:rPr>
        <w:t>分）</w:t>
      </w:r>
    </w:p>
    <w:p w14:paraId="0ECB4EB7">
      <w:pPr>
        <w:spacing w:line="60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经访谈及抽查项目监理例会月报等资料，未发现本项目在建设期发生安全事故。</w:t>
      </w:r>
    </w:p>
    <w:p w14:paraId="69C08242">
      <w:pPr>
        <w:spacing w:line="600" w:lineRule="exact"/>
        <w:ind w:firstLine="640" w:firstLineChars="200"/>
        <w:rPr>
          <w:rFonts w:eastAsia="方正仿宋_GBK"/>
          <w:bCs/>
          <w:sz w:val="32"/>
          <w:szCs w:val="32"/>
        </w:rPr>
      </w:pPr>
      <w:r>
        <w:rPr>
          <w:rFonts w:eastAsia="方正仿宋_GBK"/>
          <w:bCs/>
          <w:sz w:val="32"/>
          <w:szCs w:val="32"/>
        </w:rPr>
        <w:t>根据绩效评价指标表中评分标准的要求，</w:t>
      </w:r>
      <w:r>
        <w:rPr>
          <w:rFonts w:hint="eastAsia" w:eastAsia="方正仿宋_GBK"/>
          <w:bCs/>
          <w:sz w:val="32"/>
          <w:szCs w:val="32"/>
        </w:rPr>
        <w:t>本指标得分合计6分。</w:t>
      </w:r>
    </w:p>
    <w:p w14:paraId="57775018">
      <w:pPr>
        <w:spacing w:line="600" w:lineRule="exact"/>
        <w:ind w:firstLine="640" w:firstLineChars="200"/>
        <w:rPr>
          <w:rFonts w:eastAsia="方正仿宋_GBK"/>
          <w:bCs/>
          <w:sz w:val="32"/>
          <w:szCs w:val="32"/>
        </w:rPr>
      </w:pPr>
      <w:r>
        <w:rPr>
          <w:rFonts w:hint="eastAsia" w:eastAsia="方正仿宋_GBK"/>
          <w:bCs/>
          <w:sz w:val="32"/>
          <w:szCs w:val="32"/>
        </w:rPr>
        <w:t>5</w:t>
      </w:r>
      <w:r>
        <w:rPr>
          <w:rFonts w:eastAsia="方正仿宋_GBK"/>
          <w:bCs/>
          <w:sz w:val="32"/>
          <w:szCs w:val="32"/>
        </w:rPr>
        <w:t>.</w:t>
      </w:r>
      <w:r>
        <w:rPr>
          <w:rFonts w:hint="eastAsia" w:eastAsia="方正仿宋_GBK"/>
          <w:bCs/>
          <w:sz w:val="32"/>
          <w:szCs w:val="32"/>
        </w:rPr>
        <w:t>成本指标</w:t>
      </w:r>
      <w:r>
        <w:rPr>
          <w:rFonts w:eastAsia="方正仿宋_GBK"/>
          <w:bCs/>
          <w:sz w:val="32"/>
          <w:szCs w:val="32"/>
        </w:rPr>
        <w:t>（满分</w:t>
      </w:r>
      <w:r>
        <w:rPr>
          <w:rFonts w:hint="eastAsia" w:eastAsia="方正仿宋_GBK"/>
          <w:bCs/>
          <w:sz w:val="32"/>
          <w:szCs w:val="32"/>
        </w:rPr>
        <w:t>6</w:t>
      </w:r>
      <w:r>
        <w:rPr>
          <w:rFonts w:eastAsia="方正仿宋_GBK"/>
          <w:bCs/>
          <w:sz w:val="32"/>
          <w:szCs w:val="32"/>
        </w:rPr>
        <w:t>分，得分</w:t>
      </w:r>
      <w:r>
        <w:rPr>
          <w:rFonts w:hint="eastAsia" w:eastAsia="方正仿宋_GBK"/>
          <w:bCs/>
          <w:sz w:val="32"/>
          <w:szCs w:val="32"/>
        </w:rPr>
        <w:t>6</w:t>
      </w:r>
      <w:r>
        <w:rPr>
          <w:rFonts w:eastAsia="方正仿宋_GBK"/>
          <w:bCs/>
          <w:sz w:val="32"/>
          <w:szCs w:val="32"/>
        </w:rPr>
        <w:t>分）</w:t>
      </w:r>
    </w:p>
    <w:p w14:paraId="4B85D0C1">
      <w:pPr>
        <w:spacing w:line="600" w:lineRule="exact"/>
        <w:ind w:firstLine="640" w:firstLineChars="200"/>
        <w:rPr>
          <w:rFonts w:eastAsia="方正仿宋_GBK"/>
          <w:bCs/>
          <w:sz w:val="32"/>
          <w:szCs w:val="32"/>
        </w:rPr>
      </w:pPr>
      <w:r>
        <w:rPr>
          <w:rFonts w:eastAsia="方正仿宋_GBK"/>
          <w:bCs/>
          <w:sz w:val="32"/>
          <w:szCs w:val="32"/>
        </w:rPr>
        <w:t>（</w:t>
      </w:r>
      <w:r>
        <w:rPr>
          <w:rFonts w:hint="eastAsia" w:eastAsia="方正仿宋_GBK"/>
          <w:bCs/>
          <w:sz w:val="32"/>
          <w:szCs w:val="32"/>
        </w:rPr>
        <w:t>1</w:t>
      </w:r>
      <w:r>
        <w:rPr>
          <w:rFonts w:eastAsia="方正仿宋_GBK"/>
          <w:bCs/>
          <w:sz w:val="32"/>
          <w:szCs w:val="32"/>
        </w:rPr>
        <w:t>）</w:t>
      </w:r>
      <w:r>
        <w:rPr>
          <w:rFonts w:hint="eastAsia" w:eastAsia="方正仿宋_GBK"/>
          <w:bCs/>
          <w:sz w:val="32"/>
          <w:szCs w:val="32"/>
        </w:rPr>
        <w:t>成本节约率</w:t>
      </w:r>
      <w:r>
        <w:rPr>
          <w:rFonts w:eastAsia="方正仿宋_GBK"/>
          <w:bCs/>
          <w:sz w:val="32"/>
          <w:szCs w:val="32"/>
        </w:rPr>
        <w:t>（满分</w:t>
      </w:r>
      <w:r>
        <w:rPr>
          <w:rFonts w:hint="eastAsia" w:eastAsia="方正仿宋_GBK"/>
          <w:bCs/>
          <w:sz w:val="32"/>
          <w:szCs w:val="32"/>
        </w:rPr>
        <w:t>6</w:t>
      </w:r>
      <w:r>
        <w:rPr>
          <w:rFonts w:eastAsia="方正仿宋_GBK"/>
          <w:bCs/>
          <w:sz w:val="32"/>
          <w:szCs w:val="32"/>
        </w:rPr>
        <w:t>分，得分</w:t>
      </w:r>
      <w:r>
        <w:rPr>
          <w:rFonts w:hint="eastAsia" w:eastAsia="方正仿宋_GBK"/>
          <w:bCs/>
          <w:sz w:val="32"/>
          <w:szCs w:val="32"/>
        </w:rPr>
        <w:t>6</w:t>
      </w:r>
      <w:r>
        <w:rPr>
          <w:rFonts w:eastAsia="方正仿宋_GBK"/>
          <w:bCs/>
          <w:sz w:val="32"/>
          <w:szCs w:val="32"/>
        </w:rPr>
        <w:t>分）</w:t>
      </w:r>
    </w:p>
    <w:p w14:paraId="2BA38890">
      <w:pPr>
        <w:spacing w:line="600" w:lineRule="exact"/>
        <w:ind w:firstLine="640" w:firstLineChars="200"/>
        <w:rPr>
          <w:rFonts w:eastAsia="方正仿宋_GBK"/>
          <w:bCs/>
          <w:sz w:val="32"/>
          <w:szCs w:val="32"/>
        </w:rPr>
      </w:pPr>
      <w:r>
        <w:rPr>
          <w:rFonts w:hint="eastAsia" w:eastAsia="方正仿宋_GBK"/>
          <w:bCs/>
          <w:sz w:val="32"/>
          <w:szCs w:val="32"/>
        </w:rPr>
        <w:t>根据《重庆市铜梁区财政预算评审中心关于2022 年铜梁区城市燃气管道老化更新改造项目预算审核意见书》（铜财预审〔2023〕第026号），本项目预算审核金额为9,046.44万元，项目尚未完成竣工结算，工程施工结算金额粗略估计为6,270万元（最终以结算为准），成本节约率约为31%。</w:t>
      </w:r>
    </w:p>
    <w:p w14:paraId="7CCFD741">
      <w:pPr>
        <w:spacing w:line="600" w:lineRule="exact"/>
        <w:ind w:firstLine="640" w:firstLineChars="200"/>
        <w:rPr>
          <w:rFonts w:eastAsia="方正仿宋_GBK"/>
          <w:bCs/>
          <w:sz w:val="32"/>
          <w:szCs w:val="32"/>
        </w:rPr>
      </w:pPr>
      <w:r>
        <w:rPr>
          <w:rFonts w:eastAsia="方正仿宋_GBK"/>
          <w:bCs/>
          <w:sz w:val="32"/>
          <w:szCs w:val="32"/>
        </w:rPr>
        <w:t>根据绩效评价指标表中评分标准的要求，</w:t>
      </w:r>
      <w:r>
        <w:rPr>
          <w:rFonts w:hint="eastAsia" w:eastAsia="方正仿宋_GBK"/>
          <w:bCs/>
          <w:sz w:val="32"/>
          <w:szCs w:val="32"/>
        </w:rPr>
        <w:t>本指标得分合计6分。</w:t>
      </w:r>
    </w:p>
    <w:p w14:paraId="7FFABD28">
      <w:pPr>
        <w:spacing w:line="600" w:lineRule="exact"/>
        <w:ind w:firstLine="640" w:firstLineChars="200"/>
        <w:outlineLvl w:val="2"/>
        <w:rPr>
          <w:rFonts w:eastAsia="方正楷体_GBK"/>
          <w:bCs/>
          <w:sz w:val="32"/>
          <w:szCs w:val="32"/>
        </w:rPr>
      </w:pPr>
      <w:bookmarkStart w:id="139" w:name="_Toc170909614"/>
      <w:bookmarkStart w:id="140" w:name="_Toc18992"/>
      <w:bookmarkStart w:id="141" w:name="_Toc25963"/>
      <w:bookmarkStart w:id="142" w:name="_Toc24873"/>
      <w:bookmarkStart w:id="143" w:name="_Toc3293"/>
      <w:bookmarkStart w:id="144" w:name="_Toc5045"/>
      <w:r>
        <w:rPr>
          <w:rFonts w:eastAsia="方正楷体_GBK"/>
          <w:bCs/>
          <w:sz w:val="32"/>
          <w:szCs w:val="32"/>
        </w:rPr>
        <w:t>（四）项目效果评价（满分</w:t>
      </w:r>
      <w:r>
        <w:rPr>
          <w:rFonts w:hint="eastAsia" w:eastAsia="方正楷体_GBK"/>
          <w:bCs/>
          <w:sz w:val="32"/>
          <w:szCs w:val="32"/>
        </w:rPr>
        <w:t>30</w:t>
      </w:r>
      <w:r>
        <w:rPr>
          <w:rFonts w:eastAsia="方正楷体_GBK"/>
          <w:bCs/>
          <w:sz w:val="32"/>
          <w:szCs w:val="32"/>
        </w:rPr>
        <w:t>分，得分</w:t>
      </w:r>
      <w:r>
        <w:rPr>
          <w:rFonts w:hint="eastAsia" w:eastAsia="方正楷体_GBK"/>
          <w:bCs/>
          <w:sz w:val="32"/>
          <w:szCs w:val="32"/>
        </w:rPr>
        <w:t>2</w:t>
      </w:r>
      <w:r>
        <w:rPr>
          <w:rFonts w:hint="eastAsia" w:eastAsia="方正楷体_GBK"/>
          <w:bCs/>
          <w:sz w:val="32"/>
          <w:szCs w:val="32"/>
          <w:lang w:val="en-US" w:eastAsia="zh-CN"/>
        </w:rPr>
        <w:t>2</w:t>
      </w:r>
      <w:r>
        <w:rPr>
          <w:rFonts w:hint="eastAsia" w:eastAsia="方正楷体_GBK"/>
          <w:bCs/>
          <w:sz w:val="32"/>
          <w:szCs w:val="32"/>
        </w:rPr>
        <w:t>.01</w:t>
      </w:r>
      <w:r>
        <w:rPr>
          <w:rFonts w:eastAsia="方正楷体_GBK"/>
          <w:bCs/>
          <w:sz w:val="32"/>
          <w:szCs w:val="32"/>
        </w:rPr>
        <w:t>分）</w:t>
      </w:r>
      <w:bookmarkEnd w:id="139"/>
      <w:bookmarkEnd w:id="140"/>
      <w:bookmarkEnd w:id="141"/>
    </w:p>
    <w:bookmarkEnd w:id="142"/>
    <w:bookmarkEnd w:id="143"/>
    <w:bookmarkEnd w:id="144"/>
    <w:p w14:paraId="36857EFE">
      <w:pPr>
        <w:spacing w:line="600" w:lineRule="exact"/>
        <w:ind w:firstLine="640" w:firstLineChars="200"/>
        <w:rPr>
          <w:rFonts w:eastAsia="方正仿宋_GBK"/>
          <w:bCs/>
          <w:sz w:val="32"/>
          <w:szCs w:val="32"/>
        </w:rPr>
      </w:pPr>
      <w:bookmarkStart w:id="145" w:name="_Toc10024"/>
      <w:bookmarkStart w:id="146" w:name="_Toc25231"/>
      <w:bookmarkStart w:id="147" w:name="_Toc23732"/>
      <w:bookmarkStart w:id="148" w:name="_Toc9113"/>
      <w:r>
        <w:rPr>
          <w:rFonts w:hint="eastAsia" w:eastAsia="方正仿宋_GBK"/>
          <w:bCs/>
          <w:sz w:val="32"/>
          <w:szCs w:val="32"/>
        </w:rPr>
        <w:t>1</w:t>
      </w:r>
      <w:r>
        <w:rPr>
          <w:rFonts w:eastAsia="方正仿宋_GBK"/>
          <w:bCs/>
          <w:sz w:val="32"/>
          <w:szCs w:val="32"/>
        </w:rPr>
        <w:t>.</w:t>
      </w:r>
      <w:r>
        <w:rPr>
          <w:rFonts w:hint="eastAsia" w:eastAsia="方正仿宋_GBK"/>
          <w:bCs/>
          <w:sz w:val="32"/>
          <w:szCs w:val="32"/>
        </w:rPr>
        <w:t>社会效益指标</w:t>
      </w:r>
      <w:r>
        <w:rPr>
          <w:rFonts w:eastAsia="方正仿宋_GBK"/>
          <w:bCs/>
          <w:sz w:val="32"/>
          <w:szCs w:val="32"/>
        </w:rPr>
        <w:t>（满分</w:t>
      </w:r>
      <w:r>
        <w:rPr>
          <w:rFonts w:hint="eastAsia" w:eastAsia="方正仿宋_GBK"/>
          <w:bCs/>
          <w:sz w:val="32"/>
          <w:szCs w:val="32"/>
        </w:rPr>
        <w:t>10</w:t>
      </w:r>
      <w:r>
        <w:rPr>
          <w:rFonts w:eastAsia="方正仿宋_GBK"/>
          <w:bCs/>
          <w:sz w:val="32"/>
          <w:szCs w:val="32"/>
        </w:rPr>
        <w:t>分，得分</w:t>
      </w:r>
      <w:r>
        <w:rPr>
          <w:rFonts w:hint="eastAsia" w:eastAsia="方正仿宋_GBK"/>
          <w:bCs/>
          <w:sz w:val="32"/>
          <w:szCs w:val="32"/>
        </w:rPr>
        <w:t>8.01</w:t>
      </w:r>
      <w:r>
        <w:rPr>
          <w:rFonts w:eastAsia="方正仿宋_GBK"/>
          <w:bCs/>
          <w:sz w:val="32"/>
          <w:szCs w:val="32"/>
        </w:rPr>
        <w:t>分）</w:t>
      </w:r>
    </w:p>
    <w:p w14:paraId="6BC772DA">
      <w:pPr>
        <w:spacing w:line="600" w:lineRule="exact"/>
        <w:ind w:firstLine="640" w:firstLineChars="200"/>
        <w:rPr>
          <w:rFonts w:eastAsia="方正仿宋_GBK"/>
          <w:bCs/>
          <w:sz w:val="32"/>
          <w:szCs w:val="32"/>
        </w:rPr>
      </w:pPr>
      <w:r>
        <w:rPr>
          <w:rFonts w:hint="eastAsia" w:eastAsia="方正仿宋_GBK"/>
          <w:bCs/>
          <w:sz w:val="32"/>
          <w:szCs w:val="32"/>
        </w:rPr>
        <w:t>（1）居民受益情况</w:t>
      </w:r>
      <w:r>
        <w:rPr>
          <w:rFonts w:eastAsia="方正仿宋_GBK"/>
          <w:bCs/>
          <w:sz w:val="32"/>
          <w:szCs w:val="32"/>
        </w:rPr>
        <w:t>（满分</w:t>
      </w:r>
      <w:r>
        <w:rPr>
          <w:rFonts w:hint="eastAsia" w:eastAsia="方正仿宋_GBK"/>
          <w:bCs/>
          <w:sz w:val="32"/>
          <w:szCs w:val="32"/>
        </w:rPr>
        <w:t>10</w:t>
      </w:r>
      <w:r>
        <w:rPr>
          <w:rFonts w:eastAsia="方正仿宋_GBK"/>
          <w:bCs/>
          <w:sz w:val="32"/>
          <w:szCs w:val="32"/>
        </w:rPr>
        <w:t>分，得分</w:t>
      </w:r>
      <w:r>
        <w:rPr>
          <w:rFonts w:hint="eastAsia" w:eastAsia="方正仿宋_GBK"/>
          <w:bCs/>
          <w:sz w:val="32"/>
          <w:szCs w:val="32"/>
        </w:rPr>
        <w:t>8.01</w:t>
      </w:r>
      <w:r>
        <w:rPr>
          <w:rFonts w:eastAsia="方正仿宋_GBK"/>
          <w:bCs/>
          <w:sz w:val="32"/>
          <w:szCs w:val="32"/>
        </w:rPr>
        <w:t>分）</w:t>
      </w:r>
    </w:p>
    <w:p w14:paraId="6C9EFE08">
      <w:pPr>
        <w:spacing w:line="600" w:lineRule="exact"/>
        <w:ind w:firstLine="640" w:firstLineChars="200"/>
        <w:rPr>
          <w:rFonts w:eastAsia="方正仿宋_GBK"/>
          <w:bCs/>
          <w:sz w:val="32"/>
          <w:szCs w:val="32"/>
        </w:rPr>
      </w:pPr>
      <w:r>
        <w:rPr>
          <w:rFonts w:hint="eastAsia" w:eastAsia="方正仿宋_GBK"/>
          <w:bCs/>
          <w:sz w:val="32"/>
          <w:szCs w:val="32"/>
        </w:rPr>
        <w:t>因考虑到项目单位将本项目和铜梁区城市燃气管道老化更新改造项目合并开展相关工作，故我们对两个项目合并开展了问卷调查，根据国家统计局发布的《估计总体均值时样本量的确定》，不重复抽样样本容量计算公式n*=n/(1+n/N)，n = Z</w:t>
      </w:r>
      <w:r>
        <w:rPr>
          <w:rFonts w:hint="eastAsia" w:eastAsia="方正仿宋_GBK"/>
          <w:bCs/>
          <w:sz w:val="32"/>
          <w:szCs w:val="32"/>
          <w:vertAlign w:val="superscript"/>
        </w:rPr>
        <w:t>2</w:t>
      </w:r>
      <w:r>
        <w:rPr>
          <w:rFonts w:hint="eastAsia" w:eastAsia="方正仿宋_GBK"/>
          <w:bCs/>
          <w:sz w:val="32"/>
          <w:szCs w:val="32"/>
        </w:rPr>
        <w:t>* p * (1-p) / e</w:t>
      </w:r>
      <w:r>
        <w:rPr>
          <w:rFonts w:hint="eastAsia" w:eastAsia="方正仿宋_GBK"/>
          <w:bCs/>
          <w:sz w:val="32"/>
          <w:szCs w:val="32"/>
          <w:vertAlign w:val="superscript"/>
        </w:rPr>
        <w:t>2</w:t>
      </w:r>
      <w:r>
        <w:rPr>
          <w:rFonts w:hint="eastAsia" w:eastAsia="方正仿宋_GBK"/>
          <w:bCs/>
          <w:sz w:val="32"/>
          <w:szCs w:val="32"/>
        </w:rPr>
        <w:t>，取置信区间95%、指标比例0.5、误差范围为±8%，求得本项目样本总量为150份。</w:t>
      </w:r>
    </w:p>
    <w:p w14:paraId="1BA7D51B">
      <w:pPr>
        <w:spacing w:line="600" w:lineRule="exact"/>
        <w:ind w:firstLine="640" w:firstLineChars="200"/>
        <w:rPr>
          <w:rFonts w:eastAsia="方正仿宋_GBK"/>
          <w:bCs/>
          <w:sz w:val="32"/>
          <w:szCs w:val="32"/>
        </w:rPr>
      </w:pPr>
      <w:r>
        <w:rPr>
          <w:rFonts w:hint="eastAsia" w:eastAsia="方正仿宋_GBK"/>
          <w:bCs/>
          <w:sz w:val="32"/>
          <w:szCs w:val="32"/>
        </w:rPr>
        <w:t>我们共计发放问卷350份，收回问卷309份，有效问卷274份，根据问卷结果统计，本项目受益居民认为燃气使用的安全性得到提升的比例为80.08%，本项得10*80.08%=8.01分。</w:t>
      </w:r>
    </w:p>
    <w:p w14:paraId="5B98D7F4">
      <w:pPr>
        <w:spacing w:line="600" w:lineRule="exact"/>
        <w:ind w:firstLine="640" w:firstLineChars="200"/>
        <w:rPr>
          <w:rFonts w:eastAsia="方正仿宋_GBK"/>
          <w:bCs/>
          <w:sz w:val="32"/>
          <w:szCs w:val="32"/>
        </w:rPr>
      </w:pPr>
      <w:r>
        <w:rPr>
          <w:rFonts w:eastAsia="方正仿宋_GBK"/>
          <w:bCs/>
          <w:sz w:val="32"/>
          <w:szCs w:val="32"/>
        </w:rPr>
        <w:t>根据绩效评价指标表中评分标准的要求，</w:t>
      </w:r>
      <w:r>
        <w:rPr>
          <w:rFonts w:hint="eastAsia" w:eastAsia="方正仿宋_GBK"/>
          <w:bCs/>
          <w:sz w:val="32"/>
          <w:szCs w:val="32"/>
        </w:rPr>
        <w:t>本指标得分合计8.01分。</w:t>
      </w:r>
    </w:p>
    <w:p w14:paraId="3254DA22">
      <w:pPr>
        <w:spacing w:line="600" w:lineRule="exact"/>
        <w:ind w:firstLine="640" w:firstLineChars="200"/>
        <w:rPr>
          <w:rFonts w:eastAsia="方正仿宋_GBK"/>
          <w:bCs/>
          <w:sz w:val="32"/>
          <w:szCs w:val="32"/>
        </w:rPr>
      </w:pPr>
      <w:r>
        <w:rPr>
          <w:rFonts w:hint="eastAsia" w:eastAsia="方正仿宋_GBK"/>
          <w:bCs/>
          <w:sz w:val="32"/>
          <w:szCs w:val="32"/>
        </w:rPr>
        <w:t>2</w:t>
      </w:r>
      <w:r>
        <w:rPr>
          <w:rFonts w:eastAsia="方正仿宋_GBK"/>
          <w:bCs/>
          <w:sz w:val="32"/>
          <w:szCs w:val="32"/>
        </w:rPr>
        <w:t>.</w:t>
      </w:r>
      <w:r>
        <w:rPr>
          <w:rFonts w:hint="eastAsia" w:eastAsia="方正仿宋_GBK"/>
          <w:bCs/>
          <w:sz w:val="32"/>
          <w:szCs w:val="32"/>
        </w:rPr>
        <w:t>可持续性影响指标</w:t>
      </w:r>
      <w:r>
        <w:rPr>
          <w:rFonts w:eastAsia="方正仿宋_GBK"/>
          <w:bCs/>
          <w:sz w:val="32"/>
          <w:szCs w:val="32"/>
        </w:rPr>
        <w:t>（满分</w:t>
      </w:r>
      <w:r>
        <w:rPr>
          <w:rFonts w:hint="eastAsia" w:eastAsia="方正仿宋_GBK"/>
          <w:bCs/>
          <w:sz w:val="32"/>
          <w:szCs w:val="32"/>
        </w:rPr>
        <w:t>10</w:t>
      </w:r>
      <w:r>
        <w:rPr>
          <w:rFonts w:eastAsia="方正仿宋_GBK"/>
          <w:bCs/>
          <w:sz w:val="32"/>
          <w:szCs w:val="32"/>
        </w:rPr>
        <w:t>分，得分</w:t>
      </w:r>
      <w:r>
        <w:rPr>
          <w:rFonts w:hint="eastAsia" w:eastAsia="方正仿宋_GBK"/>
          <w:bCs/>
          <w:sz w:val="32"/>
          <w:szCs w:val="32"/>
        </w:rPr>
        <w:t>10</w:t>
      </w:r>
      <w:r>
        <w:rPr>
          <w:rFonts w:eastAsia="方正仿宋_GBK"/>
          <w:bCs/>
          <w:sz w:val="32"/>
          <w:szCs w:val="32"/>
        </w:rPr>
        <w:t>分）</w:t>
      </w:r>
    </w:p>
    <w:p w14:paraId="53079490">
      <w:pPr>
        <w:spacing w:line="600" w:lineRule="exact"/>
        <w:ind w:firstLine="640" w:firstLineChars="200"/>
        <w:rPr>
          <w:rFonts w:eastAsia="方正仿宋_GBK"/>
          <w:bCs/>
          <w:sz w:val="32"/>
          <w:szCs w:val="32"/>
        </w:rPr>
      </w:pPr>
      <w:r>
        <w:rPr>
          <w:rFonts w:hint="eastAsia" w:eastAsia="方正仿宋_GBK"/>
          <w:bCs/>
          <w:sz w:val="32"/>
          <w:szCs w:val="32"/>
        </w:rPr>
        <w:t>（1）对居民生命财产安全可持续性影响</w:t>
      </w:r>
      <w:r>
        <w:rPr>
          <w:rFonts w:eastAsia="方正仿宋_GBK"/>
          <w:bCs/>
          <w:sz w:val="32"/>
          <w:szCs w:val="32"/>
        </w:rPr>
        <w:t>（满分</w:t>
      </w:r>
      <w:r>
        <w:rPr>
          <w:rFonts w:hint="eastAsia" w:eastAsia="方正仿宋_GBK"/>
          <w:bCs/>
          <w:sz w:val="32"/>
          <w:szCs w:val="32"/>
        </w:rPr>
        <w:t>10</w:t>
      </w:r>
      <w:r>
        <w:rPr>
          <w:rFonts w:eastAsia="方正仿宋_GBK"/>
          <w:bCs/>
          <w:sz w:val="32"/>
          <w:szCs w:val="32"/>
        </w:rPr>
        <w:t>分，得分</w:t>
      </w:r>
      <w:r>
        <w:rPr>
          <w:rFonts w:hint="eastAsia" w:eastAsia="方正仿宋_GBK"/>
          <w:bCs/>
          <w:sz w:val="32"/>
          <w:szCs w:val="32"/>
        </w:rPr>
        <w:t>10</w:t>
      </w:r>
      <w:r>
        <w:rPr>
          <w:rFonts w:eastAsia="方正仿宋_GBK"/>
          <w:bCs/>
          <w:sz w:val="32"/>
          <w:szCs w:val="32"/>
        </w:rPr>
        <w:t>分）</w:t>
      </w:r>
    </w:p>
    <w:p w14:paraId="418C5726">
      <w:pPr>
        <w:spacing w:line="600" w:lineRule="exact"/>
        <w:ind w:firstLine="640" w:firstLineChars="200"/>
        <w:rPr>
          <w:rFonts w:eastAsia="方正仿宋_GBK"/>
          <w:bCs/>
          <w:sz w:val="32"/>
          <w:szCs w:val="32"/>
        </w:rPr>
      </w:pPr>
      <w:r>
        <w:rPr>
          <w:rFonts w:hint="eastAsia" w:eastAsia="方正仿宋_GBK"/>
          <w:bCs/>
          <w:sz w:val="32"/>
          <w:szCs w:val="32"/>
        </w:rPr>
        <w:t>随着城镇燃气管道运行年限增加，燃气管道老化破损、供气适应性不强等问题逐步凸显，随着本项目的实施，将降低燃气</w:t>
      </w:r>
      <w:r>
        <w:rPr>
          <w:rFonts w:hint="eastAsia" w:eastAsia="方正仿宋_GBK"/>
          <w:bCs/>
          <w:sz w:val="32"/>
          <w:szCs w:val="32"/>
          <w:lang w:eastAsia="zh-CN"/>
        </w:rPr>
        <w:t>泄漏</w:t>
      </w:r>
      <w:r>
        <w:rPr>
          <w:rFonts w:hint="eastAsia" w:eastAsia="方正仿宋_GBK"/>
          <w:bCs/>
          <w:sz w:val="32"/>
          <w:szCs w:val="32"/>
        </w:rPr>
        <w:t>风险的同时提高燃气泄漏的预警性，对居民生命财产安全有着长远保障。</w:t>
      </w:r>
    </w:p>
    <w:p w14:paraId="2770FD94">
      <w:pPr>
        <w:spacing w:line="600" w:lineRule="exact"/>
        <w:ind w:firstLine="640" w:firstLineChars="200"/>
        <w:rPr>
          <w:rFonts w:eastAsia="方正仿宋_GBK"/>
          <w:bCs/>
          <w:sz w:val="32"/>
          <w:szCs w:val="32"/>
        </w:rPr>
      </w:pPr>
      <w:r>
        <w:rPr>
          <w:rFonts w:eastAsia="方正仿宋_GBK"/>
          <w:bCs/>
          <w:sz w:val="32"/>
          <w:szCs w:val="32"/>
        </w:rPr>
        <w:t>根据绩效评价指标表中评分标准的要求，</w:t>
      </w:r>
      <w:r>
        <w:rPr>
          <w:rFonts w:hint="eastAsia" w:eastAsia="方正仿宋_GBK"/>
          <w:bCs/>
          <w:sz w:val="32"/>
          <w:szCs w:val="32"/>
        </w:rPr>
        <w:t>本指标得分合计10分。</w:t>
      </w:r>
    </w:p>
    <w:p w14:paraId="04957893">
      <w:pPr>
        <w:spacing w:line="600" w:lineRule="exact"/>
        <w:ind w:firstLine="640" w:firstLineChars="200"/>
        <w:rPr>
          <w:rFonts w:eastAsia="方正仿宋_GBK"/>
          <w:bCs/>
          <w:sz w:val="32"/>
          <w:szCs w:val="32"/>
        </w:rPr>
      </w:pPr>
      <w:r>
        <w:rPr>
          <w:rFonts w:hint="eastAsia" w:eastAsia="方正仿宋_GBK"/>
          <w:bCs/>
          <w:sz w:val="32"/>
          <w:szCs w:val="32"/>
        </w:rPr>
        <w:t>3</w:t>
      </w:r>
      <w:r>
        <w:rPr>
          <w:rFonts w:eastAsia="方正仿宋_GBK"/>
          <w:bCs/>
          <w:sz w:val="32"/>
          <w:szCs w:val="32"/>
        </w:rPr>
        <w:t>.</w:t>
      </w:r>
      <w:r>
        <w:rPr>
          <w:rFonts w:hint="eastAsia" w:eastAsia="方正仿宋_GBK"/>
          <w:bCs/>
          <w:sz w:val="32"/>
          <w:szCs w:val="32"/>
        </w:rPr>
        <w:t>满意度指标</w:t>
      </w:r>
      <w:r>
        <w:rPr>
          <w:rFonts w:eastAsia="方正仿宋_GBK"/>
          <w:bCs/>
          <w:sz w:val="32"/>
          <w:szCs w:val="32"/>
        </w:rPr>
        <w:t>（满分</w:t>
      </w:r>
      <w:r>
        <w:rPr>
          <w:rFonts w:hint="eastAsia" w:eastAsia="方正仿宋_GBK"/>
          <w:bCs/>
          <w:sz w:val="32"/>
          <w:szCs w:val="32"/>
        </w:rPr>
        <w:t>10</w:t>
      </w:r>
      <w:r>
        <w:rPr>
          <w:rFonts w:eastAsia="方正仿宋_GBK"/>
          <w:bCs/>
          <w:sz w:val="32"/>
          <w:szCs w:val="32"/>
        </w:rPr>
        <w:t>分，得分</w:t>
      </w:r>
      <w:r>
        <w:rPr>
          <w:rFonts w:hint="eastAsia" w:eastAsia="方正仿宋_GBK"/>
          <w:bCs/>
          <w:sz w:val="32"/>
          <w:szCs w:val="32"/>
          <w:lang w:val="en-US" w:eastAsia="zh-CN"/>
        </w:rPr>
        <w:t>4</w:t>
      </w:r>
      <w:r>
        <w:rPr>
          <w:rFonts w:eastAsia="方正仿宋_GBK"/>
          <w:bCs/>
          <w:sz w:val="32"/>
          <w:szCs w:val="32"/>
        </w:rPr>
        <w:t>分）</w:t>
      </w:r>
    </w:p>
    <w:p w14:paraId="1F37C450">
      <w:pPr>
        <w:spacing w:line="600" w:lineRule="exact"/>
        <w:ind w:firstLine="640" w:firstLineChars="200"/>
        <w:rPr>
          <w:rFonts w:eastAsia="方正仿宋_GBK"/>
          <w:bCs/>
          <w:sz w:val="32"/>
          <w:szCs w:val="32"/>
        </w:rPr>
      </w:pPr>
      <w:r>
        <w:rPr>
          <w:rFonts w:hint="eastAsia" w:eastAsia="方正仿宋_GBK"/>
          <w:bCs/>
          <w:sz w:val="32"/>
          <w:szCs w:val="32"/>
        </w:rPr>
        <w:t>（1）服务对象满意度</w:t>
      </w:r>
      <w:r>
        <w:rPr>
          <w:rFonts w:eastAsia="方正仿宋_GBK"/>
          <w:bCs/>
          <w:sz w:val="32"/>
          <w:szCs w:val="32"/>
        </w:rPr>
        <w:t>（满分</w:t>
      </w:r>
      <w:r>
        <w:rPr>
          <w:rFonts w:hint="eastAsia" w:eastAsia="方正仿宋_GBK"/>
          <w:bCs/>
          <w:sz w:val="32"/>
          <w:szCs w:val="32"/>
        </w:rPr>
        <w:t>10</w:t>
      </w:r>
      <w:r>
        <w:rPr>
          <w:rFonts w:eastAsia="方正仿宋_GBK"/>
          <w:bCs/>
          <w:sz w:val="32"/>
          <w:szCs w:val="32"/>
        </w:rPr>
        <w:t>分，得分</w:t>
      </w:r>
      <w:r>
        <w:rPr>
          <w:rFonts w:hint="eastAsia" w:eastAsia="方正仿宋_GBK"/>
          <w:bCs/>
          <w:sz w:val="32"/>
          <w:szCs w:val="32"/>
          <w:lang w:val="en-US" w:eastAsia="zh-CN"/>
        </w:rPr>
        <w:t>4</w:t>
      </w:r>
      <w:r>
        <w:rPr>
          <w:rFonts w:eastAsia="方正仿宋_GBK"/>
          <w:bCs/>
          <w:sz w:val="32"/>
          <w:szCs w:val="32"/>
        </w:rPr>
        <w:t>分）</w:t>
      </w:r>
    </w:p>
    <w:p w14:paraId="367ACE64">
      <w:pPr>
        <w:spacing w:line="600" w:lineRule="exact"/>
        <w:ind w:firstLine="640" w:firstLineChars="200"/>
        <w:rPr>
          <w:rFonts w:eastAsia="方正仿宋_GBK"/>
          <w:bCs/>
          <w:sz w:val="32"/>
          <w:szCs w:val="32"/>
        </w:rPr>
      </w:pPr>
      <w:r>
        <w:rPr>
          <w:rFonts w:hint="eastAsia" w:eastAsia="方正仿宋_GBK"/>
          <w:bCs/>
          <w:sz w:val="32"/>
          <w:szCs w:val="32"/>
        </w:rPr>
        <w:t>因考虑到项目单位将本项目和铜梁区城市燃气管道老化更新改造项目合并开展相关工作，故我们对两个项目合并开展了问卷调查，根据国家统计局发布的《估计总体均值时样本量的确定》，不重复抽样样本容量计算公式n*=n/(1+n/N)，n = Z</w:t>
      </w:r>
      <w:r>
        <w:rPr>
          <w:rFonts w:hint="eastAsia" w:eastAsia="方正仿宋_GBK"/>
          <w:bCs/>
          <w:sz w:val="32"/>
          <w:szCs w:val="32"/>
          <w:vertAlign w:val="superscript"/>
        </w:rPr>
        <w:t>2</w:t>
      </w:r>
      <w:r>
        <w:rPr>
          <w:rFonts w:hint="eastAsia" w:eastAsia="方正仿宋_GBK"/>
          <w:bCs/>
          <w:sz w:val="32"/>
          <w:szCs w:val="32"/>
        </w:rPr>
        <w:t>* p * (1-p) / e</w:t>
      </w:r>
      <w:r>
        <w:rPr>
          <w:rFonts w:hint="eastAsia" w:eastAsia="方正仿宋_GBK"/>
          <w:bCs/>
          <w:sz w:val="32"/>
          <w:szCs w:val="32"/>
          <w:vertAlign w:val="superscript"/>
        </w:rPr>
        <w:t>2</w:t>
      </w:r>
      <w:r>
        <w:rPr>
          <w:rFonts w:hint="eastAsia" w:eastAsia="方正仿宋_GBK"/>
          <w:bCs/>
          <w:sz w:val="32"/>
          <w:szCs w:val="32"/>
        </w:rPr>
        <w:t>，取置信区间95%、指标比例0.5、误差范围为±8%，求得本项目样本总量为150份。</w:t>
      </w:r>
    </w:p>
    <w:p w14:paraId="1E463A41">
      <w:pPr>
        <w:spacing w:line="600" w:lineRule="exact"/>
        <w:ind w:firstLine="640" w:firstLineChars="200"/>
        <w:rPr>
          <w:rFonts w:eastAsia="方正仿宋_GBK"/>
          <w:bCs/>
          <w:sz w:val="32"/>
          <w:szCs w:val="32"/>
          <w:highlight w:val="none"/>
        </w:rPr>
      </w:pPr>
      <w:r>
        <w:rPr>
          <w:rFonts w:hint="eastAsia" w:eastAsia="方正仿宋_GBK"/>
          <w:bCs/>
          <w:sz w:val="32"/>
          <w:szCs w:val="32"/>
          <w:highlight w:val="none"/>
        </w:rPr>
        <w:t>我们共计发放问卷350份，收回问卷309份，有效问卷274份，根据问卷结果统计，本项目居民满意度为</w:t>
      </w:r>
      <w:r>
        <w:rPr>
          <w:rFonts w:hint="eastAsia" w:eastAsia="方正仿宋_GBK"/>
          <w:bCs/>
          <w:sz w:val="32"/>
          <w:szCs w:val="32"/>
          <w:highlight w:val="none"/>
          <w:lang w:eastAsia="zh-CN"/>
        </w:rPr>
        <w:t>71.54%</w:t>
      </w:r>
      <w:r>
        <w:rPr>
          <w:rFonts w:hint="eastAsia" w:eastAsia="方正仿宋_GBK"/>
          <w:bCs/>
          <w:sz w:val="32"/>
          <w:szCs w:val="32"/>
          <w:highlight w:val="none"/>
        </w:rPr>
        <w:t>。</w:t>
      </w:r>
    </w:p>
    <w:p w14:paraId="6FAFD30C">
      <w:pPr>
        <w:spacing w:line="600" w:lineRule="exact"/>
        <w:ind w:firstLine="640" w:firstLineChars="200"/>
        <w:rPr>
          <w:rFonts w:eastAsia="方正仿宋_GBK"/>
          <w:bCs/>
          <w:sz w:val="32"/>
          <w:szCs w:val="32"/>
          <w:highlight w:val="none"/>
        </w:rPr>
      </w:pPr>
      <w:r>
        <w:rPr>
          <w:rFonts w:eastAsia="方正仿宋_GBK"/>
          <w:bCs/>
          <w:sz w:val="32"/>
          <w:szCs w:val="32"/>
          <w:highlight w:val="none"/>
        </w:rPr>
        <w:t>根据绩效评价指标表中评分标准的要求，</w:t>
      </w:r>
      <w:r>
        <w:rPr>
          <w:rFonts w:hint="eastAsia" w:eastAsia="方正仿宋_GBK"/>
          <w:bCs/>
          <w:sz w:val="32"/>
          <w:szCs w:val="32"/>
          <w:highlight w:val="none"/>
        </w:rPr>
        <w:t>本指标得分合计</w:t>
      </w:r>
      <w:r>
        <w:rPr>
          <w:rFonts w:hint="eastAsia" w:eastAsia="方正仿宋_GBK"/>
          <w:bCs/>
          <w:sz w:val="32"/>
          <w:szCs w:val="32"/>
          <w:highlight w:val="none"/>
          <w:lang w:val="en-US" w:eastAsia="zh-CN"/>
        </w:rPr>
        <w:t>4</w:t>
      </w:r>
      <w:r>
        <w:rPr>
          <w:rFonts w:hint="eastAsia" w:eastAsia="方正仿宋_GBK"/>
          <w:bCs/>
          <w:sz w:val="32"/>
          <w:szCs w:val="32"/>
          <w:highlight w:val="none"/>
        </w:rPr>
        <w:t>分。</w:t>
      </w:r>
    </w:p>
    <w:p w14:paraId="40155655">
      <w:pPr>
        <w:spacing w:line="600" w:lineRule="exact"/>
        <w:ind w:firstLine="640" w:firstLineChars="200"/>
        <w:outlineLvl w:val="1"/>
        <w:rPr>
          <w:rFonts w:eastAsia="方正黑体_GBK"/>
          <w:bCs/>
          <w:sz w:val="32"/>
          <w:szCs w:val="32"/>
        </w:rPr>
      </w:pPr>
      <w:bookmarkStart w:id="149" w:name="_Toc170909615"/>
      <w:bookmarkStart w:id="150" w:name="_Toc4"/>
      <w:r>
        <w:rPr>
          <w:rFonts w:eastAsia="方正黑体_GBK"/>
          <w:bCs/>
          <w:sz w:val="32"/>
          <w:szCs w:val="32"/>
        </w:rPr>
        <w:t>五、</w:t>
      </w:r>
      <w:bookmarkStart w:id="151" w:name="_Toc9646"/>
      <w:bookmarkStart w:id="152" w:name="_Toc28270"/>
      <w:bookmarkStart w:id="153" w:name="_Toc4331"/>
      <w:r>
        <w:rPr>
          <w:rFonts w:eastAsia="方正黑体_GBK"/>
          <w:bCs/>
          <w:sz w:val="32"/>
          <w:szCs w:val="32"/>
        </w:rPr>
        <w:t>评价发现的主要问题</w:t>
      </w:r>
      <w:bookmarkEnd w:id="145"/>
      <w:bookmarkEnd w:id="149"/>
      <w:bookmarkEnd w:id="150"/>
      <w:bookmarkEnd w:id="151"/>
      <w:bookmarkEnd w:id="152"/>
      <w:bookmarkEnd w:id="153"/>
    </w:p>
    <w:p w14:paraId="16E91AE4">
      <w:pPr>
        <w:spacing w:line="600" w:lineRule="exact"/>
        <w:ind w:firstLine="640" w:firstLineChars="200"/>
        <w:outlineLvl w:val="2"/>
        <w:rPr>
          <w:rFonts w:eastAsia="方正楷体_GBK"/>
          <w:bCs/>
          <w:sz w:val="32"/>
          <w:szCs w:val="32"/>
        </w:rPr>
      </w:pPr>
      <w:bookmarkStart w:id="154" w:name="_Toc22709"/>
      <w:bookmarkStart w:id="155" w:name="_Toc170909616"/>
      <w:bookmarkStart w:id="156" w:name="_Toc27708"/>
      <w:r>
        <w:rPr>
          <w:rFonts w:hint="eastAsia" w:eastAsia="方正楷体_GBK"/>
          <w:bCs/>
          <w:sz w:val="32"/>
          <w:szCs w:val="32"/>
        </w:rPr>
        <w:t>（一）项目申报资金时点前期工作不扎实，项目实际建设规模和资金需求均存在较大偏离。</w:t>
      </w:r>
      <w:bookmarkEnd w:id="154"/>
      <w:bookmarkEnd w:id="155"/>
      <w:bookmarkEnd w:id="156"/>
    </w:p>
    <w:p w14:paraId="217F8D4A">
      <w:pPr>
        <w:spacing w:line="600" w:lineRule="exact"/>
        <w:ind w:firstLine="640" w:firstLineChars="200"/>
        <w:rPr>
          <w:rFonts w:eastAsia="方正仿宋_GBK"/>
          <w:bCs/>
          <w:sz w:val="32"/>
          <w:szCs w:val="32"/>
        </w:rPr>
      </w:pPr>
      <w:r>
        <w:rPr>
          <w:rFonts w:hint="eastAsia" w:eastAsia="方正仿宋_GBK"/>
          <w:bCs/>
          <w:sz w:val="32"/>
          <w:szCs w:val="32"/>
        </w:rPr>
        <w:t>根据《城市燃气管道等老化更新改造和保障性安居工程中央预算内投资专项管理暂行办法》（发改投资规〔2022〕910号），要求省级发展改革部门对项目是否完成审批、核准或备案程序，计划新开工项目前期工作条件是否成熟、具备开工条件进行审核。本项目在资金申报时点，仅完成了项目立项工作，项目研究深度不足，前期工作条件不够成熟，项目尚不具备开工条件。</w:t>
      </w:r>
    </w:p>
    <w:p w14:paraId="7DCCA2FA">
      <w:pPr>
        <w:spacing w:line="600" w:lineRule="exact"/>
        <w:ind w:firstLine="640" w:firstLineChars="200"/>
        <w:rPr>
          <w:rFonts w:eastAsia="方正仿宋_GBK"/>
          <w:sz w:val="32"/>
          <w:szCs w:val="32"/>
        </w:rPr>
      </w:pPr>
      <w:r>
        <w:rPr>
          <w:rFonts w:hint="eastAsia" w:eastAsia="方正仿宋_GBK"/>
          <w:bCs/>
          <w:sz w:val="32"/>
          <w:szCs w:val="32"/>
        </w:rPr>
        <w:t>本项目资金批复文件显示，实施内容为</w:t>
      </w:r>
      <w:r>
        <w:rPr>
          <w:rFonts w:hint="eastAsia" w:eastAsia="方正仿宋_GBK"/>
          <w:sz w:val="32"/>
          <w:szCs w:val="32"/>
        </w:rPr>
        <w:t>“对经评估存在安全隐患、无法通过落实管控措施保障安全的庭院管道、立管及用户设施等的更新改造</w:t>
      </w:r>
      <w:r>
        <w:rPr>
          <w:rFonts w:hint="eastAsia" w:eastAsia="方正仿宋_GBK"/>
          <w:sz w:val="32"/>
          <w:szCs w:val="32"/>
          <w:lang w:eastAsia="zh-CN"/>
        </w:rPr>
        <w:t>”</w:t>
      </w:r>
      <w:r>
        <w:rPr>
          <w:rFonts w:hint="eastAsia" w:eastAsia="方正仿宋_GBK"/>
          <w:sz w:val="32"/>
          <w:szCs w:val="32"/>
        </w:rPr>
        <w:t>。共涉及居民约45000户，其中：改造约33000户居民燃气立管居民户内燃气管道、橡胶软管、加装燃气安全装置等（含建设过程中燃气设施改造后路面、绿化、人行道砖修复等）；改造约12000户居民户内燃气管道、橡胶软管、加装燃气安全装置。共改造燃气立管约113公里。城镇燃气智能管理系统建设，批复投资金额11,776万元，其中中央预算资金7,066万元、区县投资4,710万元。</w:t>
      </w:r>
    </w:p>
    <w:p w14:paraId="457E9AE5">
      <w:pPr>
        <w:spacing w:line="600" w:lineRule="exact"/>
        <w:ind w:firstLine="640" w:firstLineChars="200"/>
        <w:rPr>
          <w:rFonts w:eastAsia="方正仿宋_GBK"/>
          <w:sz w:val="32"/>
          <w:szCs w:val="32"/>
        </w:rPr>
      </w:pPr>
      <w:r>
        <w:rPr>
          <w:rFonts w:hint="eastAsia" w:eastAsia="方正仿宋_GBK"/>
          <w:sz w:val="32"/>
          <w:szCs w:val="32"/>
        </w:rPr>
        <w:t>本项目具体实施中，在实施内容方面，为“共涉及居民约37452户，主要项目包括燃气表37452块；无缝钢管（DN32）（含管件）42000米；DN15不锈钢球阀</w:t>
      </w:r>
      <w:r>
        <w:rPr>
          <w:rFonts w:eastAsia="方正仿宋_GBK"/>
          <w:sz w:val="32"/>
          <w:szCs w:val="32"/>
        </w:rPr>
        <w:t>187260</w:t>
      </w:r>
      <w:r>
        <w:rPr>
          <w:rFonts w:hint="eastAsia" w:eastAsia="方正仿宋_GBK"/>
          <w:sz w:val="32"/>
          <w:szCs w:val="32"/>
        </w:rPr>
        <w:t>个，DN32不锈钢球阀8000个；燃气用304不锈钢波纹管Ф16845000米；专用燃具连接管道安装（灶具）37452根；专用燃具连接管道安装（热水器）37452 根；报警器37452套；室外立柱处管沟开挖4200m³城区外农村群众用户7万户安装自闭阀，表箱、套管、外墙转孔37452个，潜能燃气智慧安全生产保障系统等项目”，实施规模和实施内容均存在偏离。在资金使用方面，项目决算金额粗略估计为6,433.13万元（本项目尚未开展结算、决算，6,433.13万元系根据项目</w:t>
      </w:r>
      <w:r>
        <w:rPr>
          <w:rFonts w:hint="eastAsia" w:eastAsia="方正仿宋_GBK"/>
          <w:sz w:val="32"/>
          <w:szCs w:val="32"/>
          <w:lang w:eastAsia="zh-CN"/>
        </w:rPr>
        <w:t>合同台账</w:t>
      </w:r>
      <w:r>
        <w:rPr>
          <w:rFonts w:hint="eastAsia" w:eastAsia="方正仿宋_GBK"/>
          <w:sz w:val="32"/>
          <w:szCs w:val="32"/>
        </w:rPr>
        <w:t>以及区经信委向施工单位询问的预估产值粗略估计，其中多个项目合并签订的合同，对每个项目进行平均分配合同金额进行估算），项目实际资金需求存在较大偏离。</w:t>
      </w:r>
    </w:p>
    <w:p w14:paraId="21A3A3DF">
      <w:pPr>
        <w:spacing w:line="600" w:lineRule="exact"/>
        <w:ind w:firstLine="640" w:firstLineChars="200"/>
        <w:outlineLvl w:val="2"/>
        <w:rPr>
          <w:rFonts w:eastAsia="方正楷体_GBK"/>
          <w:bCs/>
          <w:sz w:val="32"/>
          <w:szCs w:val="32"/>
        </w:rPr>
      </w:pPr>
      <w:bookmarkStart w:id="157" w:name="_Toc5023"/>
      <w:bookmarkStart w:id="158" w:name="_Toc170909617"/>
      <w:bookmarkStart w:id="159" w:name="_Toc9594"/>
      <w:r>
        <w:rPr>
          <w:rFonts w:hint="eastAsia" w:eastAsia="方正楷体_GBK"/>
          <w:bCs/>
          <w:sz w:val="32"/>
          <w:szCs w:val="32"/>
        </w:rPr>
        <w:t>（二）项目前期工作进度缓慢，整体进度滞后。</w:t>
      </w:r>
      <w:bookmarkEnd w:id="157"/>
      <w:bookmarkEnd w:id="158"/>
      <w:bookmarkEnd w:id="159"/>
    </w:p>
    <w:p w14:paraId="255C1A1E">
      <w:pPr>
        <w:spacing w:line="600" w:lineRule="exact"/>
        <w:ind w:firstLine="640" w:firstLineChars="200"/>
        <w:rPr>
          <w:rFonts w:eastAsia="方正仿宋_GBK"/>
          <w:sz w:val="32"/>
          <w:szCs w:val="32"/>
        </w:rPr>
      </w:pPr>
      <w:r>
        <w:rPr>
          <w:rFonts w:hint="eastAsia" w:eastAsia="方正仿宋_GBK"/>
          <w:sz w:val="32"/>
          <w:szCs w:val="32"/>
        </w:rPr>
        <w:t>根据《城市燃气管道等老化更新改造和保障性安居工程中央预算内投资专项管理暂行办法》（发改投资规〔2022〕910号）：年内无法开工的不得申报；中央预算内投资计划下达后超过六个月未开工建设的应对项目进行调整。本项目中央预算专项资金下达时间为2022年8月，经查询项目前期可研、项目批复文件等资料，本项目计划开工时间为2022年11月、竣工验收时间为2023年12月；经查询招标公告和施工合同，本项目约定工期270天。根据项目监理单位下达的《工程开工令》（监理〔2023〕开工令001号）以及监理月报，本项目实际于2023年6月开工、2024年6月开展竣工验收工作。</w:t>
      </w:r>
    </w:p>
    <w:p w14:paraId="60B06676">
      <w:pPr>
        <w:spacing w:line="600" w:lineRule="exact"/>
        <w:ind w:firstLine="640" w:firstLineChars="200"/>
        <w:rPr>
          <w:rFonts w:eastAsia="方正仿宋_GBK"/>
          <w:sz w:val="32"/>
          <w:szCs w:val="32"/>
        </w:rPr>
      </w:pPr>
      <w:r>
        <w:rPr>
          <w:rFonts w:hint="eastAsia" w:eastAsia="方正仿宋_GBK"/>
          <w:sz w:val="32"/>
          <w:szCs w:val="32"/>
        </w:rPr>
        <w:t>经向项目单位了解，本项目前期工作滞后的主要原因系疫情防控、设计和招标时间延误等，前期工作滞后数月。同时，施工期间因入户困难等原因，施工工期也存在一定延后。</w:t>
      </w:r>
    </w:p>
    <w:p w14:paraId="6EE90B33">
      <w:pPr>
        <w:spacing w:line="600" w:lineRule="exact"/>
        <w:ind w:firstLine="640" w:firstLineChars="200"/>
        <w:outlineLvl w:val="2"/>
        <w:rPr>
          <w:rFonts w:eastAsia="方正楷体_GBK"/>
          <w:bCs/>
          <w:sz w:val="32"/>
          <w:szCs w:val="32"/>
        </w:rPr>
      </w:pPr>
      <w:bookmarkStart w:id="160" w:name="_Toc170909620"/>
      <w:bookmarkStart w:id="161" w:name="_Toc27155"/>
      <w:bookmarkStart w:id="162" w:name="_Toc10818"/>
      <w:r>
        <w:rPr>
          <w:rFonts w:hint="eastAsia" w:ascii="方正楷体_GBK" w:eastAsia="方正楷体_GBK"/>
          <w:bCs/>
          <w:sz w:val="32"/>
          <w:szCs w:val="32"/>
        </w:rPr>
        <w:t>（</w:t>
      </w:r>
      <w:r>
        <w:rPr>
          <w:rFonts w:hint="eastAsia" w:ascii="方正楷体_GBK" w:eastAsia="方正楷体_GBK"/>
          <w:bCs/>
          <w:sz w:val="32"/>
          <w:szCs w:val="32"/>
          <w:lang w:val="en-US" w:eastAsia="zh-CN"/>
        </w:rPr>
        <w:t>三</w:t>
      </w:r>
      <w:r>
        <w:rPr>
          <w:rFonts w:hint="eastAsia" w:ascii="方正楷体_GBK" w:eastAsia="方正楷体_GBK"/>
          <w:bCs/>
          <w:sz w:val="32"/>
          <w:szCs w:val="32"/>
        </w:rPr>
        <w:t>）绩效指标设置不够合理、具体，年度绩效自评工作流于形式，自评得分与实际情况不符。</w:t>
      </w:r>
      <w:bookmarkEnd w:id="160"/>
      <w:bookmarkEnd w:id="161"/>
      <w:bookmarkEnd w:id="162"/>
    </w:p>
    <w:p w14:paraId="4758F920">
      <w:pPr>
        <w:spacing w:line="600" w:lineRule="exact"/>
        <w:ind w:firstLine="640" w:firstLineChars="200"/>
        <w:rPr>
          <w:rFonts w:ascii="方正仿宋_GBK" w:eastAsia="方正仿宋_GBK"/>
          <w:bCs/>
          <w:sz w:val="32"/>
          <w:szCs w:val="32"/>
        </w:rPr>
      </w:pPr>
      <w:r>
        <w:rPr>
          <w:rFonts w:hint="eastAsia" w:ascii="方正仿宋_GBK" w:eastAsia="方正仿宋_GBK"/>
          <w:bCs/>
          <w:sz w:val="32"/>
          <w:szCs w:val="32"/>
        </w:rPr>
        <w:t>经查阅区经信委提供的本项目资金申报时填报的绩效目标表以及</w:t>
      </w:r>
      <w:r>
        <w:rPr>
          <w:rFonts w:hint="eastAsia" w:eastAsia="方正仿宋_GBK"/>
          <w:bCs/>
          <w:sz w:val="32"/>
          <w:szCs w:val="32"/>
        </w:rPr>
        <w:t>2023</w:t>
      </w:r>
      <w:r>
        <w:rPr>
          <w:rFonts w:hint="eastAsia" w:ascii="方正仿宋_GBK" w:eastAsia="方正仿宋_GBK"/>
          <w:bCs/>
          <w:sz w:val="32"/>
          <w:szCs w:val="32"/>
        </w:rPr>
        <w:t>年绩效自评表</w:t>
      </w:r>
      <w:r>
        <w:rPr>
          <w:rFonts w:ascii="方正仿宋_GBK" w:eastAsia="方正仿宋_GBK"/>
          <w:bCs/>
          <w:sz w:val="32"/>
          <w:szCs w:val="32"/>
        </w:rPr>
        <w:t>《</w:t>
      </w:r>
      <w:r>
        <w:rPr>
          <w:rFonts w:hint="eastAsia" w:eastAsia="方正仿宋_GBK"/>
          <w:bCs/>
          <w:sz w:val="32"/>
          <w:szCs w:val="32"/>
        </w:rPr>
        <w:t>2022</w:t>
      </w:r>
      <w:r>
        <w:rPr>
          <w:rFonts w:hint="eastAsia" w:ascii="方正仿宋_GBK" w:eastAsia="方正仿宋_GBK"/>
          <w:bCs/>
          <w:sz w:val="32"/>
          <w:szCs w:val="32"/>
        </w:rPr>
        <w:t>年城市燃气管道等老化更新改造中央基建投资</w:t>
      </w:r>
      <w:r>
        <w:rPr>
          <w:rFonts w:hint="eastAsia" w:eastAsia="方正仿宋_GBK"/>
          <w:bCs/>
          <w:sz w:val="32"/>
          <w:szCs w:val="32"/>
        </w:rPr>
        <w:t>2023</w:t>
      </w:r>
      <w:r>
        <w:rPr>
          <w:rFonts w:hint="eastAsia" w:ascii="方正仿宋_GBK" w:eastAsia="方正仿宋_GBK"/>
          <w:bCs/>
          <w:sz w:val="32"/>
          <w:szCs w:val="32"/>
        </w:rPr>
        <w:t>年度二级项目绩效自评表</w:t>
      </w:r>
      <w:r>
        <w:rPr>
          <w:rFonts w:ascii="方正仿宋_GBK" w:eastAsia="方正仿宋_GBK"/>
          <w:bCs/>
          <w:sz w:val="32"/>
          <w:szCs w:val="32"/>
        </w:rPr>
        <w:t>》</w:t>
      </w:r>
      <w:r>
        <w:rPr>
          <w:rFonts w:hint="eastAsia" w:ascii="方正仿宋_GBK" w:eastAsia="方正仿宋_GBK"/>
          <w:bCs/>
          <w:sz w:val="32"/>
          <w:szCs w:val="32"/>
        </w:rPr>
        <w:t>，绩效目标表</w:t>
      </w:r>
      <w:r>
        <w:rPr>
          <w:rFonts w:hint="eastAsia" w:eastAsia="方正仿宋_GBK"/>
          <w:bCs/>
          <w:sz w:val="32"/>
          <w:szCs w:val="32"/>
        </w:rPr>
        <w:t>/</w:t>
      </w:r>
      <w:r>
        <w:rPr>
          <w:rFonts w:hint="eastAsia" w:ascii="方正仿宋_GBK" w:eastAsia="方正仿宋_GBK"/>
          <w:bCs/>
          <w:sz w:val="32"/>
          <w:szCs w:val="32"/>
        </w:rPr>
        <w:t>自评表设立了总体绩效目标，同时从支持城市燃气管道等老化更新改造项目，提高群众获得感、幸福感，居民满意度，下达中央预算内投资、财政拨款执行率五个指标对项目绩效情况进行考核，</w:t>
      </w:r>
      <w:r>
        <w:rPr>
          <w:rFonts w:hint="eastAsia" w:eastAsia="方正仿宋_GBK"/>
          <w:bCs/>
          <w:sz w:val="32"/>
          <w:szCs w:val="32"/>
        </w:rPr>
        <w:t>2023</w:t>
      </w:r>
      <w:r>
        <w:rPr>
          <w:rFonts w:hint="eastAsia" w:ascii="方正仿宋_GBK" w:eastAsia="方正仿宋_GBK"/>
          <w:bCs/>
          <w:sz w:val="32"/>
          <w:szCs w:val="32"/>
        </w:rPr>
        <w:t>年自评得分为满分。存在的问题如下：</w:t>
      </w:r>
    </w:p>
    <w:p w14:paraId="4E975068">
      <w:pPr>
        <w:spacing w:line="600" w:lineRule="exact"/>
        <w:ind w:firstLine="640" w:firstLineChars="200"/>
        <w:rPr>
          <w:rFonts w:ascii="方正仿宋_GBK" w:eastAsia="方正仿宋_GBK"/>
          <w:bCs/>
          <w:sz w:val="32"/>
          <w:szCs w:val="32"/>
        </w:rPr>
      </w:pPr>
      <w:r>
        <w:rPr>
          <w:rFonts w:hint="eastAsia" w:eastAsia="方正仿宋_GBK"/>
          <w:bCs/>
          <w:sz w:val="32"/>
          <w:szCs w:val="32"/>
        </w:rPr>
        <w:t>1.</w:t>
      </w:r>
      <w:r>
        <w:rPr>
          <w:rFonts w:hint="eastAsia" w:ascii="方正仿宋_GBK" w:eastAsia="方正仿宋_GBK"/>
          <w:bCs/>
          <w:sz w:val="32"/>
          <w:szCs w:val="32"/>
        </w:rPr>
        <w:t>绩效指标设置不够合理、具体。</w:t>
      </w:r>
    </w:p>
    <w:p w14:paraId="51221096">
      <w:pPr>
        <w:spacing w:line="600" w:lineRule="exact"/>
        <w:ind w:firstLine="640" w:firstLineChars="200"/>
        <w:rPr>
          <w:rFonts w:ascii="方正仿宋_GBK" w:eastAsia="方正仿宋_GBK"/>
          <w:bCs/>
          <w:sz w:val="32"/>
          <w:szCs w:val="32"/>
        </w:rPr>
      </w:pPr>
      <w:r>
        <w:rPr>
          <w:rFonts w:hint="eastAsia" w:ascii="方正仿宋_GBK" w:eastAsia="方正仿宋_GBK"/>
          <w:bCs/>
          <w:sz w:val="32"/>
          <w:szCs w:val="32"/>
        </w:rPr>
        <w:t>在整体目标设置方面，本项目总体目标、</w:t>
      </w:r>
      <w:r>
        <w:rPr>
          <w:rFonts w:hint="eastAsia" w:eastAsia="方正仿宋_GBK"/>
          <w:bCs/>
          <w:sz w:val="32"/>
          <w:szCs w:val="32"/>
        </w:rPr>
        <w:t>2023</w:t>
      </w:r>
      <w:r>
        <w:rPr>
          <w:rFonts w:hint="eastAsia" w:ascii="方正仿宋_GBK" w:eastAsia="方正仿宋_GBK"/>
          <w:bCs/>
          <w:sz w:val="32"/>
          <w:szCs w:val="32"/>
        </w:rPr>
        <w:t>年全年绩效目标、</w:t>
      </w:r>
      <w:r>
        <w:rPr>
          <w:rFonts w:hint="eastAsia" w:eastAsia="方正仿宋_GBK"/>
          <w:bCs/>
          <w:sz w:val="32"/>
          <w:szCs w:val="32"/>
        </w:rPr>
        <w:t>2023</w:t>
      </w:r>
      <w:r>
        <w:rPr>
          <w:rFonts w:hint="eastAsia" w:ascii="方正仿宋_GBK" w:eastAsia="方正仿宋_GBK"/>
          <w:bCs/>
          <w:sz w:val="32"/>
          <w:szCs w:val="32"/>
        </w:rPr>
        <w:t>年全年目标实际完成情况描述内容均为：“按照《国家发展和改革委员会关于印发</w:t>
      </w:r>
      <w:r>
        <w:rPr>
          <w:rFonts w:hint="eastAsia" w:eastAsia="方正仿宋_GBK"/>
          <w:bCs/>
          <w:sz w:val="32"/>
          <w:szCs w:val="32"/>
        </w:rPr>
        <w:t>&lt;</w:t>
      </w:r>
      <w:r>
        <w:rPr>
          <w:rFonts w:hint="eastAsia" w:ascii="方正仿宋_GBK" w:eastAsia="方正仿宋_GBK"/>
          <w:bCs/>
          <w:sz w:val="32"/>
          <w:szCs w:val="32"/>
        </w:rPr>
        <w:t>中央预算内投资保障性安居工程专项管理暂行办法</w:t>
      </w:r>
      <w:r>
        <w:rPr>
          <w:rFonts w:hint="eastAsia" w:eastAsia="方正仿宋_GBK"/>
          <w:bCs/>
          <w:sz w:val="32"/>
          <w:szCs w:val="32"/>
        </w:rPr>
        <w:t>&gt;</w:t>
      </w:r>
      <w:r>
        <w:rPr>
          <w:rFonts w:hint="eastAsia" w:ascii="方正仿宋_GBK" w:eastAsia="方正仿宋_GBK"/>
          <w:bCs/>
          <w:sz w:val="32"/>
          <w:szCs w:val="32"/>
        </w:rPr>
        <w:t>的通知》（发改投资规〔</w:t>
      </w:r>
      <w:r>
        <w:rPr>
          <w:rFonts w:hint="eastAsia" w:eastAsia="方正仿宋_GBK"/>
          <w:bCs/>
          <w:sz w:val="32"/>
          <w:szCs w:val="32"/>
        </w:rPr>
        <w:t>2019</w:t>
      </w:r>
      <w:r>
        <w:rPr>
          <w:rFonts w:hint="eastAsia" w:ascii="方正仿宋_GBK" w:eastAsia="方正仿宋_GBK"/>
          <w:bCs/>
          <w:sz w:val="32"/>
          <w:szCs w:val="32"/>
        </w:rPr>
        <w:t>〕</w:t>
      </w:r>
      <w:r>
        <w:rPr>
          <w:rFonts w:hint="eastAsia" w:eastAsia="方正仿宋_GBK"/>
          <w:bCs/>
          <w:sz w:val="32"/>
          <w:szCs w:val="32"/>
        </w:rPr>
        <w:t>1035</w:t>
      </w:r>
      <w:r>
        <w:rPr>
          <w:rFonts w:hint="eastAsia" w:ascii="方正仿宋_GBK" w:eastAsia="方正仿宋_GBK"/>
          <w:bCs/>
          <w:sz w:val="32"/>
          <w:szCs w:val="32"/>
        </w:rPr>
        <w:t>号）、《城市燃气管道等老化更新改造和保障性安居工程中央预算内投资专项管理暂行办法》（发改投资规〔</w:t>
      </w:r>
      <w:r>
        <w:rPr>
          <w:rFonts w:hint="eastAsia" w:eastAsia="方正仿宋_GBK"/>
          <w:bCs/>
          <w:sz w:val="32"/>
          <w:szCs w:val="32"/>
        </w:rPr>
        <w:t>2022</w:t>
      </w:r>
      <w:r>
        <w:rPr>
          <w:rFonts w:hint="eastAsia" w:ascii="方正仿宋_GBK" w:eastAsia="方正仿宋_GBK"/>
          <w:bCs/>
          <w:sz w:val="32"/>
          <w:szCs w:val="32"/>
        </w:rPr>
        <w:t xml:space="preserve">〕 </w:t>
      </w:r>
      <w:r>
        <w:rPr>
          <w:rFonts w:hint="eastAsia" w:eastAsia="方正仿宋_GBK"/>
          <w:bCs/>
          <w:sz w:val="32"/>
          <w:szCs w:val="32"/>
        </w:rPr>
        <w:t xml:space="preserve">910 </w:t>
      </w:r>
      <w:r>
        <w:rPr>
          <w:rFonts w:hint="eastAsia" w:ascii="方正仿宋_GBK" w:eastAsia="方正仿宋_GBK"/>
          <w:bCs/>
          <w:sz w:val="32"/>
          <w:szCs w:val="32"/>
        </w:rPr>
        <w:t>号）等文件规定将城市燃气管道等老化更新改造专项中央预算内投资下达到相关项目，用于更新改造材质落后、使用年限较长、运行环境存在安全隐患，不符合相关标准规范规定的城市燃气、供水、排水、供热等老化管道和设施”。一是“将城市燃气管道等老化更新改造专项中央预算内投资下达到相关项目”不属于区经信委的工作目标；二是项目总体目标、</w:t>
      </w:r>
      <w:r>
        <w:rPr>
          <w:rFonts w:hint="eastAsia" w:eastAsia="方正仿宋_GBK"/>
          <w:bCs/>
          <w:sz w:val="32"/>
          <w:szCs w:val="32"/>
        </w:rPr>
        <w:t>2023</w:t>
      </w:r>
      <w:r>
        <w:rPr>
          <w:rFonts w:hint="eastAsia" w:ascii="方正仿宋_GBK" w:eastAsia="方正仿宋_GBK"/>
          <w:bCs/>
          <w:sz w:val="32"/>
          <w:szCs w:val="32"/>
        </w:rPr>
        <w:t>年的全年绩效目标以及目标的完成情况不具体，无法体现本项目总体、</w:t>
      </w:r>
      <w:r>
        <w:rPr>
          <w:rFonts w:hint="eastAsia" w:eastAsia="方正仿宋_GBK"/>
          <w:bCs/>
          <w:sz w:val="32"/>
          <w:szCs w:val="32"/>
        </w:rPr>
        <w:t>2023</w:t>
      </w:r>
      <w:r>
        <w:rPr>
          <w:rFonts w:hint="eastAsia" w:ascii="方正仿宋_GBK" w:eastAsia="方正仿宋_GBK"/>
          <w:bCs/>
          <w:sz w:val="32"/>
          <w:szCs w:val="32"/>
        </w:rPr>
        <w:t>年实际应完成的工作目标。</w:t>
      </w:r>
    </w:p>
    <w:p w14:paraId="12E83970">
      <w:pPr>
        <w:spacing w:line="600" w:lineRule="exact"/>
        <w:ind w:firstLine="640" w:firstLineChars="200"/>
        <w:rPr>
          <w:rFonts w:eastAsia="方正仿宋_GBK"/>
          <w:bCs/>
          <w:sz w:val="32"/>
          <w:szCs w:val="32"/>
        </w:rPr>
      </w:pPr>
      <w:r>
        <w:rPr>
          <w:rFonts w:hint="eastAsia" w:ascii="方正仿宋_GBK" w:eastAsia="方正仿宋_GBK"/>
          <w:bCs/>
          <w:sz w:val="32"/>
          <w:szCs w:val="32"/>
        </w:rPr>
        <w:t>在指标设置方面，一是存在指标体系不够完整、未全面反映正常业绩水平的情况，如产出指标无相关的质量、时效性等指标；又如效益指标中无社会效益等指标；二是绩效目标存在不合理的情况，成本指标的评价内容为下达中央预算内投资，与本项目成本控制关联性不强。</w:t>
      </w:r>
    </w:p>
    <w:p w14:paraId="5AB36E6C">
      <w:pPr>
        <w:spacing w:line="600" w:lineRule="exact"/>
        <w:ind w:firstLine="640" w:firstLineChars="200"/>
        <w:rPr>
          <w:rFonts w:ascii="方正仿宋_GBK" w:eastAsia="方正仿宋_GBK"/>
          <w:bCs/>
          <w:sz w:val="32"/>
          <w:szCs w:val="32"/>
        </w:rPr>
      </w:pPr>
      <w:r>
        <w:rPr>
          <w:rFonts w:hint="eastAsia" w:eastAsia="方正仿宋_GBK"/>
          <w:bCs/>
          <w:sz w:val="32"/>
          <w:szCs w:val="32"/>
        </w:rPr>
        <w:t>2.</w:t>
      </w:r>
      <w:r>
        <w:rPr>
          <w:rFonts w:hint="eastAsia" w:ascii="方正仿宋_GBK" w:eastAsia="方正仿宋_GBK"/>
          <w:bCs/>
          <w:sz w:val="32"/>
          <w:szCs w:val="32"/>
        </w:rPr>
        <w:t>年度绩效自评工作流于形式，自评得分与实际情况不符。</w:t>
      </w:r>
    </w:p>
    <w:p w14:paraId="31CC2149">
      <w:pPr>
        <w:spacing w:line="600" w:lineRule="exact"/>
        <w:ind w:firstLine="640" w:firstLineChars="200"/>
        <w:rPr>
          <w:rFonts w:eastAsia="方正仿宋_GBK"/>
          <w:bCs/>
          <w:sz w:val="32"/>
          <w:szCs w:val="32"/>
        </w:rPr>
      </w:pPr>
      <w:r>
        <w:rPr>
          <w:rFonts w:hint="eastAsia" w:ascii="方正仿宋_GBK" w:eastAsia="方正仿宋_GBK"/>
          <w:bCs/>
          <w:sz w:val="32"/>
          <w:szCs w:val="32"/>
        </w:rPr>
        <w:t>在</w:t>
      </w:r>
      <w:r>
        <w:rPr>
          <w:rFonts w:hint="eastAsia" w:eastAsia="方正仿宋_GBK"/>
          <w:bCs/>
          <w:sz w:val="32"/>
          <w:szCs w:val="32"/>
        </w:rPr>
        <w:t>2023</w:t>
      </w:r>
      <w:r>
        <w:rPr>
          <w:rFonts w:hint="eastAsia" w:ascii="方正仿宋_GBK" w:eastAsia="方正仿宋_GBK"/>
          <w:bCs/>
          <w:sz w:val="32"/>
          <w:szCs w:val="32"/>
        </w:rPr>
        <w:t>年年度绩效指标自评工作中，支持城市燃气管道等老化更新改造项目指标的指标值为完成年度改造计划，自评表中无法获取到</w:t>
      </w:r>
      <w:r>
        <w:rPr>
          <w:rFonts w:hint="eastAsia" w:eastAsia="方正仿宋_GBK"/>
          <w:bCs/>
          <w:sz w:val="32"/>
          <w:szCs w:val="32"/>
        </w:rPr>
        <w:t>2023</w:t>
      </w:r>
      <w:r>
        <w:rPr>
          <w:rFonts w:hint="eastAsia" w:ascii="方正仿宋_GBK" w:eastAsia="方正仿宋_GBK"/>
          <w:bCs/>
          <w:sz w:val="32"/>
          <w:szCs w:val="32"/>
        </w:rPr>
        <w:t>年具体的改造计划，结合本项目申请和批复资料，本项目计划完成时间为</w:t>
      </w:r>
      <w:r>
        <w:rPr>
          <w:rFonts w:hint="eastAsia" w:eastAsia="方正仿宋_GBK"/>
          <w:bCs/>
          <w:sz w:val="32"/>
          <w:szCs w:val="32"/>
        </w:rPr>
        <w:t>2023</w:t>
      </w:r>
      <w:r>
        <w:rPr>
          <w:rFonts w:hint="eastAsia" w:ascii="方正仿宋_GBK" w:eastAsia="方正仿宋_GBK"/>
          <w:bCs/>
          <w:sz w:val="32"/>
          <w:szCs w:val="32"/>
        </w:rPr>
        <w:t>年</w:t>
      </w:r>
      <w:r>
        <w:rPr>
          <w:rFonts w:hint="eastAsia" w:eastAsia="方正仿宋_GBK"/>
          <w:bCs/>
          <w:sz w:val="32"/>
          <w:szCs w:val="32"/>
        </w:rPr>
        <w:t>12</w:t>
      </w:r>
      <w:r>
        <w:rPr>
          <w:rFonts w:hint="eastAsia" w:ascii="方正仿宋_GBK" w:eastAsia="方正仿宋_GBK"/>
          <w:bCs/>
          <w:sz w:val="32"/>
          <w:szCs w:val="32"/>
        </w:rPr>
        <w:t>月，实际未在</w:t>
      </w:r>
      <w:r>
        <w:rPr>
          <w:rFonts w:hint="eastAsia" w:eastAsia="方正仿宋_GBK"/>
          <w:bCs/>
          <w:sz w:val="32"/>
          <w:szCs w:val="32"/>
        </w:rPr>
        <w:t>2023</w:t>
      </w:r>
      <w:r>
        <w:rPr>
          <w:rFonts w:hint="eastAsia" w:ascii="方正仿宋_GBK" w:eastAsia="方正仿宋_GBK"/>
          <w:bCs/>
          <w:sz w:val="32"/>
          <w:szCs w:val="32"/>
        </w:rPr>
        <w:t>年完成，但完成改造计划得分为满分。财政拨款执行率指标，项目年初预算数为</w:t>
      </w:r>
      <w:r>
        <w:rPr>
          <w:rFonts w:hint="eastAsia" w:eastAsia="方正仿宋_GBK"/>
          <w:bCs/>
          <w:sz w:val="32"/>
          <w:szCs w:val="32"/>
        </w:rPr>
        <w:t>11,097</w:t>
      </w:r>
      <w:r>
        <w:rPr>
          <w:rFonts w:hint="eastAsia" w:ascii="方正仿宋_GBK" w:eastAsia="方正仿宋_GBK"/>
          <w:bCs/>
          <w:sz w:val="32"/>
          <w:szCs w:val="32"/>
        </w:rPr>
        <w:t>万元，全年执行数为</w:t>
      </w:r>
      <w:r>
        <w:rPr>
          <w:rFonts w:hint="eastAsia" w:eastAsia="方正仿宋_GBK"/>
          <w:bCs/>
          <w:sz w:val="32"/>
          <w:szCs w:val="32"/>
        </w:rPr>
        <w:t>2,568</w:t>
      </w:r>
      <w:r>
        <w:rPr>
          <w:rFonts w:hint="eastAsia" w:ascii="方正仿宋_GBK" w:eastAsia="方正仿宋_GBK"/>
          <w:bCs/>
          <w:sz w:val="32"/>
          <w:szCs w:val="32"/>
        </w:rPr>
        <w:t>万元，预算执行率</w:t>
      </w:r>
      <w:r>
        <w:rPr>
          <w:rFonts w:hint="eastAsia" w:eastAsia="方正仿宋_GBK"/>
          <w:bCs/>
          <w:sz w:val="32"/>
          <w:szCs w:val="32"/>
        </w:rPr>
        <w:t>23.14%</w:t>
      </w:r>
      <w:r>
        <w:rPr>
          <w:rFonts w:hint="eastAsia" w:ascii="方正仿宋_GBK" w:eastAsia="方正仿宋_GBK"/>
          <w:bCs/>
          <w:sz w:val="32"/>
          <w:szCs w:val="32"/>
        </w:rPr>
        <w:t>（五个项目合并自评口径），执行率得分为满分。</w:t>
      </w:r>
    </w:p>
    <w:p w14:paraId="6AEAADC2">
      <w:pPr>
        <w:spacing w:line="600" w:lineRule="exact"/>
        <w:ind w:firstLine="640" w:firstLineChars="200"/>
        <w:outlineLvl w:val="1"/>
        <w:rPr>
          <w:rFonts w:eastAsia="方正黑体_GBK"/>
          <w:bCs/>
          <w:sz w:val="32"/>
          <w:szCs w:val="32"/>
        </w:rPr>
      </w:pPr>
      <w:bookmarkStart w:id="163" w:name="_Toc18185"/>
      <w:bookmarkStart w:id="164" w:name="_Toc170909621"/>
      <w:bookmarkStart w:id="165" w:name="_Toc19411"/>
      <w:r>
        <w:rPr>
          <w:rFonts w:eastAsia="方正黑体_GBK"/>
          <w:bCs/>
          <w:sz w:val="32"/>
          <w:szCs w:val="32"/>
        </w:rPr>
        <w:t>六、相关建议</w:t>
      </w:r>
      <w:bookmarkEnd w:id="146"/>
      <w:bookmarkEnd w:id="147"/>
      <w:bookmarkEnd w:id="148"/>
      <w:bookmarkEnd w:id="163"/>
      <w:bookmarkEnd w:id="164"/>
      <w:bookmarkEnd w:id="165"/>
    </w:p>
    <w:p w14:paraId="574EA1F7">
      <w:pPr>
        <w:spacing w:line="600" w:lineRule="exact"/>
        <w:ind w:firstLine="640" w:firstLineChars="200"/>
        <w:outlineLvl w:val="2"/>
        <w:rPr>
          <w:rFonts w:eastAsia="方正楷体_GBK"/>
          <w:bCs/>
          <w:sz w:val="32"/>
          <w:szCs w:val="32"/>
        </w:rPr>
      </w:pPr>
      <w:bookmarkStart w:id="166" w:name="_Toc8148"/>
      <w:bookmarkStart w:id="167" w:name="_Toc170909622"/>
      <w:bookmarkStart w:id="168" w:name="_Toc21263"/>
      <w:bookmarkStart w:id="169" w:name="_Hlk170133368"/>
      <w:bookmarkStart w:id="170" w:name="_Toc18585"/>
      <w:bookmarkStart w:id="171" w:name="_Toc10235"/>
      <w:bookmarkStart w:id="172" w:name="_Toc22694"/>
      <w:r>
        <w:rPr>
          <w:rFonts w:eastAsia="方正楷体_GBK"/>
          <w:bCs/>
          <w:sz w:val="32"/>
          <w:szCs w:val="32"/>
        </w:rPr>
        <w:t>（一）</w:t>
      </w:r>
      <w:r>
        <w:rPr>
          <w:rFonts w:hint="eastAsia" w:eastAsia="方正楷体_GBK"/>
          <w:bCs/>
          <w:sz w:val="32"/>
          <w:szCs w:val="32"/>
        </w:rPr>
        <w:t>加强项目前期工作研究深度、扎实推进前期工作的实施进度，提高财政资金配置效率和使用效益。</w:t>
      </w:r>
      <w:bookmarkEnd w:id="166"/>
      <w:bookmarkEnd w:id="167"/>
      <w:bookmarkEnd w:id="168"/>
    </w:p>
    <w:bookmarkEnd w:id="169"/>
    <w:p w14:paraId="6EB8790D">
      <w:pPr>
        <w:spacing w:line="600" w:lineRule="exact"/>
        <w:ind w:firstLine="640" w:firstLineChars="200"/>
        <w:rPr>
          <w:rFonts w:eastAsia="方正仿宋_GBK"/>
          <w:sz w:val="32"/>
          <w:szCs w:val="32"/>
        </w:rPr>
      </w:pPr>
      <w:r>
        <w:rPr>
          <w:rFonts w:hint="eastAsia" w:eastAsia="方正仿宋_GBK"/>
          <w:sz w:val="32"/>
          <w:szCs w:val="32"/>
        </w:rPr>
        <w:t>建议按照专项资金管理办法的规定，在项目申报资金时点，确保项目的前期工作条件成熟，项目内容和资金需求研究的深度、精细度和准确度符合专项资金申报要求和实际需求，降低后期实施过程中的偏离程度；同时，在项目前期工作中，加强与各单位的沟通和协调，严格按照既定的计划和时间表进行，确保各项任务能够按时完成，以提高财政资金配置效率和使用效益。</w:t>
      </w:r>
    </w:p>
    <w:p w14:paraId="406C0BA9">
      <w:pPr>
        <w:spacing w:line="600" w:lineRule="exact"/>
        <w:ind w:firstLine="640" w:firstLineChars="200"/>
        <w:outlineLvl w:val="2"/>
        <w:rPr>
          <w:rFonts w:eastAsia="方正楷体_GBK"/>
          <w:bCs/>
          <w:sz w:val="32"/>
          <w:szCs w:val="32"/>
        </w:rPr>
      </w:pPr>
      <w:bookmarkStart w:id="173" w:name="_Toc3727"/>
      <w:bookmarkStart w:id="174" w:name="_Toc13806"/>
      <w:bookmarkStart w:id="175" w:name="_Toc170909624"/>
      <w:bookmarkStart w:id="176" w:name="_Toc25672"/>
      <w:bookmarkStart w:id="177" w:name="_Toc18048"/>
      <w:r>
        <w:rPr>
          <w:rFonts w:hint="eastAsia" w:eastAsia="方正楷体_GBK"/>
          <w:bCs/>
          <w:sz w:val="32"/>
          <w:szCs w:val="32"/>
        </w:rPr>
        <w:t>（</w:t>
      </w:r>
      <w:r>
        <w:rPr>
          <w:rFonts w:hint="eastAsia" w:eastAsia="方正楷体_GBK"/>
          <w:bCs/>
          <w:sz w:val="32"/>
          <w:szCs w:val="32"/>
          <w:lang w:val="en-US" w:eastAsia="zh-CN"/>
        </w:rPr>
        <w:t>二</w:t>
      </w:r>
      <w:r>
        <w:rPr>
          <w:rFonts w:hint="eastAsia" w:eastAsia="方正楷体_GBK"/>
          <w:bCs/>
          <w:sz w:val="32"/>
          <w:szCs w:val="32"/>
        </w:rPr>
        <w:t>）重视绩效目标管理工作、提高绩效自评工作的严肃性，及时纠偏改错</w:t>
      </w:r>
      <w:bookmarkEnd w:id="173"/>
      <w:bookmarkEnd w:id="174"/>
      <w:r>
        <w:rPr>
          <w:rFonts w:hint="eastAsia" w:eastAsia="方正楷体_GBK"/>
          <w:bCs/>
          <w:sz w:val="32"/>
          <w:szCs w:val="32"/>
        </w:rPr>
        <w:t>。</w:t>
      </w:r>
      <w:bookmarkEnd w:id="175"/>
      <w:bookmarkEnd w:id="176"/>
      <w:bookmarkEnd w:id="177"/>
    </w:p>
    <w:p w14:paraId="79D08E2E">
      <w:pPr>
        <w:spacing w:line="600" w:lineRule="exact"/>
        <w:ind w:firstLine="640" w:firstLineChars="200"/>
        <w:rPr>
          <w:rFonts w:eastAsia="方正仿宋_GBK"/>
          <w:bCs/>
          <w:sz w:val="32"/>
          <w:szCs w:val="32"/>
        </w:rPr>
      </w:pPr>
      <w:r>
        <w:rPr>
          <w:rFonts w:hint="eastAsia" w:eastAsia="方正仿宋_GBK"/>
          <w:bCs/>
          <w:sz w:val="32"/>
          <w:szCs w:val="32"/>
        </w:rPr>
        <w:t>绩效目标在明确目标导向、提高财政资金利用效率、加强项目管理和监督、促进相关部门责任落实等方面都具有重要意义，建议项目单位重视绩效目标管理工作，结合项目实施目的以及项目实际设置合理、明确</w:t>
      </w:r>
      <w:r>
        <w:rPr>
          <w:rFonts w:eastAsia="方正仿宋_GBK"/>
          <w:bCs/>
          <w:sz w:val="32"/>
          <w:szCs w:val="32"/>
        </w:rPr>
        <w:t>、可衡量</w:t>
      </w:r>
      <w:r>
        <w:rPr>
          <w:rFonts w:hint="eastAsia" w:eastAsia="方正仿宋_GBK"/>
          <w:bCs/>
          <w:sz w:val="32"/>
          <w:szCs w:val="32"/>
        </w:rPr>
        <w:t>的绩效目标和指标，为项目过程管理、项目目标的实现起着引导作用。</w:t>
      </w:r>
    </w:p>
    <w:p w14:paraId="141C562D">
      <w:pPr>
        <w:spacing w:line="600" w:lineRule="exact"/>
        <w:ind w:firstLine="640" w:firstLineChars="200"/>
        <w:rPr>
          <w:rFonts w:eastAsia="方正仿宋_GBK"/>
          <w:bCs/>
          <w:sz w:val="32"/>
          <w:szCs w:val="32"/>
        </w:rPr>
      </w:pPr>
      <w:r>
        <w:rPr>
          <w:rFonts w:hint="eastAsia" w:eastAsia="方正仿宋_GBK"/>
          <w:bCs/>
          <w:sz w:val="32"/>
          <w:szCs w:val="32"/>
        </w:rPr>
        <w:t>同时，应严肃对待绩效自评工作，对项目的执行情况和效果进行客观、公正的评估，及时发现项目执行过程中存在的问题和不足，并采取相应的措施进行改进，确保项目的顺利实施，进一步提高财政资金的利用效率。</w:t>
      </w:r>
    </w:p>
    <w:p w14:paraId="6AA8A19C">
      <w:pPr>
        <w:spacing w:line="600" w:lineRule="exact"/>
        <w:ind w:firstLine="640" w:firstLineChars="200"/>
        <w:outlineLvl w:val="2"/>
        <w:rPr>
          <w:rFonts w:eastAsia="方正楷体_GBK"/>
          <w:bCs/>
          <w:sz w:val="32"/>
          <w:szCs w:val="32"/>
        </w:rPr>
      </w:pPr>
      <w:bookmarkStart w:id="178" w:name="_Toc170909625"/>
      <w:bookmarkStart w:id="179" w:name="_Toc10737"/>
      <w:r>
        <w:rPr>
          <w:rFonts w:hint="eastAsia" w:hAnsi="方正楷体_GBK" w:eastAsia="方正楷体_GBK" w:cs="方正楷体_GBK"/>
          <w:bCs/>
          <w:sz w:val="32"/>
          <w:szCs w:val="32"/>
        </w:rPr>
        <w:t>（</w:t>
      </w:r>
      <w:r>
        <w:rPr>
          <w:rFonts w:hint="eastAsia" w:hAnsi="方正楷体_GBK" w:eastAsia="方正楷体_GBK" w:cs="方正楷体_GBK"/>
          <w:bCs/>
          <w:sz w:val="32"/>
          <w:szCs w:val="32"/>
          <w:lang w:val="en-US" w:eastAsia="zh-CN"/>
        </w:rPr>
        <w:t>三</w:t>
      </w:r>
      <w:r>
        <w:rPr>
          <w:rFonts w:hint="eastAsia" w:hAnsi="方正楷体_GBK" w:eastAsia="方正楷体_GBK" w:cs="方正楷体_GBK"/>
          <w:bCs/>
          <w:sz w:val="32"/>
          <w:szCs w:val="32"/>
        </w:rPr>
        <w:t>）加强政策宣贯，做好项目解释、联系工作，提高居民对项目实施的认同感和支持率。</w:t>
      </w:r>
      <w:bookmarkEnd w:id="178"/>
      <w:bookmarkEnd w:id="179"/>
    </w:p>
    <w:p w14:paraId="01023A6D">
      <w:pPr>
        <w:spacing w:line="600" w:lineRule="exact"/>
        <w:ind w:firstLine="640" w:firstLineChars="200"/>
        <w:rPr>
          <w:rFonts w:eastAsia="方正仿宋_GBK"/>
          <w:bCs/>
          <w:sz w:val="32"/>
          <w:szCs w:val="32"/>
        </w:rPr>
      </w:pPr>
      <w:bookmarkStart w:id="180" w:name="_Hlk170899263"/>
      <w:r>
        <w:rPr>
          <w:rFonts w:hint="eastAsia" w:hAnsi="方正仿宋_GBK" w:eastAsia="方正仿宋_GBK" w:cs="方正仿宋_GBK"/>
          <w:bCs/>
          <w:sz w:val="32"/>
          <w:szCs w:val="32"/>
        </w:rPr>
        <w:t>根据我们现场调查结果显示，居民对本项目了解的比例仅为</w:t>
      </w:r>
      <w:r>
        <w:rPr>
          <w:rFonts w:eastAsia="方正仿宋_GBK"/>
          <w:bCs/>
          <w:sz w:val="32"/>
          <w:szCs w:val="32"/>
        </w:rPr>
        <w:t>75.18%</w:t>
      </w:r>
      <w:r>
        <w:rPr>
          <w:rFonts w:hint="eastAsia" w:hAnsi="方正仿宋_GBK" w:eastAsia="方正仿宋_GBK" w:cs="方正仿宋_GBK"/>
          <w:bCs/>
          <w:sz w:val="32"/>
          <w:szCs w:val="32"/>
        </w:rPr>
        <w:t>，认为未有工作人员到户进行改造的比例为</w:t>
      </w:r>
      <w:r>
        <w:rPr>
          <w:rFonts w:eastAsia="方正仿宋_GBK"/>
          <w:bCs/>
          <w:sz w:val="32"/>
          <w:szCs w:val="32"/>
        </w:rPr>
        <w:t>15.</w:t>
      </w:r>
      <w:r>
        <w:rPr>
          <w:rFonts w:hint="eastAsia" w:eastAsia="方正仿宋_GBK"/>
          <w:bCs/>
          <w:sz w:val="32"/>
          <w:szCs w:val="32"/>
        </w:rPr>
        <w:t>33</w:t>
      </w:r>
      <w:r>
        <w:rPr>
          <w:rFonts w:eastAsia="方正仿宋_GBK"/>
          <w:bCs/>
          <w:sz w:val="32"/>
          <w:szCs w:val="32"/>
        </w:rPr>
        <w:t>%</w:t>
      </w:r>
      <w:r>
        <w:rPr>
          <w:rFonts w:hint="eastAsia" w:hAnsi="方正仿宋_GBK" w:eastAsia="方正仿宋_GBK" w:cs="方正仿宋_GBK"/>
          <w:bCs/>
          <w:sz w:val="32"/>
          <w:szCs w:val="32"/>
        </w:rPr>
        <w:t>，拒绝改造的比例为</w:t>
      </w:r>
      <w:r>
        <w:rPr>
          <w:rFonts w:eastAsia="方正仿宋_GBK"/>
          <w:bCs/>
          <w:sz w:val="32"/>
          <w:szCs w:val="32"/>
        </w:rPr>
        <w:t>4.74%</w:t>
      </w:r>
      <w:r>
        <w:rPr>
          <w:rFonts w:hint="eastAsia" w:hAnsi="方正仿宋_GBK" w:eastAsia="方正仿宋_GBK" w:cs="方正仿宋_GBK"/>
          <w:bCs/>
          <w:sz w:val="32"/>
          <w:szCs w:val="32"/>
        </w:rPr>
        <w:t>。</w:t>
      </w:r>
      <w:bookmarkEnd w:id="180"/>
      <w:r>
        <w:rPr>
          <w:rFonts w:hint="eastAsia" w:hAnsi="方正仿宋_GBK" w:eastAsia="方正仿宋_GBK" w:cs="方正仿宋_GBK"/>
          <w:bCs/>
          <w:sz w:val="32"/>
          <w:szCs w:val="32"/>
        </w:rPr>
        <w:t>建议后续实施类似项目时，在项目开展前以及实施过程中，采取多种方式和渠道，加强政策的宣贯力度，向居民详细解释项目开展的目的、意义、实施步骤以及预期效果；同时，需积极与居民建立沟通渠道，及时解答他们的疑问和顾虑，确保他们了解并支持项目的推进，从而形成相关实施单位与居民之间的良好互动和合作，共同推动项目的成功实施。</w:t>
      </w:r>
    </w:p>
    <w:p w14:paraId="489E5675">
      <w:pPr>
        <w:spacing w:line="600" w:lineRule="exact"/>
        <w:ind w:firstLine="640" w:firstLineChars="200"/>
        <w:outlineLvl w:val="1"/>
        <w:rPr>
          <w:rFonts w:eastAsia="方正黑体_GBK"/>
          <w:bCs/>
          <w:sz w:val="32"/>
          <w:szCs w:val="32"/>
        </w:rPr>
      </w:pPr>
      <w:bookmarkStart w:id="181" w:name="_Toc170909626"/>
      <w:bookmarkStart w:id="182" w:name="_Toc19057"/>
      <w:bookmarkStart w:id="183" w:name="_Toc31431"/>
      <w:r>
        <w:rPr>
          <w:rFonts w:eastAsia="方正黑体_GBK"/>
          <w:bCs/>
          <w:sz w:val="32"/>
          <w:szCs w:val="32"/>
        </w:rPr>
        <w:t>七、其他需提醒的事项</w:t>
      </w:r>
      <w:bookmarkEnd w:id="181"/>
      <w:bookmarkEnd w:id="182"/>
      <w:bookmarkEnd w:id="183"/>
    </w:p>
    <w:p w14:paraId="00E98C0B">
      <w:pPr>
        <w:spacing w:line="600" w:lineRule="exact"/>
        <w:ind w:firstLine="640" w:firstLineChars="200"/>
        <w:outlineLvl w:val="2"/>
        <w:rPr>
          <w:rFonts w:eastAsia="方正楷体_GBK"/>
          <w:bCs/>
          <w:sz w:val="32"/>
          <w:szCs w:val="32"/>
        </w:rPr>
      </w:pPr>
      <w:bookmarkStart w:id="184" w:name="_Toc170909627"/>
      <w:bookmarkStart w:id="185" w:name="_Toc15051"/>
      <w:bookmarkStart w:id="186" w:name="_Toc14714"/>
      <w:r>
        <w:rPr>
          <w:rFonts w:hint="eastAsia" w:eastAsia="方正楷体_GBK"/>
          <w:bCs/>
          <w:sz w:val="32"/>
          <w:szCs w:val="32"/>
        </w:rPr>
        <w:t>（一）</w:t>
      </w:r>
      <w:bookmarkStart w:id="187" w:name="_Hlk170140178"/>
      <w:r>
        <w:rPr>
          <w:rFonts w:hint="eastAsia" w:eastAsia="方正楷体_GBK"/>
          <w:bCs/>
          <w:sz w:val="32"/>
          <w:szCs w:val="32"/>
        </w:rPr>
        <w:t>项目决算口径可能无法与预算口径一一匹配</w:t>
      </w:r>
      <w:bookmarkEnd w:id="184"/>
      <w:bookmarkEnd w:id="185"/>
      <w:bookmarkEnd w:id="186"/>
      <w:bookmarkEnd w:id="187"/>
    </w:p>
    <w:p w14:paraId="2F5A9596">
      <w:pPr>
        <w:spacing w:line="600" w:lineRule="exact"/>
        <w:ind w:firstLine="640" w:firstLineChars="200"/>
        <w:rPr>
          <w:rFonts w:ascii="方正仿宋_GBK" w:eastAsia="方正仿宋_GBK"/>
          <w:bCs/>
          <w:sz w:val="32"/>
          <w:szCs w:val="32"/>
        </w:rPr>
      </w:pPr>
      <w:r>
        <w:rPr>
          <w:rFonts w:hint="eastAsia" w:ascii="方正仿宋_GBK" w:eastAsia="方正仿宋_GBK"/>
          <w:bCs/>
          <w:sz w:val="32"/>
          <w:szCs w:val="32"/>
        </w:rPr>
        <w:t>本项目在实施过程中，区经信委因考虑到实施内容的相似性，故与铜梁区城市燃气管道老化更新改造项目、铜梁区老旧小区改造龙城片区城市燃气管道等老化更新改造项目、铜梁区老旧小区改造龙山片区城市燃气管道等老化更新改造项目、铜梁区老旧小区改造正街片区城市燃气管道等老化更新改造项目共同开展项目招标或采购工作。经查阅合同资料，可研合同、设计合同、施工图审查合同、施工合同的合同金额可以分项目进行划分，监理合同、跟审合同、施工材料第三方复检合同、焊缝探伤无损检测合同、燃气短桩接地电阻检测合同均包含五个项目，仅签订一个合同总金额，无法分项目对合同金额进行划分，合计合同金额</w:t>
      </w:r>
      <w:r>
        <w:rPr>
          <w:rFonts w:hint="eastAsia" w:eastAsia="方正仿宋_GBK"/>
          <w:bCs/>
          <w:sz w:val="32"/>
          <w:szCs w:val="32"/>
        </w:rPr>
        <w:t>220.37</w:t>
      </w:r>
      <w:r>
        <w:rPr>
          <w:rFonts w:hint="eastAsia" w:ascii="方正仿宋_GBK" w:eastAsia="方正仿宋_GBK"/>
          <w:bCs/>
          <w:sz w:val="32"/>
          <w:szCs w:val="32"/>
        </w:rPr>
        <w:t>万元，可能存在未来单个项目决算时，项目决算金额无法与预算金额口径一一匹配的情况。</w:t>
      </w:r>
    </w:p>
    <w:p w14:paraId="13C9850E">
      <w:pPr>
        <w:spacing w:line="600" w:lineRule="exact"/>
        <w:ind w:firstLine="640" w:firstLineChars="200"/>
        <w:outlineLvl w:val="2"/>
        <w:rPr>
          <w:rFonts w:eastAsia="方正楷体_GBK"/>
          <w:bCs/>
          <w:sz w:val="32"/>
          <w:szCs w:val="32"/>
        </w:rPr>
      </w:pPr>
      <w:bookmarkStart w:id="188" w:name="_Toc10153"/>
      <w:bookmarkStart w:id="189" w:name="_Toc170909628"/>
      <w:bookmarkStart w:id="190" w:name="_Toc16816"/>
      <w:r>
        <w:rPr>
          <w:rFonts w:hint="eastAsia" w:eastAsia="方正楷体_GBK"/>
          <w:bCs/>
          <w:sz w:val="32"/>
          <w:szCs w:val="32"/>
        </w:rPr>
        <w:t>（二）存在大量无法入户整改的情况</w:t>
      </w:r>
      <w:bookmarkEnd w:id="188"/>
      <w:bookmarkEnd w:id="189"/>
      <w:bookmarkEnd w:id="190"/>
    </w:p>
    <w:p w14:paraId="228129E3">
      <w:pPr>
        <w:spacing w:line="600" w:lineRule="exact"/>
        <w:ind w:firstLine="640" w:firstLineChars="200"/>
        <w:rPr>
          <w:rFonts w:eastAsia="方正仿宋_GBK"/>
          <w:bCs/>
          <w:sz w:val="32"/>
          <w:szCs w:val="32"/>
        </w:rPr>
      </w:pPr>
      <w:r>
        <w:rPr>
          <w:rFonts w:eastAsia="方正仿宋_GBK"/>
          <w:bCs/>
          <w:sz w:val="32"/>
          <w:szCs w:val="32"/>
        </w:rPr>
        <w:t>本次中央预算内投资计划1</w:t>
      </w:r>
      <w:r>
        <w:rPr>
          <w:rFonts w:hint="eastAsia" w:eastAsia="方正仿宋_GBK"/>
          <w:bCs/>
          <w:sz w:val="32"/>
          <w:szCs w:val="32"/>
        </w:rPr>
        <w:t>,</w:t>
      </w:r>
      <w:r>
        <w:rPr>
          <w:rFonts w:eastAsia="方正仿宋_GBK"/>
          <w:bCs/>
          <w:sz w:val="32"/>
          <w:szCs w:val="32"/>
        </w:rPr>
        <w:t>1097万元项下的5个项目合计应入户改造138404户，根据区经信委2024年6月21日提供的《未整改明细》显示，本项目尚未入户整改有22446户，未整改率16.22%（区经信委无法单独提供本项目未整改数据）。</w:t>
      </w:r>
    </w:p>
    <w:p w14:paraId="35A91BE9">
      <w:pPr>
        <w:spacing w:line="600" w:lineRule="exact"/>
        <w:ind w:firstLine="640" w:firstLineChars="200"/>
        <w:rPr>
          <w:rFonts w:eastAsia="方正仿宋_GBK"/>
          <w:bCs/>
          <w:sz w:val="32"/>
          <w:szCs w:val="32"/>
        </w:rPr>
      </w:pPr>
      <w:r>
        <w:rPr>
          <w:rFonts w:eastAsia="方正仿宋_GBK"/>
          <w:bCs/>
          <w:sz w:val="32"/>
          <w:szCs w:val="32"/>
        </w:rPr>
        <w:t>根据问卷调查以及访谈了解，未入户整改的原因主要系施工人员到户不遇、联系不畅，居民称未遇工作人员上门或未得到通知、因自身原因不愿意改造等。区经信委已同相关街道开展协调会议，通过微信群、电话等多种渠道联系用户，并在小区公告栏处张贴公告告知最后整改时间。未来可能存在用户称本次改造未通知到自己，要求区经信委再次整改或进行投诉等情况发生。建议区经信委逐户做好联系记录，包括但不限于联系</w:t>
      </w:r>
      <w:r>
        <w:rPr>
          <w:rFonts w:hint="eastAsia" w:eastAsia="方正仿宋_GBK"/>
          <w:bCs/>
          <w:sz w:val="32"/>
          <w:szCs w:val="32"/>
          <w:lang w:eastAsia="zh-CN"/>
        </w:rPr>
        <w:t>情况台账</w:t>
      </w:r>
      <w:bookmarkStart w:id="194" w:name="_GoBack"/>
      <w:bookmarkEnd w:id="194"/>
      <w:r>
        <w:rPr>
          <w:rFonts w:eastAsia="方正仿宋_GBK"/>
          <w:bCs/>
          <w:sz w:val="32"/>
          <w:szCs w:val="32"/>
        </w:rPr>
        <w:t>记录、影像资料记录等，并制定好后续可能发生的要求整改或投诉事件的应对措施。</w:t>
      </w:r>
    </w:p>
    <w:p w14:paraId="245F8311">
      <w:pPr>
        <w:spacing w:line="600" w:lineRule="exact"/>
        <w:ind w:firstLine="640" w:firstLineChars="200"/>
        <w:outlineLvl w:val="2"/>
        <w:rPr>
          <w:rFonts w:eastAsia="方正楷体_GBK"/>
          <w:bCs/>
          <w:sz w:val="32"/>
          <w:szCs w:val="32"/>
        </w:rPr>
      </w:pPr>
      <w:bookmarkStart w:id="191" w:name="_Toc170909629"/>
      <w:bookmarkStart w:id="192" w:name="_Toc29693"/>
      <w:bookmarkStart w:id="193" w:name="_Toc5197"/>
      <w:r>
        <w:rPr>
          <w:rFonts w:hint="eastAsia" w:eastAsia="方正楷体_GBK"/>
          <w:bCs/>
          <w:sz w:val="32"/>
          <w:szCs w:val="32"/>
        </w:rPr>
        <w:t>（三）可能引发负面舆情或投诉事件</w:t>
      </w:r>
      <w:bookmarkEnd w:id="191"/>
      <w:bookmarkEnd w:id="192"/>
      <w:bookmarkEnd w:id="193"/>
    </w:p>
    <w:p w14:paraId="058D490F">
      <w:pPr>
        <w:spacing w:line="600" w:lineRule="exact"/>
        <w:ind w:firstLine="640" w:firstLineChars="200"/>
        <w:rPr>
          <w:rFonts w:eastAsia="方正仿宋_GBK"/>
          <w:bCs/>
          <w:sz w:val="32"/>
          <w:szCs w:val="32"/>
        </w:rPr>
      </w:pPr>
      <w:r>
        <w:rPr>
          <w:rFonts w:hint="eastAsia" w:eastAsia="方正仿宋_GBK"/>
          <w:bCs/>
          <w:sz w:val="32"/>
          <w:szCs w:val="32"/>
        </w:rPr>
        <w:t>根据我们现场调查结果显示，本项目居民满意度为</w:t>
      </w:r>
      <w:r>
        <w:rPr>
          <w:rFonts w:hint="eastAsia" w:eastAsia="方正仿宋_GBK"/>
          <w:bCs/>
          <w:sz w:val="32"/>
          <w:szCs w:val="32"/>
          <w:lang w:val="en-US" w:eastAsia="zh-CN"/>
        </w:rPr>
        <w:t>71.54%</w:t>
      </w:r>
      <w:r>
        <w:rPr>
          <w:rFonts w:hint="eastAsia" w:eastAsia="方正仿宋_GBK"/>
          <w:bCs/>
          <w:sz w:val="32"/>
          <w:szCs w:val="32"/>
        </w:rPr>
        <w:t>，共有44户反馈意见，主要意见集中在燃气费用不合理（30户认为燃气费突增、1户认为未使用却产生费用）、燃气不足、报警器不报警、安装后未说明使用方法，分别占比70.45%、11.36%、9.09%以及4.55%。本项目涉及民生服务工程，直接影响居民的生活质量和安全感，建议高度重视居民的反馈，要求相关单位迅速采取有效措施，如上门沟通了解情况或做好解释工作、全面开展数据比对、自查自纠等，提高居民的认同感和满意度。</w:t>
      </w:r>
    </w:p>
    <w:bookmarkEnd w:id="170"/>
    <w:bookmarkEnd w:id="171"/>
    <w:bookmarkEnd w:id="172"/>
    <w:p w14:paraId="2D930CE5">
      <w:pPr>
        <w:spacing w:line="600" w:lineRule="exact"/>
        <w:ind w:left="1800" w:leftChars="400" w:hanging="960" w:hangingChars="300"/>
        <w:jc w:val="left"/>
        <w:rPr>
          <w:rFonts w:eastAsia="方正仿宋_GBK"/>
          <w:sz w:val="32"/>
          <w:szCs w:val="32"/>
        </w:rPr>
      </w:pPr>
    </w:p>
    <w:p w14:paraId="5BFD32BF">
      <w:pPr>
        <w:spacing w:line="600" w:lineRule="exact"/>
        <w:ind w:left="1800" w:leftChars="400" w:hanging="960" w:hangingChars="300"/>
        <w:jc w:val="left"/>
        <w:rPr>
          <w:rFonts w:eastAsia="方正仿宋_GBK"/>
          <w:sz w:val="32"/>
          <w:szCs w:val="32"/>
        </w:rPr>
      </w:pPr>
      <w:r>
        <w:rPr>
          <w:rFonts w:eastAsia="方正仿宋_GBK"/>
          <w:sz w:val="32"/>
          <w:szCs w:val="32"/>
        </w:rPr>
        <w:t>附件</w:t>
      </w:r>
      <w:r>
        <w:rPr>
          <w:rFonts w:eastAsia="仿宋"/>
          <w:sz w:val="32"/>
          <w:szCs w:val="32"/>
        </w:rPr>
        <w:t>：</w:t>
      </w:r>
      <w:r>
        <w:rPr>
          <w:rFonts w:eastAsia="方正仿宋_GBK"/>
          <w:sz w:val="32"/>
          <w:szCs w:val="32"/>
        </w:rPr>
        <w:t>重庆市铜梁区2023年财政重点项目绩效评价指标体系及评分表--铜梁区城市燃气管道老化更新改造项目</w:t>
      </w:r>
    </w:p>
    <w:p w14:paraId="798C8381">
      <w:pPr>
        <w:spacing w:line="600" w:lineRule="exact"/>
        <w:jc w:val="left"/>
        <w:rPr>
          <w:rFonts w:eastAsia="仿宋"/>
          <w:color w:val="000000"/>
          <w:sz w:val="32"/>
          <w:szCs w:val="32"/>
        </w:rPr>
      </w:pPr>
    </w:p>
    <w:p w14:paraId="61C63020">
      <w:pPr>
        <w:spacing w:line="600" w:lineRule="exact"/>
        <w:jc w:val="left"/>
        <w:rPr>
          <w:rFonts w:eastAsia="仿宋"/>
          <w:color w:val="000000"/>
          <w:sz w:val="32"/>
          <w:szCs w:val="32"/>
        </w:rPr>
      </w:pPr>
    </w:p>
    <w:bookmarkEnd w:id="11"/>
    <w:bookmarkEnd w:id="13"/>
    <w:bookmarkEnd w:id="14"/>
    <w:bookmarkEnd w:id="15"/>
    <w:bookmarkEnd w:id="16"/>
    <w:bookmarkEnd w:id="17"/>
    <w:bookmarkEnd w:id="18"/>
    <w:bookmarkEnd w:id="19"/>
    <w:bookmarkEnd w:id="20"/>
    <w:bookmarkEnd w:id="21"/>
    <w:bookmarkEnd w:id="22"/>
    <w:bookmarkEnd w:id="23"/>
    <w:p w14:paraId="409041C6">
      <w:pPr>
        <w:adjustRightInd w:val="0"/>
        <w:snapToGrid w:val="0"/>
        <w:spacing w:line="600" w:lineRule="exact"/>
        <w:ind w:right="630" w:rightChars="300"/>
        <w:jc w:val="right"/>
        <w:rPr>
          <w:rFonts w:eastAsia="方正仿宋_GBK"/>
          <w:b/>
          <w:bCs/>
          <w:color w:val="000000"/>
          <w:sz w:val="32"/>
          <w:szCs w:val="32"/>
        </w:rPr>
      </w:pPr>
      <w:r>
        <w:rPr>
          <w:rFonts w:ascii="方正仿宋_GBK" w:eastAsia="方正仿宋_GBK"/>
          <w:b/>
          <w:bCs/>
          <w:color w:val="000000"/>
          <w:sz w:val="32"/>
          <w:szCs w:val="32"/>
        </w:rPr>
        <w:t>中审众环会计师事务所（特殊普通合伙）重庆分所</w:t>
      </w:r>
    </w:p>
    <w:p w14:paraId="2B36ECDE">
      <w:pPr>
        <w:widowControl/>
        <w:adjustRightInd w:val="0"/>
        <w:snapToGrid w:val="0"/>
        <w:spacing w:line="600" w:lineRule="exact"/>
        <w:ind w:right="840" w:rightChars="400"/>
        <w:jc w:val="right"/>
        <w:rPr>
          <w:rFonts w:eastAsia="方正小标宋_GBK"/>
          <w:bCs/>
          <w:sz w:val="36"/>
          <w:szCs w:val="36"/>
        </w:rPr>
      </w:pPr>
      <w:r>
        <w:rPr>
          <w:rFonts w:ascii="方正仿宋_GBK" w:eastAsia="方正仿宋_GBK"/>
          <w:b/>
          <w:bCs/>
          <w:color w:val="000000"/>
          <w:sz w:val="32"/>
          <w:szCs w:val="32"/>
        </w:rPr>
        <w:t>二〇二四年</w:t>
      </w:r>
      <w:r>
        <w:rPr>
          <w:rFonts w:hint="eastAsia" w:ascii="方正仿宋_GBK" w:eastAsia="方正仿宋_GBK"/>
          <w:b/>
          <w:bCs/>
          <w:color w:val="000000"/>
          <w:sz w:val="32"/>
          <w:szCs w:val="32"/>
        </w:rPr>
        <w:t>七</w:t>
      </w:r>
      <w:r>
        <w:rPr>
          <w:rFonts w:ascii="方正仿宋_GBK" w:eastAsia="方正仿宋_GBK"/>
          <w:b/>
          <w:bCs/>
          <w:color w:val="000000"/>
          <w:sz w:val="32"/>
          <w:szCs w:val="32"/>
        </w:rPr>
        <w:t>月</w:t>
      </w:r>
      <w:r>
        <w:rPr>
          <w:rFonts w:hint="eastAsia" w:ascii="方正仿宋_GBK" w:eastAsia="方正仿宋_GBK"/>
          <w:b/>
          <w:bCs/>
          <w:color w:val="000000"/>
          <w:sz w:val="32"/>
          <w:szCs w:val="32"/>
        </w:rPr>
        <w:t>二十三</w:t>
      </w:r>
      <w:r>
        <w:rPr>
          <w:rFonts w:ascii="方正仿宋_GBK" w:eastAsia="方正仿宋_GBK"/>
          <w:b/>
          <w:bCs/>
          <w:color w:val="000000"/>
          <w:sz w:val="32"/>
          <w:szCs w:val="32"/>
        </w:rPr>
        <w:t>日</w:t>
      </w:r>
    </w:p>
    <w:p w14:paraId="0BA761D8">
      <w:pPr>
        <w:spacing w:line="600" w:lineRule="exact"/>
        <w:jc w:val="left"/>
        <w:rPr>
          <w:sz w:val="24"/>
        </w:rPr>
      </w:pPr>
    </w:p>
    <w:p w14:paraId="3CA4B843">
      <w:pPr>
        <w:spacing w:line="600" w:lineRule="exact"/>
        <w:jc w:val="left"/>
        <w:rPr>
          <w:sz w:val="24"/>
        </w:rPr>
      </w:pPr>
    </w:p>
    <w:sectPr>
      <w:footerReference r:id="rId7" w:type="default"/>
      <w:pgSz w:w="11906" w:h="16838"/>
      <w:pgMar w:top="1440" w:right="1418" w:bottom="1440" w:left="1701"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E2083">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3335D">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C4025">
    <w:pPr>
      <w:pStyle w:val="17"/>
      <w:jc w:val="center"/>
    </w:pPr>
    <w:r>
      <w:fldChar w:fldCharType="begin"/>
    </w:r>
    <w:r>
      <w:instrText xml:space="preserve">PAGE   \* MERGEFORMAT</w:instrText>
    </w:r>
    <w:r>
      <w:fldChar w:fldCharType="separate"/>
    </w:r>
    <w:r>
      <w:rPr>
        <w:lang w:val="zh-CN"/>
      </w:rPr>
      <w:t>27</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56793">
    <w:pPr>
      <w:pStyle w:val="47"/>
      <w:pBdr>
        <w:bottom w:val="single" w:color="auto" w:sz="4" w:space="0"/>
      </w:pBdr>
      <w:spacing w:line="300" w:lineRule="exact"/>
      <w:jc w:val="left"/>
    </w:pPr>
    <w:r>
      <w:rPr>
        <w:rFonts w:hint="eastAsia"/>
      </w:rPr>
      <w:drawing>
        <wp:anchor distT="0" distB="0" distL="114300" distR="114300" simplePos="0" relativeHeight="251659264" behindDoc="0" locked="0" layoutInCell="1" allowOverlap="1">
          <wp:simplePos x="0" y="0"/>
          <wp:positionH relativeFrom="column">
            <wp:posOffset>-5080</wp:posOffset>
          </wp:positionH>
          <wp:positionV relativeFrom="paragraph">
            <wp:posOffset>11430</wp:posOffset>
          </wp:positionV>
          <wp:extent cx="1250950" cy="361315"/>
          <wp:effectExtent l="0" t="0" r="0" b="0"/>
          <wp:wrapNone/>
          <wp:docPr id="25"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0950" cy="361315"/>
                  </a:xfrm>
                  <a:prstGeom prst="rect">
                    <a:avLst/>
                  </a:prstGeom>
                  <a:noFill/>
                  <a:ln>
                    <a:noFill/>
                  </a:ln>
                </pic:spPr>
              </pic:pic>
            </a:graphicData>
          </a:graphic>
        </wp:anchor>
      </w:drawing>
    </w:r>
  </w:p>
  <w:p w14:paraId="2F5D3759">
    <w:pPr>
      <w:pStyle w:val="47"/>
      <w:pBdr>
        <w:bottom w:val="single" w:color="auto" w:sz="4" w:space="0"/>
      </w:pBdr>
      <w:spacing w:line="300" w:lineRule="exact"/>
      <w:ind w:firstLine="4935" w:firstLineChars="235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B9D07">
    <w:pPr>
      <w:pStyle w:val="66"/>
      <w:widowControl/>
      <w:spacing w:line="300" w:lineRule="exact"/>
      <w:ind w:firstLine="1800" w:firstLineChars="1000"/>
      <w:jc w:val="left"/>
      <w:rPr>
        <w:rFonts w:ascii="Arial" w:hAnsi="Arial"/>
        <w:sz w:val="18"/>
        <w:szCs w:val="18"/>
      </w:rPr>
    </w:pPr>
    <w:r>
      <w:rPr>
        <w:rFonts w:hint="eastAsia"/>
        <w:sz w:val="18"/>
        <w:szCs w:val="18"/>
      </w:rPr>
      <w:drawing>
        <wp:anchor distT="0" distB="0" distL="114300" distR="114300" simplePos="0" relativeHeight="251660288" behindDoc="0" locked="0" layoutInCell="1" allowOverlap="1">
          <wp:simplePos x="0" y="0"/>
          <wp:positionH relativeFrom="column">
            <wp:posOffset>-5080</wp:posOffset>
          </wp:positionH>
          <wp:positionV relativeFrom="paragraph">
            <wp:posOffset>11430</wp:posOffset>
          </wp:positionV>
          <wp:extent cx="1250950" cy="361315"/>
          <wp:effectExtent l="0" t="0" r="0" b="0"/>
          <wp:wrapNone/>
          <wp:docPr id="3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0950" cy="361315"/>
                  </a:xfrm>
                  <a:prstGeom prst="rect">
                    <a:avLst/>
                  </a:prstGeom>
                  <a:noFill/>
                  <a:ln>
                    <a:noFill/>
                  </a:ln>
                </pic:spPr>
              </pic:pic>
            </a:graphicData>
          </a:graphic>
        </wp:anchor>
      </w:drawing>
    </w:r>
    <w:r>
      <w:rPr>
        <w:rFonts w:hint="eastAsia" w:cs="宋体"/>
        <w:sz w:val="18"/>
        <w:szCs w:val="18"/>
      </w:rPr>
      <w:t>中 中审众环会计师事务所（特殊普通合伙）重庆分所</w:t>
    </w:r>
  </w:p>
  <w:p w14:paraId="4165BC31">
    <w:pPr>
      <w:pStyle w:val="66"/>
      <w:widowControl/>
      <w:spacing w:line="300" w:lineRule="exact"/>
      <w:ind w:firstLine="2070" w:firstLineChars="1150"/>
      <w:jc w:val="left"/>
    </w:pPr>
    <w:r>
      <w:rPr>
        <w:rFonts w:ascii="Arial" w:hAnsi="Arial" w:cs="Arial"/>
        <w:sz w:val="18"/>
        <w:szCs w:val="18"/>
      </w:rPr>
      <w:t>Chongqing Branch of Zhongshenzhonghuan Certified Public Accountants LLP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FkMWJkNzdkODFiMjE3ZDcyMTYzYTBjYzkxNGY2MTkifQ=="/>
  </w:docVars>
  <w:rsids>
    <w:rsidRoot w:val="00172A27"/>
    <w:rsid w:val="00001CE0"/>
    <w:rsid w:val="0000374B"/>
    <w:rsid w:val="0001089C"/>
    <w:rsid w:val="000171CD"/>
    <w:rsid w:val="000211AA"/>
    <w:rsid w:val="00024CD7"/>
    <w:rsid w:val="00032C45"/>
    <w:rsid w:val="00034DBB"/>
    <w:rsid w:val="00051466"/>
    <w:rsid w:val="0006131B"/>
    <w:rsid w:val="000813B3"/>
    <w:rsid w:val="0008538E"/>
    <w:rsid w:val="000878C0"/>
    <w:rsid w:val="000A0852"/>
    <w:rsid w:val="000A6D4F"/>
    <w:rsid w:val="000C0586"/>
    <w:rsid w:val="000C639B"/>
    <w:rsid w:val="000D6A83"/>
    <w:rsid w:val="000E0D0E"/>
    <w:rsid w:val="000E41F3"/>
    <w:rsid w:val="000F3568"/>
    <w:rsid w:val="000F5D09"/>
    <w:rsid w:val="000F73CE"/>
    <w:rsid w:val="00101B77"/>
    <w:rsid w:val="00125FB7"/>
    <w:rsid w:val="00131838"/>
    <w:rsid w:val="00136E7D"/>
    <w:rsid w:val="00137554"/>
    <w:rsid w:val="00141020"/>
    <w:rsid w:val="00143F55"/>
    <w:rsid w:val="0014772D"/>
    <w:rsid w:val="00152D10"/>
    <w:rsid w:val="00154463"/>
    <w:rsid w:val="0016466D"/>
    <w:rsid w:val="00164F03"/>
    <w:rsid w:val="001652B8"/>
    <w:rsid w:val="00165D68"/>
    <w:rsid w:val="00172A27"/>
    <w:rsid w:val="00172DD7"/>
    <w:rsid w:val="00173810"/>
    <w:rsid w:val="0018391E"/>
    <w:rsid w:val="001877C1"/>
    <w:rsid w:val="001A18F8"/>
    <w:rsid w:val="001A611D"/>
    <w:rsid w:val="001A6B40"/>
    <w:rsid w:val="001A7E8C"/>
    <w:rsid w:val="001B142F"/>
    <w:rsid w:val="001C191D"/>
    <w:rsid w:val="001C1A0F"/>
    <w:rsid w:val="001C5AEB"/>
    <w:rsid w:val="001D2BCD"/>
    <w:rsid w:val="001D3AD0"/>
    <w:rsid w:val="001D47BE"/>
    <w:rsid w:val="001D58E8"/>
    <w:rsid w:val="001D6943"/>
    <w:rsid w:val="001E14DA"/>
    <w:rsid w:val="001E31EC"/>
    <w:rsid w:val="001E35C7"/>
    <w:rsid w:val="001E3A88"/>
    <w:rsid w:val="001F139B"/>
    <w:rsid w:val="001F639A"/>
    <w:rsid w:val="002011A3"/>
    <w:rsid w:val="00210205"/>
    <w:rsid w:val="00214560"/>
    <w:rsid w:val="00216F3F"/>
    <w:rsid w:val="002174A5"/>
    <w:rsid w:val="00223018"/>
    <w:rsid w:val="0022747E"/>
    <w:rsid w:val="00230304"/>
    <w:rsid w:val="002310FB"/>
    <w:rsid w:val="00231748"/>
    <w:rsid w:val="00232020"/>
    <w:rsid w:val="00233611"/>
    <w:rsid w:val="00233910"/>
    <w:rsid w:val="00240436"/>
    <w:rsid w:val="00240CF8"/>
    <w:rsid w:val="00242A78"/>
    <w:rsid w:val="0024430E"/>
    <w:rsid w:val="00246E12"/>
    <w:rsid w:val="00254326"/>
    <w:rsid w:val="00255AFA"/>
    <w:rsid w:val="00265B52"/>
    <w:rsid w:val="00272A2F"/>
    <w:rsid w:val="00272B79"/>
    <w:rsid w:val="0028064B"/>
    <w:rsid w:val="00280806"/>
    <w:rsid w:val="00287229"/>
    <w:rsid w:val="00294A7A"/>
    <w:rsid w:val="00294E99"/>
    <w:rsid w:val="002A7EB9"/>
    <w:rsid w:val="002C0F5A"/>
    <w:rsid w:val="002C4AB9"/>
    <w:rsid w:val="002C4F52"/>
    <w:rsid w:val="002C5C4C"/>
    <w:rsid w:val="002D0EAE"/>
    <w:rsid w:val="002D16E0"/>
    <w:rsid w:val="002E0C28"/>
    <w:rsid w:val="002E5201"/>
    <w:rsid w:val="002F1CAC"/>
    <w:rsid w:val="002F63F4"/>
    <w:rsid w:val="00300FDD"/>
    <w:rsid w:val="00304137"/>
    <w:rsid w:val="0031251F"/>
    <w:rsid w:val="003157C1"/>
    <w:rsid w:val="00324734"/>
    <w:rsid w:val="00327515"/>
    <w:rsid w:val="00330222"/>
    <w:rsid w:val="00336580"/>
    <w:rsid w:val="00337BBF"/>
    <w:rsid w:val="003454FF"/>
    <w:rsid w:val="00345599"/>
    <w:rsid w:val="003458F3"/>
    <w:rsid w:val="003539DA"/>
    <w:rsid w:val="00353EDE"/>
    <w:rsid w:val="00354967"/>
    <w:rsid w:val="00354A4E"/>
    <w:rsid w:val="00357436"/>
    <w:rsid w:val="00360351"/>
    <w:rsid w:val="003619DD"/>
    <w:rsid w:val="003668CA"/>
    <w:rsid w:val="00367FE2"/>
    <w:rsid w:val="00372333"/>
    <w:rsid w:val="00375594"/>
    <w:rsid w:val="00382025"/>
    <w:rsid w:val="003B5687"/>
    <w:rsid w:val="003C358C"/>
    <w:rsid w:val="003C725D"/>
    <w:rsid w:val="003D0F6E"/>
    <w:rsid w:val="003D2585"/>
    <w:rsid w:val="003E4240"/>
    <w:rsid w:val="003E632F"/>
    <w:rsid w:val="003F0262"/>
    <w:rsid w:val="003F3E47"/>
    <w:rsid w:val="00400D67"/>
    <w:rsid w:val="00401064"/>
    <w:rsid w:val="0040219D"/>
    <w:rsid w:val="00403F57"/>
    <w:rsid w:val="00407910"/>
    <w:rsid w:val="00415A51"/>
    <w:rsid w:val="00421B76"/>
    <w:rsid w:val="00422B5B"/>
    <w:rsid w:val="004334F0"/>
    <w:rsid w:val="004446A5"/>
    <w:rsid w:val="00445B90"/>
    <w:rsid w:val="00446477"/>
    <w:rsid w:val="00452B0E"/>
    <w:rsid w:val="00461227"/>
    <w:rsid w:val="00464DD3"/>
    <w:rsid w:val="004662AD"/>
    <w:rsid w:val="004827A6"/>
    <w:rsid w:val="00485B6A"/>
    <w:rsid w:val="00491158"/>
    <w:rsid w:val="00492737"/>
    <w:rsid w:val="00495FF4"/>
    <w:rsid w:val="004A01E4"/>
    <w:rsid w:val="004A236A"/>
    <w:rsid w:val="004A31AB"/>
    <w:rsid w:val="004B286E"/>
    <w:rsid w:val="004B2ED4"/>
    <w:rsid w:val="004B53B4"/>
    <w:rsid w:val="004C28D5"/>
    <w:rsid w:val="004D0273"/>
    <w:rsid w:val="004D3968"/>
    <w:rsid w:val="004D3B2F"/>
    <w:rsid w:val="004E000D"/>
    <w:rsid w:val="004E1754"/>
    <w:rsid w:val="004E276D"/>
    <w:rsid w:val="004E3859"/>
    <w:rsid w:val="004E49C3"/>
    <w:rsid w:val="004F3EDA"/>
    <w:rsid w:val="004F6487"/>
    <w:rsid w:val="00500714"/>
    <w:rsid w:val="00503AE7"/>
    <w:rsid w:val="005116AE"/>
    <w:rsid w:val="00514314"/>
    <w:rsid w:val="00516894"/>
    <w:rsid w:val="00523E73"/>
    <w:rsid w:val="00525A0F"/>
    <w:rsid w:val="005319DA"/>
    <w:rsid w:val="00532D6C"/>
    <w:rsid w:val="0053557C"/>
    <w:rsid w:val="0055127C"/>
    <w:rsid w:val="00552BF1"/>
    <w:rsid w:val="0055305A"/>
    <w:rsid w:val="005533C4"/>
    <w:rsid w:val="00554154"/>
    <w:rsid w:val="00554746"/>
    <w:rsid w:val="00556457"/>
    <w:rsid w:val="0056287D"/>
    <w:rsid w:val="0056603E"/>
    <w:rsid w:val="00566DE5"/>
    <w:rsid w:val="00571D37"/>
    <w:rsid w:val="005720FF"/>
    <w:rsid w:val="00574E15"/>
    <w:rsid w:val="00575335"/>
    <w:rsid w:val="005821DE"/>
    <w:rsid w:val="00583226"/>
    <w:rsid w:val="005867BA"/>
    <w:rsid w:val="00587589"/>
    <w:rsid w:val="00590E16"/>
    <w:rsid w:val="005A26A0"/>
    <w:rsid w:val="005A3D2D"/>
    <w:rsid w:val="005A6FDF"/>
    <w:rsid w:val="005B1E5C"/>
    <w:rsid w:val="005C21D7"/>
    <w:rsid w:val="005C3C09"/>
    <w:rsid w:val="005D0060"/>
    <w:rsid w:val="005D02D0"/>
    <w:rsid w:val="005D5F45"/>
    <w:rsid w:val="005D7AEF"/>
    <w:rsid w:val="005E0181"/>
    <w:rsid w:val="005E3B29"/>
    <w:rsid w:val="005E4855"/>
    <w:rsid w:val="005E6ECF"/>
    <w:rsid w:val="005F5EBC"/>
    <w:rsid w:val="005F62CA"/>
    <w:rsid w:val="006035D9"/>
    <w:rsid w:val="00610667"/>
    <w:rsid w:val="00611DCC"/>
    <w:rsid w:val="0064002A"/>
    <w:rsid w:val="0064722D"/>
    <w:rsid w:val="00647ED7"/>
    <w:rsid w:val="00651E64"/>
    <w:rsid w:val="006563D1"/>
    <w:rsid w:val="006602BA"/>
    <w:rsid w:val="00660356"/>
    <w:rsid w:val="00660AEF"/>
    <w:rsid w:val="006633E5"/>
    <w:rsid w:val="006636D5"/>
    <w:rsid w:val="00665D19"/>
    <w:rsid w:val="00674364"/>
    <w:rsid w:val="0068100D"/>
    <w:rsid w:val="0068107B"/>
    <w:rsid w:val="00682100"/>
    <w:rsid w:val="00685AB6"/>
    <w:rsid w:val="00692CDE"/>
    <w:rsid w:val="006940FF"/>
    <w:rsid w:val="006A36D8"/>
    <w:rsid w:val="006B1245"/>
    <w:rsid w:val="006B1DD0"/>
    <w:rsid w:val="006B21CE"/>
    <w:rsid w:val="006B35FA"/>
    <w:rsid w:val="006B4F9F"/>
    <w:rsid w:val="006C2D7F"/>
    <w:rsid w:val="006C5A03"/>
    <w:rsid w:val="006C6112"/>
    <w:rsid w:val="006D620C"/>
    <w:rsid w:val="006E7971"/>
    <w:rsid w:val="006F3A2E"/>
    <w:rsid w:val="006F5C72"/>
    <w:rsid w:val="006F5E61"/>
    <w:rsid w:val="006F6773"/>
    <w:rsid w:val="00710A2E"/>
    <w:rsid w:val="00715D3A"/>
    <w:rsid w:val="0072357F"/>
    <w:rsid w:val="00736020"/>
    <w:rsid w:val="007451BB"/>
    <w:rsid w:val="00750024"/>
    <w:rsid w:val="0075082E"/>
    <w:rsid w:val="00753CA3"/>
    <w:rsid w:val="007637DE"/>
    <w:rsid w:val="0077220E"/>
    <w:rsid w:val="007742A9"/>
    <w:rsid w:val="00781CEF"/>
    <w:rsid w:val="00784095"/>
    <w:rsid w:val="007927FD"/>
    <w:rsid w:val="00792874"/>
    <w:rsid w:val="00797779"/>
    <w:rsid w:val="007A209D"/>
    <w:rsid w:val="007A7E63"/>
    <w:rsid w:val="007B0CBE"/>
    <w:rsid w:val="007B2869"/>
    <w:rsid w:val="007B3956"/>
    <w:rsid w:val="007B3DCA"/>
    <w:rsid w:val="007B532B"/>
    <w:rsid w:val="007B7036"/>
    <w:rsid w:val="007C23CB"/>
    <w:rsid w:val="007C53A8"/>
    <w:rsid w:val="007D29E2"/>
    <w:rsid w:val="007E2AF3"/>
    <w:rsid w:val="007E7CCD"/>
    <w:rsid w:val="007F04E9"/>
    <w:rsid w:val="008012ED"/>
    <w:rsid w:val="00805DE2"/>
    <w:rsid w:val="008205D9"/>
    <w:rsid w:val="00822228"/>
    <w:rsid w:val="0083053A"/>
    <w:rsid w:val="00834B61"/>
    <w:rsid w:val="00840D8B"/>
    <w:rsid w:val="00841109"/>
    <w:rsid w:val="0085011C"/>
    <w:rsid w:val="00850514"/>
    <w:rsid w:val="00851A0C"/>
    <w:rsid w:val="00854208"/>
    <w:rsid w:val="00856401"/>
    <w:rsid w:val="00861929"/>
    <w:rsid w:val="00863564"/>
    <w:rsid w:val="0086370E"/>
    <w:rsid w:val="008645A2"/>
    <w:rsid w:val="00873424"/>
    <w:rsid w:val="00876A6C"/>
    <w:rsid w:val="0088240F"/>
    <w:rsid w:val="008868FA"/>
    <w:rsid w:val="00886A64"/>
    <w:rsid w:val="00886CAA"/>
    <w:rsid w:val="008A277A"/>
    <w:rsid w:val="008B1777"/>
    <w:rsid w:val="008B4368"/>
    <w:rsid w:val="008B7402"/>
    <w:rsid w:val="008C018F"/>
    <w:rsid w:val="008C68BD"/>
    <w:rsid w:val="008E7129"/>
    <w:rsid w:val="008F365A"/>
    <w:rsid w:val="008F42C7"/>
    <w:rsid w:val="008F51C1"/>
    <w:rsid w:val="00902475"/>
    <w:rsid w:val="00906CE4"/>
    <w:rsid w:val="009120E7"/>
    <w:rsid w:val="009139B8"/>
    <w:rsid w:val="00913D33"/>
    <w:rsid w:val="0091468B"/>
    <w:rsid w:val="00915670"/>
    <w:rsid w:val="00923104"/>
    <w:rsid w:val="0092418C"/>
    <w:rsid w:val="0093132D"/>
    <w:rsid w:val="0093582F"/>
    <w:rsid w:val="009417B6"/>
    <w:rsid w:val="009518D4"/>
    <w:rsid w:val="009615EC"/>
    <w:rsid w:val="00961D45"/>
    <w:rsid w:val="00961F5E"/>
    <w:rsid w:val="00963308"/>
    <w:rsid w:val="00966E14"/>
    <w:rsid w:val="00975726"/>
    <w:rsid w:val="00977203"/>
    <w:rsid w:val="00980C77"/>
    <w:rsid w:val="009816AF"/>
    <w:rsid w:val="00987A29"/>
    <w:rsid w:val="00993E8E"/>
    <w:rsid w:val="0099560C"/>
    <w:rsid w:val="009A36F9"/>
    <w:rsid w:val="009A3E6F"/>
    <w:rsid w:val="009A720A"/>
    <w:rsid w:val="009B1BD1"/>
    <w:rsid w:val="009C0820"/>
    <w:rsid w:val="009C636A"/>
    <w:rsid w:val="009D4337"/>
    <w:rsid w:val="009E1955"/>
    <w:rsid w:val="009E3B29"/>
    <w:rsid w:val="009E5E5C"/>
    <w:rsid w:val="009F21E8"/>
    <w:rsid w:val="009F27ED"/>
    <w:rsid w:val="009F432E"/>
    <w:rsid w:val="009F7497"/>
    <w:rsid w:val="00A17C31"/>
    <w:rsid w:val="00A354D0"/>
    <w:rsid w:val="00A45274"/>
    <w:rsid w:val="00A62471"/>
    <w:rsid w:val="00A624D3"/>
    <w:rsid w:val="00A625EF"/>
    <w:rsid w:val="00A62D50"/>
    <w:rsid w:val="00A710C6"/>
    <w:rsid w:val="00A74191"/>
    <w:rsid w:val="00A77A72"/>
    <w:rsid w:val="00A8448E"/>
    <w:rsid w:val="00A8562A"/>
    <w:rsid w:val="00A917F8"/>
    <w:rsid w:val="00AB5DD6"/>
    <w:rsid w:val="00AB61A5"/>
    <w:rsid w:val="00AB7D8D"/>
    <w:rsid w:val="00AC158A"/>
    <w:rsid w:val="00AC36AD"/>
    <w:rsid w:val="00AC3BFE"/>
    <w:rsid w:val="00AC689D"/>
    <w:rsid w:val="00AC7F0F"/>
    <w:rsid w:val="00AE083C"/>
    <w:rsid w:val="00AE27C0"/>
    <w:rsid w:val="00AE2805"/>
    <w:rsid w:val="00AE2EB1"/>
    <w:rsid w:val="00AE3358"/>
    <w:rsid w:val="00B014E5"/>
    <w:rsid w:val="00B0398F"/>
    <w:rsid w:val="00B0668B"/>
    <w:rsid w:val="00B11078"/>
    <w:rsid w:val="00B12645"/>
    <w:rsid w:val="00B126D0"/>
    <w:rsid w:val="00B2257C"/>
    <w:rsid w:val="00B23C83"/>
    <w:rsid w:val="00B25BCB"/>
    <w:rsid w:val="00B3510D"/>
    <w:rsid w:val="00B43560"/>
    <w:rsid w:val="00B44F64"/>
    <w:rsid w:val="00B520DE"/>
    <w:rsid w:val="00B55250"/>
    <w:rsid w:val="00B558D8"/>
    <w:rsid w:val="00B66471"/>
    <w:rsid w:val="00B77E50"/>
    <w:rsid w:val="00B819E1"/>
    <w:rsid w:val="00B84840"/>
    <w:rsid w:val="00B84AE9"/>
    <w:rsid w:val="00B87022"/>
    <w:rsid w:val="00B9775F"/>
    <w:rsid w:val="00BA3178"/>
    <w:rsid w:val="00BB152A"/>
    <w:rsid w:val="00BB373E"/>
    <w:rsid w:val="00BC7A16"/>
    <w:rsid w:val="00BE1447"/>
    <w:rsid w:val="00BF4CA0"/>
    <w:rsid w:val="00BF4E0B"/>
    <w:rsid w:val="00BF743B"/>
    <w:rsid w:val="00C0066C"/>
    <w:rsid w:val="00C02675"/>
    <w:rsid w:val="00C03908"/>
    <w:rsid w:val="00C04102"/>
    <w:rsid w:val="00C13213"/>
    <w:rsid w:val="00C16748"/>
    <w:rsid w:val="00C266CE"/>
    <w:rsid w:val="00C27631"/>
    <w:rsid w:val="00C36854"/>
    <w:rsid w:val="00C66A11"/>
    <w:rsid w:val="00C71543"/>
    <w:rsid w:val="00C72993"/>
    <w:rsid w:val="00C81F64"/>
    <w:rsid w:val="00C8529E"/>
    <w:rsid w:val="00C9059D"/>
    <w:rsid w:val="00C911AB"/>
    <w:rsid w:val="00C92421"/>
    <w:rsid w:val="00C928C0"/>
    <w:rsid w:val="00C93A4F"/>
    <w:rsid w:val="00C94147"/>
    <w:rsid w:val="00C94BFE"/>
    <w:rsid w:val="00C951EE"/>
    <w:rsid w:val="00C963BA"/>
    <w:rsid w:val="00CA09CE"/>
    <w:rsid w:val="00CA1DD5"/>
    <w:rsid w:val="00CB5369"/>
    <w:rsid w:val="00CC061D"/>
    <w:rsid w:val="00CC3E66"/>
    <w:rsid w:val="00CD0A69"/>
    <w:rsid w:val="00CD2B51"/>
    <w:rsid w:val="00CD60D1"/>
    <w:rsid w:val="00CE1601"/>
    <w:rsid w:val="00CF0E56"/>
    <w:rsid w:val="00D03DD7"/>
    <w:rsid w:val="00D07763"/>
    <w:rsid w:val="00D07AB1"/>
    <w:rsid w:val="00D11B0C"/>
    <w:rsid w:val="00D1729B"/>
    <w:rsid w:val="00D1776E"/>
    <w:rsid w:val="00D21476"/>
    <w:rsid w:val="00D2764C"/>
    <w:rsid w:val="00D35AD4"/>
    <w:rsid w:val="00D44B12"/>
    <w:rsid w:val="00D467D1"/>
    <w:rsid w:val="00D5207E"/>
    <w:rsid w:val="00D554D3"/>
    <w:rsid w:val="00D712B8"/>
    <w:rsid w:val="00D731AE"/>
    <w:rsid w:val="00D758F4"/>
    <w:rsid w:val="00D90919"/>
    <w:rsid w:val="00D91304"/>
    <w:rsid w:val="00D91E94"/>
    <w:rsid w:val="00D933CD"/>
    <w:rsid w:val="00D9358E"/>
    <w:rsid w:val="00D9435F"/>
    <w:rsid w:val="00D949D8"/>
    <w:rsid w:val="00D97E09"/>
    <w:rsid w:val="00DB2F44"/>
    <w:rsid w:val="00DC267E"/>
    <w:rsid w:val="00DC6A08"/>
    <w:rsid w:val="00DD0BF8"/>
    <w:rsid w:val="00DD4058"/>
    <w:rsid w:val="00DD6FD1"/>
    <w:rsid w:val="00DF0DBF"/>
    <w:rsid w:val="00DF3777"/>
    <w:rsid w:val="00DF48CD"/>
    <w:rsid w:val="00DF7FA7"/>
    <w:rsid w:val="00E052E0"/>
    <w:rsid w:val="00E06A41"/>
    <w:rsid w:val="00E10433"/>
    <w:rsid w:val="00E1408A"/>
    <w:rsid w:val="00E1535C"/>
    <w:rsid w:val="00E21340"/>
    <w:rsid w:val="00E23B63"/>
    <w:rsid w:val="00E257A3"/>
    <w:rsid w:val="00E268CD"/>
    <w:rsid w:val="00E27AF1"/>
    <w:rsid w:val="00E27E91"/>
    <w:rsid w:val="00E31026"/>
    <w:rsid w:val="00E4008A"/>
    <w:rsid w:val="00E438B0"/>
    <w:rsid w:val="00E516F8"/>
    <w:rsid w:val="00E51DE3"/>
    <w:rsid w:val="00E667B4"/>
    <w:rsid w:val="00E70E48"/>
    <w:rsid w:val="00E71CA6"/>
    <w:rsid w:val="00E74D89"/>
    <w:rsid w:val="00E77552"/>
    <w:rsid w:val="00E8746A"/>
    <w:rsid w:val="00E93200"/>
    <w:rsid w:val="00E9384B"/>
    <w:rsid w:val="00E93C01"/>
    <w:rsid w:val="00E97C8E"/>
    <w:rsid w:val="00EA278B"/>
    <w:rsid w:val="00EB0E70"/>
    <w:rsid w:val="00EB5ED8"/>
    <w:rsid w:val="00EB68C8"/>
    <w:rsid w:val="00EC6264"/>
    <w:rsid w:val="00ED0938"/>
    <w:rsid w:val="00ED1838"/>
    <w:rsid w:val="00ED1F40"/>
    <w:rsid w:val="00EE0D3E"/>
    <w:rsid w:val="00EF46C7"/>
    <w:rsid w:val="00F023E9"/>
    <w:rsid w:val="00F047B7"/>
    <w:rsid w:val="00F13717"/>
    <w:rsid w:val="00F15343"/>
    <w:rsid w:val="00F212B0"/>
    <w:rsid w:val="00F21FF4"/>
    <w:rsid w:val="00F254A1"/>
    <w:rsid w:val="00F26F1C"/>
    <w:rsid w:val="00F3121C"/>
    <w:rsid w:val="00F32407"/>
    <w:rsid w:val="00F33383"/>
    <w:rsid w:val="00F33D3A"/>
    <w:rsid w:val="00F340C7"/>
    <w:rsid w:val="00F421AF"/>
    <w:rsid w:val="00F4433F"/>
    <w:rsid w:val="00F50A75"/>
    <w:rsid w:val="00F53836"/>
    <w:rsid w:val="00F53956"/>
    <w:rsid w:val="00F57240"/>
    <w:rsid w:val="00F70297"/>
    <w:rsid w:val="00F703D5"/>
    <w:rsid w:val="00F70601"/>
    <w:rsid w:val="00F77DC2"/>
    <w:rsid w:val="00F8709B"/>
    <w:rsid w:val="00F8770A"/>
    <w:rsid w:val="00F879AC"/>
    <w:rsid w:val="00FA4508"/>
    <w:rsid w:val="00FB558B"/>
    <w:rsid w:val="00FB594C"/>
    <w:rsid w:val="00FC43DD"/>
    <w:rsid w:val="00FD0D9B"/>
    <w:rsid w:val="00FD18BC"/>
    <w:rsid w:val="00FD5E30"/>
    <w:rsid w:val="00FE00C5"/>
    <w:rsid w:val="00FE19F0"/>
    <w:rsid w:val="00FE2DD6"/>
    <w:rsid w:val="00FF71B0"/>
    <w:rsid w:val="01892A00"/>
    <w:rsid w:val="03263794"/>
    <w:rsid w:val="035221C3"/>
    <w:rsid w:val="0382360B"/>
    <w:rsid w:val="039B64CB"/>
    <w:rsid w:val="03C52EA0"/>
    <w:rsid w:val="04E65FA6"/>
    <w:rsid w:val="05775232"/>
    <w:rsid w:val="06430A0E"/>
    <w:rsid w:val="066974F6"/>
    <w:rsid w:val="068D6F5F"/>
    <w:rsid w:val="070C28DE"/>
    <w:rsid w:val="07246DF0"/>
    <w:rsid w:val="083F2637"/>
    <w:rsid w:val="0847383B"/>
    <w:rsid w:val="089F6CB0"/>
    <w:rsid w:val="08B04D11"/>
    <w:rsid w:val="08E006BD"/>
    <w:rsid w:val="09872A66"/>
    <w:rsid w:val="09926F71"/>
    <w:rsid w:val="09F00295"/>
    <w:rsid w:val="0A162E66"/>
    <w:rsid w:val="0AD92F5A"/>
    <w:rsid w:val="0B495BE6"/>
    <w:rsid w:val="0B565179"/>
    <w:rsid w:val="0B606068"/>
    <w:rsid w:val="0B7D3077"/>
    <w:rsid w:val="0B98192F"/>
    <w:rsid w:val="0BBD429F"/>
    <w:rsid w:val="0BEE1475"/>
    <w:rsid w:val="0E513320"/>
    <w:rsid w:val="0FC5523B"/>
    <w:rsid w:val="10752DC2"/>
    <w:rsid w:val="10C53C24"/>
    <w:rsid w:val="126632CE"/>
    <w:rsid w:val="1296017F"/>
    <w:rsid w:val="12F9132B"/>
    <w:rsid w:val="144361A4"/>
    <w:rsid w:val="146B3C41"/>
    <w:rsid w:val="14781F4B"/>
    <w:rsid w:val="158F4872"/>
    <w:rsid w:val="1637673A"/>
    <w:rsid w:val="173C61C9"/>
    <w:rsid w:val="181635BD"/>
    <w:rsid w:val="18583D60"/>
    <w:rsid w:val="19ED06F2"/>
    <w:rsid w:val="19F62ACB"/>
    <w:rsid w:val="1BA9090A"/>
    <w:rsid w:val="1C435B1C"/>
    <w:rsid w:val="1C587E90"/>
    <w:rsid w:val="1CC45CDD"/>
    <w:rsid w:val="1D4B1FCC"/>
    <w:rsid w:val="1D6F4420"/>
    <w:rsid w:val="1DDB508D"/>
    <w:rsid w:val="1E540183"/>
    <w:rsid w:val="1EE16D3B"/>
    <w:rsid w:val="20022811"/>
    <w:rsid w:val="20632957"/>
    <w:rsid w:val="207638B2"/>
    <w:rsid w:val="234F0610"/>
    <w:rsid w:val="23ED7FEA"/>
    <w:rsid w:val="26D44671"/>
    <w:rsid w:val="272370A2"/>
    <w:rsid w:val="272C5C69"/>
    <w:rsid w:val="28D27B4A"/>
    <w:rsid w:val="2AA25A34"/>
    <w:rsid w:val="2B707132"/>
    <w:rsid w:val="2CDD3F6E"/>
    <w:rsid w:val="2D247164"/>
    <w:rsid w:val="2D655295"/>
    <w:rsid w:val="2D8C0151"/>
    <w:rsid w:val="2DF479E0"/>
    <w:rsid w:val="2E4E33A5"/>
    <w:rsid w:val="2EDA6C9B"/>
    <w:rsid w:val="2F091A46"/>
    <w:rsid w:val="301D5246"/>
    <w:rsid w:val="307D1FD3"/>
    <w:rsid w:val="32190DF8"/>
    <w:rsid w:val="324277FC"/>
    <w:rsid w:val="329232F9"/>
    <w:rsid w:val="3369652A"/>
    <w:rsid w:val="34871673"/>
    <w:rsid w:val="375101B1"/>
    <w:rsid w:val="37920F3E"/>
    <w:rsid w:val="379306FE"/>
    <w:rsid w:val="37DD1011"/>
    <w:rsid w:val="38003C16"/>
    <w:rsid w:val="383A273E"/>
    <w:rsid w:val="39E9792A"/>
    <w:rsid w:val="3C3E206C"/>
    <w:rsid w:val="3C7E77FF"/>
    <w:rsid w:val="3CC02232"/>
    <w:rsid w:val="3D620343"/>
    <w:rsid w:val="3E79024E"/>
    <w:rsid w:val="3F5607F7"/>
    <w:rsid w:val="3F79605C"/>
    <w:rsid w:val="3F8805CA"/>
    <w:rsid w:val="3FAD5C67"/>
    <w:rsid w:val="40077B0C"/>
    <w:rsid w:val="400958E0"/>
    <w:rsid w:val="406F4F58"/>
    <w:rsid w:val="409741F1"/>
    <w:rsid w:val="40BA5C3B"/>
    <w:rsid w:val="40F44694"/>
    <w:rsid w:val="40FF4AB5"/>
    <w:rsid w:val="411D4679"/>
    <w:rsid w:val="41791B03"/>
    <w:rsid w:val="41C27589"/>
    <w:rsid w:val="42690723"/>
    <w:rsid w:val="42882336"/>
    <w:rsid w:val="429D1C53"/>
    <w:rsid w:val="42D434FB"/>
    <w:rsid w:val="43621B5B"/>
    <w:rsid w:val="43C10A64"/>
    <w:rsid w:val="44CD0BE1"/>
    <w:rsid w:val="44F60FDE"/>
    <w:rsid w:val="4555102D"/>
    <w:rsid w:val="463A47ED"/>
    <w:rsid w:val="464A46D4"/>
    <w:rsid w:val="46593C41"/>
    <w:rsid w:val="468478A7"/>
    <w:rsid w:val="470E0F5F"/>
    <w:rsid w:val="47DB670F"/>
    <w:rsid w:val="48FF3A76"/>
    <w:rsid w:val="4A521F7E"/>
    <w:rsid w:val="4A566225"/>
    <w:rsid w:val="4B905B22"/>
    <w:rsid w:val="4BCD7E5B"/>
    <w:rsid w:val="4C8472CE"/>
    <w:rsid w:val="4E2C562A"/>
    <w:rsid w:val="4E45311B"/>
    <w:rsid w:val="4F443440"/>
    <w:rsid w:val="4F52422C"/>
    <w:rsid w:val="4F6D6A9E"/>
    <w:rsid w:val="4FC93B13"/>
    <w:rsid w:val="50351667"/>
    <w:rsid w:val="50C730CB"/>
    <w:rsid w:val="518E5997"/>
    <w:rsid w:val="525528A5"/>
    <w:rsid w:val="52E61ACF"/>
    <w:rsid w:val="53B920A6"/>
    <w:rsid w:val="53C907CC"/>
    <w:rsid w:val="54AF4993"/>
    <w:rsid w:val="552B695D"/>
    <w:rsid w:val="55AB0C6F"/>
    <w:rsid w:val="55E75AFA"/>
    <w:rsid w:val="571514C5"/>
    <w:rsid w:val="57A52321"/>
    <w:rsid w:val="58011B0B"/>
    <w:rsid w:val="583D3584"/>
    <w:rsid w:val="58B378C0"/>
    <w:rsid w:val="58D25684"/>
    <w:rsid w:val="5B463884"/>
    <w:rsid w:val="5B9142C2"/>
    <w:rsid w:val="5BC84685"/>
    <w:rsid w:val="5C073059"/>
    <w:rsid w:val="5C3820F7"/>
    <w:rsid w:val="5C417221"/>
    <w:rsid w:val="5CD53564"/>
    <w:rsid w:val="5EDF7296"/>
    <w:rsid w:val="5FD03A83"/>
    <w:rsid w:val="5FED46D7"/>
    <w:rsid w:val="60A70D54"/>
    <w:rsid w:val="60B163E6"/>
    <w:rsid w:val="60C631DD"/>
    <w:rsid w:val="61321B48"/>
    <w:rsid w:val="61A77E9F"/>
    <w:rsid w:val="622C710C"/>
    <w:rsid w:val="627B7DFE"/>
    <w:rsid w:val="63342619"/>
    <w:rsid w:val="635F07D5"/>
    <w:rsid w:val="63947CAE"/>
    <w:rsid w:val="63AE13D9"/>
    <w:rsid w:val="63C26287"/>
    <w:rsid w:val="65387BC1"/>
    <w:rsid w:val="65DD1E20"/>
    <w:rsid w:val="668D4017"/>
    <w:rsid w:val="66BE4FDD"/>
    <w:rsid w:val="66DE4873"/>
    <w:rsid w:val="66E54FF2"/>
    <w:rsid w:val="67EB36EB"/>
    <w:rsid w:val="67F51B77"/>
    <w:rsid w:val="68DF26AE"/>
    <w:rsid w:val="68E34EB1"/>
    <w:rsid w:val="68FC7232"/>
    <w:rsid w:val="693A6231"/>
    <w:rsid w:val="69E262E6"/>
    <w:rsid w:val="6B683BDF"/>
    <w:rsid w:val="6B6934E2"/>
    <w:rsid w:val="6B914DF2"/>
    <w:rsid w:val="6DDF6A59"/>
    <w:rsid w:val="6E4E0530"/>
    <w:rsid w:val="6F372669"/>
    <w:rsid w:val="6F6E4C12"/>
    <w:rsid w:val="70A12310"/>
    <w:rsid w:val="71907923"/>
    <w:rsid w:val="71B04377"/>
    <w:rsid w:val="726C0F90"/>
    <w:rsid w:val="73131D74"/>
    <w:rsid w:val="732D1E02"/>
    <w:rsid w:val="737F3068"/>
    <w:rsid w:val="73824581"/>
    <w:rsid w:val="74396708"/>
    <w:rsid w:val="74663E25"/>
    <w:rsid w:val="74951A58"/>
    <w:rsid w:val="763678DB"/>
    <w:rsid w:val="76E3667F"/>
    <w:rsid w:val="76F22CC2"/>
    <w:rsid w:val="7831514A"/>
    <w:rsid w:val="78913501"/>
    <w:rsid w:val="7988774A"/>
    <w:rsid w:val="79AE27CB"/>
    <w:rsid w:val="7AFB37ED"/>
    <w:rsid w:val="7B0D246F"/>
    <w:rsid w:val="7B3C0686"/>
    <w:rsid w:val="7B571DFE"/>
    <w:rsid w:val="7BC67D09"/>
    <w:rsid w:val="7C526E64"/>
    <w:rsid w:val="7CBA4A21"/>
    <w:rsid w:val="7CF630A2"/>
    <w:rsid w:val="7E2460DF"/>
    <w:rsid w:val="7E8934A0"/>
    <w:rsid w:val="7EC65EC0"/>
    <w:rsid w:val="7F631411"/>
    <w:rsid w:val="7F7105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0"/>
    <w:pPr>
      <w:keepNext/>
      <w:outlineLvl w:val="1"/>
    </w:pPr>
    <w:rPr>
      <w:rFonts w:ascii="Arial" w:hAnsi="Arial"/>
      <w:b/>
      <w:szCs w:val="20"/>
    </w:rPr>
  </w:style>
  <w:style w:type="paragraph" w:styleId="4">
    <w:name w:val="heading 3"/>
    <w:basedOn w:val="1"/>
    <w:next w:val="1"/>
    <w:link w:val="32"/>
    <w:qFormat/>
    <w:uiPriority w:val="0"/>
    <w:pPr>
      <w:spacing w:before="100" w:beforeAutospacing="1" w:after="100" w:afterAutospacing="1"/>
      <w:jc w:val="left"/>
      <w:outlineLvl w:val="2"/>
    </w:pPr>
    <w:rPr>
      <w:rFonts w:hint="eastAsia" w:ascii="宋体" w:hAnsi="宋体"/>
      <w:b/>
      <w:bCs/>
      <w:kern w:val="0"/>
      <w:sz w:val="27"/>
      <w:szCs w:val="27"/>
    </w:rPr>
  </w:style>
  <w:style w:type="paragraph" w:styleId="5">
    <w:name w:val="heading 4"/>
    <w:basedOn w:val="1"/>
    <w:next w:val="1"/>
    <w:link w:val="33"/>
    <w:qFormat/>
    <w:uiPriority w:val="0"/>
    <w:pPr>
      <w:keepNext/>
      <w:keepLines/>
      <w:spacing w:before="280" w:after="290" w:line="372" w:lineRule="auto"/>
      <w:outlineLvl w:val="3"/>
    </w:pPr>
    <w:rPr>
      <w:rFonts w:ascii="Arial" w:hAnsi="Arial" w:eastAsia="黑体"/>
      <w:b/>
      <w:sz w:val="28"/>
    </w:rPr>
  </w:style>
  <w:style w:type="paragraph" w:styleId="6">
    <w:name w:val="heading 5"/>
    <w:basedOn w:val="1"/>
    <w:next w:val="1"/>
    <w:link w:val="34"/>
    <w:qFormat/>
    <w:uiPriority w:val="0"/>
    <w:pPr>
      <w:keepNext/>
      <w:keepLines/>
      <w:spacing w:before="280" w:after="290" w:line="372" w:lineRule="auto"/>
      <w:outlineLvl w:val="4"/>
    </w:pPr>
    <w:rPr>
      <w:b/>
      <w:sz w:val="28"/>
    </w:rPr>
  </w:style>
  <w:style w:type="paragraph" w:styleId="7">
    <w:name w:val="heading 6"/>
    <w:basedOn w:val="1"/>
    <w:next w:val="1"/>
    <w:link w:val="35"/>
    <w:qFormat/>
    <w:uiPriority w:val="0"/>
    <w:pPr>
      <w:keepNext/>
      <w:keepLines/>
      <w:spacing w:before="240" w:after="64" w:line="317" w:lineRule="auto"/>
      <w:outlineLvl w:val="5"/>
    </w:pPr>
    <w:rPr>
      <w:rFonts w:ascii="Arial" w:hAnsi="Arial" w:eastAsia="黑体"/>
      <w:b/>
      <w:sz w:val="24"/>
    </w:rPr>
  </w:style>
  <w:style w:type="paragraph" w:styleId="8">
    <w:name w:val="heading 7"/>
    <w:basedOn w:val="1"/>
    <w:next w:val="1"/>
    <w:link w:val="36"/>
    <w:qFormat/>
    <w:uiPriority w:val="0"/>
    <w:pPr>
      <w:keepNext/>
      <w:keepLines/>
      <w:spacing w:before="240" w:after="64" w:line="317" w:lineRule="auto"/>
      <w:outlineLvl w:val="6"/>
    </w:pPr>
    <w:rPr>
      <w:b/>
      <w:sz w:val="24"/>
    </w:rPr>
  </w:style>
  <w:style w:type="paragraph" w:styleId="9">
    <w:name w:val="heading 8"/>
    <w:basedOn w:val="1"/>
    <w:next w:val="1"/>
    <w:link w:val="37"/>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link w:val="38"/>
    <w:qFormat/>
    <w:uiPriority w:val="0"/>
    <w:pPr>
      <w:keepNext/>
      <w:keepLines/>
      <w:spacing w:before="240" w:after="64" w:line="317" w:lineRule="auto"/>
      <w:outlineLvl w:val="8"/>
    </w:pPr>
    <w:rPr>
      <w:rFonts w:ascii="Arial" w:hAnsi="Arial" w:eastAsia="黑体"/>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toa heading"/>
    <w:basedOn w:val="1"/>
    <w:next w:val="1"/>
    <w:qFormat/>
    <w:uiPriority w:val="0"/>
    <w:pPr>
      <w:widowControl/>
      <w:spacing w:before="120" w:line="590" w:lineRule="exact"/>
      <w:ind w:firstLine="200" w:firstLineChars="200"/>
    </w:pPr>
    <w:rPr>
      <w:rFonts w:ascii="Calibri Light" w:hAnsi="Calibri Light"/>
      <w:spacing w:val="6"/>
      <w:sz w:val="24"/>
    </w:rPr>
  </w:style>
  <w:style w:type="paragraph" w:styleId="13">
    <w:name w:val="annotation text"/>
    <w:basedOn w:val="1"/>
    <w:link w:val="39"/>
    <w:qFormat/>
    <w:uiPriority w:val="0"/>
    <w:pPr>
      <w:jc w:val="left"/>
    </w:pPr>
    <w:rPr>
      <w:rFonts w:hint="eastAsia" w:ascii="等线" w:hAnsi="等线" w:eastAsia="等线"/>
      <w:szCs w:val="22"/>
    </w:rPr>
  </w:style>
  <w:style w:type="paragraph" w:styleId="14">
    <w:name w:val="Body Text"/>
    <w:basedOn w:val="1"/>
    <w:link w:val="40"/>
    <w:qFormat/>
    <w:uiPriority w:val="0"/>
    <w:rPr>
      <w:rFonts w:hint="eastAsia" w:ascii="仿宋" w:hAnsi="仿宋" w:eastAsia="仿宋"/>
      <w:sz w:val="28"/>
      <w:szCs w:val="28"/>
    </w:rPr>
  </w:style>
  <w:style w:type="paragraph" w:styleId="15">
    <w:name w:val="toc 3"/>
    <w:basedOn w:val="1"/>
    <w:next w:val="1"/>
    <w:qFormat/>
    <w:uiPriority w:val="39"/>
    <w:pPr>
      <w:ind w:left="840" w:leftChars="400"/>
    </w:pPr>
  </w:style>
  <w:style w:type="paragraph" w:styleId="16">
    <w:name w:val="Balloon Text"/>
    <w:basedOn w:val="1"/>
    <w:semiHidden/>
    <w:qFormat/>
    <w:uiPriority w:val="0"/>
    <w:rPr>
      <w:sz w:val="18"/>
      <w:szCs w:val="18"/>
    </w:rPr>
  </w:style>
  <w:style w:type="paragraph" w:styleId="17">
    <w:name w:val="footer"/>
    <w:basedOn w:val="1"/>
    <w:link w:val="41"/>
    <w:qFormat/>
    <w:uiPriority w:val="99"/>
    <w:pPr>
      <w:tabs>
        <w:tab w:val="center" w:pos="4153"/>
        <w:tab w:val="right" w:pos="8306"/>
      </w:tabs>
      <w:snapToGrid w:val="0"/>
      <w:jc w:val="left"/>
    </w:pPr>
    <w:rPr>
      <w:sz w:val="18"/>
      <w:szCs w:val="18"/>
    </w:rPr>
  </w:style>
  <w:style w:type="paragraph" w:styleId="18">
    <w:name w:val="header"/>
    <w:basedOn w:val="1"/>
    <w:link w:val="42"/>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rPr>
      <w:rFonts w:hint="eastAsia" w:ascii="等线" w:hAnsi="等线" w:eastAsia="等线"/>
      <w:szCs w:val="22"/>
    </w:rPr>
  </w:style>
  <w:style w:type="paragraph" w:styleId="20">
    <w:name w:val="toc 2"/>
    <w:basedOn w:val="1"/>
    <w:next w:val="1"/>
    <w:qFormat/>
    <w:uiPriority w:val="39"/>
    <w:pPr>
      <w:ind w:left="420" w:leftChars="200"/>
    </w:pPr>
    <w:rPr>
      <w:rFonts w:hint="eastAsia" w:ascii="等线" w:hAnsi="等线" w:eastAsia="等线"/>
      <w:szCs w:val="22"/>
    </w:rPr>
  </w:style>
  <w:style w:type="paragraph" w:styleId="21">
    <w:name w:val="Body Text 2"/>
    <w:basedOn w:val="1"/>
    <w:link w:val="43"/>
    <w:qFormat/>
    <w:uiPriority w:val="0"/>
    <w:pPr>
      <w:spacing w:after="120" w:line="480" w:lineRule="auto"/>
    </w:pPr>
  </w:style>
  <w:style w:type="paragraph" w:styleId="22">
    <w:name w:val="Normal (Web)"/>
    <w:basedOn w:val="1"/>
    <w:qFormat/>
    <w:uiPriority w:val="0"/>
    <w:rPr>
      <w:rFonts w:hint="eastAsia" w:ascii="等线" w:hAnsi="等线" w:eastAsia="等线"/>
      <w:sz w:val="24"/>
      <w:szCs w:val="22"/>
    </w:rPr>
  </w:style>
  <w:style w:type="paragraph" w:styleId="23">
    <w:name w:val="annotation subject"/>
    <w:basedOn w:val="13"/>
    <w:next w:val="13"/>
    <w:link w:val="44"/>
    <w:qFormat/>
    <w:uiPriority w:val="0"/>
    <w:rPr>
      <w:b/>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0"/>
    <w:rPr>
      <w:b/>
    </w:rPr>
  </w:style>
  <w:style w:type="character" w:styleId="28">
    <w:name w:val="Hyperlink"/>
    <w:qFormat/>
    <w:uiPriority w:val="99"/>
    <w:rPr>
      <w:color w:val="0000FF"/>
      <w:u w:val="single"/>
    </w:rPr>
  </w:style>
  <w:style w:type="character" w:styleId="29">
    <w:name w:val="annotation reference"/>
    <w:qFormat/>
    <w:uiPriority w:val="0"/>
    <w:rPr>
      <w:sz w:val="21"/>
      <w:szCs w:val="21"/>
    </w:rPr>
  </w:style>
  <w:style w:type="character" w:customStyle="1" w:styleId="30">
    <w:name w:val="标题 1 Char"/>
    <w:link w:val="2"/>
    <w:qFormat/>
    <w:uiPriority w:val="0"/>
    <w:rPr>
      <w:b/>
      <w:bCs/>
      <w:kern w:val="44"/>
      <w:sz w:val="44"/>
      <w:szCs w:val="44"/>
    </w:rPr>
  </w:style>
  <w:style w:type="character" w:customStyle="1" w:styleId="31">
    <w:name w:val="标题 2 Char"/>
    <w:link w:val="3"/>
    <w:qFormat/>
    <w:uiPriority w:val="0"/>
    <w:rPr>
      <w:rFonts w:hint="default" w:ascii="Arial" w:hAnsi="Arial" w:eastAsia="黑体" w:cs="Arial"/>
      <w:b/>
      <w:spacing w:val="6"/>
      <w:kern w:val="2"/>
      <w:sz w:val="30"/>
      <w:szCs w:val="24"/>
    </w:rPr>
  </w:style>
  <w:style w:type="character" w:customStyle="1" w:styleId="32">
    <w:name w:val="标题 3 Char"/>
    <w:link w:val="4"/>
    <w:qFormat/>
    <w:uiPriority w:val="0"/>
    <w:rPr>
      <w:rFonts w:hint="eastAsia" w:ascii="仿宋" w:hAnsi="仿宋" w:eastAsia="仿宋" w:cs="仿宋"/>
      <w:b/>
      <w:spacing w:val="6"/>
      <w:kern w:val="2"/>
      <w:sz w:val="30"/>
      <w:szCs w:val="22"/>
    </w:rPr>
  </w:style>
  <w:style w:type="character" w:customStyle="1" w:styleId="33">
    <w:name w:val="标题 4 Char"/>
    <w:link w:val="5"/>
    <w:qFormat/>
    <w:uiPriority w:val="0"/>
    <w:rPr>
      <w:rFonts w:hint="default" w:ascii="Arial" w:hAnsi="Arial" w:eastAsia="黑体" w:cs="Times New Roman"/>
      <w:b/>
      <w:kern w:val="2"/>
      <w:sz w:val="28"/>
      <w:szCs w:val="22"/>
    </w:rPr>
  </w:style>
  <w:style w:type="character" w:customStyle="1" w:styleId="34">
    <w:name w:val="标题 5 Char"/>
    <w:link w:val="6"/>
    <w:qFormat/>
    <w:uiPriority w:val="0"/>
    <w:rPr>
      <w:rFonts w:hint="eastAsia" w:ascii="等线" w:hAnsi="等线" w:eastAsia="等线" w:cs="Times New Roman"/>
      <w:b/>
      <w:kern w:val="2"/>
      <w:sz w:val="28"/>
      <w:szCs w:val="22"/>
    </w:rPr>
  </w:style>
  <w:style w:type="character" w:customStyle="1" w:styleId="35">
    <w:name w:val="标题 6 Char"/>
    <w:link w:val="7"/>
    <w:qFormat/>
    <w:uiPriority w:val="0"/>
    <w:rPr>
      <w:rFonts w:hint="default" w:ascii="Arial" w:hAnsi="Arial" w:eastAsia="黑体" w:cs="Times New Roman"/>
      <w:b/>
      <w:kern w:val="2"/>
      <w:sz w:val="24"/>
      <w:szCs w:val="22"/>
    </w:rPr>
  </w:style>
  <w:style w:type="character" w:customStyle="1" w:styleId="36">
    <w:name w:val="标题 7 Char"/>
    <w:link w:val="8"/>
    <w:qFormat/>
    <w:uiPriority w:val="0"/>
    <w:rPr>
      <w:rFonts w:hint="eastAsia" w:ascii="等线" w:hAnsi="等线" w:eastAsia="等线" w:cs="Times New Roman"/>
      <w:b/>
      <w:kern w:val="2"/>
      <w:sz w:val="24"/>
      <w:szCs w:val="22"/>
    </w:rPr>
  </w:style>
  <w:style w:type="character" w:customStyle="1" w:styleId="37">
    <w:name w:val="标题 8 Char"/>
    <w:link w:val="9"/>
    <w:qFormat/>
    <w:uiPriority w:val="0"/>
    <w:rPr>
      <w:rFonts w:hint="default" w:ascii="Arial" w:hAnsi="Arial" w:eastAsia="黑体" w:cs="Times New Roman"/>
      <w:kern w:val="2"/>
      <w:sz w:val="24"/>
      <w:szCs w:val="22"/>
    </w:rPr>
  </w:style>
  <w:style w:type="character" w:customStyle="1" w:styleId="38">
    <w:name w:val="标题 9 Char"/>
    <w:link w:val="10"/>
    <w:qFormat/>
    <w:uiPriority w:val="0"/>
    <w:rPr>
      <w:rFonts w:hint="default" w:ascii="Arial" w:hAnsi="Arial" w:eastAsia="黑体" w:cs="Times New Roman"/>
      <w:kern w:val="2"/>
      <w:sz w:val="21"/>
      <w:szCs w:val="22"/>
    </w:rPr>
  </w:style>
  <w:style w:type="character" w:customStyle="1" w:styleId="39">
    <w:name w:val="批注文字 Char"/>
    <w:link w:val="13"/>
    <w:qFormat/>
    <w:uiPriority w:val="0"/>
    <w:rPr>
      <w:rFonts w:hint="eastAsia" w:ascii="等线" w:hAnsi="等线" w:eastAsia="等线" w:cs="Times New Roman"/>
      <w:kern w:val="2"/>
      <w:sz w:val="21"/>
      <w:szCs w:val="22"/>
    </w:rPr>
  </w:style>
  <w:style w:type="character" w:customStyle="1" w:styleId="40">
    <w:name w:val="正文文本 Char"/>
    <w:link w:val="14"/>
    <w:qFormat/>
    <w:uiPriority w:val="0"/>
    <w:rPr>
      <w:rFonts w:hint="eastAsia" w:ascii="仿宋" w:hAnsi="仿宋" w:eastAsia="仿宋" w:cs="仿宋"/>
      <w:kern w:val="2"/>
      <w:sz w:val="28"/>
      <w:szCs w:val="28"/>
      <w:lang w:eastAsia="en-US"/>
    </w:rPr>
  </w:style>
  <w:style w:type="character" w:customStyle="1" w:styleId="41">
    <w:name w:val="页脚 Char"/>
    <w:link w:val="17"/>
    <w:qFormat/>
    <w:uiPriority w:val="0"/>
    <w:rPr>
      <w:kern w:val="2"/>
      <w:sz w:val="18"/>
      <w:szCs w:val="18"/>
    </w:rPr>
  </w:style>
  <w:style w:type="character" w:customStyle="1" w:styleId="42">
    <w:name w:val="页眉 Char"/>
    <w:link w:val="18"/>
    <w:qFormat/>
    <w:uiPriority w:val="99"/>
    <w:rPr>
      <w:kern w:val="2"/>
      <w:sz w:val="18"/>
      <w:szCs w:val="18"/>
    </w:rPr>
  </w:style>
  <w:style w:type="character" w:customStyle="1" w:styleId="43">
    <w:name w:val="正文文本 2 Char"/>
    <w:link w:val="21"/>
    <w:qFormat/>
    <w:uiPriority w:val="0"/>
    <w:rPr>
      <w:kern w:val="2"/>
      <w:sz w:val="21"/>
      <w:szCs w:val="24"/>
    </w:rPr>
  </w:style>
  <w:style w:type="character" w:customStyle="1" w:styleId="44">
    <w:name w:val="批注主题 Char"/>
    <w:link w:val="23"/>
    <w:qFormat/>
    <w:uiPriority w:val="0"/>
    <w:rPr>
      <w:rFonts w:hint="eastAsia" w:ascii="等线" w:hAnsi="等线" w:eastAsia="等线" w:cs="Times New Roman"/>
      <w:b/>
      <w:bCs/>
      <w:kern w:val="2"/>
      <w:sz w:val="21"/>
      <w:szCs w:val="22"/>
    </w:rPr>
  </w:style>
  <w:style w:type="character" w:customStyle="1" w:styleId="45">
    <w:name w:val="页脚 字符"/>
    <w:qFormat/>
    <w:uiPriority w:val="99"/>
    <w:rPr>
      <w:kern w:val="2"/>
      <w:sz w:val="18"/>
      <w:szCs w:val="18"/>
    </w:rPr>
  </w:style>
  <w:style w:type="character" w:customStyle="1" w:styleId="46">
    <w:name w:val="页眉 字符1"/>
    <w:qFormat/>
    <w:uiPriority w:val="0"/>
    <w:rPr>
      <w:rFonts w:hint="eastAsia" w:ascii="等线" w:hAnsi="等线" w:eastAsia="等线" w:cs="Times New Roman"/>
      <w:kern w:val="2"/>
      <w:sz w:val="18"/>
      <w:szCs w:val="18"/>
    </w:rPr>
  </w:style>
  <w:style w:type="paragraph" w:styleId="47">
    <w:name w:val="No Spacing"/>
    <w:qFormat/>
    <w:uiPriority w:val="1"/>
    <w:pPr>
      <w:widowControl w:val="0"/>
      <w:pBdr>
        <w:bottom w:val="single" w:color="auto" w:sz="4" w:space="1"/>
      </w:pBdr>
      <w:jc w:val="both"/>
    </w:pPr>
    <w:rPr>
      <w:rFonts w:ascii="Times New Roman" w:hAnsi="Times New Roman" w:eastAsia="宋体" w:cs="Times New Roman"/>
      <w:kern w:val="2"/>
      <w:sz w:val="21"/>
      <w:szCs w:val="24"/>
      <w:lang w:val="en-US" w:eastAsia="zh-CN" w:bidi="ar-SA"/>
    </w:rPr>
  </w:style>
  <w:style w:type="character" w:customStyle="1" w:styleId="48">
    <w:name w:val="页眉 字符"/>
    <w:qFormat/>
    <w:uiPriority w:val="0"/>
    <w:rPr>
      <w:rFonts w:hint="eastAsia" w:ascii="等线" w:hAnsi="等线" w:eastAsia="等线" w:cs="Times New Roman"/>
      <w:kern w:val="2"/>
      <w:sz w:val="18"/>
      <w:szCs w:val="18"/>
    </w:rPr>
  </w:style>
  <w:style w:type="character" w:customStyle="1" w:styleId="49">
    <w:name w:val="font71"/>
    <w:qFormat/>
    <w:uiPriority w:val="0"/>
    <w:rPr>
      <w:rFonts w:hint="eastAsia" w:ascii="宋体" w:hAnsi="宋体" w:eastAsia="宋体" w:cs="宋体"/>
      <w:color w:val="000000"/>
      <w:sz w:val="24"/>
      <w:szCs w:val="24"/>
      <w:u w:val="none"/>
    </w:rPr>
  </w:style>
  <w:style w:type="character" w:customStyle="1" w:styleId="50">
    <w:name w:val="font181"/>
    <w:qFormat/>
    <w:uiPriority w:val="0"/>
    <w:rPr>
      <w:rFonts w:hint="default" w:ascii="Times New Roman" w:hAnsi="Times New Roman" w:cs="Times New Roman"/>
      <w:color w:val="000000"/>
      <w:sz w:val="20"/>
      <w:szCs w:val="20"/>
      <w:u w:val="none"/>
    </w:rPr>
  </w:style>
  <w:style w:type="character" w:customStyle="1" w:styleId="51">
    <w:name w:val="font151"/>
    <w:qFormat/>
    <w:uiPriority w:val="0"/>
    <w:rPr>
      <w:rFonts w:hint="eastAsia" w:ascii="宋体" w:hAnsi="宋体" w:eastAsia="宋体" w:cs="宋体"/>
      <w:color w:val="000000"/>
      <w:sz w:val="20"/>
      <w:szCs w:val="20"/>
      <w:u w:val="none"/>
    </w:rPr>
  </w:style>
  <w:style w:type="character" w:customStyle="1" w:styleId="52">
    <w:name w:val="font121"/>
    <w:qFormat/>
    <w:uiPriority w:val="0"/>
    <w:rPr>
      <w:rFonts w:hint="eastAsia" w:ascii="方正仿宋_GBK" w:hAnsi="方正仿宋_GBK" w:eastAsia="方正仿宋_GBK" w:cs="方正仿宋_GBK"/>
      <w:color w:val="000000"/>
      <w:sz w:val="20"/>
      <w:szCs w:val="20"/>
      <w:u w:val="none"/>
    </w:rPr>
  </w:style>
  <w:style w:type="character" w:customStyle="1" w:styleId="53">
    <w:name w:val="font111"/>
    <w:qFormat/>
    <w:uiPriority w:val="0"/>
    <w:rPr>
      <w:rFonts w:hint="eastAsia" w:ascii="方正黑体_GBK" w:hAnsi="方正黑体_GBK" w:eastAsia="方正黑体_GBK" w:cs="方正黑体_GBK"/>
      <w:color w:val="000000"/>
      <w:sz w:val="20"/>
      <w:szCs w:val="20"/>
      <w:u w:val="none"/>
    </w:rPr>
  </w:style>
  <w:style w:type="character" w:customStyle="1" w:styleId="54">
    <w:name w:val="font91"/>
    <w:qFormat/>
    <w:uiPriority w:val="0"/>
    <w:rPr>
      <w:rFonts w:hint="eastAsia" w:ascii="宋体" w:hAnsi="宋体" w:eastAsia="宋体" w:cs="宋体"/>
      <w:color w:val="000000"/>
      <w:sz w:val="24"/>
      <w:szCs w:val="24"/>
      <w:u w:val="none"/>
    </w:rPr>
  </w:style>
  <w:style w:type="character" w:customStyle="1" w:styleId="55">
    <w:name w:val="font131"/>
    <w:qFormat/>
    <w:uiPriority w:val="0"/>
    <w:rPr>
      <w:rFonts w:hint="eastAsia" w:ascii="方正仿宋_GBK" w:hAnsi="方正仿宋_GBK" w:eastAsia="方正仿宋_GBK" w:cs="方正仿宋_GBK"/>
      <w:color w:val="000000"/>
      <w:sz w:val="20"/>
      <w:szCs w:val="20"/>
      <w:u w:val="none"/>
    </w:rPr>
  </w:style>
  <w:style w:type="character" w:customStyle="1" w:styleId="56">
    <w:name w:val="font51"/>
    <w:qFormat/>
    <w:uiPriority w:val="0"/>
    <w:rPr>
      <w:rFonts w:hint="eastAsia" w:ascii="方正仿宋_GBK" w:hAnsi="方正仿宋_GBK" w:eastAsia="方正仿宋_GBK" w:cs="方正仿宋_GBK"/>
      <w:color w:val="000000"/>
      <w:sz w:val="18"/>
      <w:szCs w:val="18"/>
      <w:u w:val="none"/>
    </w:rPr>
  </w:style>
  <w:style w:type="character" w:customStyle="1" w:styleId="57">
    <w:name w:val="font61"/>
    <w:qFormat/>
    <w:uiPriority w:val="0"/>
    <w:rPr>
      <w:rFonts w:hint="eastAsia" w:ascii="宋体" w:hAnsi="宋体" w:eastAsia="宋体" w:cs="宋体"/>
      <w:color w:val="000000"/>
      <w:sz w:val="20"/>
      <w:szCs w:val="20"/>
      <w:u w:val="none"/>
    </w:rPr>
  </w:style>
  <w:style w:type="character" w:customStyle="1" w:styleId="58">
    <w:name w:val="font81"/>
    <w:qFormat/>
    <w:uiPriority w:val="0"/>
    <w:rPr>
      <w:rFonts w:hint="eastAsia" w:ascii="宋体" w:hAnsi="宋体" w:eastAsia="宋体" w:cs="宋体"/>
      <w:b/>
      <w:bCs/>
      <w:color w:val="000000"/>
      <w:sz w:val="24"/>
      <w:szCs w:val="24"/>
      <w:u w:val="none"/>
    </w:rPr>
  </w:style>
  <w:style w:type="character" w:customStyle="1" w:styleId="59">
    <w:name w:val="font101"/>
    <w:qFormat/>
    <w:uiPriority w:val="0"/>
    <w:rPr>
      <w:rFonts w:hint="eastAsia" w:ascii="宋体" w:hAnsi="宋体" w:eastAsia="宋体" w:cs="宋体"/>
      <w:color w:val="000000"/>
      <w:sz w:val="24"/>
      <w:szCs w:val="24"/>
      <w:u w:val="none"/>
    </w:rPr>
  </w:style>
  <w:style w:type="character" w:customStyle="1" w:styleId="60">
    <w:name w:val="font141"/>
    <w:qFormat/>
    <w:uiPriority w:val="0"/>
    <w:rPr>
      <w:rFonts w:hint="eastAsia" w:ascii="宋体" w:hAnsi="宋体" w:eastAsia="宋体" w:cs="宋体"/>
      <w:color w:val="000000"/>
      <w:sz w:val="18"/>
      <w:szCs w:val="18"/>
      <w:u w:val="none"/>
    </w:rPr>
  </w:style>
  <w:style w:type="character" w:customStyle="1" w:styleId="61">
    <w:name w:val="font161"/>
    <w:qFormat/>
    <w:uiPriority w:val="0"/>
    <w:rPr>
      <w:rFonts w:hint="default" w:ascii="Times New Roman" w:hAnsi="Times New Roman" w:cs="Times New Roman"/>
      <w:color w:val="000000"/>
      <w:sz w:val="18"/>
      <w:szCs w:val="18"/>
      <w:u w:val="none"/>
    </w:rPr>
  </w:style>
  <w:style w:type="paragraph" w:customStyle="1" w:styleId="62">
    <w:name w:val="WPSOffice手动目录 2"/>
    <w:basedOn w:val="1"/>
    <w:qFormat/>
    <w:uiPriority w:val="0"/>
    <w:pPr>
      <w:widowControl/>
      <w:ind w:left="200" w:leftChars="200"/>
      <w:jc w:val="left"/>
    </w:pPr>
    <w:rPr>
      <w:kern w:val="0"/>
      <w:sz w:val="20"/>
      <w:szCs w:val="20"/>
    </w:rPr>
  </w:style>
  <w:style w:type="character" w:customStyle="1" w:styleId="63">
    <w:name w:val="font171"/>
    <w:qFormat/>
    <w:uiPriority w:val="0"/>
    <w:rPr>
      <w:rFonts w:hint="eastAsia" w:ascii="宋体" w:hAnsi="宋体" w:eastAsia="宋体" w:cs="宋体"/>
      <w:color w:val="000000"/>
      <w:sz w:val="20"/>
      <w:szCs w:val="20"/>
      <w:u w:val="none"/>
    </w:rPr>
  </w:style>
  <w:style w:type="paragraph" w:customStyle="1" w:styleId="64">
    <w:name w:val="WPSOffice手动目录 1"/>
    <w:unhideWhenUsed/>
    <w:qFormat/>
    <w:uiPriority w:val="0"/>
    <w:rPr>
      <w:rFonts w:hint="eastAsia" w:ascii="Times New Roman" w:hAnsi="Times New Roman" w:eastAsia="宋体" w:cs="Times New Roman"/>
      <w:lang w:val="en-US" w:eastAsia="zh-CN" w:bidi="ar-SA"/>
    </w:rPr>
  </w:style>
  <w:style w:type="paragraph" w:customStyle="1" w:styleId="65">
    <w:name w:val="修订1"/>
    <w:unhideWhenUsed/>
    <w:qFormat/>
    <w:uiPriority w:val="99"/>
    <w:rPr>
      <w:rFonts w:hint="eastAsia" w:ascii="等线" w:hAnsi="等线" w:eastAsia="等线" w:cs="Times New Roman"/>
      <w:kern w:val="2"/>
      <w:sz w:val="21"/>
      <w:szCs w:val="22"/>
      <w:lang w:val="en-US" w:eastAsia="zh-CN" w:bidi="ar-SA"/>
    </w:rPr>
  </w:style>
  <w:style w:type="paragraph" w:customStyle="1" w:styleId="66">
    <w:name w:val="msonospacing"/>
    <w:basedOn w:val="1"/>
    <w:qFormat/>
    <w:uiPriority w:val="0"/>
    <w:pPr>
      <w:pBdr>
        <w:bottom w:val="single" w:color="auto" w:sz="4" w:space="1"/>
      </w:pBdr>
    </w:pPr>
  </w:style>
  <w:style w:type="paragraph" w:customStyle="1" w:styleId="67">
    <w:name w:val="修订2"/>
    <w:unhideWhenUsed/>
    <w:qFormat/>
    <w:uiPriority w:val="99"/>
    <w:rPr>
      <w:rFonts w:ascii="Times New Roman" w:hAnsi="Times New Roman" w:eastAsia="宋体" w:cs="Times New Roman"/>
      <w:kern w:val="2"/>
      <w:sz w:val="21"/>
      <w:szCs w:val="24"/>
      <w:lang w:val="en-US" w:eastAsia="zh-CN" w:bidi="ar-SA"/>
    </w:rPr>
  </w:style>
  <w:style w:type="character" w:customStyle="1" w:styleId="68">
    <w:name w:val="font31"/>
    <w:uiPriority w:val="0"/>
    <w:rPr>
      <w:rFonts w:hint="eastAsia" w:ascii="宋体" w:hAnsi="宋体" w:eastAsia="宋体" w:cs="宋体"/>
      <w:color w:val="000000"/>
      <w:sz w:val="18"/>
      <w:szCs w:val="18"/>
      <w:u w:val="none"/>
    </w:rPr>
  </w:style>
  <w:style w:type="character" w:customStyle="1" w:styleId="69">
    <w:name w:val="font41"/>
    <w:qFormat/>
    <w:uiPriority w:val="0"/>
    <w:rPr>
      <w:rFonts w:hint="default" w:ascii="Arial" w:hAnsi="Arial" w:cs="Arial"/>
      <w:color w:val="000000"/>
      <w:sz w:val="18"/>
      <w:szCs w:val="18"/>
      <w:u w:val="none"/>
    </w:rPr>
  </w:style>
  <w:style w:type="paragraph" w:customStyle="1" w:styleId="70">
    <w:name w:val="WPSOffice手动目录 3"/>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30077-3D87-43DB-92B7-9CD208E7382D}">
  <ds:schemaRefs/>
</ds:datastoreItem>
</file>

<file path=docProps/app.xml><?xml version="1.0" encoding="utf-8"?>
<Properties xmlns="http://schemas.openxmlformats.org/officeDocument/2006/extended-properties" xmlns:vt="http://schemas.openxmlformats.org/officeDocument/2006/docPropsVTypes">
  <Template>Normal</Template>
  <Company>武汉众环会计师事务所</Company>
  <Pages>34</Pages>
  <Words>10790</Words>
  <Characters>11628</Characters>
  <Lines>155</Lines>
  <Paragraphs>43</Paragraphs>
  <TotalTime>2</TotalTime>
  <ScaleCrop>false</ScaleCrop>
  <LinksUpToDate>false</LinksUpToDate>
  <CharactersWithSpaces>11687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2024-08-22T02:04:00Z</dcterms:created>
  <dc:creator>董丹</dc:creator>
  <cp:lastModifiedBy>四十四</cp:lastModifiedBy>
  <cp:lastPrinted>2024-10-22T06:55:00Z</cp:lastPrinted>
  <dcterms:modified xsi:type="dcterms:W3CDTF">2024-11-06T09:27:53Z</dcterms:modified>
  <dc:title>ZHONG HUAN</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606DB8E001754D0395BDF5147AD09029_12</vt:lpwstr>
  </property>
</Properties>
</file>