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kinsoku/>
        <w:wordWrap/>
        <w:overflowPunct/>
        <w:topLinePunct w:val="0"/>
        <w:autoSpaceDN/>
        <w:bidi w:val="0"/>
        <w:adjustRightInd/>
        <w:spacing w:before="0" w:beforeAutospacing="0" w:after="0" w:afterAutospacing="0" w:line="560" w:lineRule="exact"/>
        <w:ind w:firstLine="880" w:firstLineChars="200"/>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重庆市铜梁区安居镇人民政府</w:t>
      </w:r>
    </w:p>
    <w:p>
      <w:pPr>
        <w:pStyle w:val="7"/>
        <w:keepNext w:val="0"/>
        <w:keepLines w:val="0"/>
        <w:pageBreakBefore w:val="0"/>
        <w:widowControl/>
        <w:kinsoku/>
        <w:wordWrap/>
        <w:overflowPunct/>
        <w:topLinePunct w:val="0"/>
        <w:autoSpaceDN/>
        <w:bidi w:val="0"/>
        <w:adjustRightInd/>
        <w:spacing w:before="0" w:beforeAutospacing="0" w:after="0" w:afterAutospacing="0" w:line="560" w:lineRule="exact"/>
        <w:ind w:firstLine="880" w:firstLineChars="200"/>
        <w:jc w:val="center"/>
        <w:textAlignment w:val="auto"/>
        <w:rPr>
          <w:rFonts w:hint="eastAsia" w:ascii="方正小标宋_GBK" w:hAnsi="方正小标宋_GBK" w:eastAsia="方正小标宋_GBK" w:cs="方正小标宋_GBK"/>
          <w:b w:val="0"/>
          <w:bCs w:val="0"/>
          <w:sz w:val="44"/>
          <w:szCs w:val="44"/>
          <w:shd w:val="clear" w:color="auto" w:fill="FFFFFF"/>
        </w:rPr>
      </w:pPr>
      <w:r>
        <w:rPr>
          <w:rFonts w:hint="eastAsia" w:ascii="方正小标宋_GBK" w:hAnsi="方正小标宋_GBK" w:eastAsia="方正小标宋_GBK" w:cs="方正小标宋_GBK"/>
          <w:b w:val="0"/>
          <w:bCs w:val="0"/>
          <w:sz w:val="44"/>
          <w:szCs w:val="44"/>
          <w:shd w:val="clear" w:color="auto" w:fill="FFFFFF"/>
        </w:rPr>
        <w:t>2024年度决算公开说明</w:t>
      </w:r>
    </w:p>
    <w:p>
      <w:pPr>
        <w:pStyle w:val="7"/>
        <w:keepNext w:val="0"/>
        <w:keepLines w:val="0"/>
        <w:pageBreakBefore w:val="0"/>
        <w:widowControl/>
        <w:kinsoku/>
        <w:wordWrap/>
        <w:overflowPunct/>
        <w:topLinePunct w:val="0"/>
        <w:autoSpaceDN/>
        <w:bidi w:val="0"/>
        <w:adjustRightInd/>
        <w:spacing w:before="0" w:beforeAutospacing="0" w:after="0" w:afterAutospacing="0" w:line="560" w:lineRule="exact"/>
        <w:ind w:firstLine="880" w:firstLineChars="200"/>
        <w:jc w:val="center"/>
        <w:textAlignment w:val="auto"/>
        <w:rPr>
          <w:rFonts w:hint="eastAsia" w:ascii="方正小标宋_GBK" w:hAnsi="方正小标宋_GBK" w:eastAsia="方正小标宋_GBK" w:cs="方正小标宋_GBK"/>
          <w:b w:val="0"/>
          <w:bCs w:val="0"/>
          <w:sz w:val="44"/>
          <w:szCs w:val="44"/>
          <w:shd w:val="clear" w:color="auto" w:fill="FFFFFF"/>
        </w:rPr>
      </w:pP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一、</w:t>
      </w:r>
      <w:r>
        <w:rPr>
          <w:rStyle w:val="10"/>
          <w:rFonts w:hint="eastAsia" w:ascii="方正黑体_GBK" w:hAnsi="方正黑体_GBK" w:eastAsia="方正黑体_GBK" w:cs="方正黑体_GBK"/>
          <w:b w:val="0"/>
          <w:bCs/>
          <w:sz w:val="32"/>
          <w:szCs w:val="32"/>
          <w:shd w:val="clear" w:color="auto" w:fill="FFFFFF"/>
          <w:lang w:eastAsia="zh-CN"/>
        </w:rPr>
        <w:t>部门</w:t>
      </w:r>
      <w:r>
        <w:rPr>
          <w:rStyle w:val="10"/>
          <w:rFonts w:hint="eastAsia" w:ascii="方正黑体_GBK" w:hAnsi="方正黑体_GBK" w:eastAsia="方正黑体_GBK" w:cs="方正黑体_GBK"/>
          <w:b w:val="0"/>
          <w:bCs/>
          <w:sz w:val="32"/>
          <w:szCs w:val="32"/>
          <w:shd w:val="clear" w:color="auto" w:fill="FFFFFF"/>
        </w:rPr>
        <w:t>基本情况</w:t>
      </w:r>
    </w:p>
    <w:p>
      <w:pPr>
        <w:pStyle w:val="7"/>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sz w:val="32"/>
          <w:szCs w:val="32"/>
        </w:rPr>
      </w:pPr>
      <w:r>
        <w:rPr>
          <w:rStyle w:val="10"/>
          <w:rFonts w:hint="eastAsia" w:ascii="方正楷体_GBK" w:hAnsi="方正楷体_GBK" w:eastAsia="方正楷体_GBK" w:cs="方正楷体_GBK"/>
          <w:b w:val="0"/>
          <w:bCs/>
          <w:sz w:val="32"/>
          <w:szCs w:val="32"/>
          <w:shd w:val="clear" w:color="auto" w:fill="FFFFFF"/>
        </w:rPr>
        <w:t>（一）职能职责</w:t>
      </w:r>
    </w:p>
    <w:p>
      <w:pPr>
        <w:keepNext w:val="0"/>
        <w:keepLines w:val="0"/>
        <w:pageBreakBefore w:val="0"/>
        <w:widowControl/>
        <w:kinsoku/>
        <w:wordWrap/>
        <w:overflowPunct/>
        <w:topLinePunct w:val="0"/>
        <w:autoSpaceDN/>
        <w:bidi w:val="0"/>
        <w:adjustRightInd/>
        <w:snapToGrid w:val="0"/>
        <w:spacing w:beforeAutospacing="0" w:afterAutospacing="0"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1.在区委、区政府的领导下，贯彻执行党和国家各项方针、政策、法律、法规；负责辖区内的地区性、群众性、公益性、社会性工作。</w:t>
      </w:r>
    </w:p>
    <w:p>
      <w:pPr>
        <w:keepNext w:val="0"/>
        <w:keepLines w:val="0"/>
        <w:pageBreakBefore w:val="0"/>
        <w:widowControl/>
        <w:kinsoku/>
        <w:wordWrap/>
        <w:overflowPunct/>
        <w:topLinePunct w:val="0"/>
        <w:autoSpaceDN/>
        <w:bidi w:val="0"/>
        <w:adjustRightInd/>
        <w:snapToGrid w:val="0"/>
        <w:spacing w:beforeAutospacing="0" w:afterAutospacing="0"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lang w:eastAsia="zh-CN"/>
        </w:rPr>
        <w:t>负责精神文明建设工作，积极组织以提高市民素质为目的的活动，树立文明新风。</w:t>
      </w:r>
    </w:p>
    <w:p>
      <w:pPr>
        <w:keepNext w:val="0"/>
        <w:keepLines w:val="0"/>
        <w:pageBreakBefore w:val="0"/>
        <w:widowControl/>
        <w:kinsoku/>
        <w:wordWrap/>
        <w:overflowPunct/>
        <w:topLinePunct w:val="0"/>
        <w:autoSpaceDN/>
        <w:bidi w:val="0"/>
        <w:adjustRightInd/>
        <w:snapToGrid w:val="0"/>
        <w:spacing w:beforeAutospacing="0" w:afterAutospacing="0"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lang w:eastAsia="zh-CN"/>
        </w:rPr>
        <w:t>做好辖区范围内的城市建设和管理、市容环境卫生、园林绿化、环境保护、市政等监督、管理、服务工作。</w:t>
      </w:r>
    </w:p>
    <w:p>
      <w:pPr>
        <w:keepNext w:val="0"/>
        <w:keepLines w:val="0"/>
        <w:pageBreakBefore w:val="0"/>
        <w:widowControl/>
        <w:kinsoku/>
        <w:wordWrap/>
        <w:overflowPunct/>
        <w:topLinePunct w:val="0"/>
        <w:autoSpaceDN/>
        <w:bidi w:val="0"/>
        <w:adjustRightInd/>
        <w:snapToGrid w:val="0"/>
        <w:spacing w:beforeAutospacing="0" w:afterAutospacing="0"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lang w:eastAsia="zh-CN"/>
        </w:rPr>
        <w:t>负责辖区内的维护稳定工作及社会治安综合治理工作，依照有关政策规定做好外来人口的管理工作。</w:t>
      </w:r>
    </w:p>
    <w:p>
      <w:pPr>
        <w:keepNext w:val="0"/>
        <w:keepLines w:val="0"/>
        <w:pageBreakBefore w:val="0"/>
        <w:widowControl/>
        <w:kinsoku/>
        <w:wordWrap/>
        <w:overflowPunct/>
        <w:topLinePunct w:val="0"/>
        <w:autoSpaceDN/>
        <w:bidi w:val="0"/>
        <w:adjustRightInd/>
        <w:snapToGrid w:val="0"/>
        <w:spacing w:beforeAutospacing="0" w:afterAutospacing="0"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lang w:eastAsia="zh-CN"/>
        </w:rPr>
        <w:t>负责民事调解，法律服务工作，维护居民的合法权益，负责社区建设和管理，指导开展社区服务工作，大力兴办社会福利事业，发动和组织社区成员开展各类社区公益活动。</w:t>
      </w:r>
    </w:p>
    <w:p>
      <w:pPr>
        <w:keepNext w:val="0"/>
        <w:keepLines w:val="0"/>
        <w:pageBreakBefore w:val="0"/>
        <w:widowControl/>
        <w:kinsoku/>
        <w:wordWrap/>
        <w:overflowPunct/>
        <w:topLinePunct w:val="0"/>
        <w:autoSpaceDN/>
        <w:bidi w:val="0"/>
        <w:adjustRightInd/>
        <w:snapToGrid w:val="0"/>
        <w:spacing w:beforeAutospacing="0" w:afterAutospacing="0"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lang w:eastAsia="zh-CN"/>
        </w:rPr>
        <w:t>负责民兵、兵役、拥军优属、优抚安置、社会救济、社会福利、社区文化、科普、体育、教育、旅游工作。</w:t>
      </w:r>
    </w:p>
    <w:p>
      <w:pPr>
        <w:keepNext w:val="0"/>
        <w:keepLines w:val="0"/>
        <w:pageBreakBefore w:val="0"/>
        <w:widowControl/>
        <w:kinsoku/>
        <w:wordWrap/>
        <w:overflowPunct/>
        <w:topLinePunct w:val="0"/>
        <w:autoSpaceDN/>
        <w:bidi w:val="0"/>
        <w:adjustRightInd/>
        <w:snapToGrid w:val="0"/>
        <w:spacing w:beforeAutospacing="0" w:afterAutospacing="0"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7.</w:t>
      </w:r>
      <w:r>
        <w:rPr>
          <w:rFonts w:hint="eastAsia" w:ascii="方正仿宋_GBK" w:hAnsi="方正仿宋_GBK" w:eastAsia="方正仿宋_GBK" w:cs="方正仿宋_GBK"/>
          <w:sz w:val="32"/>
          <w:szCs w:val="32"/>
          <w:lang w:eastAsia="zh-CN"/>
        </w:rPr>
        <w:t>发展村级经济，管理国有资产和集体资产，为镇政府、行政村经济组织提供人才、科技、信息和其他服务，以经济、法律和必要的行政手段推动政府、村级经济发展和维护市场秩序；负责计划生育、劳动就业、安全生产监督、初级卫生保健、调解等工作。</w:t>
      </w:r>
    </w:p>
    <w:p>
      <w:pPr>
        <w:keepNext w:val="0"/>
        <w:keepLines w:val="0"/>
        <w:pageBreakBefore w:val="0"/>
        <w:widowControl/>
        <w:kinsoku/>
        <w:wordWrap/>
        <w:overflowPunct/>
        <w:topLinePunct w:val="0"/>
        <w:autoSpaceDN/>
        <w:bidi w:val="0"/>
        <w:adjustRightInd/>
        <w:snapToGrid w:val="0"/>
        <w:spacing w:beforeAutospacing="0" w:afterAutospacing="0"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8.</w:t>
      </w:r>
      <w:r>
        <w:rPr>
          <w:rFonts w:hint="eastAsia" w:ascii="方正仿宋_GBK" w:hAnsi="方正仿宋_GBK" w:eastAsia="方正仿宋_GBK" w:cs="方正仿宋_GBK"/>
          <w:sz w:val="32"/>
          <w:szCs w:val="32"/>
          <w:lang w:eastAsia="zh-CN"/>
        </w:rPr>
        <w:t>指导和帮助居（</w:t>
      </w:r>
      <w:bookmarkStart w:id="0" w:name="_GoBack"/>
      <w:bookmarkEnd w:id="0"/>
      <w:r>
        <w:rPr>
          <w:rFonts w:hint="eastAsia" w:ascii="方正仿宋_GBK" w:hAnsi="方正仿宋_GBK" w:eastAsia="方正仿宋_GBK" w:cs="方正仿宋_GBK"/>
          <w:sz w:val="32"/>
          <w:szCs w:val="32"/>
          <w:lang w:eastAsia="zh-CN"/>
        </w:rPr>
        <w:t>村）民委员会搞好组织建设和制度建设，发挥居（村）民委员会的群众自治作用。</w:t>
      </w:r>
    </w:p>
    <w:p>
      <w:pPr>
        <w:keepNext w:val="0"/>
        <w:keepLines w:val="0"/>
        <w:pageBreakBefore w:val="0"/>
        <w:widowControl/>
        <w:kinsoku/>
        <w:wordWrap/>
        <w:overflowPunct/>
        <w:topLinePunct w:val="0"/>
        <w:autoSpaceDN/>
        <w:bidi w:val="0"/>
        <w:adjustRightInd/>
        <w:snapToGrid w:val="0"/>
        <w:spacing w:beforeAutospacing="0" w:afterAutospacing="0"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9.</w:t>
      </w:r>
      <w:r>
        <w:rPr>
          <w:rFonts w:hint="eastAsia" w:ascii="方正仿宋_GBK" w:hAnsi="方正仿宋_GBK" w:eastAsia="方正仿宋_GBK" w:cs="方正仿宋_GBK"/>
          <w:sz w:val="32"/>
          <w:szCs w:val="32"/>
          <w:lang w:eastAsia="zh-CN"/>
        </w:rPr>
        <w:t>配合有关部门做好防汛、防火、防震、抢险和救灾工作。</w:t>
      </w:r>
    </w:p>
    <w:p>
      <w:pPr>
        <w:pStyle w:val="7"/>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Style w:val="10"/>
          <w:rFonts w:hint="eastAsia" w:ascii="方正楷体_GBK" w:hAnsi="方正楷体_GBK" w:eastAsia="方正楷体_GBK" w:cs="方正楷体_GBK"/>
          <w:b w:val="0"/>
          <w:bCs/>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rPr>
        <w:t>（二）机构设置</w:t>
      </w:r>
    </w:p>
    <w:p>
      <w:pPr>
        <w:pStyle w:val="7"/>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default"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color w:val="auto"/>
          <w:sz w:val="32"/>
          <w:szCs w:val="32"/>
          <w:shd w:val="clear" w:color="auto" w:fill="FFFFFF"/>
          <w:lang w:val="en-US" w:eastAsia="zh-CN"/>
        </w:rPr>
        <w:t>设置综合办事机构1</w:t>
      </w:r>
      <w:r>
        <w:rPr>
          <w:rFonts w:hint="default" w:ascii="方正仿宋_GBK" w:hAnsi="方正仿宋_GBK" w:eastAsia="方正仿宋_GBK" w:cs="方正仿宋_GBK"/>
          <w:color w:val="auto"/>
          <w:sz w:val="32"/>
          <w:szCs w:val="32"/>
          <w:shd w:val="clear" w:color="auto" w:fill="FFFFFF"/>
          <w:lang w:val="en-US" w:eastAsia="zh-CN"/>
        </w:rPr>
        <w:t>个：基层治理综合指挥室，内设机构4个：党的建设办公室、经济发展办公室、民生服务办公室、平安法治办公室。核定综合办事机构、内设机构科级领导职数共10名。综合办事机构、内设机构职能职责如下：</w:t>
      </w:r>
      <w:r>
        <w:rPr>
          <w:rFonts w:hint="eastAsia" w:ascii="方正仿宋_GBK" w:hAnsi="方正仿宋_GBK" w:eastAsia="方正仿宋_GBK" w:cs="方正仿宋_GBK"/>
          <w:color w:val="auto"/>
          <w:sz w:val="32"/>
          <w:szCs w:val="32"/>
          <w:shd w:val="clear" w:color="auto" w:fill="FFFFFF"/>
          <w:lang w:val="en-US" w:eastAsia="zh-CN"/>
        </w:rPr>
        <w:br w:type="textWrapping"/>
      </w:r>
      <w:r>
        <w:rPr>
          <w:rFonts w:hint="eastAsia" w:ascii="方正仿宋_GBK" w:hAnsi="方正仿宋_GBK" w:eastAsia="方正仿宋_GBK" w:cs="方正仿宋_GBK"/>
          <w:color w:val="auto"/>
          <w:sz w:val="32"/>
          <w:szCs w:val="32"/>
          <w:shd w:val="clear" w:color="auto" w:fill="FFFFFF"/>
          <w:lang w:val="en-US" w:eastAsia="zh-CN"/>
        </w:rPr>
        <w:t>1.</w:t>
      </w:r>
      <w:r>
        <w:rPr>
          <w:rFonts w:hint="default" w:ascii="方正仿宋_GBK" w:hAnsi="方正仿宋_GBK" w:eastAsia="方正仿宋_GBK" w:cs="方正仿宋_GBK"/>
          <w:color w:val="auto"/>
          <w:sz w:val="32"/>
          <w:szCs w:val="32"/>
          <w:shd w:val="clear" w:color="auto" w:fill="FFFFFF"/>
          <w:lang w:val="en-US" w:eastAsia="zh-CN"/>
        </w:rPr>
        <w:t>基层治理综合指挥室。统筹负责一体化智治平台运行管理相关工作，承担基层治理指挥中心运行监测、分析研判、协同流转、应急指挥、督查考核等职责，负责综合协调、文件收发、政务公开、后勤管理、机要保密等工作。</w:t>
      </w:r>
      <w:r>
        <w:rPr>
          <w:rFonts w:hint="eastAsia" w:ascii="方正仿宋_GBK" w:hAnsi="方正仿宋_GBK" w:eastAsia="方正仿宋_GBK" w:cs="方正仿宋_GBK"/>
          <w:color w:val="auto"/>
          <w:sz w:val="32"/>
          <w:szCs w:val="32"/>
          <w:shd w:val="clear" w:color="auto" w:fill="FFFFFF"/>
          <w:lang w:val="en-US" w:eastAsia="zh-CN"/>
        </w:rPr>
        <w:br w:type="textWrapping"/>
      </w:r>
      <w:r>
        <w:rPr>
          <w:rFonts w:hint="eastAsia" w:ascii="方正仿宋_GBK" w:hAnsi="方正仿宋_GBK" w:eastAsia="方正仿宋_GBK" w:cs="方正仿宋_GBK"/>
          <w:color w:val="auto"/>
          <w:sz w:val="32"/>
          <w:szCs w:val="32"/>
          <w:shd w:val="clear" w:color="auto" w:fill="FFFFFF"/>
          <w:lang w:val="en-US" w:eastAsia="zh-CN"/>
        </w:rPr>
        <w:t>2.</w:t>
      </w:r>
      <w:r>
        <w:rPr>
          <w:rFonts w:hint="default" w:ascii="方正仿宋_GBK" w:hAnsi="方正仿宋_GBK" w:eastAsia="方正仿宋_GBK" w:cs="方正仿宋_GBK"/>
          <w:color w:val="auto"/>
          <w:sz w:val="32"/>
          <w:szCs w:val="32"/>
          <w:shd w:val="clear" w:color="auto" w:fill="FFFFFF"/>
          <w:lang w:val="en-US" w:eastAsia="zh-CN"/>
        </w:rPr>
        <w:t>党的建设办公室。统筹负责党的政治建设、思想建设、组织建设、作风建设、纪律建设、制度建设和反腐败斗争、民主法治、意识形态、精神文明建设、统一战线、民宗侨台、群众团体、人大政协联络等领域工作。</w:t>
      </w:r>
      <w:r>
        <w:rPr>
          <w:rFonts w:hint="eastAsia" w:ascii="方正仿宋_GBK" w:hAnsi="方正仿宋_GBK" w:eastAsia="方正仿宋_GBK" w:cs="方正仿宋_GBK"/>
          <w:color w:val="auto"/>
          <w:sz w:val="32"/>
          <w:szCs w:val="32"/>
          <w:shd w:val="clear" w:color="auto" w:fill="FFFFFF"/>
          <w:lang w:val="en-US" w:eastAsia="zh-CN"/>
        </w:rPr>
        <w:br w:type="textWrapping"/>
      </w:r>
      <w:r>
        <w:rPr>
          <w:rFonts w:hint="eastAsia" w:ascii="方正仿宋_GBK" w:hAnsi="方正仿宋_GBK" w:eastAsia="方正仿宋_GBK" w:cs="方正仿宋_GBK"/>
          <w:color w:val="auto"/>
          <w:sz w:val="32"/>
          <w:szCs w:val="32"/>
          <w:shd w:val="clear" w:color="auto" w:fill="FFFFFF"/>
          <w:lang w:val="en-US" w:eastAsia="zh-CN"/>
        </w:rPr>
        <w:t>3.</w:t>
      </w:r>
      <w:r>
        <w:rPr>
          <w:rFonts w:hint="default" w:ascii="方正仿宋_GBK" w:hAnsi="方正仿宋_GBK" w:eastAsia="方正仿宋_GBK" w:cs="方正仿宋_GBK"/>
          <w:color w:val="auto"/>
          <w:sz w:val="32"/>
          <w:szCs w:val="32"/>
          <w:shd w:val="clear" w:color="auto" w:fill="FFFFFF"/>
          <w:lang w:val="en-US" w:eastAsia="zh-CN"/>
        </w:rPr>
        <w:t>经济发展办公室。统筹负责经济发展、辖区规划建设、生态环境、农业农村、乡村振兴、财政管理、经济社会统计等领域工作。</w:t>
      </w:r>
      <w:r>
        <w:rPr>
          <w:rFonts w:hint="eastAsia" w:ascii="方正仿宋_GBK" w:hAnsi="方正仿宋_GBK" w:eastAsia="方正仿宋_GBK" w:cs="方正仿宋_GBK"/>
          <w:color w:val="auto"/>
          <w:sz w:val="32"/>
          <w:szCs w:val="32"/>
          <w:shd w:val="clear" w:color="auto" w:fill="FFFFFF"/>
          <w:lang w:val="en-US" w:eastAsia="zh-CN"/>
        </w:rPr>
        <w:br w:type="textWrapping"/>
      </w:r>
      <w:r>
        <w:rPr>
          <w:rFonts w:hint="eastAsia" w:ascii="方正仿宋_GBK" w:hAnsi="方正仿宋_GBK" w:eastAsia="方正仿宋_GBK" w:cs="方正仿宋_GBK"/>
          <w:color w:val="auto"/>
          <w:sz w:val="32"/>
          <w:szCs w:val="32"/>
          <w:shd w:val="clear" w:color="auto" w:fill="FFFFFF"/>
          <w:lang w:val="en-US" w:eastAsia="zh-CN"/>
        </w:rPr>
        <w:t>4.</w:t>
      </w:r>
      <w:r>
        <w:rPr>
          <w:rFonts w:hint="default" w:ascii="方正仿宋_GBK" w:hAnsi="方正仿宋_GBK" w:eastAsia="方正仿宋_GBK" w:cs="方正仿宋_GBK"/>
          <w:color w:val="auto"/>
          <w:sz w:val="32"/>
          <w:szCs w:val="32"/>
          <w:shd w:val="clear" w:color="auto" w:fill="FFFFFF"/>
          <w:lang w:val="en-US" w:eastAsia="zh-CN"/>
        </w:rPr>
        <w:t>民生服务办公室。统筹负责民政、教育、文化、卫生健康、体育、劳动就业、残疾人事业、退役军人服务等领域工作，负责落实社会保险、社会救助、社会福利、优抚安置等社会保障政策。</w:t>
      </w:r>
      <w:r>
        <w:rPr>
          <w:rFonts w:hint="eastAsia" w:ascii="方正仿宋_GBK" w:hAnsi="方正仿宋_GBK" w:eastAsia="方正仿宋_GBK" w:cs="方正仿宋_GBK"/>
          <w:color w:val="auto"/>
          <w:sz w:val="32"/>
          <w:szCs w:val="32"/>
          <w:shd w:val="clear" w:color="auto" w:fill="FFFFFF"/>
          <w:lang w:val="en-US" w:eastAsia="zh-CN"/>
        </w:rPr>
        <w:br w:type="textWrapping"/>
      </w:r>
      <w:r>
        <w:rPr>
          <w:rFonts w:hint="eastAsia" w:ascii="方正仿宋_GBK" w:hAnsi="方正仿宋_GBK" w:eastAsia="方正仿宋_GBK" w:cs="方正仿宋_GBK"/>
          <w:color w:val="auto"/>
          <w:sz w:val="32"/>
          <w:szCs w:val="32"/>
          <w:shd w:val="clear" w:color="auto" w:fill="FFFFFF"/>
          <w:lang w:val="en-US" w:eastAsia="zh-CN"/>
        </w:rPr>
        <w:t>5.</w:t>
      </w:r>
      <w:r>
        <w:rPr>
          <w:rFonts w:hint="default" w:ascii="方正仿宋_GBK" w:hAnsi="方正仿宋_GBK" w:eastAsia="方正仿宋_GBK" w:cs="方正仿宋_GBK"/>
          <w:color w:val="auto"/>
          <w:sz w:val="32"/>
          <w:szCs w:val="32"/>
          <w:shd w:val="clear" w:color="auto" w:fill="FFFFFF"/>
          <w:lang w:val="en-US" w:eastAsia="zh-CN"/>
        </w:rPr>
        <w:t>平安法治办公室。统筹负责平安综治、应急管理、安全生产综合监管、综合执法、信访稳定、防范和处理邪教、人民武装、社会治理等领域工作</w:t>
      </w:r>
      <w:r>
        <w:rPr>
          <w:rFonts w:hint="eastAsia" w:ascii="方正仿宋_GBK" w:hAnsi="方正仿宋_GBK" w:eastAsia="方正仿宋_GBK" w:cs="方正仿宋_GBK"/>
          <w:color w:val="auto"/>
          <w:sz w:val="32"/>
          <w:szCs w:val="32"/>
          <w:shd w:val="clear" w:color="auto" w:fill="FFFFFF"/>
          <w:lang w:val="en-US" w:eastAsia="zh-CN"/>
        </w:rPr>
        <w:t>。</w:t>
      </w:r>
    </w:p>
    <w:p>
      <w:pPr>
        <w:pStyle w:val="7"/>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default" w:ascii="方正仿宋_GBK" w:hAnsi="方正仿宋_GBK" w:eastAsia="方正仿宋_GBK" w:cs="方正仿宋_GBK"/>
          <w:color w:val="auto"/>
          <w:sz w:val="32"/>
          <w:szCs w:val="32"/>
          <w:shd w:val="clear" w:color="auto" w:fill="FFFFFF"/>
          <w:lang w:val="en-US" w:eastAsia="zh-CN"/>
        </w:rPr>
      </w:pPr>
      <w:r>
        <w:rPr>
          <w:rFonts w:hint="default" w:ascii="方正仿宋_GBK" w:hAnsi="方正仿宋_GBK" w:eastAsia="方正仿宋_GBK" w:cs="方正仿宋_GBK"/>
          <w:color w:val="auto"/>
          <w:sz w:val="32"/>
          <w:szCs w:val="32"/>
          <w:shd w:val="clear" w:color="auto" w:fill="FFFFFF"/>
          <w:lang w:val="en-US" w:eastAsia="zh-CN"/>
        </w:rPr>
        <w:t>纪委、武装部按照有关规定设置。工会、团委、妇联等群团按章程设置</w:t>
      </w:r>
      <w:r>
        <w:rPr>
          <w:rFonts w:hint="eastAsia" w:ascii="方正仿宋_GBK" w:hAnsi="方正仿宋_GBK" w:eastAsia="方正仿宋_GBK" w:cs="方正仿宋_GBK"/>
          <w:color w:val="auto"/>
          <w:sz w:val="32"/>
          <w:szCs w:val="32"/>
          <w:shd w:val="clear" w:color="auto" w:fill="FFFFFF"/>
          <w:lang w:val="en-US" w:eastAsia="zh-CN"/>
        </w:rPr>
        <w:t>。</w:t>
      </w:r>
    </w:p>
    <w:p>
      <w:pPr>
        <w:pStyle w:val="7"/>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Style w:val="10"/>
          <w:rFonts w:hint="eastAsia" w:ascii="方正楷体_GBK" w:hAnsi="方正楷体_GBK" w:eastAsia="方正楷体_GBK" w:cs="方正楷体_GBK"/>
          <w:b w:val="0"/>
          <w:bCs/>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lang w:eastAsia="zh-CN"/>
        </w:rPr>
        <w:t>（三）</w:t>
      </w:r>
      <w:r>
        <w:rPr>
          <w:rStyle w:val="10"/>
          <w:rFonts w:hint="eastAsia" w:ascii="方正楷体_GBK" w:hAnsi="方正楷体_GBK" w:eastAsia="方正楷体_GBK" w:cs="方正楷体_GBK"/>
          <w:b w:val="0"/>
          <w:bCs/>
          <w:sz w:val="32"/>
          <w:szCs w:val="32"/>
          <w:shd w:val="clear" w:color="auto" w:fill="FFFFFF"/>
        </w:rPr>
        <w:t>单位构成</w:t>
      </w:r>
    </w:p>
    <w:p>
      <w:pPr>
        <w:pStyle w:val="7"/>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default" w:ascii="方正仿宋_GBK" w:hAnsi="方正仿宋_GBK" w:eastAsia="方正仿宋_GBK" w:cs="方正仿宋_GBK"/>
          <w:color w:val="auto"/>
          <w:sz w:val="32"/>
          <w:szCs w:val="32"/>
          <w:shd w:val="clear" w:color="auto" w:fill="FFFFFF"/>
        </w:rPr>
      </w:pPr>
      <w:r>
        <w:rPr>
          <w:rFonts w:hint="default" w:ascii="方正仿宋_GBK" w:hAnsi="方正仿宋_GBK" w:eastAsia="方正仿宋_GBK" w:cs="方正仿宋_GBK"/>
          <w:color w:val="auto"/>
          <w:sz w:val="32"/>
          <w:szCs w:val="32"/>
          <w:shd w:val="clear" w:color="auto" w:fill="FFFFFF"/>
        </w:rPr>
        <w:t>从预算单位构成看，纳入本部门2024年度决算编制的二级预算单位主要包括</w:t>
      </w:r>
      <w:r>
        <w:rPr>
          <w:rFonts w:hint="eastAsia" w:ascii="方正仿宋_GBK" w:hAnsi="方正仿宋_GBK" w:eastAsia="方正仿宋_GBK" w:cs="方正仿宋_GBK"/>
          <w:color w:val="auto"/>
          <w:sz w:val="32"/>
          <w:szCs w:val="32"/>
          <w:lang w:val="en-US" w:eastAsia="zh-CN"/>
        </w:rPr>
        <w:t>重庆市铜梁区安居镇农业服务中心、重庆市铜梁区安居镇文化服务中心、重庆市铜梁区安居镇劳动就业和社会保障服务所、重庆市铜梁区安居镇退役军人服务站、重庆市铜梁区安居镇综合行政执法大队、重庆市铜梁区安居镇乡村产业培育中心、重庆市铜梁区安居镇乡村生态治理中心共7个事业单位</w:t>
      </w:r>
      <w:r>
        <w:rPr>
          <w:rFonts w:hint="default" w:ascii="方正仿宋_GBK" w:hAnsi="方正仿宋_GBK" w:eastAsia="方正仿宋_GBK" w:cs="方正仿宋_GBK"/>
          <w:color w:val="auto"/>
          <w:sz w:val="32"/>
          <w:szCs w:val="32"/>
          <w:shd w:val="clear" w:color="auto" w:fill="FFFFFF"/>
        </w:rPr>
        <w:t>。</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黑体_GBK" w:hAnsi="方正黑体_GBK" w:eastAsia="方正黑体_GBK" w:cs="方正黑体_GBK"/>
          <w:b w:val="0"/>
          <w:bCs/>
          <w:sz w:val="32"/>
          <w:szCs w:val="32"/>
        </w:rPr>
      </w:pPr>
      <w:r>
        <w:rPr>
          <w:rStyle w:val="10"/>
          <w:rFonts w:hint="eastAsia" w:ascii="方正黑体_GBK" w:hAnsi="方正黑体_GBK" w:eastAsia="方正黑体_GBK" w:cs="方正黑体_GBK"/>
          <w:b w:val="0"/>
          <w:bCs/>
          <w:sz w:val="32"/>
          <w:szCs w:val="32"/>
          <w:shd w:val="clear" w:color="auto" w:fill="FFFFFF"/>
        </w:rPr>
        <w:t>二、</w:t>
      </w:r>
      <w:r>
        <w:rPr>
          <w:rStyle w:val="10"/>
          <w:rFonts w:hint="eastAsia" w:ascii="方正黑体_GBK" w:hAnsi="方正黑体_GBK" w:eastAsia="方正黑体_GBK" w:cs="方正黑体_GBK"/>
          <w:b w:val="0"/>
          <w:bCs/>
          <w:sz w:val="32"/>
          <w:szCs w:val="32"/>
          <w:shd w:val="clear" w:color="auto" w:fill="FFFFFF"/>
          <w:lang w:eastAsia="zh-CN"/>
        </w:rPr>
        <w:t>部门</w:t>
      </w:r>
      <w:r>
        <w:rPr>
          <w:rStyle w:val="10"/>
          <w:rFonts w:hint="eastAsia" w:ascii="方正黑体_GBK" w:hAnsi="方正黑体_GBK" w:eastAsia="方正黑体_GBK" w:cs="方正黑体_GBK"/>
          <w:b w:val="0"/>
          <w:bCs/>
          <w:sz w:val="32"/>
          <w:szCs w:val="32"/>
          <w:shd w:val="clear" w:color="auto" w:fill="FFFFFF"/>
        </w:rPr>
        <w:t>决算</w:t>
      </w:r>
      <w:r>
        <w:rPr>
          <w:rStyle w:val="10"/>
          <w:rFonts w:hint="eastAsia" w:ascii="方正黑体_GBK" w:hAnsi="方正黑体_GBK" w:eastAsia="方正黑体_GBK" w:cs="方正黑体_GBK"/>
          <w:b w:val="0"/>
          <w:bCs/>
          <w:sz w:val="32"/>
          <w:szCs w:val="32"/>
          <w:shd w:val="clear" w:color="auto" w:fill="FFFFFF"/>
          <w:lang w:eastAsia="zh-CN"/>
        </w:rPr>
        <w:t>收支</w:t>
      </w:r>
      <w:r>
        <w:rPr>
          <w:rStyle w:val="10"/>
          <w:rFonts w:hint="eastAsia" w:ascii="方正黑体_GBK" w:hAnsi="方正黑体_GBK" w:eastAsia="方正黑体_GBK" w:cs="方正黑体_GBK"/>
          <w:b w:val="0"/>
          <w:bCs/>
          <w:sz w:val="32"/>
          <w:szCs w:val="32"/>
          <w:shd w:val="clear" w:color="auto" w:fill="FFFFFF"/>
        </w:rPr>
        <w:t>情况说明</w:t>
      </w:r>
    </w:p>
    <w:p>
      <w:pPr>
        <w:pStyle w:val="11"/>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（一）收入支出决算总体情况说明</w:t>
      </w:r>
    </w:p>
    <w:p>
      <w:pPr>
        <w:pStyle w:val="7"/>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Style w:val="10"/>
          <w:rFonts w:hint="eastAsia" w:ascii="方正仿宋_GBK" w:hAnsi="方正仿宋_GBK" w:eastAsia="方正仿宋_GBK" w:cs="方正仿宋_GBK"/>
          <w:b w:val="0"/>
          <w:bCs/>
          <w:sz w:val="32"/>
          <w:szCs w:val="32"/>
          <w:shd w:val="clear" w:color="auto" w:fill="FFFFFF"/>
          <w:lang w:val="en-US" w:eastAsia="zh-CN"/>
        </w:rPr>
      </w:pPr>
      <w:r>
        <w:rPr>
          <w:rStyle w:val="10"/>
          <w:rFonts w:ascii="方正仿宋_GBK" w:hAnsi="方正仿宋_GBK" w:eastAsia="方正仿宋_GBK" w:cs="方正仿宋_GBK"/>
          <w:b w:val="0"/>
          <w:bCs/>
          <w:sz w:val="32"/>
          <w:szCs w:val="32"/>
          <w:shd w:val="clear" w:color="auto" w:fill="FFFFFF"/>
        </w:rPr>
        <w:t>1.总体情况</w:t>
      </w:r>
    </w:p>
    <w:p>
      <w:pPr>
        <w:pStyle w:val="7"/>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default"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度收入总计5679.53万元，支出总计</w:t>
      </w:r>
      <w:r>
        <w:rPr>
          <w:rFonts w:ascii="方正仿宋_GBK" w:hAnsi="方正仿宋_GBK" w:eastAsia="方正仿宋_GBK" w:cs="方正仿宋_GBK"/>
          <w:sz w:val="32"/>
          <w:szCs w:val="32"/>
        </w:rPr>
        <w:t>5679.53</w:t>
      </w:r>
      <w:r>
        <w:rPr>
          <w:rFonts w:ascii="方正仿宋_GBK" w:hAnsi="方正仿宋_GBK" w:eastAsia="方正仿宋_GBK" w:cs="方正仿宋_GBK"/>
          <w:sz w:val="32"/>
          <w:szCs w:val="32"/>
          <w:shd w:val="clear" w:color="auto" w:fill="FFFFFF"/>
        </w:rPr>
        <w:t>万元。收、支与2023年度相比，增加838.71万元，增长17.3%，主要原因是</w:t>
      </w:r>
      <w:r>
        <w:rPr>
          <w:rFonts w:hint="eastAsia" w:ascii="方正仿宋_GBK" w:hAnsi="方正仿宋_GBK" w:eastAsia="方正仿宋_GBK" w:cs="方正仿宋_GBK"/>
          <w:sz w:val="32"/>
          <w:szCs w:val="32"/>
          <w:shd w:val="clear" w:color="auto" w:fill="FFFFFF"/>
          <w:lang w:val="en-US" w:eastAsia="zh-CN"/>
        </w:rPr>
        <w:t>:（1）</w:t>
      </w:r>
      <w:r>
        <w:rPr>
          <w:rFonts w:hint="eastAsia" w:ascii="方正仿宋_GBK" w:hAnsi="方正仿宋_GBK" w:eastAsia="方正仿宋_GBK" w:cs="方正仿宋_GBK"/>
          <w:sz w:val="32"/>
          <w:szCs w:val="32"/>
          <w:shd w:val="clear" w:color="auto" w:fill="FFFFFF"/>
          <w:lang w:eastAsia="zh-CN"/>
        </w:rPr>
        <w:t>本年度新入库了安居镇迎龙湾商贸中心房屋拆迁项目21.88万元，安居华夏公司房屋租金496万元，琵琶岛生态价值工程1200万元，安居古城景区及周边房屋外立面风貌改造资金532.62万元、区对镇街激励奖励150万元、水源建设20万元等项目。（</w:t>
      </w:r>
      <w:r>
        <w:rPr>
          <w:rFonts w:hint="eastAsia" w:ascii="方正仿宋_GBK" w:hAnsi="方正仿宋_GBK" w:eastAsia="方正仿宋_GBK" w:cs="方正仿宋_GBK"/>
          <w:sz w:val="32"/>
          <w:szCs w:val="32"/>
          <w:shd w:val="clear" w:color="auto" w:fill="FFFFFF"/>
          <w:lang w:val="en-US" w:eastAsia="zh-CN"/>
        </w:rPr>
        <w:t>2</w:t>
      </w:r>
      <w:r>
        <w:rPr>
          <w:rFonts w:hint="eastAsia" w:ascii="方正仿宋_GBK" w:hAnsi="方正仿宋_GBK" w:eastAsia="方正仿宋_GBK" w:cs="方正仿宋_GBK"/>
          <w:sz w:val="32"/>
          <w:szCs w:val="32"/>
          <w:shd w:val="clear" w:color="auto" w:fill="FFFFFF"/>
          <w:lang w:eastAsia="zh-CN"/>
        </w:rPr>
        <w:t>）由于财政资金紧张，部分预算资金未能全部下达，故本年收支较上年度增加838.71万元。</w:t>
      </w:r>
    </w:p>
    <w:p>
      <w:pPr>
        <w:pStyle w:val="7"/>
        <w:keepNext w:val="0"/>
        <w:keepLines w:val="0"/>
        <w:pageBreakBefore w:val="0"/>
        <w:widowControl/>
        <w:numPr>
          <w:ilvl w:val="0"/>
          <w:numId w:val="0"/>
        </w:numP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Style w:val="10"/>
          <w:rFonts w:ascii="方正仿宋_GBK" w:hAnsi="方正仿宋_GBK" w:eastAsia="方正仿宋_GBK" w:cs="方正仿宋_GBK"/>
          <w:b w:val="0"/>
          <w:bCs/>
          <w:sz w:val="32"/>
          <w:szCs w:val="32"/>
          <w:shd w:val="clear" w:color="auto" w:fill="FFFFFF"/>
        </w:rPr>
      </w:pPr>
      <w:r>
        <w:rPr>
          <w:rStyle w:val="10"/>
          <w:rFonts w:hint="eastAsia" w:ascii="方正仿宋_GBK" w:hAnsi="方正仿宋_GBK" w:eastAsia="方正仿宋_GBK" w:cs="方正仿宋_GBK"/>
          <w:b w:val="0"/>
          <w:bCs/>
          <w:sz w:val="32"/>
          <w:szCs w:val="32"/>
          <w:shd w:val="clear" w:color="auto" w:fill="FFFFFF"/>
          <w:lang w:val="en-US" w:eastAsia="zh-CN"/>
        </w:rPr>
        <w:t>2.</w:t>
      </w:r>
      <w:r>
        <w:rPr>
          <w:rStyle w:val="10"/>
          <w:rFonts w:ascii="方正仿宋_GBK" w:hAnsi="方正仿宋_GBK" w:eastAsia="方正仿宋_GBK" w:cs="方正仿宋_GBK"/>
          <w:b w:val="0"/>
          <w:bCs/>
          <w:sz w:val="32"/>
          <w:szCs w:val="32"/>
          <w:shd w:val="clear" w:color="auto" w:fill="FFFFFF"/>
        </w:rPr>
        <w:t>收入情况</w:t>
      </w:r>
    </w:p>
    <w:p>
      <w:pPr>
        <w:pStyle w:val="7"/>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度收入合计5679.53万元，与2023年度相比，增加838.71万元，增长17.3%，主要原因是</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（1）</w:t>
      </w:r>
      <w:r>
        <w:rPr>
          <w:rFonts w:hint="eastAsia" w:ascii="方正仿宋_GBK" w:hAnsi="方正仿宋_GBK" w:eastAsia="方正仿宋_GBK" w:cs="方正仿宋_GBK"/>
          <w:sz w:val="32"/>
          <w:szCs w:val="32"/>
          <w:shd w:val="clear" w:color="auto" w:fill="FFFFFF"/>
          <w:lang w:eastAsia="zh-CN"/>
        </w:rPr>
        <w:t>本年度新入库了安居镇迎龙湾商贸中心房屋拆迁项目21.88万元，安居华夏公司房屋租金496万元，琵琶岛生态价值工程1200万元，安居古城景区及周边房屋外立面风貌改造资金532.62万元、区对镇街激励奖励150万元、水源建设20万元等项目。（</w:t>
      </w:r>
      <w:r>
        <w:rPr>
          <w:rFonts w:hint="eastAsia" w:ascii="方正仿宋_GBK" w:hAnsi="方正仿宋_GBK" w:eastAsia="方正仿宋_GBK" w:cs="方正仿宋_GBK"/>
          <w:sz w:val="32"/>
          <w:szCs w:val="32"/>
          <w:shd w:val="clear" w:color="auto" w:fill="FFFFFF"/>
          <w:lang w:val="en-US" w:eastAsia="zh-CN"/>
        </w:rPr>
        <w:t>2</w:t>
      </w:r>
      <w:r>
        <w:rPr>
          <w:rFonts w:hint="eastAsia" w:ascii="方正仿宋_GBK" w:hAnsi="方正仿宋_GBK" w:eastAsia="方正仿宋_GBK" w:cs="方正仿宋_GBK"/>
          <w:sz w:val="32"/>
          <w:szCs w:val="32"/>
          <w:shd w:val="clear" w:color="auto" w:fill="FFFFFF"/>
          <w:lang w:eastAsia="zh-CN"/>
        </w:rPr>
        <w:t>）由于财政资金紧张，部分预算资金未能全部下达，故本年收入较上年度增加838.71万元。</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5679.53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7"/>
        <w:keepNext w:val="0"/>
        <w:keepLines w:val="0"/>
        <w:pageBreakBefore w:val="0"/>
        <w:widowControl/>
        <w:numPr>
          <w:ilvl w:val="0"/>
          <w:numId w:val="0"/>
        </w:numP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Style w:val="10"/>
          <w:rFonts w:ascii="方正仿宋_GBK" w:hAnsi="方正仿宋_GBK" w:eastAsia="方正仿宋_GBK" w:cs="方正仿宋_GBK"/>
          <w:b w:val="0"/>
          <w:bCs/>
          <w:sz w:val="32"/>
          <w:szCs w:val="32"/>
          <w:shd w:val="clear" w:color="auto" w:fill="FFFFFF"/>
        </w:rPr>
      </w:pPr>
      <w:r>
        <w:rPr>
          <w:rStyle w:val="10"/>
          <w:rFonts w:hint="eastAsia" w:ascii="方正仿宋_GBK" w:hAnsi="方正仿宋_GBK" w:eastAsia="方正仿宋_GBK" w:cs="方正仿宋_GBK"/>
          <w:b w:val="0"/>
          <w:bCs/>
          <w:sz w:val="32"/>
          <w:szCs w:val="32"/>
          <w:shd w:val="clear" w:color="auto" w:fill="FFFFFF"/>
          <w:lang w:val="en-US" w:eastAsia="zh-CN"/>
        </w:rPr>
        <w:t>3.</w:t>
      </w:r>
      <w:r>
        <w:rPr>
          <w:rStyle w:val="10"/>
          <w:rFonts w:ascii="方正仿宋_GBK" w:hAnsi="方正仿宋_GBK" w:eastAsia="方正仿宋_GBK" w:cs="方正仿宋_GBK"/>
          <w:b w:val="0"/>
          <w:bCs/>
          <w:sz w:val="32"/>
          <w:szCs w:val="32"/>
          <w:shd w:val="clear" w:color="auto" w:fill="FFFFFF"/>
        </w:rPr>
        <w:t>支出情况</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5679.53</w:t>
      </w:r>
      <w:r>
        <w:rPr>
          <w:rFonts w:ascii="方正仿宋_GBK" w:hAnsi="方正仿宋_GBK" w:eastAsia="方正仿宋_GBK" w:cs="方正仿宋_GBK"/>
          <w:sz w:val="32"/>
          <w:szCs w:val="32"/>
          <w:shd w:val="clear" w:color="auto" w:fill="FFFFFF"/>
        </w:rPr>
        <w:t>万元，与2023年度相比，增加838.71万元，增长17.3%，主要原因是</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（1）</w:t>
      </w:r>
      <w:r>
        <w:rPr>
          <w:rFonts w:hint="eastAsia" w:ascii="方正仿宋_GBK" w:hAnsi="方正仿宋_GBK" w:eastAsia="方正仿宋_GBK" w:cs="方正仿宋_GBK"/>
          <w:sz w:val="32"/>
          <w:szCs w:val="32"/>
          <w:shd w:val="clear" w:color="auto" w:fill="FFFFFF"/>
          <w:lang w:eastAsia="zh-CN"/>
        </w:rPr>
        <w:t>本年度新入库了安居镇迎龙湾商贸中心房屋拆迁项目21.88万元，安居华夏公司房屋租金496万元，琵琶岛生态价值工程1200万元，安居古城景区及周边房屋外立面风貌改造资金532.62万元、区对镇街激励奖励150万元、水源建设20万元等项目。（</w:t>
      </w:r>
      <w:r>
        <w:rPr>
          <w:rFonts w:hint="eastAsia" w:ascii="方正仿宋_GBK" w:hAnsi="方正仿宋_GBK" w:eastAsia="方正仿宋_GBK" w:cs="方正仿宋_GBK"/>
          <w:sz w:val="32"/>
          <w:szCs w:val="32"/>
          <w:shd w:val="clear" w:color="auto" w:fill="FFFFFF"/>
          <w:lang w:val="en-US" w:eastAsia="zh-CN"/>
        </w:rPr>
        <w:t>2</w:t>
      </w:r>
      <w:r>
        <w:rPr>
          <w:rFonts w:hint="eastAsia" w:ascii="方正仿宋_GBK" w:hAnsi="方正仿宋_GBK" w:eastAsia="方正仿宋_GBK" w:cs="方正仿宋_GBK"/>
          <w:sz w:val="32"/>
          <w:szCs w:val="32"/>
          <w:shd w:val="clear" w:color="auto" w:fill="FFFFFF"/>
          <w:lang w:eastAsia="zh-CN"/>
        </w:rPr>
        <w:t>）由于财政资金紧张，部分预算资金未能全部下达，故本年支出较上年度增加838.71万元。</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1964.29</w:t>
      </w:r>
      <w:r>
        <w:rPr>
          <w:rFonts w:ascii="方正仿宋_GBK" w:hAnsi="方正仿宋_GBK" w:eastAsia="方正仿宋_GBK" w:cs="方正仿宋_GBK"/>
          <w:sz w:val="32"/>
          <w:szCs w:val="32"/>
          <w:shd w:val="clear" w:color="auto" w:fill="FFFFFF"/>
        </w:rPr>
        <w:t>万元，占34.59%；项目支出</w:t>
      </w:r>
      <w:r>
        <w:rPr>
          <w:rFonts w:ascii="方正仿宋_GBK" w:hAnsi="方正仿宋_GBK" w:eastAsia="方正仿宋_GBK" w:cs="方正仿宋_GBK"/>
          <w:sz w:val="32"/>
          <w:szCs w:val="32"/>
        </w:rPr>
        <w:t>3715.24</w:t>
      </w:r>
      <w:r>
        <w:rPr>
          <w:rFonts w:ascii="方正仿宋_GBK" w:hAnsi="方正仿宋_GBK" w:eastAsia="方正仿宋_GBK" w:cs="方正仿宋_GBK"/>
          <w:sz w:val="32"/>
          <w:szCs w:val="32"/>
          <w:shd w:val="clear" w:color="auto" w:fill="FFFFFF"/>
        </w:rPr>
        <w:t>万元，占65.41%；经营支出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7"/>
        <w:keepNext w:val="0"/>
        <w:keepLines w:val="0"/>
        <w:pageBreakBefore w:val="0"/>
        <w:widowControl/>
        <w:numPr>
          <w:ilvl w:val="0"/>
          <w:numId w:val="0"/>
        </w:numP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Style w:val="10"/>
          <w:rFonts w:ascii="方正仿宋_GBK" w:hAnsi="方正仿宋_GBK" w:eastAsia="方正仿宋_GBK" w:cs="方正仿宋_GBK"/>
          <w:b w:val="0"/>
          <w:bCs/>
          <w:sz w:val="32"/>
          <w:szCs w:val="32"/>
          <w:shd w:val="clear" w:color="auto" w:fill="FFFFFF"/>
        </w:rPr>
      </w:pPr>
      <w:r>
        <w:rPr>
          <w:rStyle w:val="10"/>
          <w:rFonts w:hint="eastAsia" w:ascii="方正仿宋_GBK" w:hAnsi="方正仿宋_GBK" w:eastAsia="方正仿宋_GBK" w:cs="方正仿宋_GBK"/>
          <w:b w:val="0"/>
          <w:bCs/>
          <w:sz w:val="32"/>
          <w:szCs w:val="32"/>
          <w:shd w:val="clear" w:color="auto" w:fill="FFFFFF"/>
          <w:lang w:val="en-US" w:eastAsia="zh-CN"/>
        </w:rPr>
        <w:t>4.</w:t>
      </w:r>
      <w:r>
        <w:rPr>
          <w:rStyle w:val="10"/>
          <w:rFonts w:ascii="方正仿宋_GBK" w:hAnsi="方正仿宋_GBK" w:eastAsia="方正仿宋_GBK" w:cs="方正仿宋_GBK"/>
          <w:b w:val="0"/>
          <w:bCs/>
          <w:sz w:val="32"/>
          <w:szCs w:val="32"/>
          <w:shd w:val="clear" w:color="auto" w:fill="FFFFFF"/>
        </w:rPr>
        <w:t>结转结余情况</w:t>
      </w:r>
    </w:p>
    <w:p>
      <w:pPr>
        <w:pStyle w:val="7"/>
        <w:keepNext w:val="0"/>
        <w:keepLines w:val="0"/>
        <w:pageBreakBefore w:val="0"/>
        <w:widowControl/>
        <w:numPr>
          <w:ilvl w:val="0"/>
          <w:numId w:val="0"/>
        </w:numP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本年度我单位收支一致。</w:t>
      </w:r>
    </w:p>
    <w:p>
      <w:pPr>
        <w:pStyle w:val="11"/>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（二）财政拨款收入支出决算总体情况说明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度财政拨款收、支总计5679.53万元。与202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年相比，财政拨款收、支总计各增加838.71万元，增长17.3%。主要原因是</w:t>
      </w:r>
      <w:r>
        <w:rPr>
          <w:rFonts w:hint="eastAsia" w:ascii="方正仿宋_GBK" w:hAnsi="方正仿宋_GBK" w:eastAsia="方正仿宋_GBK" w:cs="方正仿宋_GBK"/>
          <w:sz w:val="32"/>
          <w:szCs w:val="32"/>
          <w:shd w:val="clear" w:color="auto" w:fill="FFFFFF"/>
          <w:lang w:val="en-US" w:eastAsia="zh-CN"/>
        </w:rPr>
        <w:t>:（1）</w:t>
      </w:r>
      <w:r>
        <w:rPr>
          <w:rFonts w:hint="eastAsia" w:ascii="方正仿宋_GBK" w:hAnsi="方正仿宋_GBK" w:eastAsia="方正仿宋_GBK" w:cs="方正仿宋_GBK"/>
          <w:sz w:val="32"/>
          <w:szCs w:val="32"/>
          <w:shd w:val="clear" w:color="auto" w:fill="FFFFFF"/>
          <w:lang w:eastAsia="zh-CN"/>
        </w:rPr>
        <w:t>本年度新入库了安居镇迎龙湾商贸中心房屋拆迁项目21.88万元，安居华夏公司房屋租金496万元，琵琶岛生态价值工程1200万元，安居古城景区及周边房屋外立面风貌改造资金532.62万元、区对镇街激励奖励150万元、水源建设20万元等项目。（</w:t>
      </w:r>
      <w:r>
        <w:rPr>
          <w:rFonts w:hint="eastAsia" w:ascii="方正仿宋_GBK" w:hAnsi="方正仿宋_GBK" w:eastAsia="方正仿宋_GBK" w:cs="方正仿宋_GBK"/>
          <w:sz w:val="32"/>
          <w:szCs w:val="32"/>
          <w:shd w:val="clear" w:color="auto" w:fill="FFFFFF"/>
          <w:lang w:val="en-US" w:eastAsia="zh-CN"/>
        </w:rPr>
        <w:t>2</w:t>
      </w:r>
      <w:r>
        <w:rPr>
          <w:rFonts w:hint="eastAsia" w:ascii="方正仿宋_GBK" w:hAnsi="方正仿宋_GBK" w:eastAsia="方正仿宋_GBK" w:cs="方正仿宋_GBK"/>
          <w:sz w:val="32"/>
          <w:szCs w:val="32"/>
          <w:shd w:val="clear" w:color="auto" w:fill="FFFFFF"/>
          <w:lang w:eastAsia="zh-CN"/>
        </w:rPr>
        <w:t>）由于财政资金紧张，部分预算资金未能全部下达，故本年收支较上年度增加838.71万元。</w:t>
      </w:r>
    </w:p>
    <w:p>
      <w:pPr>
        <w:pStyle w:val="11"/>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（三）一般公共预算财政拨款收入支出决算情况说明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Style w:val="10"/>
          <w:rFonts w:ascii="方正仿宋_GBK" w:hAnsi="方正仿宋_GBK" w:eastAsia="方正仿宋_GBK" w:cs="方正仿宋_GBK"/>
          <w:b w:val="0"/>
          <w:bCs/>
          <w:sz w:val="32"/>
          <w:szCs w:val="32"/>
          <w:shd w:val="clear" w:color="auto" w:fill="FFFFFF"/>
        </w:rPr>
      </w:pPr>
      <w:r>
        <w:rPr>
          <w:rStyle w:val="10"/>
          <w:rFonts w:ascii="方正仿宋_GBK" w:hAnsi="方正仿宋_GBK" w:eastAsia="方正仿宋_GBK" w:cs="方正仿宋_GBK"/>
          <w:b w:val="0"/>
          <w:bCs/>
          <w:sz w:val="32"/>
          <w:szCs w:val="32"/>
          <w:shd w:val="clear" w:color="auto" w:fill="FFFFFF"/>
        </w:rPr>
        <w:t>1.收入情况</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2024年度一般公共预算财政拨款收入4977.76万元，与2023年度相比，增加136.94万元，增长2.8%。主要原因是：我单位本年度人员变动及各类日常运行费用增加，</w:t>
      </w:r>
      <w:r>
        <w:rPr>
          <w:rFonts w:hint="eastAsia" w:ascii="方正仿宋_GBK" w:hAnsi="方正仿宋_GBK" w:eastAsia="方正仿宋_GBK" w:cs="方正仿宋_GBK"/>
          <w:sz w:val="32"/>
          <w:szCs w:val="32"/>
          <w:shd w:val="clear" w:color="auto" w:fill="FFFFFF"/>
          <w:lang w:val="en-US" w:eastAsia="zh-CN"/>
        </w:rPr>
        <w:t>故本年收入较上年度增加136.94万元。</w:t>
      </w:r>
      <w:r>
        <w:rPr>
          <w:rFonts w:hint="eastAsia" w:ascii="方正仿宋_GBK" w:hAnsi="方正仿宋_GBK" w:eastAsia="方正仿宋_GBK" w:cs="方正仿宋_GBK"/>
          <w:sz w:val="32"/>
          <w:szCs w:val="32"/>
          <w:shd w:val="clear" w:color="auto" w:fill="FFFFFF"/>
          <w:lang w:eastAsia="zh-CN"/>
        </w:rPr>
        <w:t>较年初预算数增加1380.83万元，增长38.4%。主要原因是：</w:t>
      </w:r>
      <w:r>
        <w:rPr>
          <w:rFonts w:hint="eastAsia" w:ascii="方正仿宋_GBK" w:hAnsi="方正仿宋_GBK" w:eastAsia="方正仿宋_GBK" w:cs="方正仿宋_GBK"/>
          <w:sz w:val="32"/>
          <w:szCs w:val="32"/>
          <w:shd w:val="clear" w:color="auto" w:fill="FFFFFF"/>
          <w:lang w:val="en-US" w:eastAsia="zh-CN"/>
        </w:rPr>
        <w:t>本年度新入库了安居镇迎龙湾商贸中心房屋拆迁项目21.88万元，安居华夏公司房屋租金496万元，琵琶岛生态价值工程500万元，安居古城景区及周边房屋外立面风貌改造资金532.62万元等项目，故本年收入较上年度增加1380.83万元。此外，年初财政拨款结转和结余0.0</w:t>
      </w:r>
      <w:r>
        <w:rPr>
          <w:rFonts w:hint="eastAsia" w:ascii="方正仿宋_GBK" w:hAnsi="方正仿宋_GBK" w:eastAsia="方正仿宋_GBK" w:cs="方正仿宋_GBK"/>
          <w:sz w:val="32"/>
          <w:szCs w:val="32"/>
          <w:shd w:val="clear" w:color="auto" w:fill="FFFFFF"/>
          <w:lang w:eastAsia="zh-CN"/>
        </w:rPr>
        <w:t>0万元。</w:t>
      </w:r>
    </w:p>
    <w:p>
      <w:pPr>
        <w:pStyle w:val="7"/>
        <w:keepNext w:val="0"/>
        <w:keepLines w:val="0"/>
        <w:pageBreakBefore w:val="0"/>
        <w:widowControl/>
        <w:numPr>
          <w:ilvl w:val="0"/>
          <w:numId w:val="0"/>
        </w:numP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Style w:val="10"/>
          <w:rFonts w:ascii="方正仿宋_GBK" w:hAnsi="方正仿宋_GBK" w:eastAsia="方正仿宋_GBK" w:cs="方正仿宋_GBK"/>
          <w:b w:val="0"/>
          <w:bCs/>
          <w:sz w:val="32"/>
          <w:szCs w:val="32"/>
          <w:shd w:val="clear" w:color="auto" w:fill="FFFFFF"/>
        </w:rPr>
      </w:pPr>
      <w:r>
        <w:rPr>
          <w:rStyle w:val="10"/>
          <w:rFonts w:hint="eastAsia" w:ascii="方正仿宋_GBK" w:hAnsi="方正仿宋_GBK" w:eastAsia="方正仿宋_GBK" w:cs="方正仿宋_GBK"/>
          <w:b w:val="0"/>
          <w:bCs/>
          <w:sz w:val="32"/>
          <w:szCs w:val="32"/>
          <w:shd w:val="clear" w:color="auto" w:fill="FFFFFF"/>
          <w:lang w:val="en-US" w:eastAsia="zh-CN"/>
        </w:rPr>
        <w:t>2.</w:t>
      </w:r>
      <w:r>
        <w:rPr>
          <w:rStyle w:val="10"/>
          <w:rFonts w:ascii="方正仿宋_GBK" w:hAnsi="方正仿宋_GBK" w:eastAsia="方正仿宋_GBK" w:cs="方正仿宋_GBK"/>
          <w:b w:val="0"/>
          <w:bCs/>
          <w:sz w:val="32"/>
          <w:szCs w:val="32"/>
          <w:shd w:val="clear" w:color="auto" w:fill="FFFFFF"/>
        </w:rPr>
        <w:t>支出情况</w:t>
      </w:r>
    </w:p>
    <w:p>
      <w:pPr>
        <w:pStyle w:val="7"/>
        <w:keepNext w:val="0"/>
        <w:keepLines w:val="0"/>
        <w:pageBreakBefore w:val="0"/>
        <w:widowControl/>
        <w:numPr>
          <w:ilvl w:val="0"/>
          <w:numId w:val="0"/>
        </w:numP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Style w:val="10"/>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2024年度一般公共预算财政拨款支出4977.76万元，与2023年度相比，增加136.94万元，增长2.8%。主要原因是：我单位本年度人员变动及各类日常运行费用增加，</w:t>
      </w:r>
      <w:r>
        <w:rPr>
          <w:rFonts w:hint="eastAsia" w:ascii="方正仿宋_GBK" w:hAnsi="方正仿宋_GBK" w:eastAsia="方正仿宋_GBK" w:cs="方正仿宋_GBK"/>
          <w:sz w:val="32"/>
          <w:szCs w:val="32"/>
          <w:shd w:val="clear" w:color="auto" w:fill="FFFFFF"/>
          <w:lang w:val="en-US" w:eastAsia="zh-CN"/>
        </w:rPr>
        <w:t>故本年支出较上年度增加136.94万元。</w:t>
      </w:r>
      <w:r>
        <w:rPr>
          <w:rFonts w:ascii="方正仿宋_GBK" w:hAnsi="方正仿宋_GBK" w:eastAsia="方正仿宋_GBK" w:cs="方正仿宋_GBK"/>
          <w:sz w:val="32"/>
          <w:szCs w:val="32"/>
          <w:shd w:val="clear" w:color="auto" w:fill="FFFFFF"/>
        </w:rPr>
        <w:t>较年初预算数增加1380.83万元，增长38.4%。</w:t>
      </w:r>
      <w:r>
        <w:rPr>
          <w:rFonts w:hint="eastAsia" w:ascii="方正仿宋_GBK" w:hAnsi="方正仿宋_GBK" w:eastAsia="方正仿宋_GBK" w:cs="方正仿宋_GBK"/>
          <w:sz w:val="32"/>
          <w:szCs w:val="32"/>
          <w:shd w:val="clear" w:color="auto" w:fill="FFFFFF"/>
          <w:lang w:eastAsia="zh-CN"/>
        </w:rPr>
        <w:t>主要原因是：</w:t>
      </w:r>
      <w:r>
        <w:rPr>
          <w:rFonts w:hint="eastAsia" w:ascii="方正仿宋_GBK" w:hAnsi="方正仿宋_GBK" w:eastAsia="方正仿宋_GBK" w:cs="方正仿宋_GBK"/>
          <w:sz w:val="32"/>
          <w:szCs w:val="32"/>
          <w:shd w:val="clear" w:color="auto" w:fill="FFFFFF"/>
          <w:lang w:val="en-US" w:eastAsia="zh-CN"/>
        </w:rPr>
        <w:t>本年度新入库了安居镇迎龙湾商贸中心房屋拆迁项目21.88万元，安居华夏公司房屋租金496万元，琵琶岛生态价值工程500万元，安居古城景区及周边房屋外立面风貌改造资金532.62万元等项目，故本年支出较上年度增加1380.83万元。</w:t>
      </w:r>
    </w:p>
    <w:p>
      <w:pPr>
        <w:pStyle w:val="7"/>
        <w:keepNext w:val="0"/>
        <w:keepLines w:val="0"/>
        <w:pageBreakBefore w:val="0"/>
        <w:widowControl/>
        <w:numPr>
          <w:ilvl w:val="0"/>
          <w:numId w:val="0"/>
        </w:numP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Style w:val="10"/>
          <w:rFonts w:ascii="方正仿宋_GBK" w:hAnsi="方正仿宋_GBK" w:eastAsia="方正仿宋_GBK" w:cs="方正仿宋_GBK"/>
          <w:b w:val="0"/>
          <w:bCs/>
          <w:sz w:val="32"/>
          <w:szCs w:val="32"/>
          <w:shd w:val="clear" w:color="auto" w:fill="FFFFFF"/>
        </w:rPr>
      </w:pPr>
      <w:r>
        <w:rPr>
          <w:rStyle w:val="10"/>
          <w:rFonts w:hint="eastAsia" w:ascii="方正仿宋_GBK" w:hAnsi="方正仿宋_GBK" w:eastAsia="方正仿宋_GBK" w:cs="方正仿宋_GBK"/>
          <w:b w:val="0"/>
          <w:bCs/>
          <w:sz w:val="32"/>
          <w:szCs w:val="32"/>
          <w:shd w:val="clear" w:color="auto" w:fill="FFFFFF"/>
          <w:lang w:val="en-US" w:eastAsia="zh-CN"/>
        </w:rPr>
        <w:t>3.</w:t>
      </w:r>
      <w:r>
        <w:rPr>
          <w:rStyle w:val="10"/>
          <w:rFonts w:ascii="方正仿宋_GBK" w:hAnsi="方正仿宋_GBK" w:eastAsia="方正仿宋_GBK" w:cs="方正仿宋_GBK"/>
          <w:b w:val="0"/>
          <w:bCs/>
          <w:sz w:val="32"/>
          <w:szCs w:val="32"/>
          <w:shd w:val="clear" w:color="auto" w:fill="FFFFFF"/>
        </w:rPr>
        <w:t>结转结余情况</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sz w:val="32"/>
          <w:szCs w:val="32"/>
          <w:shd w:val="clear" w:color="auto" w:fill="FFFFFF"/>
          <w:lang w:eastAsia="zh-CN"/>
        </w:rPr>
        <w:t>我单位本年度收支一致。</w:t>
      </w:r>
    </w:p>
    <w:p>
      <w:pPr>
        <w:pStyle w:val="7"/>
        <w:keepNext w:val="0"/>
        <w:keepLines w:val="0"/>
        <w:pageBreakBefore w:val="0"/>
        <w:widowControl/>
        <w:numPr>
          <w:ilvl w:val="0"/>
          <w:numId w:val="0"/>
        </w:numP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Style w:val="10"/>
          <w:rFonts w:ascii="方正仿宋_GBK" w:hAnsi="方正仿宋_GBK" w:eastAsia="方正仿宋_GBK" w:cs="方正仿宋_GBK"/>
          <w:b w:val="0"/>
          <w:bCs/>
          <w:sz w:val="32"/>
          <w:szCs w:val="32"/>
          <w:shd w:val="clear" w:color="auto" w:fill="FFFFFF"/>
        </w:rPr>
      </w:pPr>
      <w:r>
        <w:rPr>
          <w:rStyle w:val="10"/>
          <w:rFonts w:hint="eastAsia" w:ascii="方正仿宋_GBK" w:hAnsi="方正仿宋_GBK" w:eastAsia="方正仿宋_GBK" w:cs="方正仿宋_GBK"/>
          <w:b w:val="0"/>
          <w:bCs/>
          <w:sz w:val="32"/>
          <w:szCs w:val="32"/>
          <w:shd w:val="clear" w:color="auto" w:fill="FFFFFF"/>
          <w:lang w:val="en-US" w:eastAsia="zh-CN"/>
        </w:rPr>
        <w:t>4.</w:t>
      </w:r>
      <w:r>
        <w:rPr>
          <w:rStyle w:val="10"/>
          <w:rFonts w:ascii="方正仿宋_GBK" w:hAnsi="方正仿宋_GBK" w:eastAsia="方正仿宋_GBK" w:cs="方正仿宋_GBK"/>
          <w:b w:val="0"/>
          <w:bCs/>
          <w:sz w:val="32"/>
          <w:szCs w:val="32"/>
          <w:shd w:val="clear" w:color="auto" w:fill="FFFFFF"/>
        </w:rPr>
        <w:t>比较情况</w:t>
      </w:r>
    </w:p>
    <w:p>
      <w:pPr>
        <w:pStyle w:val="7"/>
        <w:keepNext w:val="0"/>
        <w:keepLines w:val="0"/>
        <w:pageBreakBefore w:val="0"/>
        <w:widowControl/>
        <w:numPr>
          <w:ilvl w:val="0"/>
          <w:numId w:val="0"/>
        </w:numP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FF0000"/>
          <w:sz w:val="32"/>
          <w:szCs w:val="32"/>
          <w:highlight w:val="cyan"/>
          <w:shd w:val="clear" w:color="auto" w:fill="FFFFFF"/>
        </w:rPr>
      </w:pPr>
      <w:r>
        <w:rPr>
          <w:rFonts w:ascii="方正仿宋_GBK" w:hAnsi="方正仿宋_GBK" w:eastAsia="方正仿宋_GBK" w:cs="方正仿宋_GBK"/>
          <w:sz w:val="32"/>
          <w:szCs w:val="32"/>
          <w:shd w:val="clear" w:color="auto" w:fill="FFFFFF"/>
        </w:rPr>
        <w:t>本部门</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度一般公共预算财政拨款支出主要用于以下几个方面：</w:t>
      </w:r>
    </w:p>
    <w:p>
      <w:pPr>
        <w:pStyle w:val="7"/>
        <w:keepNext w:val="0"/>
        <w:keepLines w:val="0"/>
        <w:pageBreakBefore w:val="0"/>
        <w:widowControl/>
        <w:numPr>
          <w:ilvl w:val="0"/>
          <w:numId w:val="1"/>
        </w:numP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一般公共服务支出</w:t>
      </w:r>
      <w:r>
        <w:rPr>
          <w:rFonts w:ascii="方正仿宋_GBK" w:hAnsi="方正仿宋_GBK" w:eastAsia="方正仿宋_GBK" w:cs="方正仿宋_GBK"/>
          <w:sz w:val="32"/>
          <w:szCs w:val="32"/>
        </w:rPr>
        <w:t>1179.67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23.70</w:t>
      </w:r>
      <w:r>
        <w:rPr>
          <w:rFonts w:ascii="方正仿宋_GBK" w:hAnsi="方正仿宋_GBK" w:eastAsia="方正仿宋_GBK" w:cs="方正仿宋_GBK"/>
          <w:sz w:val="32"/>
          <w:szCs w:val="32"/>
          <w:shd w:val="clear" w:color="auto" w:fill="FFFFFF"/>
        </w:rPr>
        <w:t>%，较年初预算数减少31.95万元，下降2.6%，主要原因是</w:t>
      </w:r>
      <w:r>
        <w:rPr>
          <w:rFonts w:hint="eastAsia" w:ascii="方正仿宋_GBK" w:hAnsi="方正仿宋_GBK" w:eastAsia="方正仿宋_GBK" w:cs="方正仿宋_GBK"/>
          <w:sz w:val="32"/>
          <w:szCs w:val="32"/>
          <w:shd w:val="clear" w:color="auto" w:fill="FFFFFF"/>
          <w:lang w:eastAsia="zh-CN"/>
        </w:rPr>
        <w:t>我单位厉行节约，减少非必要开支。</w:t>
      </w:r>
    </w:p>
    <w:p>
      <w:pPr>
        <w:pStyle w:val="7"/>
        <w:keepNext w:val="0"/>
        <w:keepLines w:val="0"/>
        <w:pageBreakBefore w:val="0"/>
        <w:widowControl/>
        <w:numPr>
          <w:ilvl w:val="0"/>
          <w:numId w:val="1"/>
        </w:numP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文化旅游体育与传媒支出</w:t>
      </w:r>
      <w:r>
        <w:rPr>
          <w:rFonts w:ascii="方正仿宋_GBK" w:hAnsi="方正仿宋_GBK" w:eastAsia="方正仿宋_GBK" w:cs="方正仿宋_GBK"/>
          <w:sz w:val="32"/>
          <w:szCs w:val="32"/>
        </w:rPr>
        <w:t>52.39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1.05</w:t>
      </w:r>
      <w:r>
        <w:rPr>
          <w:rFonts w:ascii="方正仿宋_GBK" w:hAnsi="方正仿宋_GBK" w:eastAsia="方正仿宋_GBK" w:cs="方正仿宋_GBK"/>
          <w:sz w:val="32"/>
          <w:szCs w:val="32"/>
          <w:shd w:val="clear" w:color="auto" w:fill="FFFFFF"/>
        </w:rPr>
        <w:t>%，较年初预算数减少13.51万元，下降20.5%，主要原因是</w:t>
      </w:r>
      <w:r>
        <w:rPr>
          <w:rFonts w:hint="eastAsia" w:ascii="方正仿宋_GBK" w:hAnsi="方正仿宋_GBK" w:eastAsia="方正仿宋_GBK" w:cs="方正仿宋_GBK"/>
          <w:sz w:val="32"/>
          <w:szCs w:val="32"/>
          <w:shd w:val="clear" w:color="auto" w:fill="FFFFFF"/>
          <w:lang w:eastAsia="zh-CN"/>
        </w:rPr>
        <w:t>我单位厉行节约，减少非必要开支。</w:t>
      </w:r>
    </w:p>
    <w:p>
      <w:pPr>
        <w:pStyle w:val="7"/>
        <w:keepNext w:val="0"/>
        <w:keepLines w:val="0"/>
        <w:pageBreakBefore w:val="0"/>
        <w:widowControl/>
        <w:numPr>
          <w:ilvl w:val="0"/>
          <w:numId w:val="1"/>
        </w:numPr>
        <w:kinsoku/>
        <w:wordWrap/>
        <w:overflowPunct/>
        <w:topLinePunct w:val="0"/>
        <w:autoSpaceDN/>
        <w:bidi w:val="0"/>
        <w:adjustRightInd/>
        <w:snapToGrid w:val="0"/>
        <w:spacing w:before="0" w:beforeAutospacing="0" w:after="0" w:afterAutospacing="0" w:line="560" w:lineRule="exact"/>
        <w:ind w:left="0" w:leftChars="0"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594.63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11.95</w:t>
      </w:r>
      <w:r>
        <w:rPr>
          <w:rFonts w:ascii="方正仿宋_GBK" w:hAnsi="方正仿宋_GBK" w:eastAsia="方正仿宋_GBK" w:cs="方正仿宋_GBK"/>
          <w:sz w:val="32"/>
          <w:szCs w:val="32"/>
          <w:shd w:val="clear" w:color="auto" w:fill="FFFFFF"/>
        </w:rPr>
        <w:t>%，较年初预算数增加12.64万元，增长2.2%，主要原因是</w:t>
      </w:r>
      <w:r>
        <w:rPr>
          <w:rFonts w:hint="eastAsia" w:ascii="方正仿宋_GBK" w:hAnsi="方正仿宋_GBK" w:eastAsia="方正仿宋_GBK" w:cs="方正仿宋_GBK"/>
          <w:color w:val="auto"/>
          <w:sz w:val="32"/>
          <w:szCs w:val="32"/>
          <w:shd w:val="clear" w:color="auto" w:fill="FFFFFF"/>
          <w:lang w:eastAsia="zh-CN"/>
        </w:rPr>
        <w:t>社会保险基数调整、人员增加。</w:t>
      </w:r>
    </w:p>
    <w:p>
      <w:pPr>
        <w:pStyle w:val="7"/>
        <w:keepNext w:val="0"/>
        <w:keepLines w:val="0"/>
        <w:pageBreakBefore w:val="0"/>
        <w:widowControl/>
        <w:numPr>
          <w:ilvl w:val="0"/>
          <w:numId w:val="1"/>
        </w:numPr>
        <w:kinsoku/>
        <w:wordWrap/>
        <w:overflowPunct/>
        <w:topLinePunct w:val="0"/>
        <w:autoSpaceDN/>
        <w:bidi w:val="0"/>
        <w:adjustRightInd/>
        <w:snapToGrid w:val="0"/>
        <w:spacing w:before="0" w:beforeAutospacing="0" w:after="0" w:afterAutospacing="0" w:line="560" w:lineRule="exact"/>
        <w:ind w:left="0" w:leftChars="0" w:firstLine="640" w:firstLineChars="200"/>
        <w:jc w:val="both"/>
        <w:textAlignment w:val="auto"/>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74.73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1.50</w:t>
      </w:r>
      <w:r>
        <w:rPr>
          <w:rFonts w:ascii="方正仿宋_GBK" w:hAnsi="方正仿宋_GBK" w:eastAsia="方正仿宋_GBK" w:cs="方正仿宋_GBK"/>
          <w:sz w:val="32"/>
          <w:szCs w:val="32"/>
          <w:shd w:val="clear" w:color="auto" w:fill="FFFFFF"/>
        </w:rPr>
        <w:t>%，较年初预算数减少44.26万元，下降37.2%，</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在职公务员医疗补助缴费未通过我单位支付，由区财政直接缴纳。</w:t>
      </w:r>
    </w:p>
    <w:p>
      <w:pPr>
        <w:pStyle w:val="7"/>
        <w:keepNext w:val="0"/>
        <w:keepLines w:val="0"/>
        <w:pageBreakBefore w:val="0"/>
        <w:widowControl/>
        <w:numPr>
          <w:ilvl w:val="0"/>
          <w:numId w:val="1"/>
        </w:numPr>
        <w:kinsoku/>
        <w:wordWrap/>
        <w:overflowPunct/>
        <w:topLinePunct w:val="0"/>
        <w:autoSpaceDN/>
        <w:bidi w:val="0"/>
        <w:adjustRightInd/>
        <w:snapToGrid w:val="0"/>
        <w:spacing w:before="0" w:beforeAutospacing="0" w:after="0" w:afterAutospacing="0" w:line="560" w:lineRule="exact"/>
        <w:ind w:left="0" w:leftChars="0"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节能环保支出</w:t>
      </w:r>
      <w:r>
        <w:rPr>
          <w:rFonts w:ascii="方正仿宋_GBK" w:hAnsi="方正仿宋_GBK" w:eastAsia="方正仿宋_GBK" w:cs="方正仿宋_GBK"/>
          <w:sz w:val="32"/>
          <w:szCs w:val="32"/>
        </w:rPr>
        <w:t>84.31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1.69</w:t>
      </w:r>
      <w:r>
        <w:rPr>
          <w:rFonts w:ascii="方正仿宋_GBK" w:hAnsi="方正仿宋_GBK" w:eastAsia="方正仿宋_GBK" w:cs="方正仿宋_GBK"/>
          <w:sz w:val="32"/>
          <w:szCs w:val="32"/>
          <w:shd w:val="clear" w:color="auto" w:fill="FFFFFF"/>
        </w:rPr>
        <w:t>%，较年初预算数减少19.48万元，下降18.8%，主要原因是</w:t>
      </w:r>
      <w:r>
        <w:rPr>
          <w:rFonts w:hint="eastAsia" w:ascii="方正仿宋_GBK" w:hAnsi="方正仿宋_GBK" w:eastAsia="方正仿宋_GBK" w:cs="方正仿宋_GBK"/>
          <w:sz w:val="32"/>
          <w:szCs w:val="32"/>
          <w:shd w:val="clear" w:color="auto" w:fill="FFFFFF"/>
          <w:lang w:eastAsia="zh-CN"/>
        </w:rPr>
        <w:t>我单位严格控制相关项目支出，如河长制项目等。</w:t>
      </w:r>
    </w:p>
    <w:p>
      <w:pPr>
        <w:pStyle w:val="7"/>
        <w:keepNext w:val="0"/>
        <w:keepLines w:val="0"/>
        <w:pageBreakBefore w:val="0"/>
        <w:widowControl/>
        <w:numPr>
          <w:ilvl w:val="0"/>
          <w:numId w:val="1"/>
        </w:numPr>
        <w:kinsoku/>
        <w:wordWrap/>
        <w:overflowPunct/>
        <w:topLinePunct w:val="0"/>
        <w:autoSpaceDN/>
        <w:bidi w:val="0"/>
        <w:adjustRightInd/>
        <w:snapToGrid w:val="0"/>
        <w:spacing w:before="0" w:beforeAutospacing="0" w:after="0" w:afterAutospacing="0" w:line="560" w:lineRule="exact"/>
        <w:ind w:left="0" w:leftChars="0"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城乡社区支出1577.80万元，占39.15%，较年初预算数增加1517.80万元，增长2529.7%，主要原因是</w:t>
      </w:r>
      <w:r>
        <w:rPr>
          <w:rFonts w:hint="eastAsia" w:ascii="方正仿宋_GBK" w:hAnsi="方正仿宋_GBK" w:eastAsia="方正仿宋_GBK" w:cs="方正仿宋_GBK"/>
          <w:sz w:val="32"/>
          <w:szCs w:val="32"/>
          <w:shd w:val="clear" w:color="auto" w:fill="FFFFFF"/>
          <w:lang w:eastAsia="zh-CN"/>
        </w:rPr>
        <w:t>我单位在本年度中按照实际用款需求，临时入库了</w:t>
      </w:r>
      <w:r>
        <w:rPr>
          <w:rFonts w:ascii="方正仿宋_GBK" w:hAnsi="方正仿宋_GBK" w:eastAsia="方正仿宋_GBK" w:cs="方正仿宋_GBK"/>
          <w:sz w:val="32"/>
          <w:szCs w:val="32"/>
          <w:shd w:val="clear" w:color="auto" w:fill="FFFFFF"/>
        </w:rPr>
        <w:t>琵琶岛生态价值工程2024</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安居古城景区及周边房屋外立面风貌改造及环境整治</w:t>
      </w:r>
      <w:r>
        <w:rPr>
          <w:rFonts w:hint="eastAsia" w:ascii="方正仿宋_GBK" w:hAnsi="方正仿宋_GBK" w:eastAsia="方正仿宋_GBK" w:cs="方正仿宋_GBK"/>
          <w:sz w:val="32"/>
          <w:szCs w:val="32"/>
          <w:shd w:val="clear" w:color="auto" w:fill="FFFFFF"/>
          <w:lang w:eastAsia="zh-CN"/>
        </w:rPr>
        <w:t>等项目，涉及项目资金</w:t>
      </w:r>
      <w:r>
        <w:rPr>
          <w:rFonts w:hint="eastAsia" w:ascii="方正仿宋_GBK" w:hAnsi="方正仿宋_GBK" w:eastAsia="方正仿宋_GBK" w:cs="方正仿宋_GBK"/>
          <w:sz w:val="32"/>
          <w:szCs w:val="32"/>
          <w:shd w:val="clear" w:color="auto" w:fill="FFFFFF"/>
          <w:lang w:val="en-US" w:eastAsia="zh-CN"/>
        </w:rPr>
        <w:t>1517.80万元。</w:t>
      </w:r>
    </w:p>
    <w:p>
      <w:pPr>
        <w:pStyle w:val="7"/>
        <w:keepNext w:val="0"/>
        <w:keepLines w:val="0"/>
        <w:pageBreakBefore w:val="0"/>
        <w:widowControl/>
        <w:numPr>
          <w:ilvl w:val="0"/>
          <w:numId w:val="1"/>
        </w:numPr>
        <w:kinsoku/>
        <w:wordWrap/>
        <w:overflowPunct/>
        <w:topLinePunct w:val="0"/>
        <w:autoSpaceDN/>
        <w:bidi w:val="0"/>
        <w:adjustRightInd/>
        <w:snapToGrid w:val="0"/>
        <w:spacing w:before="0" w:beforeAutospacing="0" w:after="0" w:afterAutospacing="0" w:line="560" w:lineRule="exact"/>
        <w:ind w:left="0" w:leftChars="0"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农林水支出</w:t>
      </w:r>
      <w:r>
        <w:rPr>
          <w:rFonts w:ascii="方正仿宋_GBK" w:hAnsi="方正仿宋_GBK" w:eastAsia="方正仿宋_GBK" w:cs="方正仿宋_GBK"/>
          <w:sz w:val="32"/>
          <w:szCs w:val="32"/>
        </w:rPr>
        <w:t>1265.94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25.43</w:t>
      </w:r>
      <w:r>
        <w:rPr>
          <w:rFonts w:ascii="方正仿宋_GBK" w:hAnsi="方正仿宋_GBK" w:eastAsia="方正仿宋_GBK" w:cs="方正仿宋_GBK"/>
          <w:sz w:val="32"/>
          <w:szCs w:val="32"/>
          <w:shd w:val="clear" w:color="auto" w:fill="FFFFFF"/>
        </w:rPr>
        <w:t>%，较年初预算数减少59.52万元，下降4.5%，主要原因是</w:t>
      </w:r>
      <w:r>
        <w:rPr>
          <w:rFonts w:hint="eastAsia" w:ascii="方正仿宋_GBK" w:hAnsi="方正仿宋_GBK" w:eastAsia="方正仿宋_GBK" w:cs="方正仿宋_GBK"/>
          <w:sz w:val="32"/>
          <w:szCs w:val="32"/>
          <w:shd w:val="clear" w:color="auto" w:fill="FFFFFF"/>
          <w:lang w:eastAsia="zh-CN"/>
        </w:rPr>
        <w:t>我单位农业相关宣传费用的减少，厉行节约意识。</w:t>
      </w:r>
    </w:p>
    <w:p>
      <w:pPr>
        <w:pStyle w:val="7"/>
        <w:keepNext w:val="0"/>
        <w:keepLines w:val="0"/>
        <w:pageBreakBefore w:val="0"/>
        <w:widowControl/>
        <w:numPr>
          <w:ilvl w:val="0"/>
          <w:numId w:val="1"/>
        </w:numPr>
        <w:kinsoku/>
        <w:wordWrap/>
        <w:overflowPunct/>
        <w:topLinePunct w:val="0"/>
        <w:autoSpaceDN/>
        <w:bidi w:val="0"/>
        <w:adjustRightInd/>
        <w:snapToGrid w:val="0"/>
        <w:spacing w:before="0" w:beforeAutospacing="0" w:after="0" w:afterAutospacing="0" w:line="560" w:lineRule="exact"/>
        <w:ind w:left="0" w:leftChars="0"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交通运输支出</w:t>
      </w:r>
      <w:r>
        <w:rPr>
          <w:rFonts w:ascii="方正仿宋_GBK" w:hAnsi="方正仿宋_GBK" w:eastAsia="方正仿宋_GBK" w:cs="方正仿宋_GBK"/>
          <w:sz w:val="32"/>
          <w:szCs w:val="32"/>
        </w:rPr>
        <w:t>24.79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0.62</w:t>
      </w:r>
      <w:r>
        <w:rPr>
          <w:rFonts w:ascii="方正仿宋_GBK" w:hAnsi="方正仿宋_GBK" w:eastAsia="方正仿宋_GBK" w:cs="方正仿宋_GBK"/>
          <w:sz w:val="32"/>
          <w:szCs w:val="32"/>
          <w:shd w:val="clear" w:color="auto" w:fill="FFFFFF"/>
        </w:rPr>
        <w:t>%，较年初预算数减少0.01万元，下降0.0%，主要原因是</w:t>
      </w:r>
      <w:r>
        <w:rPr>
          <w:rFonts w:hint="eastAsia" w:ascii="方正仿宋_GBK" w:hAnsi="方正仿宋_GBK" w:eastAsia="方正仿宋_GBK" w:cs="方正仿宋_GBK"/>
          <w:sz w:val="32"/>
          <w:szCs w:val="32"/>
          <w:shd w:val="clear" w:color="auto" w:fill="FFFFFF"/>
          <w:lang w:eastAsia="zh-CN"/>
        </w:rPr>
        <w:t>我单位厉行节约，减少不必要开支。</w:t>
      </w:r>
    </w:p>
    <w:p>
      <w:pPr>
        <w:keepNext w:val="0"/>
        <w:keepLines w:val="0"/>
        <w:pageBreakBefore w:val="0"/>
        <w:widowControl/>
        <w:numPr>
          <w:ilvl w:val="0"/>
          <w:numId w:val="1"/>
        </w:numPr>
        <w:kinsoku/>
        <w:wordWrap/>
        <w:overflowPunct/>
        <w:topLinePunct w:val="0"/>
        <w:autoSpaceDN/>
        <w:bidi w:val="0"/>
        <w:adjustRightInd/>
        <w:spacing w:beforeAutospacing="0" w:afterAutospacing="0" w:line="560" w:lineRule="exact"/>
        <w:ind w:left="0" w:leftChars="0" w:firstLine="640" w:firstLineChars="200"/>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rPr>
        <w:t>住房保障支出99.10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1.99</w:t>
      </w:r>
      <w:r>
        <w:rPr>
          <w:rFonts w:ascii="方正仿宋_GBK" w:hAnsi="方正仿宋_GBK" w:eastAsia="方正仿宋_GBK" w:cs="方正仿宋_GBK"/>
          <w:sz w:val="32"/>
          <w:szCs w:val="32"/>
          <w:shd w:val="clear" w:color="auto" w:fill="FFFFFF"/>
        </w:rPr>
        <w:t>%，较年初预算数增加4.13万元，增长4.4%，主要原因是</w:t>
      </w:r>
      <w:r>
        <w:rPr>
          <w:rFonts w:hint="eastAsia" w:ascii="方正仿宋_GBK" w:hAnsi="方正仿宋_GBK" w:eastAsia="方正仿宋_GBK" w:cs="方正仿宋_GBK"/>
          <w:sz w:val="32"/>
          <w:szCs w:val="32"/>
          <w:shd w:val="clear" w:color="auto" w:fill="FFFFFF"/>
          <w:lang w:eastAsia="zh-CN"/>
        </w:rPr>
        <w:t>按照公积金政策调整住房公积金相关缴纳比例。</w:t>
      </w:r>
    </w:p>
    <w:p>
      <w:pPr>
        <w:keepNext w:val="0"/>
        <w:keepLines w:val="0"/>
        <w:pageBreakBefore w:val="0"/>
        <w:widowControl/>
        <w:numPr>
          <w:ilvl w:val="0"/>
          <w:numId w:val="1"/>
        </w:numPr>
        <w:kinsoku/>
        <w:wordWrap/>
        <w:overflowPunct/>
        <w:topLinePunct w:val="0"/>
        <w:autoSpaceDN/>
        <w:bidi w:val="0"/>
        <w:adjustRightInd/>
        <w:spacing w:beforeAutospacing="0" w:afterAutospacing="0" w:line="560" w:lineRule="exact"/>
        <w:ind w:left="0" w:leftChars="0" w:firstLine="640" w:firstLineChars="200"/>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rPr>
        <w:t>灾害防治及应急管理支出24.40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0.61</w:t>
      </w:r>
      <w:r>
        <w:rPr>
          <w:rFonts w:ascii="方正仿宋_GBK" w:hAnsi="方正仿宋_GBK" w:eastAsia="方正仿宋_GBK" w:cs="方正仿宋_GBK"/>
          <w:sz w:val="32"/>
          <w:szCs w:val="32"/>
          <w:shd w:val="clear" w:color="auto" w:fill="FFFFFF"/>
        </w:rPr>
        <w:t>%，较年初预算数增加15.00万元，增长159.6%，主要原因是</w:t>
      </w:r>
      <w:r>
        <w:rPr>
          <w:rFonts w:hint="eastAsia" w:ascii="方正仿宋_GBK" w:hAnsi="方正仿宋_GBK" w:eastAsia="方正仿宋_GBK" w:cs="方正仿宋_GBK"/>
          <w:sz w:val="32"/>
          <w:szCs w:val="32"/>
          <w:shd w:val="clear" w:color="auto" w:fill="FFFFFF"/>
          <w:lang w:eastAsia="zh-CN"/>
        </w:rPr>
        <w:t>年中根据实际工作需求，入库了</w:t>
      </w:r>
      <w:r>
        <w:rPr>
          <w:rFonts w:ascii="方正仿宋_GBK" w:hAnsi="方正仿宋_GBK" w:eastAsia="方正仿宋_GBK" w:cs="方正仿宋_GBK"/>
          <w:sz w:val="32"/>
          <w:szCs w:val="32"/>
          <w:shd w:val="clear" w:color="auto" w:fill="FFFFFF"/>
        </w:rPr>
        <w:t>抗旱防汛专项资金</w:t>
      </w:r>
      <w:r>
        <w:rPr>
          <w:rFonts w:hint="eastAsia" w:ascii="方正仿宋_GBK" w:hAnsi="方正仿宋_GBK" w:eastAsia="方正仿宋_GBK" w:cs="方正仿宋_GBK"/>
          <w:sz w:val="32"/>
          <w:szCs w:val="32"/>
          <w:shd w:val="clear" w:color="auto" w:fill="FFFFFF"/>
          <w:lang w:eastAsia="zh-CN"/>
        </w:rPr>
        <w:t>项目。</w:t>
      </w:r>
    </w:p>
    <w:p>
      <w:pPr>
        <w:pStyle w:val="11"/>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（四）一般公共预算财政拨款基本支出决算情况说明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1964.29</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1700.61</w:t>
      </w:r>
      <w:r>
        <w:rPr>
          <w:rFonts w:ascii="方正仿宋_GBK" w:hAnsi="方正仿宋_GBK" w:eastAsia="方正仿宋_GBK" w:cs="方正仿宋_GBK"/>
          <w:sz w:val="32"/>
          <w:szCs w:val="32"/>
          <w:shd w:val="clear" w:color="auto" w:fill="FFFFFF"/>
        </w:rPr>
        <w:t>万元，与2023年度相比，减少93.52万元，下降5.2%，主要原因是</w:t>
      </w:r>
      <w:r>
        <w:rPr>
          <w:rFonts w:hint="eastAsia" w:ascii="方正仿宋_GBK" w:hAnsi="方正仿宋_GBK" w:eastAsia="方正仿宋_GBK" w:cs="方正仿宋_GBK"/>
          <w:sz w:val="32"/>
          <w:szCs w:val="32"/>
          <w:shd w:val="clear" w:color="auto" w:fill="FFFFFF"/>
        </w:rPr>
        <w:t>2023年度发放2021年、2022年事业干部年度考核剩余部分，2024年只发放2023年事业干部年度考核绩效剩余部分，故</w:t>
      </w:r>
      <w:r>
        <w:rPr>
          <w:rFonts w:hint="eastAsia" w:ascii="方正仿宋_GBK" w:hAnsi="方正仿宋_GBK" w:eastAsia="方正仿宋_GBK" w:cs="方正仿宋_GBK"/>
          <w:sz w:val="32"/>
          <w:szCs w:val="32"/>
          <w:shd w:val="clear" w:color="auto" w:fill="FFFFFF"/>
          <w:lang w:eastAsia="zh-CN"/>
        </w:rPr>
        <w:t>人员经费支出</w:t>
      </w:r>
      <w:r>
        <w:rPr>
          <w:rFonts w:hint="eastAsia" w:ascii="方正仿宋_GBK" w:hAnsi="方正仿宋_GBK" w:eastAsia="方正仿宋_GBK" w:cs="方正仿宋_GBK"/>
          <w:sz w:val="32"/>
          <w:szCs w:val="32"/>
          <w:shd w:val="clear" w:color="auto" w:fill="FFFFFF"/>
        </w:rPr>
        <w:t>较上年度减少93.52万元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color w:val="auto"/>
          <w:sz w:val="32"/>
          <w:szCs w:val="32"/>
          <w:shd w:val="clear" w:color="auto" w:fill="FFFFFF"/>
        </w:rPr>
        <w:t>人员经费用途主要包括</w:t>
      </w:r>
      <w:r>
        <w:rPr>
          <w:rFonts w:hint="eastAsia" w:ascii="方正仿宋_GBK" w:hAnsi="方正仿宋_GBK" w:eastAsia="方正仿宋_GBK" w:cs="方正仿宋_GBK"/>
          <w:color w:val="auto"/>
          <w:sz w:val="32"/>
          <w:szCs w:val="32"/>
          <w:shd w:val="clear" w:color="auto" w:fill="FFFFFF"/>
          <w:lang w:eastAsia="zh-CN"/>
        </w:rPr>
        <w:t>基本工资、津贴补贴、奖金、社会保障缴费、住房公积金等。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263.69</w:t>
      </w:r>
      <w:r>
        <w:rPr>
          <w:rFonts w:ascii="方正仿宋_GBK" w:hAnsi="方正仿宋_GBK" w:eastAsia="方正仿宋_GBK" w:cs="方正仿宋_GBK"/>
          <w:sz w:val="32"/>
          <w:szCs w:val="32"/>
          <w:shd w:val="clear" w:color="auto" w:fill="FFFFFF"/>
        </w:rPr>
        <w:t>万元，与2023年度相比，减少162.76万元，下降38.2%，</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由于财政资金紧张，部分预算基本支出未能全部支出，故本年</w:t>
      </w:r>
      <w:r>
        <w:rPr>
          <w:rFonts w:hint="eastAsia" w:ascii="方正仿宋_GBK" w:hAnsi="方正仿宋_GBK" w:eastAsia="方正仿宋_GBK" w:cs="方正仿宋_GBK"/>
          <w:color w:val="auto"/>
          <w:sz w:val="32"/>
          <w:szCs w:val="32"/>
          <w:shd w:val="clear" w:color="auto" w:fill="FFFFFF"/>
          <w:lang w:eastAsia="zh-CN"/>
        </w:rPr>
        <w:t>日常公用经费</w:t>
      </w:r>
      <w:r>
        <w:rPr>
          <w:rFonts w:hint="eastAsia" w:ascii="方正仿宋_GBK" w:hAnsi="方正仿宋_GBK" w:eastAsia="方正仿宋_GBK" w:cs="方正仿宋_GBK"/>
          <w:color w:val="auto"/>
          <w:sz w:val="32"/>
          <w:szCs w:val="32"/>
          <w:shd w:val="clear" w:color="auto" w:fill="FFFFFF"/>
        </w:rPr>
        <w:t>支出较上年度减少162.76万元。</w:t>
      </w:r>
      <w:r>
        <w:rPr>
          <w:rFonts w:ascii="方正仿宋_GBK" w:hAnsi="方正仿宋_GBK" w:eastAsia="方正仿宋_GBK" w:cs="方正仿宋_GBK"/>
          <w:color w:val="auto"/>
          <w:sz w:val="32"/>
          <w:szCs w:val="32"/>
          <w:shd w:val="clear" w:color="auto" w:fill="FFFFFF"/>
        </w:rPr>
        <w:t>公用经费</w:t>
      </w:r>
      <w:r>
        <w:rPr>
          <w:rFonts w:ascii="方正仿宋_GBK" w:hAnsi="方正仿宋_GBK" w:eastAsia="方正仿宋_GBK" w:cs="方正仿宋_GBK"/>
          <w:sz w:val="32"/>
          <w:szCs w:val="32"/>
          <w:shd w:val="clear" w:color="auto" w:fill="FFFFFF"/>
        </w:rPr>
        <w:t>用途主要包括</w:t>
      </w:r>
      <w:r>
        <w:rPr>
          <w:rFonts w:hint="eastAsia" w:ascii="方正仿宋_GBK" w:hAnsi="方正仿宋_GBK" w:eastAsia="方正仿宋_GBK" w:cs="方正仿宋_GBK"/>
          <w:sz w:val="32"/>
          <w:szCs w:val="32"/>
          <w:shd w:val="clear" w:color="auto" w:fill="FFFFFF"/>
          <w:lang w:eastAsia="zh-CN"/>
        </w:rPr>
        <w:t>公用经费用途主要包括办公费、印刷费、手续费、水费、电费、邮电费、差旅费、维修（护）费等。</w:t>
      </w:r>
    </w:p>
    <w:p>
      <w:pPr>
        <w:pStyle w:val="11"/>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（五）政府性基金预算收支决算情况说明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701.77</w:t>
      </w:r>
      <w:r>
        <w:rPr>
          <w:rFonts w:ascii="方正仿宋_GBK" w:hAnsi="方正仿宋_GBK" w:eastAsia="方正仿宋_GBK" w:cs="方正仿宋_GBK"/>
          <w:sz w:val="32"/>
          <w:szCs w:val="32"/>
          <w:shd w:val="clear" w:color="auto" w:fill="FFFFFF"/>
        </w:rPr>
        <w:t>万元，与2023年度相比，增加701.77万元，增长100.0%，主要原因是</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2024年度区财政局下达了政府基金项目：琵琶岛生态价值工程2024项目资金700万元，铜财【2024】41号2022年度福彩资金结转从小区互助养老点建设项目结转到敬老院排危整治项目资金0.6万元，渝财综【2022】39号铜财【2024】41号七佛村农村公益性墓地危岩整治项目资金1.1712万元，共计701.77万元。上年度未下达政府性基金，故本年度政府性基金预算拨款增加701.77万元，追加项目文号为铜财〔2022〕433号、渝财综〔2022〕39号</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本年支出701.77万元，与2023年度相比，增加701.77万元，增长100.0%，主要原因是</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2024年度区财政局下达了政府基金项目：琵琶岛生态价值工程2024项目资金700万元，铜财【2024】41号2022年度福彩资金结转从小区互助养老点建设项目结转到敬老院排危整治项目资金0.6万元，渝财综【2022】39号铜财【2024】41号七佛村农村公益性墓地危岩整治项目资金1.1712万元，共计701.77万元。上年度未下达政府性基金，故本年度政府性基金预算拨款增加701.77万元，追加项目文号为铜财〔2022〕433号、渝财综〔2022〕39号</w:t>
      </w:r>
      <w:r>
        <w:rPr>
          <w:rFonts w:hint="eastAsia" w:ascii="方正仿宋_GBK" w:hAnsi="方正仿宋_GBK" w:eastAsia="方正仿宋_GBK" w:cs="方正仿宋_GBK"/>
          <w:sz w:val="32"/>
          <w:szCs w:val="32"/>
          <w:shd w:val="clear" w:color="auto" w:fill="FFFFFF"/>
          <w:lang w:eastAsia="zh-CN"/>
        </w:rPr>
        <w:t>。</w:t>
      </w:r>
    </w:p>
    <w:p>
      <w:pPr>
        <w:pStyle w:val="11"/>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（六）国有资本经营预算财政拨款支出决算情况说明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本部门2024年度无国有资本经营预算财政拨款支出。</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三、</w:t>
      </w:r>
      <w:r>
        <w:rPr>
          <w:rStyle w:val="10"/>
          <w:rFonts w:hint="eastAsia" w:ascii="方正黑体_GBK" w:hAnsi="方正黑体_GBK" w:eastAsia="方正黑体_GBK" w:cs="方正黑体_GBK"/>
          <w:b w:val="0"/>
          <w:bCs/>
          <w:sz w:val="32"/>
          <w:szCs w:val="32"/>
          <w:shd w:val="clear" w:color="auto" w:fill="FFFFFF"/>
          <w:lang w:eastAsia="zh-CN"/>
        </w:rPr>
        <w:t>财政拨款</w:t>
      </w:r>
      <w:r>
        <w:rPr>
          <w:rStyle w:val="10"/>
          <w:rFonts w:hint="eastAsia" w:ascii="方正黑体_GBK" w:hAnsi="方正黑体_GBK" w:eastAsia="方正黑体_GBK" w:cs="方正黑体_GBK"/>
          <w:b w:val="0"/>
          <w:bCs/>
          <w:sz w:val="32"/>
          <w:szCs w:val="32"/>
          <w:shd w:val="clear" w:color="auto" w:fill="FFFFFF"/>
        </w:rPr>
        <w:t>“三公”经费情况说明</w:t>
      </w:r>
    </w:p>
    <w:p>
      <w:pPr>
        <w:pStyle w:val="11"/>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（一）“三公”经费支出总体情况说明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lang w:eastAsia="zh-CN"/>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度“三公”经费支出共计</w:t>
      </w:r>
      <w:r>
        <w:rPr>
          <w:rFonts w:ascii="方正仿宋_GBK" w:hAnsi="方正仿宋_GBK" w:eastAsia="方正仿宋_GBK" w:cs="方正仿宋_GBK"/>
          <w:color w:val="auto"/>
          <w:sz w:val="32"/>
          <w:szCs w:val="32"/>
        </w:rPr>
        <w:t>7.52</w:t>
      </w:r>
      <w:r>
        <w:rPr>
          <w:rFonts w:ascii="方正仿宋_GBK" w:hAnsi="方正仿宋_GBK" w:eastAsia="方正仿宋_GBK" w:cs="方正仿宋_GBK"/>
          <w:color w:val="auto"/>
          <w:sz w:val="32"/>
          <w:szCs w:val="32"/>
          <w:shd w:val="clear" w:color="auto" w:fill="FFFFFF"/>
        </w:rPr>
        <w:t>万元，较年初预算数减少7.18万元，下降48.8%，主要原因是</w:t>
      </w:r>
      <w:r>
        <w:rPr>
          <w:rFonts w:hint="eastAsia" w:ascii="方正仿宋_GBK" w:hAnsi="方正仿宋_GBK" w:eastAsia="方正仿宋_GBK" w:cs="方正仿宋_GBK"/>
          <w:color w:val="auto"/>
          <w:sz w:val="32"/>
          <w:szCs w:val="32"/>
          <w:shd w:val="clear" w:color="auto" w:fill="FFFFFF"/>
          <w:lang w:eastAsia="zh-CN"/>
        </w:rPr>
        <w:t>：我单位厉行节约，加强公务用车管理，公务用车运行维护费减少</w:t>
      </w:r>
      <w:r>
        <w:rPr>
          <w:rFonts w:hint="eastAsia" w:ascii="方正仿宋_GBK" w:hAnsi="方正仿宋_GBK" w:eastAsia="方正仿宋_GBK" w:cs="方正仿宋_GBK"/>
          <w:color w:val="auto"/>
          <w:sz w:val="32"/>
          <w:szCs w:val="32"/>
          <w:shd w:val="clear" w:color="auto" w:fill="FFFFFF"/>
          <w:lang w:val="en-US" w:eastAsia="zh-CN"/>
        </w:rPr>
        <w:t>7.18万元</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sz w:val="32"/>
          <w:szCs w:val="32"/>
          <w:shd w:val="clear" w:color="auto" w:fill="FFFFFF"/>
        </w:rPr>
        <w:t>较上年支出数增加5.16万元，增长218.6%，主要原因是</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lang w:eastAsia="zh-CN"/>
        </w:rPr>
        <w:t>2023年度我单位报废了原公务用车渝CR6831，因此2023年的车辆运行维护费支出下降。区机关事务局于当年度划拨了新能源车辆渝ADZ7867，2024年度因车辆的增加，保险购置及洗车维护费用也因此增加。</w:t>
      </w:r>
    </w:p>
    <w:p>
      <w:pPr>
        <w:pStyle w:val="11"/>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（二）“三公”经费分项支出情况</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度本部门因公出国（境）费用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万元，费用支出较年初预算数无增减，较上年支出数无增减，主要原因是</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2024年度我单位无</w:t>
      </w:r>
      <w:r>
        <w:rPr>
          <w:rFonts w:ascii="方正仿宋_GBK" w:hAnsi="方正仿宋_GBK" w:eastAsia="方正仿宋_GBK" w:cs="方正仿宋_GBK"/>
          <w:sz w:val="32"/>
          <w:szCs w:val="32"/>
          <w:shd w:val="clear" w:color="auto" w:fill="FFFFFF"/>
        </w:rPr>
        <w:t>因公出国（境）</w:t>
      </w:r>
      <w:r>
        <w:rPr>
          <w:rFonts w:hint="eastAsia" w:ascii="方正仿宋_GBK" w:hAnsi="方正仿宋_GBK" w:eastAsia="方正仿宋_GBK" w:cs="方正仿宋_GBK"/>
          <w:sz w:val="32"/>
          <w:szCs w:val="32"/>
          <w:shd w:val="clear" w:color="auto" w:fill="FFFFFF"/>
          <w:lang w:eastAsia="zh-CN"/>
        </w:rPr>
        <w:t>支出，与上年度决算数持平。</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lang w:val="en-US" w:eastAsia="zh-CN"/>
        </w:rPr>
      </w:pPr>
      <w:r>
        <w:rPr>
          <w:rFonts w:ascii="方正仿宋_GBK" w:hAnsi="方正仿宋_GBK" w:eastAsia="方正仿宋_GBK" w:cs="方正仿宋_GBK"/>
          <w:sz w:val="32"/>
          <w:szCs w:val="32"/>
          <w:shd w:val="clear" w:color="auto" w:fill="FFFFFF"/>
        </w:rPr>
        <w:t>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万元，费用支出较年初预算数无增减，较上年支出数无增减，主要原因是</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lang w:val="en-US" w:eastAsia="zh-CN"/>
        </w:rPr>
        <w:t>2024年度我单位未发生公务车购置费，与上年度决算数持平。</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sz w:val="32"/>
          <w:szCs w:val="32"/>
          <w:shd w:val="clear" w:color="auto" w:fill="FFFFFF"/>
        </w:rPr>
        <w:t>公务车运行维护费</w:t>
      </w:r>
      <w:r>
        <w:rPr>
          <w:rFonts w:ascii="方正仿宋_GBK" w:hAnsi="方正仿宋_GBK" w:eastAsia="方正仿宋_GBK" w:cs="方正仿宋_GBK"/>
          <w:sz w:val="32"/>
          <w:szCs w:val="32"/>
        </w:rPr>
        <w:t>7.52</w:t>
      </w:r>
      <w:r>
        <w:rPr>
          <w:rFonts w:ascii="方正仿宋_GBK" w:hAnsi="方正仿宋_GBK" w:eastAsia="方正仿宋_GBK" w:cs="方正仿宋_GBK"/>
          <w:sz w:val="32"/>
          <w:szCs w:val="32"/>
          <w:shd w:val="clear" w:color="auto" w:fill="FFFFFF"/>
        </w:rPr>
        <w:t>万元，</w:t>
      </w:r>
      <w:r>
        <w:rPr>
          <w:rFonts w:ascii="方正仿宋_GBK" w:hAnsi="方正仿宋_GBK" w:eastAsia="方正仿宋_GBK" w:cs="方正仿宋_GBK"/>
          <w:color w:val="auto"/>
          <w:sz w:val="32"/>
          <w:szCs w:val="32"/>
          <w:shd w:val="clear" w:color="auto" w:fill="FFFFFF"/>
        </w:rPr>
        <w:t>主要用于</w:t>
      </w:r>
      <w:r>
        <w:rPr>
          <w:rFonts w:hint="eastAsia" w:ascii="方正仿宋_GBK" w:hAnsi="方正仿宋_GBK" w:eastAsia="方正仿宋_GBK" w:cs="方正仿宋_GBK"/>
          <w:color w:val="auto"/>
          <w:sz w:val="32"/>
          <w:szCs w:val="32"/>
          <w:shd w:val="clear" w:color="auto" w:fill="FFFFFF"/>
          <w:lang w:eastAsia="zh-CN"/>
        </w:rPr>
        <w:t>公务用车燃料费、维修费、路桥费、保险费等。</w:t>
      </w:r>
      <w:r>
        <w:rPr>
          <w:rFonts w:ascii="方正仿宋_GBK" w:hAnsi="方正仿宋_GBK" w:eastAsia="方正仿宋_GBK" w:cs="方正仿宋_GBK"/>
          <w:color w:val="auto"/>
          <w:sz w:val="32"/>
          <w:szCs w:val="32"/>
          <w:shd w:val="clear" w:color="auto" w:fill="FFFFFF"/>
        </w:rPr>
        <w:t>支出较年初预算数减少7.18万元，下降48.8%，主要原因是</w:t>
      </w:r>
      <w:r>
        <w:rPr>
          <w:rFonts w:hint="eastAsia" w:ascii="方正仿宋_GBK" w:hAnsi="方正仿宋_GBK" w:eastAsia="方正仿宋_GBK" w:cs="方正仿宋_GBK"/>
          <w:color w:val="auto"/>
          <w:sz w:val="32"/>
          <w:szCs w:val="32"/>
          <w:shd w:val="clear" w:color="auto" w:fill="FFFFFF"/>
          <w:lang w:eastAsia="zh-CN"/>
        </w:rPr>
        <w:t>：我单位厉行节约，加强公务用车管理，公务用车运行维护费减少</w:t>
      </w:r>
      <w:r>
        <w:rPr>
          <w:rFonts w:hint="eastAsia" w:ascii="方正仿宋_GBK" w:hAnsi="方正仿宋_GBK" w:eastAsia="方正仿宋_GBK" w:cs="方正仿宋_GBK"/>
          <w:color w:val="auto"/>
          <w:sz w:val="32"/>
          <w:szCs w:val="32"/>
          <w:shd w:val="clear" w:color="auto" w:fill="FFFFFF"/>
          <w:lang w:val="en-US" w:eastAsia="zh-CN"/>
        </w:rPr>
        <w:t>7.18万元</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color w:val="auto"/>
          <w:sz w:val="32"/>
          <w:szCs w:val="32"/>
          <w:shd w:val="clear" w:color="auto" w:fill="FFFFFF"/>
        </w:rPr>
        <w:t>较上年支出数增加5.29万元，增长237.2%，主要原因是</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lang w:eastAsia="zh-CN"/>
        </w:rPr>
        <w:t>2023年度我单位报废了原公务用车渝CR6831，因此2023年的车辆运行维护费支出下降。区机关事务局于当年度划拨了新能源车辆渝ADZ7867，2024年度因车辆的增加，保险购置及洗车维护费用也因此增加。</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万元，费用支出较年初预算数无增减，较上年支出数减少0.13万元，下降100.0%，主要原因是</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2024年度我单位未发生公务接待费，与上年度决算数持平。</w:t>
      </w:r>
    </w:p>
    <w:p>
      <w:pPr>
        <w:pStyle w:val="11"/>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（三）“三公”经费实物量情况</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度本部门因公出国（境）共计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4</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本部门人均接待费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1.88</w:t>
      </w:r>
      <w:r>
        <w:rPr>
          <w:rFonts w:ascii="方正仿宋_GBK" w:hAnsi="方正仿宋_GBK" w:eastAsia="方正仿宋_GBK" w:cs="方正仿宋_GBK"/>
          <w:sz w:val="32"/>
          <w:szCs w:val="32"/>
          <w:shd w:val="clear" w:color="auto" w:fill="FFFFFF"/>
        </w:rPr>
        <w:t>万元。</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四、其他需要说明的事项</w:t>
      </w:r>
    </w:p>
    <w:p>
      <w:pPr>
        <w:pStyle w:val="11"/>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（一）财政拨款会议费和培训费情况说明</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万元，与2023年度相比，减少6.85万元，下降100.0%，主要原因是</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2024年由于财政资金紧张，人大会议补助通过往来存款资金拨付，故较2023年度减少6.85万元。</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4.41</w:t>
      </w:r>
      <w:r>
        <w:rPr>
          <w:rFonts w:ascii="方正仿宋_GBK" w:hAnsi="方正仿宋_GBK" w:eastAsia="方正仿宋_GBK" w:cs="方正仿宋_GBK"/>
          <w:sz w:val="32"/>
          <w:szCs w:val="32"/>
          <w:shd w:val="clear" w:color="auto" w:fill="FFFFFF"/>
        </w:rPr>
        <w:t>万元，与2023年度相比，增加1.39万元，增长46.0%，主要原因是</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2024年度单位领导、同事跨省学习次数较2023年度有所增加，故培训费开支较2023年度增加1.39万元。</w:t>
      </w:r>
    </w:p>
    <w:p>
      <w:pPr>
        <w:pStyle w:val="11"/>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（二）机关运行经费情况说明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度本部门机关运行经费支出</w:t>
      </w:r>
      <w:r>
        <w:rPr>
          <w:rFonts w:ascii="方正仿宋_GBK" w:hAnsi="方正仿宋_GBK" w:eastAsia="方正仿宋_GBK" w:cs="方正仿宋_GBK"/>
          <w:color w:val="auto"/>
          <w:sz w:val="32"/>
          <w:szCs w:val="32"/>
        </w:rPr>
        <w:t>155.10</w:t>
      </w:r>
      <w:r>
        <w:rPr>
          <w:rFonts w:ascii="方正仿宋_GBK" w:hAnsi="方正仿宋_GBK" w:eastAsia="方正仿宋_GBK" w:cs="方正仿宋_GBK"/>
          <w:color w:val="auto"/>
          <w:sz w:val="32"/>
          <w:szCs w:val="32"/>
          <w:shd w:val="clear" w:color="auto" w:fill="FFFFFF"/>
        </w:rPr>
        <w:t>万元，机关运行经费主要用于开支</w:t>
      </w:r>
      <w:r>
        <w:rPr>
          <w:rFonts w:hint="eastAsia" w:ascii="方正仿宋_GBK" w:hAnsi="方正仿宋_GBK" w:eastAsia="方正仿宋_GBK" w:cs="方正仿宋_GBK"/>
          <w:color w:val="auto"/>
          <w:sz w:val="32"/>
          <w:szCs w:val="32"/>
          <w:shd w:val="clear" w:color="auto" w:fill="FFFFFF"/>
          <w:lang w:eastAsia="zh-CN"/>
        </w:rPr>
        <w:t>办公费、印刷费、水费、电费、邮电费、差旅费、维修（护）费等。</w:t>
      </w:r>
      <w:r>
        <w:rPr>
          <w:rFonts w:ascii="方正仿宋_GBK" w:hAnsi="方正仿宋_GBK" w:eastAsia="方正仿宋_GBK" w:cs="方正仿宋_GBK"/>
          <w:color w:val="auto"/>
          <w:sz w:val="32"/>
          <w:szCs w:val="32"/>
          <w:shd w:val="clear" w:color="auto" w:fill="FFFFFF"/>
        </w:rPr>
        <w:t>机关运行经费较上年支出数减少90.90万元，下降37.0%，主要原因是</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由于2024年按照区财政局要求将原统计在机关本级的事业单位划分为7个账套单独核算，较2023年度减少事业单位公用经费支出，故较2023年度减少</w:t>
      </w:r>
      <w:r>
        <w:rPr>
          <w:rFonts w:ascii="方正仿宋_GBK" w:hAnsi="方正仿宋_GBK" w:eastAsia="方正仿宋_GBK" w:cs="方正仿宋_GBK"/>
          <w:color w:val="auto"/>
          <w:sz w:val="32"/>
          <w:szCs w:val="32"/>
          <w:shd w:val="clear" w:color="auto" w:fill="FFFFFF"/>
        </w:rPr>
        <w:t>90.90万元</w:t>
      </w:r>
      <w:r>
        <w:rPr>
          <w:rFonts w:hint="eastAsia" w:ascii="方正仿宋_GBK" w:hAnsi="方正仿宋_GBK" w:eastAsia="方正仿宋_GBK" w:cs="方正仿宋_GBK"/>
          <w:color w:val="auto"/>
          <w:sz w:val="32"/>
          <w:szCs w:val="32"/>
          <w:shd w:val="clear" w:color="auto" w:fill="FFFFFF"/>
        </w:rPr>
        <w:t>。</w:t>
      </w:r>
    </w:p>
    <w:p>
      <w:pPr>
        <w:pStyle w:val="11"/>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（三）国有资产占用情况说明</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12月31日，本部门共有车辆</w:t>
      </w:r>
      <w:r>
        <w:rPr>
          <w:rFonts w:ascii="方正仿宋_GBK" w:hAnsi="方正仿宋_GBK" w:eastAsia="方正仿宋_GBK" w:cs="方正仿宋_GBK"/>
          <w:sz w:val="32"/>
          <w:szCs w:val="32"/>
        </w:rPr>
        <w:t>4</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4</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1"/>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（四）政府采购支出情况说明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度本部门政府采购支出总额</w:t>
      </w:r>
      <w:r>
        <w:rPr>
          <w:rFonts w:ascii="方正仿宋_GBK" w:hAnsi="方正仿宋_GBK" w:eastAsia="方正仿宋_GBK" w:cs="方正仿宋_GBK"/>
          <w:sz w:val="32"/>
          <w:szCs w:val="32"/>
        </w:rPr>
        <w:t>1.64</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1.64</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1.64万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1.64</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 xml:space="preserve"> %。主要用于采购</w:t>
      </w:r>
      <w:r>
        <w:rPr>
          <w:rFonts w:hint="eastAsia" w:ascii="方正仿宋_GBK" w:hAnsi="方正仿宋_GBK" w:eastAsia="方正仿宋_GBK" w:cs="方正仿宋_GBK"/>
          <w:sz w:val="32"/>
          <w:szCs w:val="32"/>
          <w:shd w:val="clear" w:color="auto" w:fill="FFFFFF"/>
          <w:lang w:eastAsia="zh-CN"/>
        </w:rPr>
        <w:t>机关办公电脑的购置费用。</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0"/>
          <w:rFonts w:hint="eastAsia" w:ascii="方正黑体_GBK" w:hAnsi="方正黑体_GBK" w:eastAsia="方正黑体_GBK" w:cs="方正黑体_GBK"/>
          <w:b w:val="0"/>
          <w:bCs/>
          <w:sz w:val="32"/>
          <w:szCs w:val="32"/>
          <w:shd w:val="clear" w:color="auto" w:fill="FFFFFF"/>
          <w:lang w:val="en-US" w:eastAsia="zh-CN" w:bidi="ar-SA"/>
        </w:rPr>
      </w:pPr>
      <w:r>
        <w:rPr>
          <w:rStyle w:val="10"/>
          <w:rFonts w:hint="eastAsia" w:ascii="方正黑体_GBK" w:hAnsi="方正黑体_GBK" w:eastAsia="方正黑体_GBK" w:cs="方正黑体_GBK"/>
          <w:b w:val="0"/>
          <w:bCs/>
          <w:sz w:val="32"/>
          <w:szCs w:val="32"/>
          <w:shd w:val="clear" w:color="auto" w:fill="FFFFFF"/>
          <w:lang w:val="en-US" w:eastAsia="zh-CN" w:bidi="ar-SA"/>
        </w:rPr>
        <w:t>五、2024年度预算绩效管理情况说明</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eastAsia" w:ascii="方正楷体_GBK" w:hAnsi="方正楷体_GBK" w:eastAsia="方正楷体_GBK" w:cs="方正楷体_GBK"/>
          <w:b w:val="0"/>
          <w:bCs w:val="0"/>
          <w:kern w:val="0"/>
          <w:sz w:val="32"/>
          <w:szCs w:val="32"/>
          <w:shd w:val="clear" w:fill="FFFFFF"/>
        </w:rPr>
      </w:pPr>
      <w:r>
        <w:rPr>
          <w:rFonts w:hint="eastAsia" w:ascii="方正楷体_GBK" w:hAnsi="方正楷体_GBK" w:eastAsia="方正楷体_GBK" w:cs="方正楷体_GBK"/>
          <w:b w:val="0"/>
          <w:bCs w:val="0"/>
          <w:kern w:val="0"/>
          <w:sz w:val="32"/>
          <w:szCs w:val="32"/>
          <w:shd w:val="clear" w:fill="FFFFFF"/>
        </w:rPr>
        <w:t>（一）预算绩效管理工作开展情况</w:t>
      </w:r>
    </w:p>
    <w:p>
      <w:pPr>
        <w:keepNext w:val="0"/>
        <w:keepLines w:val="0"/>
        <w:pageBreakBefore w:val="0"/>
        <w:widowControl/>
        <w:kinsoku/>
        <w:wordWrap/>
        <w:overflowPunct/>
        <w:topLinePunct w:val="0"/>
        <w:autoSpaceDN/>
        <w:bidi w:val="0"/>
        <w:adjustRightInd/>
        <w:spacing w:beforeAutospacing="0" w:afterAutospacing="0" w:line="560" w:lineRule="exact"/>
        <w:ind w:firstLine="640" w:firstLineChars="200"/>
        <w:textAlignment w:val="auto"/>
        <w:rPr>
          <w:rFonts w:hint="eastAsia" w:ascii="方正仿宋_GBK" w:hAnsi="方正仿宋_GBK" w:eastAsia="方正仿宋_GBK" w:cs="方正仿宋_GBK"/>
          <w:kern w:val="0"/>
          <w:sz w:val="32"/>
          <w:szCs w:val="32"/>
          <w:shd w:val="clear" w:fill="FFFFFF"/>
          <w:lang w:eastAsia="zh-CN"/>
        </w:rPr>
      </w:pPr>
      <w:r>
        <w:rPr>
          <w:rFonts w:hint="eastAsia" w:eastAsia="方正仿宋_GBK"/>
          <w:sz w:val="32"/>
        </w:rPr>
        <w:t>根据预算绩效管理要求，我</w:t>
      </w:r>
      <w:r>
        <w:rPr>
          <w:rFonts w:hint="eastAsia" w:eastAsia="方正仿宋_GBK"/>
          <w:sz w:val="32"/>
          <w:lang w:eastAsia="zh-CN"/>
        </w:rPr>
        <w:t>部门对部门整体和</w:t>
      </w:r>
      <w:r>
        <w:rPr>
          <w:rFonts w:hint="eastAsia" w:eastAsia="方正仿宋_GBK"/>
          <w:sz w:val="32"/>
          <w:lang w:val="en-US" w:eastAsia="zh-CN"/>
        </w:rPr>
        <w:t>43个（所有二级预算单位的项目个数之和）</w:t>
      </w:r>
      <w:r>
        <w:rPr>
          <w:rFonts w:hint="eastAsia" w:eastAsia="方正仿宋_GBK"/>
          <w:sz w:val="32"/>
        </w:rPr>
        <w:t>项目开展了绩效自评，其中，以填报自评表形式开展自评</w:t>
      </w:r>
      <w:r>
        <w:rPr>
          <w:rFonts w:hint="eastAsia" w:eastAsia="方正仿宋_GBK"/>
          <w:sz w:val="32"/>
          <w:lang w:val="en-US" w:eastAsia="zh-CN"/>
        </w:rPr>
        <w:t>43</w:t>
      </w:r>
      <w:r>
        <w:rPr>
          <w:rFonts w:hint="eastAsia" w:eastAsia="方正仿宋_GBK"/>
          <w:sz w:val="32"/>
        </w:rPr>
        <w:t>项，涉及资金</w:t>
      </w:r>
      <w:r>
        <w:rPr>
          <w:rFonts w:ascii="方正仿宋_GBK" w:hAnsi="方正仿宋_GBK" w:eastAsia="方正仿宋_GBK" w:cs="方正仿宋_GBK"/>
          <w:sz w:val="32"/>
          <w:szCs w:val="32"/>
        </w:rPr>
        <w:t>3707.39</w:t>
      </w:r>
      <w:r>
        <w:rPr>
          <w:rFonts w:hint="eastAsia" w:eastAsia="方正仿宋_GBK"/>
          <w:sz w:val="32"/>
        </w:rPr>
        <w:t>万元</w:t>
      </w:r>
      <w:r>
        <w:rPr>
          <w:rFonts w:hint="eastAsia" w:eastAsia="方正仿宋_GBK"/>
          <w:sz w:val="32"/>
          <w:lang w:eastAsia="zh-CN"/>
        </w:rPr>
        <w:t>。</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eastAsia" w:ascii="方正楷体_GBK" w:hAnsi="方正楷体_GBK" w:eastAsia="方正楷体_GBK" w:cs="方正楷体_GBK"/>
          <w:b w:val="0"/>
          <w:bCs w:val="0"/>
          <w:kern w:val="0"/>
          <w:sz w:val="32"/>
          <w:szCs w:val="32"/>
          <w:shd w:val="clear" w:fill="FFFFFF"/>
        </w:rPr>
      </w:pPr>
      <w:r>
        <w:rPr>
          <w:rFonts w:hint="eastAsia" w:ascii="方正楷体_GBK" w:hAnsi="方正楷体_GBK" w:eastAsia="方正楷体_GBK" w:cs="方正楷体_GBK"/>
          <w:b w:val="0"/>
          <w:bCs w:val="0"/>
          <w:kern w:val="0"/>
          <w:sz w:val="32"/>
          <w:szCs w:val="32"/>
          <w:shd w:val="clear" w:fill="FFFFFF"/>
        </w:rPr>
        <w:t>（二）绩效自评结果</w:t>
      </w:r>
    </w:p>
    <w:p>
      <w:pPr>
        <w:pStyle w:val="14"/>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1.</w:t>
      </w:r>
      <w:r>
        <w:rPr>
          <w:rFonts w:hint="eastAsia" w:ascii="方正仿宋_GBK" w:hAnsi="方正仿宋_GBK" w:eastAsia="方正仿宋_GBK" w:cs="方正仿宋_GBK"/>
          <w:kern w:val="0"/>
          <w:sz w:val="32"/>
          <w:szCs w:val="32"/>
          <w:shd w:val="clear" w:fill="FFFFFF"/>
          <w:lang w:eastAsia="zh-CN"/>
        </w:rPr>
        <w:t>绩效目标</w:t>
      </w:r>
      <w:r>
        <w:rPr>
          <w:rFonts w:hint="eastAsia" w:ascii="方正仿宋_GBK" w:hAnsi="方正仿宋_GBK" w:eastAsia="方正仿宋_GBK" w:cs="方正仿宋_GBK"/>
          <w:kern w:val="0"/>
          <w:sz w:val="32"/>
          <w:szCs w:val="32"/>
          <w:shd w:val="clear" w:fill="FFFFFF"/>
        </w:rPr>
        <w:t>自评表</w:t>
      </w:r>
    </w:p>
    <w:p>
      <w:pPr>
        <w:pStyle w:val="14"/>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lang w:val="en-US" w:eastAsia="zh-CN"/>
        </w:rPr>
        <w:t>1</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部门整体绩效自评表</w:t>
      </w:r>
    </w:p>
    <w:p>
      <w:pPr>
        <w:pStyle w:val="14"/>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kern w:val="0"/>
          <w:sz w:val="32"/>
          <w:szCs w:val="32"/>
          <w:shd w:val="clear" w:fill="FFFFFF"/>
          <w:lang w:eastAsia="zh-CN"/>
        </w:rPr>
      </w:pPr>
      <w:r>
        <w:rPr>
          <w:rFonts w:hint="eastAsia" w:ascii="方正仿宋_GBK" w:hAnsi="方正仿宋_GBK" w:eastAsia="方正仿宋_GBK" w:cs="方正仿宋_GBK"/>
          <w:kern w:val="0"/>
          <w:sz w:val="32"/>
          <w:szCs w:val="32"/>
          <w:shd w:val="clear" w:fill="FFFFFF"/>
        </w:rPr>
        <w:t>详见附件。</w:t>
      </w:r>
    </w:p>
    <w:p>
      <w:pPr>
        <w:pStyle w:val="14"/>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lang w:val="en-US" w:eastAsia="zh-CN"/>
        </w:rPr>
        <w:t>1</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项目绩效自评表</w:t>
      </w:r>
    </w:p>
    <w:p>
      <w:pPr>
        <w:pStyle w:val="14"/>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shd w:val="clear" w:fill="FFFFFF"/>
          <w:lang w:eastAsia="zh-CN"/>
        </w:rPr>
      </w:pPr>
      <w:r>
        <w:rPr>
          <w:rFonts w:hint="eastAsia" w:ascii="方正仿宋_GBK" w:hAnsi="方正仿宋_GBK" w:eastAsia="方正仿宋_GBK" w:cs="方正仿宋_GBK"/>
          <w:kern w:val="0"/>
          <w:sz w:val="32"/>
          <w:szCs w:val="32"/>
          <w:shd w:val="clear" w:fill="FFFFFF"/>
          <w:lang w:eastAsia="zh-CN"/>
        </w:rPr>
        <w:t>详见附件。</w:t>
      </w:r>
    </w:p>
    <w:p>
      <w:pPr>
        <w:pStyle w:val="14"/>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lang w:val="en-US" w:eastAsia="zh-CN"/>
        </w:rPr>
        <w:t>2.</w:t>
      </w:r>
      <w:r>
        <w:rPr>
          <w:rFonts w:hint="eastAsia" w:ascii="方正仿宋_GBK" w:hAnsi="方正仿宋_GBK" w:eastAsia="方正仿宋_GBK" w:cs="方正仿宋_GBK"/>
          <w:kern w:val="0"/>
          <w:sz w:val="32"/>
          <w:szCs w:val="32"/>
          <w:shd w:val="clear" w:fill="FFFFFF"/>
        </w:rPr>
        <w:t>绩效自评报告或案例</w:t>
      </w:r>
    </w:p>
    <w:p>
      <w:pPr>
        <w:pStyle w:val="14"/>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kern w:val="0"/>
          <w:sz w:val="32"/>
          <w:szCs w:val="32"/>
          <w:shd w:val="clear" w:fill="FFFFFF"/>
          <w:lang w:eastAsia="zh-CN"/>
        </w:rPr>
      </w:pPr>
      <w:r>
        <w:rPr>
          <w:rFonts w:hint="eastAsia" w:ascii="方正仿宋_GBK" w:hAnsi="方正仿宋_GBK" w:eastAsia="方正仿宋_GBK" w:cs="方正仿宋_GBK"/>
          <w:kern w:val="0"/>
          <w:sz w:val="32"/>
          <w:szCs w:val="32"/>
          <w:shd w:val="clear" w:fill="FFFFFF"/>
          <w:lang w:eastAsia="zh-CN"/>
        </w:rPr>
        <w:t>我部门未委托第三方开展绩效评价。</w:t>
      </w:r>
    </w:p>
    <w:p>
      <w:pPr>
        <w:pStyle w:val="14"/>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kern w:val="0"/>
          <w:sz w:val="32"/>
          <w:szCs w:val="32"/>
          <w:shd w:val="clear" w:fill="FFFFFF"/>
          <w:lang w:val="en-US" w:eastAsia="zh-CN"/>
        </w:rPr>
      </w:pPr>
      <w:r>
        <w:rPr>
          <w:rFonts w:hint="eastAsia" w:ascii="方正仿宋_GBK" w:hAnsi="方正仿宋_GBK" w:eastAsia="方正仿宋_GBK" w:cs="方正仿宋_GBK"/>
          <w:kern w:val="0"/>
          <w:sz w:val="32"/>
          <w:szCs w:val="32"/>
          <w:shd w:val="clear" w:fill="FFFFFF"/>
        </w:rPr>
        <w:t>3.关于绩效自评结果的说明</w:t>
      </w:r>
    </w:p>
    <w:p>
      <w:pPr>
        <w:pStyle w:val="14"/>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我</w:t>
      </w:r>
      <w:r>
        <w:rPr>
          <w:rFonts w:hint="eastAsia" w:ascii="方正仿宋_GBK" w:hAnsi="方正仿宋_GBK" w:eastAsia="方正仿宋_GBK" w:cs="方正仿宋_GBK"/>
          <w:kern w:val="0"/>
          <w:sz w:val="32"/>
          <w:szCs w:val="32"/>
          <w:shd w:val="clear" w:fill="FFFFFF"/>
          <w:lang w:eastAsia="zh-CN"/>
        </w:rPr>
        <w:t>部门</w:t>
      </w:r>
      <w:r>
        <w:rPr>
          <w:rFonts w:hint="eastAsia" w:ascii="方正仿宋_GBK" w:hAnsi="方正仿宋_GBK" w:eastAsia="方正仿宋_GBK" w:cs="方正仿宋_GBK"/>
          <w:kern w:val="0"/>
          <w:sz w:val="32"/>
          <w:szCs w:val="32"/>
          <w:shd w:val="clear" w:fill="FFFFFF"/>
        </w:rPr>
        <w:t>对</w:t>
      </w:r>
      <w:r>
        <w:rPr>
          <w:rFonts w:hint="eastAsia" w:ascii="方正仿宋_GBK" w:hAnsi="方正仿宋_GBK" w:eastAsia="方正仿宋_GBK" w:cs="方正仿宋_GBK"/>
          <w:kern w:val="0"/>
          <w:sz w:val="32"/>
          <w:szCs w:val="32"/>
          <w:shd w:val="clear" w:fill="FFFFFF"/>
          <w:lang w:val="en-US" w:eastAsia="zh-CN"/>
        </w:rPr>
        <w:t>43</w:t>
      </w:r>
      <w:r>
        <w:rPr>
          <w:rFonts w:hint="eastAsia" w:ascii="方正仿宋_GBK" w:hAnsi="方正仿宋_GBK" w:eastAsia="方正仿宋_GBK" w:cs="方正仿宋_GBK"/>
          <w:kern w:val="0"/>
          <w:sz w:val="32"/>
          <w:szCs w:val="32"/>
          <w:shd w:val="clear" w:fill="FFFFFF"/>
        </w:rPr>
        <w:t>个项目进行绩效自评，其中</w:t>
      </w:r>
      <w:r>
        <w:rPr>
          <w:rFonts w:hint="eastAsia" w:ascii="方正仿宋_GBK" w:hAnsi="方正仿宋_GBK" w:eastAsia="方正仿宋_GBK" w:cs="方正仿宋_GBK"/>
          <w:kern w:val="0"/>
          <w:sz w:val="32"/>
          <w:szCs w:val="32"/>
          <w:shd w:val="clear" w:fill="FFFFFF"/>
          <w:lang w:val="en-US" w:eastAsia="zh-CN"/>
        </w:rPr>
        <w:t>43</w:t>
      </w:r>
      <w:r>
        <w:rPr>
          <w:rFonts w:hint="eastAsia" w:ascii="方正仿宋_GBK" w:hAnsi="方正仿宋_GBK" w:eastAsia="方正仿宋_GBK" w:cs="方正仿宋_GBK"/>
          <w:kern w:val="0"/>
          <w:sz w:val="32"/>
          <w:szCs w:val="32"/>
          <w:shd w:val="clear" w:fill="FFFFFF"/>
        </w:rPr>
        <w:t>个已完成年度绩效目标，</w:t>
      </w:r>
      <w:r>
        <w:rPr>
          <w:rFonts w:hint="eastAsia" w:ascii="方正仿宋_GBK" w:hAnsi="方正仿宋_GBK" w:eastAsia="方正仿宋_GBK" w:cs="方正仿宋_GBK"/>
          <w:kern w:val="0"/>
          <w:sz w:val="32"/>
          <w:szCs w:val="32"/>
          <w:shd w:val="clear" w:fill="FFFFFF"/>
          <w:lang w:val="en-US" w:eastAsia="zh-CN"/>
        </w:rPr>
        <w:t>0</w:t>
      </w:r>
      <w:r>
        <w:rPr>
          <w:rFonts w:hint="eastAsia" w:ascii="方正仿宋_GBK" w:hAnsi="方正仿宋_GBK" w:eastAsia="方正仿宋_GBK" w:cs="方正仿宋_GBK"/>
          <w:kern w:val="0"/>
          <w:sz w:val="32"/>
          <w:szCs w:val="32"/>
          <w:shd w:val="clear" w:fill="FFFFFF"/>
        </w:rPr>
        <w:t>个未完成年度绩效目标。</w:t>
      </w:r>
    </w:p>
    <w:p>
      <w:pPr>
        <w:pStyle w:val="14"/>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楷体_GBK" w:hAnsi="方正楷体_GBK" w:eastAsia="方正楷体_GBK" w:cs="方正楷体_GBK"/>
          <w:b w:val="0"/>
          <w:bCs w:val="0"/>
          <w:kern w:val="0"/>
          <w:sz w:val="32"/>
          <w:szCs w:val="32"/>
          <w:shd w:val="clear" w:fill="FFFFFF"/>
          <w:lang w:val="en-US" w:eastAsia="zh-CN" w:bidi="ar"/>
        </w:rPr>
      </w:pPr>
      <w:r>
        <w:rPr>
          <w:rFonts w:hint="eastAsia" w:ascii="方正楷体_GBK" w:hAnsi="方正楷体_GBK" w:eastAsia="方正楷体_GBK" w:cs="方正楷体_GBK"/>
          <w:b w:val="0"/>
          <w:bCs w:val="0"/>
          <w:kern w:val="0"/>
          <w:sz w:val="32"/>
          <w:szCs w:val="32"/>
          <w:shd w:val="clear" w:fill="FFFFFF"/>
          <w:lang w:val="en-US" w:eastAsia="zh-CN" w:bidi="ar"/>
        </w:rPr>
        <w:t>（三）财政重点绩效评价情况</w:t>
      </w:r>
    </w:p>
    <w:p>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shd w:val="clear" w:fill="FFFFFF"/>
          <w:lang w:val="en-US" w:eastAsia="zh-CN" w:bidi="ar"/>
        </w:rPr>
      </w:pPr>
      <w:r>
        <w:rPr>
          <w:rFonts w:hint="eastAsia" w:ascii="方正仿宋_GBK" w:hAnsi="方正仿宋_GBK" w:eastAsia="方正仿宋_GBK" w:cs="方正仿宋_GBK"/>
          <w:kern w:val="0"/>
          <w:sz w:val="32"/>
          <w:szCs w:val="32"/>
          <w:shd w:val="clear" w:fill="FFFFFF"/>
          <w:lang w:val="en-US" w:eastAsia="zh-CN" w:bidi="ar"/>
        </w:rPr>
        <w:t>我单位无财政重点绩效评价项目。</w:t>
      </w:r>
    </w:p>
    <w:p>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ind w:firstLine="640" w:firstLineChars="200"/>
        <w:textAlignment w:val="auto"/>
        <w:rPr>
          <w:rFonts w:hint="eastAsia" w:ascii="方正黑体_GBK" w:hAnsi="方正黑体_GBK" w:eastAsia="方正黑体_GBK" w:cs="方正黑体_GBK"/>
          <w:b w:val="0"/>
          <w:bCs/>
          <w:kern w:val="0"/>
          <w:sz w:val="32"/>
          <w:szCs w:val="32"/>
        </w:rPr>
      </w:pPr>
      <w:r>
        <w:rPr>
          <w:rStyle w:val="10"/>
          <w:rFonts w:hint="eastAsia" w:ascii="方正黑体_GBK" w:hAnsi="方正黑体_GBK" w:eastAsia="方正黑体_GBK" w:cs="方正黑体_GBK"/>
          <w:b w:val="0"/>
          <w:bCs/>
          <w:sz w:val="32"/>
          <w:szCs w:val="32"/>
          <w:shd w:val="clear" w:color="auto" w:fill="FFFFFF"/>
          <w:lang w:val="en-US" w:eastAsia="zh-CN" w:bidi="ar-SA"/>
        </w:rPr>
        <w:t>六、专业名词解释</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（五）使用非财政拨款结余：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黑体_GBK" w:hAnsi="方正黑体_GBK" w:eastAsia="方正黑体_GBK" w:cs="方正黑体_GBK"/>
          <w:b w:val="0"/>
          <w:bCs/>
          <w:kern w:val="0"/>
          <w:sz w:val="32"/>
          <w:szCs w:val="32"/>
        </w:rPr>
      </w:pPr>
      <w:r>
        <w:rPr>
          <w:rStyle w:val="10"/>
          <w:rFonts w:hint="eastAsia" w:ascii="方正黑体_GBK" w:hAnsi="方正黑体_GBK" w:eastAsia="方正黑体_GBK" w:cs="方正黑体_GBK"/>
          <w:b w:val="0"/>
          <w:bCs/>
          <w:sz w:val="32"/>
          <w:szCs w:val="32"/>
          <w:shd w:val="clear" w:color="auto" w:fill="FFFFFF"/>
          <w:lang w:val="en-US" w:eastAsia="zh-CN" w:bidi="ar-SA"/>
        </w:rPr>
        <w:t>七、决算公开联系方式及信息反馈渠道</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shd w:val="clear" w:fill="FFFFFF"/>
        </w:rPr>
        <w:t>本单位决算公开信息反馈和联系方式：</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color w:val="auto"/>
          <w:kern w:val="0"/>
          <w:sz w:val="32"/>
          <w:szCs w:val="32"/>
          <w:shd w:val="clear" w:fill="FFFFFF"/>
          <w:lang w:val="en-US" w:eastAsia="zh-CN"/>
        </w:rPr>
      </w:pPr>
      <w:r>
        <w:rPr>
          <w:rFonts w:hint="eastAsia" w:ascii="方正仿宋_GBK" w:hAnsi="方正仿宋_GBK" w:eastAsia="方正仿宋_GBK" w:cs="方正仿宋_GBK"/>
          <w:color w:val="auto"/>
          <w:kern w:val="0"/>
          <w:sz w:val="32"/>
          <w:szCs w:val="32"/>
          <w:shd w:val="clear" w:fill="FFFFFF"/>
          <w:lang w:eastAsia="zh-CN"/>
        </w:rPr>
        <w:t>联系人：</w:t>
      </w:r>
      <w:r>
        <w:rPr>
          <w:rFonts w:hint="eastAsia" w:ascii="方正仿宋_GBK" w:hAnsi="方正仿宋_GBK" w:eastAsia="方正仿宋_GBK" w:cs="方正仿宋_GBK"/>
          <w:color w:val="auto"/>
          <w:kern w:val="0"/>
          <w:sz w:val="32"/>
          <w:szCs w:val="32"/>
          <w:shd w:val="clear" w:fill="FFFFFF"/>
          <w:lang w:val="en-US" w:eastAsia="zh-CN"/>
        </w:rPr>
        <w:t>传英</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shd w:val="clear" w:fill="FFFFFF"/>
          <w:lang w:val="en-US" w:eastAsia="zh-CN"/>
        </w:rPr>
        <w:t>联系方式：</w:t>
      </w:r>
      <w:r>
        <w:rPr>
          <w:rFonts w:hint="eastAsia" w:ascii="方正仿宋_GBK" w:hAnsi="方正仿宋_GBK" w:eastAsia="方正仿宋_GBK" w:cs="方正仿宋_GBK"/>
          <w:color w:val="auto"/>
          <w:kern w:val="0"/>
          <w:sz w:val="32"/>
          <w:szCs w:val="32"/>
          <w:shd w:val="clear" w:fill="FFFFFF"/>
        </w:rPr>
        <w:t>023-</w:t>
      </w:r>
      <w:r>
        <w:rPr>
          <w:rFonts w:hint="eastAsia" w:ascii="方正仿宋_GBK" w:hAnsi="方正仿宋_GBK" w:eastAsia="方正仿宋_GBK" w:cs="方正仿宋_GBK"/>
          <w:color w:val="auto"/>
          <w:kern w:val="0"/>
          <w:sz w:val="32"/>
          <w:szCs w:val="32"/>
          <w:shd w:val="clear" w:fill="FFFFFF"/>
          <w:lang w:val="en-US" w:eastAsia="zh-CN"/>
        </w:rPr>
        <w:t>45855004</w:t>
      </w:r>
    </w:p>
    <w:p>
      <w:pPr>
        <w:pStyle w:val="11"/>
        <w:keepNext w:val="0"/>
        <w:keepLines w:val="0"/>
        <w:pageBreakBefore w:val="0"/>
        <w:widowControl/>
        <w:kinsoku/>
        <w:wordWrap/>
        <w:overflowPunct/>
        <w:topLinePunct w:val="0"/>
        <w:autoSpaceDE w:val="0"/>
        <w:autoSpaceDN/>
        <w:bidi w:val="0"/>
        <w:adjustRightInd/>
        <w:snapToGrid/>
        <w:spacing w:beforeAutospacing="0" w:afterAutospacing="0" w:line="560" w:lineRule="exact"/>
        <w:ind w:left="0" w:leftChars="0" w:firstLine="643" w:firstLineChars="200"/>
        <w:jc w:val="both"/>
        <w:textAlignment w:val="auto"/>
        <w:rPr>
          <w:rStyle w:val="13"/>
          <w:rFonts w:hint="eastAsia" w:ascii="方正仿宋_GBK" w:hAnsi="方正仿宋_GBK" w:eastAsia="方正仿宋_GBK" w:cs="方正仿宋_GBK"/>
          <w:b/>
          <w:bCs/>
          <w:sz w:val="32"/>
          <w:szCs w:val="32"/>
          <w:shd w:val="clear" w:fill="FFFF00"/>
        </w:rPr>
      </w:pPr>
    </w:p>
    <w:p>
      <w:pPr>
        <w:pStyle w:val="11"/>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firstLineChars="200"/>
        <w:jc w:val="both"/>
        <w:textAlignment w:val="auto"/>
        <w:rPr>
          <w:rStyle w:val="13"/>
          <w:rFonts w:hint="eastAsia" w:ascii="方正仿宋_GBK" w:hAnsi="方正仿宋_GBK" w:eastAsia="方正仿宋_GBK" w:cs="方正仿宋_GBK"/>
          <w:b/>
          <w:bCs/>
          <w:sz w:val="32"/>
          <w:szCs w:val="32"/>
          <w:shd w:val="clear" w:fill="FFFF00"/>
        </w:rPr>
      </w:pPr>
    </w:p>
    <w:p>
      <w:pPr>
        <w:pStyle w:val="11"/>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firstLineChars="200"/>
        <w:jc w:val="both"/>
        <w:textAlignment w:val="auto"/>
        <w:rPr>
          <w:rStyle w:val="13"/>
          <w:rFonts w:hint="eastAsia" w:ascii="方正仿宋_GBK" w:hAnsi="方正仿宋_GBK" w:eastAsia="方正仿宋_GBK" w:cs="方正仿宋_GBK"/>
          <w:b/>
          <w:bCs/>
          <w:sz w:val="32"/>
          <w:szCs w:val="32"/>
          <w:shd w:val="clear" w:fill="FFFF00"/>
        </w:rPr>
      </w:pPr>
    </w:p>
    <w:p>
      <w:pPr>
        <w:pStyle w:val="2"/>
        <w:keepNext w:val="0"/>
        <w:keepLines w:val="0"/>
        <w:pageBreakBefore w:val="0"/>
        <w:widowControl/>
        <w:kinsoku/>
        <w:wordWrap/>
        <w:overflowPunct/>
        <w:topLinePunct w:val="0"/>
        <w:autoSpaceDN/>
        <w:bidi w:val="0"/>
        <w:adjustRightIn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仿宋_GB2312" w:hAnsi="仿宋" w:eastAsia="仿宋_GB2312"/>
          <w:sz w:val="32"/>
          <w:szCs w:val="32"/>
          <w:lang w:eastAsia="zh-CN"/>
        </w:rPr>
        <w:t>附件：</w:t>
      </w:r>
      <w:r>
        <w:rPr>
          <w:rFonts w:hint="eastAsia" w:ascii="方正仿宋_GBK" w:hAnsi="方正仿宋_GBK" w:eastAsia="方正仿宋_GBK" w:cs="方正仿宋_GBK"/>
          <w:sz w:val="32"/>
          <w:szCs w:val="32"/>
          <w:lang w:val="en-US" w:eastAsia="zh-CN"/>
        </w:rPr>
        <w:t>1.重庆市铜梁区安居镇人民政府202</w:t>
      </w:r>
      <w:r>
        <w:rPr>
          <w:rFonts w:hint="eastAsia" w:ascii="方正仿宋_GBK" w:hAnsi="方正仿宋_GBK" w:cs="方正仿宋_GBK"/>
          <w:sz w:val="32"/>
          <w:szCs w:val="32"/>
          <w:lang w:val="en-US" w:eastAsia="zh-CN"/>
        </w:rPr>
        <w:t>4</w:t>
      </w:r>
      <w:r>
        <w:rPr>
          <w:rFonts w:hint="eastAsia" w:ascii="方正仿宋_GBK" w:hAnsi="方正仿宋_GBK" w:eastAsia="方正仿宋_GBK" w:cs="方正仿宋_GBK"/>
          <w:sz w:val="32"/>
          <w:szCs w:val="32"/>
          <w:lang w:val="en-US" w:eastAsia="zh-CN"/>
        </w:rPr>
        <w:t>年度</w:t>
      </w:r>
      <w:r>
        <w:rPr>
          <w:rFonts w:hint="eastAsia" w:ascii="方正仿宋_GBK" w:hAnsi="方正仿宋_GBK" w:cs="方正仿宋_GBK"/>
          <w:sz w:val="32"/>
          <w:szCs w:val="32"/>
          <w:lang w:val="en-US" w:eastAsia="zh-CN"/>
        </w:rPr>
        <w:t>决算公开说明</w:t>
      </w:r>
    </w:p>
    <w:p>
      <w:pPr>
        <w:pStyle w:val="2"/>
        <w:keepNext w:val="0"/>
        <w:keepLines w:val="0"/>
        <w:pageBreakBefore w:val="0"/>
        <w:widowControl/>
        <w:kinsoku/>
        <w:wordWrap/>
        <w:overflowPunct/>
        <w:topLinePunct w:val="0"/>
        <w:autoSpaceDN/>
        <w:bidi w:val="0"/>
        <w:adjustRightIn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2.重庆市铜梁区安居镇人民政府202</w:t>
      </w:r>
      <w:r>
        <w:rPr>
          <w:rFonts w:hint="eastAsia" w:ascii="方正仿宋_GBK" w:hAnsi="方正仿宋_GBK" w:cs="方正仿宋_GBK"/>
          <w:sz w:val="32"/>
          <w:szCs w:val="32"/>
          <w:lang w:val="en-US" w:eastAsia="zh-CN"/>
        </w:rPr>
        <w:t>4</w:t>
      </w:r>
      <w:r>
        <w:rPr>
          <w:rFonts w:hint="eastAsia" w:ascii="方正仿宋_GBK" w:hAnsi="方正仿宋_GBK" w:eastAsia="方正仿宋_GBK" w:cs="方正仿宋_GBK"/>
          <w:sz w:val="32"/>
          <w:szCs w:val="32"/>
          <w:lang w:val="en-US" w:eastAsia="zh-CN"/>
        </w:rPr>
        <w:t>年度决算公开报表</w:t>
      </w:r>
    </w:p>
    <w:p>
      <w:pPr>
        <w:pStyle w:val="2"/>
        <w:keepNext w:val="0"/>
        <w:keepLines w:val="0"/>
        <w:pageBreakBefore w:val="0"/>
        <w:widowControl/>
        <w:kinsoku/>
        <w:wordWrap/>
        <w:overflowPunct/>
        <w:topLinePunct w:val="0"/>
        <w:autoSpaceDN/>
        <w:bidi w:val="0"/>
        <w:adjustRightIn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3.重庆市铜梁区安居镇人民政府202</w:t>
      </w:r>
      <w:r>
        <w:rPr>
          <w:rFonts w:hint="eastAsia" w:ascii="方正仿宋_GBK" w:hAnsi="方正仿宋_GBK" w:cs="方正仿宋_GBK"/>
          <w:sz w:val="32"/>
          <w:szCs w:val="32"/>
          <w:lang w:val="en-US" w:eastAsia="zh-CN"/>
        </w:rPr>
        <w:t>4</w:t>
      </w:r>
      <w:r>
        <w:rPr>
          <w:rFonts w:hint="eastAsia" w:ascii="方正仿宋_GBK" w:hAnsi="方正仿宋_GBK" w:eastAsia="方正仿宋_GBK" w:cs="方正仿宋_GBK"/>
          <w:sz w:val="32"/>
          <w:szCs w:val="32"/>
          <w:lang w:val="en-US" w:eastAsia="zh-CN"/>
        </w:rPr>
        <w:t>年度</w:t>
      </w:r>
      <w:r>
        <w:rPr>
          <w:rFonts w:hint="eastAsia" w:ascii="方正仿宋_GBK" w:hAnsi="方正仿宋_GBK" w:cs="方正仿宋_GBK"/>
          <w:sz w:val="32"/>
          <w:szCs w:val="32"/>
          <w:lang w:val="en-US" w:eastAsia="zh-CN"/>
        </w:rPr>
        <w:t>项目绩效自评表</w:t>
      </w:r>
    </w:p>
    <w:p>
      <w:pPr>
        <w:pStyle w:val="11"/>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firstLineChars="200"/>
        <w:jc w:val="both"/>
        <w:textAlignment w:val="auto"/>
        <w:rPr>
          <w:rFonts w:hint="default" w:ascii="方正仿宋_GBK" w:hAnsi="方正仿宋_GBK" w:eastAsia="方正仿宋_GBK" w:cs="方正仿宋_GBK"/>
          <w:sz w:val="32"/>
          <w:szCs w:val="32"/>
          <w:lang w:val="en-US" w:eastAsia="zh-CN" w:bidi="ar-SA"/>
        </w:rPr>
      </w:pPr>
      <w:r>
        <w:rPr>
          <w:rFonts w:hint="eastAsia" w:ascii="方正仿宋_GBK" w:hAnsi="方正仿宋_GBK" w:eastAsia="方正仿宋_GBK" w:cs="方正仿宋_GBK"/>
          <w:sz w:val="32"/>
          <w:szCs w:val="32"/>
          <w:lang w:val="en-US" w:eastAsia="zh-CN" w:bidi="ar-SA"/>
        </w:rPr>
        <w:t>4.重庆市铜梁区安居镇人民政府2024年度部门整体绩效自评表</w:t>
      </w:r>
    </w:p>
    <w:sectPr>
      <w:headerReference r:id="rId3" w:type="default"/>
      <w:footerReference r:id="rId4" w:type="default"/>
      <w:pgSz w:w="11850" w:h="16783"/>
      <w:pgMar w:top="2098" w:right="1474" w:bottom="1984" w:left="1587" w:header="0" w:footer="283" w:gutter="0"/>
      <w:pgNumType w:fmt="numberInDash"/>
      <w:cols w:space="0" w:num="1"/>
      <w:rtlGutter w:val="0"/>
      <w:docGrid w:type="lines" w:linePitch="3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sz w:val="28"/>
                              <w:szCs w:val="28"/>
                            </w:rPr>
                          </w:pP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28</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4"/>
                      <w:rPr>
                        <w:rFonts w:hint="default"/>
                        <w:sz w:val="28"/>
                        <w:szCs w:val="28"/>
                      </w:rPr>
                    </w:pP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28</w:t>
                    </w:r>
                    <w:r>
                      <w:rPr>
                        <w:sz w:val="28"/>
                        <w:szCs w:val="28"/>
                      </w:rPr>
                      <w:fldChar w:fldCharType="end"/>
                    </w:r>
                    <w:r>
                      <w:rPr>
                        <w:sz w:val="28"/>
                        <w:szCs w:val="28"/>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840202"/>
    <w:multiLevelType w:val="singleLevel"/>
    <w:tmpl w:val="CC840202"/>
    <w:lvl w:ilvl="0" w:tentative="0">
      <w:start w:val="1"/>
      <w:numFmt w:val="decimal"/>
      <w:suff w:val="nothing"/>
      <w:lvlText w:val="（%1）"/>
      <w:lvlJc w:val="left"/>
      <w:rPr>
        <w:rFonts w:hint="default"/>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67"/>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0D7BCC"/>
    <w:rsid w:val="00550ABE"/>
    <w:rsid w:val="0062392F"/>
    <w:rsid w:val="007B419D"/>
    <w:rsid w:val="009B67B8"/>
    <w:rsid w:val="00B03CCD"/>
    <w:rsid w:val="01474EBF"/>
    <w:rsid w:val="01B7019C"/>
    <w:rsid w:val="01DD669F"/>
    <w:rsid w:val="01F3521E"/>
    <w:rsid w:val="026F018C"/>
    <w:rsid w:val="028E2C3F"/>
    <w:rsid w:val="03E3214F"/>
    <w:rsid w:val="03F91E91"/>
    <w:rsid w:val="04207B52"/>
    <w:rsid w:val="04446191"/>
    <w:rsid w:val="044C50BA"/>
    <w:rsid w:val="04C567A8"/>
    <w:rsid w:val="04ED4FE8"/>
    <w:rsid w:val="0536621F"/>
    <w:rsid w:val="05536C4A"/>
    <w:rsid w:val="05E71467"/>
    <w:rsid w:val="06247E33"/>
    <w:rsid w:val="069D056A"/>
    <w:rsid w:val="06A2550B"/>
    <w:rsid w:val="06F80EE2"/>
    <w:rsid w:val="07001CCA"/>
    <w:rsid w:val="07082E19"/>
    <w:rsid w:val="075321D2"/>
    <w:rsid w:val="075678DB"/>
    <w:rsid w:val="07932335"/>
    <w:rsid w:val="08051BCA"/>
    <w:rsid w:val="080A21BB"/>
    <w:rsid w:val="08BA052C"/>
    <w:rsid w:val="08DB07BA"/>
    <w:rsid w:val="096B2603"/>
    <w:rsid w:val="097E3822"/>
    <w:rsid w:val="098305D0"/>
    <w:rsid w:val="099843CC"/>
    <w:rsid w:val="09B72B6E"/>
    <w:rsid w:val="0A0C7F04"/>
    <w:rsid w:val="0A1E592A"/>
    <w:rsid w:val="0A227275"/>
    <w:rsid w:val="0A5C4B69"/>
    <w:rsid w:val="0B9335CE"/>
    <w:rsid w:val="0B971913"/>
    <w:rsid w:val="0BA10C97"/>
    <w:rsid w:val="0C2307A5"/>
    <w:rsid w:val="0C554661"/>
    <w:rsid w:val="0C7927C4"/>
    <w:rsid w:val="0C9B098C"/>
    <w:rsid w:val="0CE80A8F"/>
    <w:rsid w:val="0D0904F0"/>
    <w:rsid w:val="0D0F3998"/>
    <w:rsid w:val="0D472B48"/>
    <w:rsid w:val="0D673E11"/>
    <w:rsid w:val="0DB50EFE"/>
    <w:rsid w:val="0DDA54E4"/>
    <w:rsid w:val="0E3A5F83"/>
    <w:rsid w:val="0E9478E1"/>
    <w:rsid w:val="0EA12B90"/>
    <w:rsid w:val="0F272A69"/>
    <w:rsid w:val="0F69711D"/>
    <w:rsid w:val="0F836721"/>
    <w:rsid w:val="0FB513D3"/>
    <w:rsid w:val="0FB64C71"/>
    <w:rsid w:val="103645A3"/>
    <w:rsid w:val="107B59E5"/>
    <w:rsid w:val="10AA219D"/>
    <w:rsid w:val="11003CB0"/>
    <w:rsid w:val="1112388E"/>
    <w:rsid w:val="11124E18"/>
    <w:rsid w:val="111445C7"/>
    <w:rsid w:val="1158083A"/>
    <w:rsid w:val="11581E04"/>
    <w:rsid w:val="11CF56F8"/>
    <w:rsid w:val="11F03528"/>
    <w:rsid w:val="12814D69"/>
    <w:rsid w:val="12C31056"/>
    <w:rsid w:val="12C921C4"/>
    <w:rsid w:val="12DA353E"/>
    <w:rsid w:val="13825C11"/>
    <w:rsid w:val="13850DCB"/>
    <w:rsid w:val="13871C70"/>
    <w:rsid w:val="13982333"/>
    <w:rsid w:val="13A71CB4"/>
    <w:rsid w:val="13AF1D43"/>
    <w:rsid w:val="13CE1647"/>
    <w:rsid w:val="14200702"/>
    <w:rsid w:val="144F3F11"/>
    <w:rsid w:val="14EE06E6"/>
    <w:rsid w:val="151627A4"/>
    <w:rsid w:val="1580711B"/>
    <w:rsid w:val="159852FC"/>
    <w:rsid w:val="16105F47"/>
    <w:rsid w:val="16D80EBF"/>
    <w:rsid w:val="171A79F6"/>
    <w:rsid w:val="177E1C99"/>
    <w:rsid w:val="184C57E9"/>
    <w:rsid w:val="189B0D0B"/>
    <w:rsid w:val="18D94306"/>
    <w:rsid w:val="18E03A42"/>
    <w:rsid w:val="18FC210A"/>
    <w:rsid w:val="18FE0E90"/>
    <w:rsid w:val="19057403"/>
    <w:rsid w:val="19313430"/>
    <w:rsid w:val="194A1770"/>
    <w:rsid w:val="197255CC"/>
    <w:rsid w:val="19B906A4"/>
    <w:rsid w:val="19BC4734"/>
    <w:rsid w:val="1A1A4AE0"/>
    <w:rsid w:val="1A1F744B"/>
    <w:rsid w:val="1A3D0518"/>
    <w:rsid w:val="1AB10093"/>
    <w:rsid w:val="1ADB711C"/>
    <w:rsid w:val="1AF60FCB"/>
    <w:rsid w:val="1B501DE7"/>
    <w:rsid w:val="1B657081"/>
    <w:rsid w:val="1B6F15B6"/>
    <w:rsid w:val="1B702E93"/>
    <w:rsid w:val="1BAA2EDC"/>
    <w:rsid w:val="1BC027C5"/>
    <w:rsid w:val="1BE069CA"/>
    <w:rsid w:val="1BE52E52"/>
    <w:rsid w:val="1C561E8C"/>
    <w:rsid w:val="1CE157EE"/>
    <w:rsid w:val="1D014A01"/>
    <w:rsid w:val="1D022362"/>
    <w:rsid w:val="1D091B60"/>
    <w:rsid w:val="1D6D1692"/>
    <w:rsid w:val="1D794AE5"/>
    <w:rsid w:val="1DD26311"/>
    <w:rsid w:val="1DE57DAF"/>
    <w:rsid w:val="1E7C1811"/>
    <w:rsid w:val="1E8E2DB0"/>
    <w:rsid w:val="1EF67CA4"/>
    <w:rsid w:val="1F213FD9"/>
    <w:rsid w:val="1FA92EDD"/>
    <w:rsid w:val="1FB574E7"/>
    <w:rsid w:val="1FCD26AF"/>
    <w:rsid w:val="205C42A5"/>
    <w:rsid w:val="20642787"/>
    <w:rsid w:val="20C83310"/>
    <w:rsid w:val="20EC77A3"/>
    <w:rsid w:val="21556F04"/>
    <w:rsid w:val="216838F8"/>
    <w:rsid w:val="222F7A24"/>
    <w:rsid w:val="22403BD3"/>
    <w:rsid w:val="22796B9E"/>
    <w:rsid w:val="228B233C"/>
    <w:rsid w:val="236B742B"/>
    <w:rsid w:val="23B0469D"/>
    <w:rsid w:val="23E24AEB"/>
    <w:rsid w:val="2441618A"/>
    <w:rsid w:val="24B92327"/>
    <w:rsid w:val="2533755C"/>
    <w:rsid w:val="26396DF4"/>
    <w:rsid w:val="266B763B"/>
    <w:rsid w:val="27031211"/>
    <w:rsid w:val="27167136"/>
    <w:rsid w:val="27B23302"/>
    <w:rsid w:val="27D424D7"/>
    <w:rsid w:val="28412E17"/>
    <w:rsid w:val="284605C9"/>
    <w:rsid w:val="285722C3"/>
    <w:rsid w:val="28DC1FF8"/>
    <w:rsid w:val="29310A5F"/>
    <w:rsid w:val="29C37A35"/>
    <w:rsid w:val="2A076083"/>
    <w:rsid w:val="2A306CA5"/>
    <w:rsid w:val="2A73162E"/>
    <w:rsid w:val="2AFA2E94"/>
    <w:rsid w:val="2B167953"/>
    <w:rsid w:val="2B200583"/>
    <w:rsid w:val="2B8209DE"/>
    <w:rsid w:val="2BCB7E65"/>
    <w:rsid w:val="2BDD3602"/>
    <w:rsid w:val="2C0D5456"/>
    <w:rsid w:val="2C243BDC"/>
    <w:rsid w:val="2C6762A3"/>
    <w:rsid w:val="2CC70108"/>
    <w:rsid w:val="2CFB5FD8"/>
    <w:rsid w:val="2D18338A"/>
    <w:rsid w:val="2D5F4C37"/>
    <w:rsid w:val="2DFF7E04"/>
    <w:rsid w:val="2E8E718E"/>
    <w:rsid w:val="2EB021A6"/>
    <w:rsid w:val="2F1969EC"/>
    <w:rsid w:val="2F6E12E0"/>
    <w:rsid w:val="2F730F72"/>
    <w:rsid w:val="2F784E58"/>
    <w:rsid w:val="2FC7196E"/>
    <w:rsid w:val="2FE029D7"/>
    <w:rsid w:val="2FF06E00"/>
    <w:rsid w:val="315F0B22"/>
    <w:rsid w:val="318E12DA"/>
    <w:rsid w:val="31BE24D6"/>
    <w:rsid w:val="31D84415"/>
    <w:rsid w:val="32285F6F"/>
    <w:rsid w:val="32770556"/>
    <w:rsid w:val="32923106"/>
    <w:rsid w:val="329C0913"/>
    <w:rsid w:val="3337290D"/>
    <w:rsid w:val="336E5F6C"/>
    <w:rsid w:val="34D310B7"/>
    <w:rsid w:val="35006703"/>
    <w:rsid w:val="35121EA0"/>
    <w:rsid w:val="35247BBC"/>
    <w:rsid w:val="352930DB"/>
    <w:rsid w:val="35573069"/>
    <w:rsid w:val="356131A7"/>
    <w:rsid w:val="356E34B4"/>
    <w:rsid w:val="358C217E"/>
    <w:rsid w:val="359E7284"/>
    <w:rsid w:val="359F188C"/>
    <w:rsid w:val="36350CFE"/>
    <w:rsid w:val="36C9128A"/>
    <w:rsid w:val="370757D3"/>
    <w:rsid w:val="37841E99"/>
    <w:rsid w:val="3795413E"/>
    <w:rsid w:val="379C154A"/>
    <w:rsid w:val="379C594F"/>
    <w:rsid w:val="37BF1123"/>
    <w:rsid w:val="37C6490D"/>
    <w:rsid w:val="37C85E36"/>
    <w:rsid w:val="38BC1135"/>
    <w:rsid w:val="38BE4696"/>
    <w:rsid w:val="38E73AEB"/>
    <w:rsid w:val="39532B93"/>
    <w:rsid w:val="39B82A39"/>
    <w:rsid w:val="39D001E5"/>
    <w:rsid w:val="39F33306"/>
    <w:rsid w:val="3A016750"/>
    <w:rsid w:val="3A1379D5"/>
    <w:rsid w:val="3B15087C"/>
    <w:rsid w:val="3B1705E5"/>
    <w:rsid w:val="3B18334B"/>
    <w:rsid w:val="3B36794F"/>
    <w:rsid w:val="3B544954"/>
    <w:rsid w:val="3B793FF0"/>
    <w:rsid w:val="3B97076E"/>
    <w:rsid w:val="3BCF572C"/>
    <w:rsid w:val="3C045017"/>
    <w:rsid w:val="3C5A5928"/>
    <w:rsid w:val="3C6A5B02"/>
    <w:rsid w:val="3C9F0491"/>
    <w:rsid w:val="3D2757A1"/>
    <w:rsid w:val="3D2A7F67"/>
    <w:rsid w:val="3D3D4FC4"/>
    <w:rsid w:val="3D5742AE"/>
    <w:rsid w:val="3DDF3AB1"/>
    <w:rsid w:val="3DE60B7E"/>
    <w:rsid w:val="3E1D0952"/>
    <w:rsid w:val="3E42660A"/>
    <w:rsid w:val="3E7555B1"/>
    <w:rsid w:val="3E764706"/>
    <w:rsid w:val="3EA72472"/>
    <w:rsid w:val="3EB62DEC"/>
    <w:rsid w:val="3EDE1208"/>
    <w:rsid w:val="3F0527E5"/>
    <w:rsid w:val="3F16459E"/>
    <w:rsid w:val="3F4A6687"/>
    <w:rsid w:val="3FDD07D5"/>
    <w:rsid w:val="4004000C"/>
    <w:rsid w:val="40616830"/>
    <w:rsid w:val="411B6CE5"/>
    <w:rsid w:val="412070D7"/>
    <w:rsid w:val="41314E40"/>
    <w:rsid w:val="415C674B"/>
    <w:rsid w:val="418D4C98"/>
    <w:rsid w:val="426C1EA8"/>
    <w:rsid w:val="42E86A87"/>
    <w:rsid w:val="43136432"/>
    <w:rsid w:val="43602615"/>
    <w:rsid w:val="43C3013B"/>
    <w:rsid w:val="443A3B12"/>
    <w:rsid w:val="44487B36"/>
    <w:rsid w:val="44B117D8"/>
    <w:rsid w:val="44D91E82"/>
    <w:rsid w:val="44EF6BE8"/>
    <w:rsid w:val="456F5BF8"/>
    <w:rsid w:val="45A30364"/>
    <w:rsid w:val="463A65C6"/>
    <w:rsid w:val="465B470D"/>
    <w:rsid w:val="469D6AD4"/>
    <w:rsid w:val="46F60EF7"/>
    <w:rsid w:val="47674801"/>
    <w:rsid w:val="47904979"/>
    <w:rsid w:val="48225EF7"/>
    <w:rsid w:val="48226466"/>
    <w:rsid w:val="484F022F"/>
    <w:rsid w:val="48854E86"/>
    <w:rsid w:val="48981928"/>
    <w:rsid w:val="48A36D47"/>
    <w:rsid w:val="495C4A24"/>
    <w:rsid w:val="495F62C2"/>
    <w:rsid w:val="49A21DF3"/>
    <w:rsid w:val="49A76262"/>
    <w:rsid w:val="49C811E4"/>
    <w:rsid w:val="49E32BF1"/>
    <w:rsid w:val="49F53DE3"/>
    <w:rsid w:val="4A216E30"/>
    <w:rsid w:val="4A3A4904"/>
    <w:rsid w:val="4A6B50A6"/>
    <w:rsid w:val="4A8423CD"/>
    <w:rsid w:val="4AF074FE"/>
    <w:rsid w:val="4B7951CB"/>
    <w:rsid w:val="4B7C315C"/>
    <w:rsid w:val="4B9300D7"/>
    <w:rsid w:val="4BAB7F90"/>
    <w:rsid w:val="4BD53EDA"/>
    <w:rsid w:val="4BE11807"/>
    <w:rsid w:val="4C0E7CD6"/>
    <w:rsid w:val="4C484CE5"/>
    <w:rsid w:val="4C7A22E8"/>
    <w:rsid w:val="4CE54262"/>
    <w:rsid w:val="4D4A76DD"/>
    <w:rsid w:val="4D5869F3"/>
    <w:rsid w:val="4D9A2CE0"/>
    <w:rsid w:val="4DAC4ACA"/>
    <w:rsid w:val="4DD06F63"/>
    <w:rsid w:val="4E043596"/>
    <w:rsid w:val="4E092F93"/>
    <w:rsid w:val="4E8812E3"/>
    <w:rsid w:val="4E9B0C57"/>
    <w:rsid w:val="4EA8523F"/>
    <w:rsid w:val="4F186D58"/>
    <w:rsid w:val="4F1E2ADB"/>
    <w:rsid w:val="4F224836"/>
    <w:rsid w:val="51760217"/>
    <w:rsid w:val="51E36677"/>
    <w:rsid w:val="51F01F7D"/>
    <w:rsid w:val="522F6E0C"/>
    <w:rsid w:val="52463BA1"/>
    <w:rsid w:val="529F078E"/>
    <w:rsid w:val="53C0244D"/>
    <w:rsid w:val="53DD4D4E"/>
    <w:rsid w:val="53E578CE"/>
    <w:rsid w:val="53EA10F5"/>
    <w:rsid w:val="541768A0"/>
    <w:rsid w:val="541C548D"/>
    <w:rsid w:val="543B029D"/>
    <w:rsid w:val="544D5C5C"/>
    <w:rsid w:val="54977029"/>
    <w:rsid w:val="54E9135D"/>
    <w:rsid w:val="55481377"/>
    <w:rsid w:val="554E5773"/>
    <w:rsid w:val="555A3CBC"/>
    <w:rsid w:val="55EF4EA6"/>
    <w:rsid w:val="56530F5D"/>
    <w:rsid w:val="566A2753"/>
    <w:rsid w:val="56EE372E"/>
    <w:rsid w:val="571905C7"/>
    <w:rsid w:val="58422359"/>
    <w:rsid w:val="5842572D"/>
    <w:rsid w:val="58C85AB5"/>
    <w:rsid w:val="58E0315C"/>
    <w:rsid w:val="598A28E2"/>
    <w:rsid w:val="5998070C"/>
    <w:rsid w:val="5A7F5187"/>
    <w:rsid w:val="5AB6785F"/>
    <w:rsid w:val="5C1336B7"/>
    <w:rsid w:val="5C263CE4"/>
    <w:rsid w:val="5C5D2777"/>
    <w:rsid w:val="5C722D7F"/>
    <w:rsid w:val="5C7F6C36"/>
    <w:rsid w:val="5D290C69"/>
    <w:rsid w:val="5DA930B5"/>
    <w:rsid w:val="5DC17CC6"/>
    <w:rsid w:val="5EFA176D"/>
    <w:rsid w:val="5F0247F9"/>
    <w:rsid w:val="5F2D4A41"/>
    <w:rsid w:val="600E3824"/>
    <w:rsid w:val="601C34ED"/>
    <w:rsid w:val="607371E5"/>
    <w:rsid w:val="60A511FB"/>
    <w:rsid w:val="61025A59"/>
    <w:rsid w:val="613D5BBC"/>
    <w:rsid w:val="61536C39"/>
    <w:rsid w:val="616D60F9"/>
    <w:rsid w:val="618827A3"/>
    <w:rsid w:val="61F21DEA"/>
    <w:rsid w:val="62944DD7"/>
    <w:rsid w:val="63497036"/>
    <w:rsid w:val="63C1619B"/>
    <w:rsid w:val="63C25DC5"/>
    <w:rsid w:val="63C62057"/>
    <w:rsid w:val="63C73832"/>
    <w:rsid w:val="63F27C87"/>
    <w:rsid w:val="64192A39"/>
    <w:rsid w:val="642826DF"/>
    <w:rsid w:val="645B1C35"/>
    <w:rsid w:val="64FB113D"/>
    <w:rsid w:val="6544377C"/>
    <w:rsid w:val="655F5939"/>
    <w:rsid w:val="656152C6"/>
    <w:rsid w:val="6587477F"/>
    <w:rsid w:val="658C3A08"/>
    <w:rsid w:val="65C031CA"/>
    <w:rsid w:val="65CE6852"/>
    <w:rsid w:val="65F004F9"/>
    <w:rsid w:val="66267C04"/>
    <w:rsid w:val="662B05A3"/>
    <w:rsid w:val="663F505A"/>
    <w:rsid w:val="667F2393"/>
    <w:rsid w:val="66B65C1B"/>
    <w:rsid w:val="66EE5541"/>
    <w:rsid w:val="67086152"/>
    <w:rsid w:val="67364560"/>
    <w:rsid w:val="682A2C53"/>
    <w:rsid w:val="687E45FE"/>
    <w:rsid w:val="68AB31C8"/>
    <w:rsid w:val="68E40DA4"/>
    <w:rsid w:val="692172FD"/>
    <w:rsid w:val="6942479B"/>
    <w:rsid w:val="6A3463CB"/>
    <w:rsid w:val="6A3829EE"/>
    <w:rsid w:val="6A64132A"/>
    <w:rsid w:val="6A924CB7"/>
    <w:rsid w:val="6AE0292E"/>
    <w:rsid w:val="6B007E19"/>
    <w:rsid w:val="6B0E4BB1"/>
    <w:rsid w:val="6B474EF5"/>
    <w:rsid w:val="6BC27679"/>
    <w:rsid w:val="6BC54EFE"/>
    <w:rsid w:val="6C560CAE"/>
    <w:rsid w:val="6CBC13F4"/>
    <w:rsid w:val="6CD15296"/>
    <w:rsid w:val="6D0D7EFA"/>
    <w:rsid w:val="6D903FF5"/>
    <w:rsid w:val="6DA955B8"/>
    <w:rsid w:val="6DB82591"/>
    <w:rsid w:val="6DC72BAB"/>
    <w:rsid w:val="6DE346AB"/>
    <w:rsid w:val="6ED278DC"/>
    <w:rsid w:val="6FD0517F"/>
    <w:rsid w:val="6FFB2E76"/>
    <w:rsid w:val="70AB70D6"/>
    <w:rsid w:val="70CE181E"/>
    <w:rsid w:val="70DE5507"/>
    <w:rsid w:val="71622092"/>
    <w:rsid w:val="71866DCF"/>
    <w:rsid w:val="71C34D91"/>
    <w:rsid w:val="71ED38AA"/>
    <w:rsid w:val="72016718"/>
    <w:rsid w:val="721D27C5"/>
    <w:rsid w:val="722E04E1"/>
    <w:rsid w:val="723F3B65"/>
    <w:rsid w:val="72BA00C5"/>
    <w:rsid w:val="72DB435C"/>
    <w:rsid w:val="73663A61"/>
    <w:rsid w:val="73F4721F"/>
    <w:rsid w:val="74245119"/>
    <w:rsid w:val="74321EB0"/>
    <w:rsid w:val="74A024E4"/>
    <w:rsid w:val="74ED1B1B"/>
    <w:rsid w:val="750837F0"/>
    <w:rsid w:val="75B310A7"/>
    <w:rsid w:val="75E37678"/>
    <w:rsid w:val="762A73EF"/>
    <w:rsid w:val="7631412E"/>
    <w:rsid w:val="764F62AB"/>
    <w:rsid w:val="765C45EC"/>
    <w:rsid w:val="767D3FF3"/>
    <w:rsid w:val="768A7619"/>
    <w:rsid w:val="7714640F"/>
    <w:rsid w:val="77E36DBE"/>
    <w:rsid w:val="77EA362A"/>
    <w:rsid w:val="782D3D3A"/>
    <w:rsid w:val="784E1CF0"/>
    <w:rsid w:val="7875383E"/>
    <w:rsid w:val="796D60A4"/>
    <w:rsid w:val="79A031D5"/>
    <w:rsid w:val="79A52681"/>
    <w:rsid w:val="79AA6729"/>
    <w:rsid w:val="7A1525F7"/>
    <w:rsid w:val="7A3E6CB6"/>
    <w:rsid w:val="7A99799F"/>
    <w:rsid w:val="7B420052"/>
    <w:rsid w:val="7B7D43A1"/>
    <w:rsid w:val="7BD06A28"/>
    <w:rsid w:val="7C1E4CD7"/>
    <w:rsid w:val="7C3A7C0B"/>
    <w:rsid w:val="7C5248E4"/>
    <w:rsid w:val="7C566698"/>
    <w:rsid w:val="7CE56AF6"/>
    <w:rsid w:val="7CF02E5B"/>
    <w:rsid w:val="7D213FB2"/>
    <w:rsid w:val="7D7B196D"/>
    <w:rsid w:val="7E0C345B"/>
    <w:rsid w:val="7EBE327E"/>
    <w:rsid w:val="7FE377DD"/>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customStyle="1" w:styleId="2">
    <w:name w:val="正文（缩进）"/>
    <w:basedOn w:val="1"/>
    <w:qFormat/>
    <w:uiPriority w:val="0"/>
    <w:pPr>
      <w:spacing w:line="594" w:lineRule="exact"/>
      <w:ind w:firstLine="482"/>
    </w:pPr>
    <w:rPr>
      <w:rFonts w:eastAsia="方正仿宋_GBK"/>
      <w:sz w:val="32"/>
    </w:rPr>
  </w:style>
  <w:style w:type="paragraph" w:styleId="3">
    <w:name w:val="Body Text"/>
    <w:basedOn w:val="1"/>
    <w:next w:val="1"/>
    <w:qFormat/>
    <w:uiPriority w:val="0"/>
    <w:pPr>
      <w:widowControl/>
      <w:spacing w:before="100" w:beforeAutospacing="1" w:after="100" w:afterAutospacing="1"/>
      <w:jc w:val="left"/>
    </w:pPr>
    <w:rPr>
      <w:rFonts w:ascii="宋体" w:hAnsi="宋体" w:cs="宋体"/>
      <w:kern w:val="0"/>
      <w:sz w:val="24"/>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7711</Words>
  <Characters>21008</Characters>
  <Lines>161</Lines>
  <Paragraphs>45</Paragraphs>
  <TotalTime>17</TotalTime>
  <ScaleCrop>false</ScaleCrop>
  <LinksUpToDate>false</LinksUpToDate>
  <CharactersWithSpaces>21460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2025-10-23T07:52:52Z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7E14D13A47C2406B8501842407E403F1</vt:lpwstr>
  </property>
</Properties>
</file>