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48D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重庆市铜梁区安溪镇人民政府（本级）</w:t>
      </w:r>
    </w:p>
    <w:p w14:paraId="482204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2F7C21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2C2F68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14:paraId="68D7C91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（一）职能职责</w:t>
      </w:r>
      <w:bookmarkStart w:id="0" w:name="_Toc3001"/>
      <w:bookmarkStart w:id="1" w:name="_Toc22651"/>
    </w:p>
    <w:p w14:paraId="24B242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区委、区政府的领导下，贯彻执行党和国家各项方针、政策、法律、法规；负责辖区内的地区性、群众性、公益性、社会性工作；负责精神文明建设工作，积极组织以提高市民素质为目的的活动，树立文明新风；做好辖区范围内的城市建设和管理、市容环境卫生、园林绿化、环境保护、市政等监督、管理、服务工作；负责辖区内的维护稳定工作及社会治安综合治理工作，依照有关政策规定做好外来人口的管理工作；指导和帮助居（村）民委员会搞好组织建设和制度建设，发挥居（村）民委员会的群众自治作用；配合有关部门做好防汛、防火、防震、抢险和救灾工作。</w:t>
      </w:r>
      <w:bookmarkEnd w:id="0"/>
      <w:bookmarkEnd w:id="1"/>
    </w:p>
    <w:p w14:paraId="635FA1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7321F3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基层治理综合指挥室。统筹负责一体化智治平台运行管理相关工作，承担基层治理指挥中心运行监测、分析研判、协同流转、应急指挥、督查考核等职责，负责综合协调、文件收发、政务公开、后勤管理、机要保密等工作。</w:t>
      </w:r>
    </w:p>
    <w:p w14:paraId="4DCE8E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党的建设办公室。统筹负责党的政治建设、思想建设、组织建设、作风建设、纪律建设、制度建设和反腐败斗争、民主法治、意识形态、精神文明建设、统一战线、民宗侨台、群众团体、人大政协联络等领域工作。</w:t>
      </w:r>
    </w:p>
    <w:p w14:paraId="1B3BB4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3.经济发展办公室。统筹负责经济发展、辖区规划建设、生态环境、农业农村、乡村振兴、财政管理、经济社会统计等领域工作。</w:t>
      </w:r>
    </w:p>
    <w:p w14:paraId="4106E10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4.民生服务办公室。统筹负责民政、教育、文化、卫生健康、体育、劳动就业、残疾人事业、退役军人服务等领域工作，负责落实社会保险、社会救助、社会福利、优抚安置等社会保障政策。</w:t>
      </w:r>
    </w:p>
    <w:p w14:paraId="342A66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5.平安法治办公室。统筹负责平安综治、应急管理、安全生产综合监管、综合执法、信访稳定、防范和处理邪教、人民武装、社会治理等领域工作。</w:t>
      </w:r>
    </w:p>
    <w:p w14:paraId="5F913D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70EF2C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06E86B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度收入总计1726.99万元，支出总计1726.99万元。收、支与2023年度相比，减少504.87万元，下降22.6%，</w:t>
      </w:r>
      <w:r>
        <w:rPr>
          <w:rFonts w:hint="eastAsia" w:ascii="方正仿宋_GBK" w:hAnsi="方正仿宋_GBK" w:eastAsia="方正仿宋_GBK" w:cs="方正仿宋_GBK"/>
          <w:sz w:val="32"/>
          <w:szCs w:val="32"/>
          <w:lang w:val="en-US" w:eastAsia="zh-CN"/>
        </w:rPr>
        <w:t>主要原因是：（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 故本年收入较上年度减少425.59万元；</w:t>
      </w:r>
      <w:r>
        <w:rPr>
          <w:rFonts w:hint="eastAsia" w:ascii="方正仿宋_GBK" w:hAnsi="方正仿宋_GBK" w:eastAsia="方正仿宋_GBK" w:cs="方正仿宋_GBK"/>
          <w:sz w:val="32"/>
          <w:szCs w:val="32"/>
        </w:rPr>
        <w:t>此外，</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使用非财政拨款结余和专用结余</w:t>
      </w:r>
      <w:r>
        <w:rPr>
          <w:rFonts w:hint="eastAsia" w:ascii="方正仿宋_GBK" w:hAnsi="方正仿宋_GBK" w:eastAsia="方正仿宋_GBK" w:cs="方正仿宋_GBK"/>
          <w:sz w:val="32"/>
          <w:szCs w:val="32"/>
          <w:lang w:val="en-US" w:eastAsia="zh-CN"/>
        </w:rPr>
        <w:t>79.28</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5921E15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度收入合计1726.99万元，与2023年度相比，减少425.59万元，下降19.8%，</w:t>
      </w:r>
      <w:r>
        <w:rPr>
          <w:rFonts w:hint="eastAsia" w:ascii="方正仿宋_GBK" w:hAnsi="方正仿宋_GBK" w:eastAsia="方正仿宋_GBK" w:cs="方正仿宋_GBK"/>
          <w:sz w:val="32"/>
          <w:szCs w:val="32"/>
          <w:lang w:val="en-US" w:eastAsia="zh-CN"/>
        </w:rPr>
        <w:t>主要原因是：（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 故本年收入较上年度减少425.59万元。</w:t>
      </w:r>
      <w:r>
        <w:rPr>
          <w:rFonts w:hint="eastAsia" w:ascii="方正仿宋_GBK" w:hAnsi="方正仿宋_GBK" w:eastAsia="方正仿宋_GBK" w:cs="方正仿宋_GBK"/>
          <w:sz w:val="32"/>
          <w:szCs w:val="32"/>
        </w:rPr>
        <w:t>此外，使用非财政拨款结余和专用结余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3D0448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度支出合计1726.99万元，与2023年度相比，减少504.87万元，下降22.6%，</w:t>
      </w:r>
      <w:r>
        <w:rPr>
          <w:rFonts w:hint="eastAsia" w:ascii="方正仿宋_GBK" w:hAnsi="方正仿宋_GBK" w:eastAsia="方正仿宋_GBK" w:cs="方正仿宋_GBK"/>
          <w:sz w:val="32"/>
          <w:szCs w:val="32"/>
          <w:lang w:val="en-US" w:eastAsia="zh-CN"/>
        </w:rPr>
        <w:t>主要原因是：（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故本年收入较上年度减少425.59万元。</w:t>
      </w:r>
      <w:r>
        <w:rPr>
          <w:rFonts w:hint="eastAsia" w:ascii="方正仿宋_GBK" w:hAnsi="方正仿宋_GBK" w:eastAsia="方正仿宋_GBK" w:cs="方正仿宋_GBK"/>
          <w:sz w:val="32"/>
          <w:szCs w:val="32"/>
        </w:rPr>
        <w:t>此外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使用非财政拨款结余和专用结余</w:t>
      </w:r>
      <w:r>
        <w:rPr>
          <w:rFonts w:hint="eastAsia" w:ascii="方正仿宋_GBK" w:hAnsi="方正仿宋_GBK" w:eastAsia="方正仿宋_GBK" w:cs="方正仿宋_GBK"/>
          <w:sz w:val="32"/>
          <w:szCs w:val="32"/>
          <w:lang w:val="en-US" w:eastAsia="zh-CN"/>
        </w:rPr>
        <w:t>79.28</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37C165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万元，与2023年度相比，减</w:t>
      </w:r>
      <w:r>
        <w:rPr>
          <w:rFonts w:hint="eastAsia" w:ascii="方正仿宋_GBK" w:hAnsi="方正仿宋_GBK" w:eastAsia="方正仿宋_GBK" w:cs="方正仿宋_GBK"/>
          <w:sz w:val="32"/>
          <w:szCs w:val="32"/>
          <w:lang w:eastAsia="zh-CN"/>
        </w:rPr>
        <w:t>少</w:t>
      </w:r>
      <w:r>
        <w:rPr>
          <w:rFonts w:hint="eastAsia" w:ascii="方正仿宋_GBK" w:hAnsi="方正仿宋_GBK" w:eastAsia="方正仿宋_GBK" w:cs="方正仿宋_GBK"/>
          <w:sz w:val="32"/>
          <w:szCs w:val="32"/>
          <w:lang w:val="en-US" w:eastAsia="zh-CN"/>
        </w:rPr>
        <w:t>79.28万元</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2023年使用以前年度结转结余79.28万元，无结转。</w:t>
      </w:r>
    </w:p>
    <w:p w14:paraId="6A6D9E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0AFFEA8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度财政拨款收、支总计1726.99万元。与202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年相比，财政拨款收、支总计各减少504.87万元，下降22.6%。</w:t>
      </w:r>
      <w:r>
        <w:rPr>
          <w:rFonts w:hint="eastAsia" w:ascii="方正仿宋_GBK" w:hAnsi="方正仿宋_GBK" w:eastAsia="方正仿宋_GBK" w:cs="方正仿宋_GBK"/>
          <w:sz w:val="32"/>
          <w:szCs w:val="32"/>
          <w:lang w:val="en-US" w:eastAsia="zh-CN"/>
        </w:rPr>
        <w:t>主要原因是：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乡村振兴试点建设项目增加了228.13万元。 故本年收入较上年度减少425.59万元。</w:t>
      </w:r>
      <w:r>
        <w:rPr>
          <w:rFonts w:hint="eastAsia" w:ascii="方正仿宋_GBK" w:hAnsi="方正仿宋_GBK" w:eastAsia="方正仿宋_GBK" w:cs="方正仿宋_GBK"/>
          <w:sz w:val="32"/>
          <w:szCs w:val="32"/>
        </w:rPr>
        <w:t>此外，</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使用非财政拨款结余和专用结余</w:t>
      </w:r>
      <w:r>
        <w:rPr>
          <w:rFonts w:hint="eastAsia" w:ascii="方正仿宋_GBK" w:hAnsi="方正仿宋_GBK" w:eastAsia="方正仿宋_GBK" w:cs="方正仿宋_GBK"/>
          <w:sz w:val="32"/>
          <w:szCs w:val="32"/>
          <w:lang w:val="en-US" w:eastAsia="zh-CN"/>
        </w:rPr>
        <w:t>79.28</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287541A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78BD56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度一般公共预算财政拨款收入1471.78万元，与2023年度相比，减少653.72万元，下降30.8%。主要原因是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w:t>
      </w:r>
      <w:r>
        <w:rPr>
          <w:rFonts w:hint="eastAsia" w:ascii="方正仿宋_GBK" w:hAnsi="方正仿宋_GBK" w:eastAsia="方正仿宋_GBK" w:cs="方正仿宋_GBK"/>
          <w:sz w:val="32"/>
          <w:szCs w:val="32"/>
        </w:rPr>
        <w:t>此外，年初财政拨款结转和结余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6EB86C1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度一般公共预算财政拨款支出1471.78万元，与2023年度相比，减少683.25万元，下降31.7%。主要原因是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w:t>
      </w:r>
    </w:p>
    <w:p w14:paraId="130D52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万元，与2023年度相比，减</w:t>
      </w:r>
      <w:r>
        <w:rPr>
          <w:rFonts w:hint="eastAsia" w:ascii="方正仿宋_GBK" w:hAnsi="方正仿宋_GBK" w:eastAsia="方正仿宋_GBK" w:cs="方正仿宋_GBK"/>
          <w:sz w:val="32"/>
          <w:szCs w:val="32"/>
          <w:lang w:eastAsia="zh-CN"/>
        </w:rPr>
        <w:t>少</w:t>
      </w:r>
      <w:r>
        <w:rPr>
          <w:rFonts w:hint="eastAsia" w:ascii="方正仿宋_GBK" w:hAnsi="方正仿宋_GBK" w:eastAsia="方正仿宋_GBK" w:cs="方正仿宋_GBK"/>
          <w:sz w:val="32"/>
          <w:szCs w:val="32"/>
          <w:lang w:val="en-US" w:eastAsia="zh-CN"/>
        </w:rPr>
        <w:t>79.28万元</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2023年使用以前年度结转结余79.28万元，无结转。</w:t>
      </w:r>
    </w:p>
    <w:p w14:paraId="47C8B0D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14:paraId="4A30C9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（1）一般公共服务支出568.35万元，占38.62%，较年初预算数增加125.18万元，增长28.3%，主要原因是</w:t>
      </w:r>
      <w:r>
        <w:rPr>
          <w:rFonts w:hint="eastAsia" w:ascii="方正仿宋_GBK" w:hAnsi="方正仿宋_GBK" w:eastAsia="方正仿宋_GBK" w:cs="方正仿宋_GBK"/>
          <w:sz w:val="32"/>
          <w:szCs w:val="32"/>
          <w:lang w:eastAsia="zh-CN"/>
        </w:rPr>
        <w:t>：主要原因是人员变动。人员经费用途主要包括人员经费用途主要包括保障安溪镇在职人员工资福利及社会保险缴费，离休人员离休费，退休人员补助等，保障部门正常运转的各项商品服务支出。</w:t>
      </w:r>
    </w:p>
    <w:p w14:paraId="07B5BB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）国防支出1.98万元，占0.13%，较年初预算数减少0.02万元，下降1.0%，主要原因是</w:t>
      </w:r>
      <w:r>
        <w:rPr>
          <w:rFonts w:hint="eastAsia" w:ascii="方正仿宋_GBK" w:hAnsi="方正仿宋_GBK" w:eastAsia="方正仿宋_GBK" w:cs="方正仿宋_GBK"/>
          <w:sz w:val="32"/>
          <w:szCs w:val="32"/>
          <w:lang w:val="en-US" w:eastAsia="zh-CN"/>
        </w:rPr>
        <w:t>2024年度区财政局为优先保障“三保”等重点支出，对我单位部分非紧急、非刚性的项目支出进行了暂缓支出。</w:t>
      </w:r>
    </w:p>
    <w:p w14:paraId="26F42F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）社会保障与就业支出115.23万元，占7.83%，较年初预算数增加6.69万元</w:t>
      </w:r>
      <w:r>
        <w:rPr>
          <w:rFonts w:hint="eastAsia" w:ascii="方正仿宋_GBK" w:hAnsi="方正仿宋_GBK" w:eastAsia="方正仿宋_GBK" w:cs="方正仿宋_GBK"/>
          <w:sz w:val="32"/>
          <w:szCs w:val="32"/>
          <w:lang w:val="en-US" w:eastAsia="zh-CN"/>
        </w:rPr>
        <w:t>，增长6.2%，主要原因是2024年度编制预算时未将临时救助项目纳入预算。最终形成2024年度社会保障与就业决算支出较年初预算增加6.69万元。</w:t>
      </w:r>
    </w:p>
    <w:p w14:paraId="5C0713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）卫生健康支出22.83万元，占1.55%，较年初预算数减少12.10万元，下降34.6%，</w:t>
      </w:r>
      <w:r>
        <w:rPr>
          <w:rFonts w:hint="eastAsia" w:ascii="方正仿宋_GBK" w:hAnsi="方正仿宋_GBK" w:eastAsia="方正仿宋_GBK" w:cs="方正仿宋_GBK"/>
          <w:sz w:val="32"/>
          <w:szCs w:val="32"/>
          <w:lang w:val="en-US" w:eastAsia="zh-CN"/>
        </w:rPr>
        <w:t>主要原因是2024年度区财政局为优先保障“三保”等重点支出，对我单位部分非紧急、非刚性的项目支出进行了暂缓支出，我单位涉及退休公务员医疗补助缴费、在职公务员医疗补助缴费等预算资金共计12.1万元未能全额拨付，最终形成2024年度决算支出低于年初预算。</w:t>
      </w:r>
    </w:p>
    <w:p w14:paraId="16BC852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）节能环保支出35.21万元，占2.39%，较年初预算数减少39.04万元，下降52.6%</w:t>
      </w:r>
      <w:r>
        <w:rPr>
          <w:rFonts w:hint="eastAsia" w:ascii="方正仿宋_GBK" w:hAnsi="方正仿宋_GBK" w:eastAsia="方正仿宋_GBK" w:cs="方正仿宋_GBK"/>
          <w:sz w:val="32"/>
          <w:szCs w:val="32"/>
          <w:lang w:val="en-US" w:eastAsia="zh-CN"/>
        </w:rPr>
        <w:t>，主要原因是2024年度区财政局为优先保障“三保”等重点支出，对我单位部分非紧急、非刚性的项目支出进行了暂缓支出，我单位涉及河长制、农村保洁及垃圾清运等预算资金共计35.21万元未能全额拨付，最终形成2024年度决算支出低于年初预算。</w:t>
      </w:r>
    </w:p>
    <w:p w14:paraId="374E56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）城乡社区支出21.85万元，占1.48%，较年初预算数减少34.15万元，下降61.0%，</w:t>
      </w:r>
      <w:r>
        <w:rPr>
          <w:rFonts w:hint="eastAsia" w:ascii="方正仿宋_GBK" w:hAnsi="方正仿宋_GBK" w:eastAsia="方正仿宋_GBK" w:cs="方正仿宋_GBK"/>
          <w:sz w:val="32"/>
          <w:szCs w:val="32"/>
          <w:lang w:val="en-US" w:eastAsia="zh-CN"/>
        </w:rPr>
        <w:t>主要原因是：1.2024年度区财政局为优先保障“三保”等重点支出，对我单位部分非紧急、非刚性的项目支出进行了暂缓支出，我单位涉及市政维护经费项目预算资金共计20万元未能全额拨付，2.按财政局要求将市政环卫经费14.15万元由城乡社区支出调整至节能环保支出，最终形成2024年度决算支出低于年初预算。</w:t>
      </w:r>
    </w:p>
    <w:p w14:paraId="2C83B7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）农林水支出294.51万元，占20.01%，较年初预算数减少48.20万元，下降14.1%，</w:t>
      </w:r>
      <w:r>
        <w:rPr>
          <w:rFonts w:hint="eastAsia" w:ascii="方正仿宋_GBK" w:hAnsi="方正仿宋_GBK" w:eastAsia="方正仿宋_GBK" w:cs="方正仿宋_GBK"/>
          <w:sz w:val="32"/>
          <w:szCs w:val="32"/>
          <w:lang w:val="en-US" w:eastAsia="zh-CN"/>
        </w:rPr>
        <w:t>主要原因是2024年度区财政局为优先保障“三保”等重点支出，对我单位部分非紧急、非刚性的项目支出进行了暂缓支出，涉及村（社区）办公经费、服务群众经费项目预算资金未能全额拨付。最终形成2024年度决算支出低于年初预算。</w:t>
      </w:r>
    </w:p>
    <w:p w14:paraId="5C4D1D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）交通运输支出80.63万元，占5.48%，较年初预算数增加43.23万元，增长115.6%，主要原因是</w:t>
      </w:r>
      <w:r>
        <w:rPr>
          <w:rFonts w:hint="eastAsia" w:ascii="方正仿宋_GBK" w:hAnsi="方正仿宋_GBK" w:eastAsia="方正仿宋_GBK" w:cs="方正仿宋_GBK"/>
          <w:sz w:val="32"/>
          <w:szCs w:val="32"/>
          <w:lang w:val="en-US" w:eastAsia="zh-CN"/>
        </w:rPr>
        <w:t>2024年度拨付泥结石路、四好农村路等项目共计145.3万元。</w:t>
      </w:r>
    </w:p>
    <w:p w14:paraId="4223B8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）资源勘探信息等支出234.96万元，占15.96%，较年初预算数增加234.96万元，增长100.0%，主要原因是</w:t>
      </w:r>
      <w:r>
        <w:rPr>
          <w:rFonts w:hint="eastAsia" w:ascii="方正仿宋_GBK" w:hAnsi="方正仿宋_GBK" w:eastAsia="方正仿宋_GBK" w:cs="方正仿宋_GBK"/>
          <w:sz w:val="32"/>
          <w:szCs w:val="32"/>
          <w:lang w:val="en-US" w:eastAsia="zh-CN"/>
        </w:rPr>
        <w:t>为妥善解决历史遗留问题，向上级部门请示后拨付资金。涉及文件：1.铜经信文〔2024〕3号；2.安溪府文铜经信文〔2023〕11号；3.重庆市铜梁区第十八届人民政府第27次区长办公会议纪要（摘录）（摘自铜府纪要〔2024〕10号）。</w:t>
      </w:r>
    </w:p>
    <w:p w14:paraId="434B14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）住房保障支出30.83万元，占2.09%，较年初预算数无增减，</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lang w:eastAsia="zh-CN"/>
        </w:rPr>
        <w:t>严格按照预算执行</w:t>
      </w:r>
      <w:r>
        <w:rPr>
          <w:rFonts w:hint="eastAsia" w:ascii="方正仿宋_GBK" w:hAnsi="方正仿宋_GBK" w:eastAsia="方正仿宋_GBK" w:cs="方正仿宋_GBK"/>
          <w:sz w:val="32"/>
          <w:szCs w:val="32"/>
          <w:lang w:val="en-US" w:eastAsia="zh-CN"/>
        </w:rPr>
        <w:t>。</w:t>
      </w:r>
    </w:p>
    <w:p w14:paraId="2B465A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）灾害防治及应急管理支出65.40万元，占4.44%，较年初预算数增加46.00万元，增长237.1%，</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rPr>
        <w:t>年中上级新下达抗旱防汛专项资金</w:t>
      </w:r>
      <w:r>
        <w:rPr>
          <w:rFonts w:hint="eastAsia" w:ascii="方正仿宋_GBK" w:hAnsi="方正仿宋_GBK" w:eastAsia="方正仿宋_GBK" w:cs="方正仿宋_GBK"/>
          <w:sz w:val="32"/>
          <w:szCs w:val="32"/>
          <w:lang w:val="en-US" w:eastAsia="zh-CN"/>
        </w:rPr>
        <w:t>46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p>
    <w:p w14:paraId="40EB98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00E2E5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度一般公共财政拨款基本支出576.66万元。其中：人员经费444.65万元，与2023年度相比，减少513.73万元，下降53.6%，主要原因是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按照财政局要求将原统计在机关本级的事业单位分为7个账套单独核算，故较上年度减少事业单位人员经费相关支出共计516.12万元；2.财政资金紧张，部分预算资金未能全部支出，3.2024年事业单位退休1人，新招录1人，2022年终超额绩效在2024年初发放。故本年支出较上年度减少513.73万元。</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val="en-US" w:eastAsia="zh-CN"/>
        </w:rPr>
        <w:t>基本工资、津贴补贴、奖金、社会保障缴费、住房公积金等</w:t>
      </w:r>
      <w:r>
        <w:rPr>
          <w:rFonts w:hint="eastAsia" w:ascii="方正仿宋_GBK" w:hAnsi="方正仿宋_GBK" w:eastAsia="方正仿宋_GBK" w:cs="方正仿宋_GBK"/>
          <w:sz w:val="32"/>
          <w:szCs w:val="32"/>
        </w:rPr>
        <w:t>。公用经费132.01万元，与2023年度相比，减少186.27万元，下降58.5%，主要原因是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按照财政局要求将原统计在机关本级的事业单位分为7个账套单独核算，故较上年度减少事业单位公用经费相关支出共计58.89万元；2.财政资金紧张，部分预算资金未能全部支出，故本年支出较上年度减少186.27万元</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val="en-US" w:eastAsia="zh-CN"/>
        </w:rPr>
        <w:t>公用经费用途主要包括办公费、水费、电费、邮电费、差旅费、维修（护）费等。</w:t>
      </w:r>
    </w:p>
    <w:p w14:paraId="0E624B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5270FC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万元，年末结转结余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万元。本年收入255.21万元，与2023年度相比，增加228.13万元，增长842.4%，主要原因是</w:t>
      </w:r>
      <w:r>
        <w:rPr>
          <w:rFonts w:hint="eastAsia" w:ascii="方正仿宋_GBK" w:hAnsi="方正仿宋_GBK" w:eastAsia="方正仿宋_GBK" w:cs="方正仿宋_GBK"/>
          <w:sz w:val="32"/>
          <w:szCs w:val="32"/>
          <w:lang w:val="en-US" w:eastAsia="zh-CN"/>
        </w:rPr>
        <w:t>渝财债〔2021〕39号，铜委农办〔2022〕4号，“5+2”乡村振兴试点建设项目增加了228.13万元</w:t>
      </w:r>
      <w:r>
        <w:rPr>
          <w:rFonts w:hint="eastAsia" w:ascii="方正仿宋_GBK" w:hAnsi="方正仿宋_GBK" w:eastAsia="方正仿宋_GBK" w:cs="方正仿宋_GBK"/>
          <w:sz w:val="32"/>
          <w:szCs w:val="32"/>
        </w:rPr>
        <w:t>。本年支出255.21万元，与2023年度相比，增加178.38万元，增长232.2%，主要原因是</w:t>
      </w:r>
      <w:r>
        <w:rPr>
          <w:rFonts w:hint="eastAsia" w:ascii="方正仿宋_GBK" w:hAnsi="方正仿宋_GBK" w:eastAsia="方正仿宋_GBK" w:cs="方正仿宋_GBK"/>
          <w:sz w:val="32"/>
          <w:szCs w:val="32"/>
          <w:lang w:val="en-US" w:eastAsia="zh-CN"/>
        </w:rPr>
        <w:t>渝财债〔2021〕39号，铜委农办〔2022〕4号，“5+2”乡村振兴试点建设项目增加了228.13万元。</w:t>
      </w:r>
    </w:p>
    <w:p w14:paraId="47A5CE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5523E4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本单位2024年度无国有资本经营预算财政拨款支出。</w:t>
      </w:r>
    </w:p>
    <w:p w14:paraId="4A9B7F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14:paraId="0FEF99E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14:paraId="3DDACC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度“三公”经费支出共计14.70万元，较年初预算数无增减，</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lang w:eastAsia="zh-CN"/>
        </w:rPr>
        <w:t>严格按照预算执行。</w:t>
      </w:r>
      <w:r>
        <w:rPr>
          <w:rFonts w:hint="eastAsia" w:ascii="方正仿宋_GBK" w:hAnsi="方正仿宋_GBK" w:eastAsia="方正仿宋_GBK" w:cs="方正仿宋_GBK"/>
          <w:sz w:val="32"/>
          <w:szCs w:val="32"/>
        </w:rPr>
        <w:t>较上年支出数减少1.50万元，下降9.3%，主要原因是</w:t>
      </w:r>
      <w:r>
        <w:rPr>
          <w:rFonts w:hint="eastAsia" w:ascii="方正仿宋_GBK" w:hAnsi="方正仿宋_GBK" w:eastAsia="方正仿宋_GBK" w:cs="方正仿宋_GBK"/>
          <w:sz w:val="32"/>
          <w:szCs w:val="32"/>
          <w:lang w:val="en-US" w:eastAsia="zh-CN"/>
        </w:rPr>
        <w:t>年初预算按照上级部门要求缩减“三公”经费支出。</w:t>
      </w:r>
    </w:p>
    <w:p w14:paraId="6433DE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75C28D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2024年度本单位因公出国（境）费用0万元，费用支出较年初预算数增加0万元，增长0.0%。较上年支出数增加0万元，增长0.0%。2024年度我单位无因公出国（境）支出，与上年度决算数持平。</w:t>
      </w:r>
    </w:p>
    <w:p w14:paraId="6D81501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公务用车购置费0万元，费用支出较年初预算数增加0万元，增长0.0%。较上年支出数增加0万元，增长0.0%。本单位2024年度未发生公务用车购置费，与上年度决算数持平。</w:t>
      </w:r>
    </w:p>
    <w:p w14:paraId="245D070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公务车运行维护费14.70万元，主要用于</w:t>
      </w:r>
      <w:r>
        <w:rPr>
          <w:rFonts w:hint="eastAsia" w:ascii="方正仿宋_GBK" w:hAnsi="方正仿宋_GBK" w:eastAsia="方正仿宋_GBK" w:cs="方正仿宋_GBK"/>
          <w:sz w:val="32"/>
          <w:szCs w:val="32"/>
          <w:lang w:eastAsia="zh-CN"/>
        </w:rPr>
        <w:t>公务用车</w:t>
      </w:r>
      <w:r>
        <w:rPr>
          <w:rFonts w:hint="eastAsia" w:ascii="方正仿宋_GBK" w:hAnsi="方正仿宋_GBK" w:eastAsia="方正仿宋_GBK" w:cs="方正仿宋_GBK"/>
          <w:sz w:val="32"/>
          <w:szCs w:val="32"/>
        </w:rPr>
        <w:t>燃料费、维修费、路桥费、保险费等。费用支出较年初预算数无增减，</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lang w:eastAsia="zh-CN"/>
        </w:rPr>
        <w:t>严格按照预算执行</w:t>
      </w:r>
      <w:r>
        <w:rPr>
          <w:rFonts w:hint="eastAsia" w:ascii="方正仿宋_GBK" w:hAnsi="方正仿宋_GBK" w:eastAsia="方正仿宋_GBK" w:cs="方正仿宋_GBK"/>
          <w:sz w:val="32"/>
          <w:szCs w:val="32"/>
        </w:rPr>
        <w:t>。较上年支出数减少1.50万元，下降9.3%，主要原因是</w:t>
      </w:r>
      <w:r>
        <w:rPr>
          <w:rFonts w:hint="eastAsia" w:ascii="方正仿宋_GBK" w:hAnsi="方正仿宋_GBK" w:eastAsia="方正仿宋_GBK" w:cs="方正仿宋_GBK"/>
          <w:sz w:val="32"/>
          <w:szCs w:val="32"/>
          <w:lang w:val="en-US" w:eastAsia="zh-CN"/>
        </w:rPr>
        <w:t>年初预算按照上级部门要求缩减“三公”经费支出。</w:t>
      </w:r>
    </w:p>
    <w:p w14:paraId="3BE68A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公务接待费0万元，费用支出较年初预算数增加0万元，增长0.0%，较上年支出数增加0万元，增长0.0%，本单位202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年度未发生公务接待费，与上年度决算数持平。</w:t>
      </w:r>
    </w:p>
    <w:p w14:paraId="7214DD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64A145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度本单位因公出国（境）共计0个团组，0人；公务用车购置0辆，公务车保有量为3辆；国内公务接待0批次0人，其中：国内外事接待0批次，0人；国（境）外公务接待0批次，0人。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本单位人均接待费0元，车均购置费0万元，车均维护费4.90万元。</w:t>
      </w:r>
    </w:p>
    <w:p w14:paraId="3935228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四、其他需要说明的事项</w:t>
      </w:r>
    </w:p>
    <w:p w14:paraId="32FEF6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（一）财政拨款会议费和培训费情况说明</w:t>
      </w:r>
    </w:p>
    <w:p w14:paraId="581996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本年度会议费支出4.81万元，与2023年度相比，减少7.22万元，下降60.0%，主要原因是</w:t>
      </w:r>
      <w:r>
        <w:rPr>
          <w:rFonts w:hint="eastAsia" w:ascii="方正仿宋_GBK" w:hAnsi="方正仿宋_GBK" w:eastAsia="方正仿宋_GBK" w:cs="方正仿宋_GBK"/>
          <w:sz w:val="32"/>
          <w:szCs w:val="32"/>
          <w:lang w:val="en-US" w:eastAsia="zh-CN"/>
        </w:rPr>
        <w:t>2024年由于财政资金紧张，部分人大会议补助资金未下达，通过往来资金拨付部分会议补助，故较2023年度减少7.22万元。</w:t>
      </w:r>
      <w:r>
        <w:rPr>
          <w:rFonts w:hint="eastAsia" w:ascii="方正仿宋_GBK" w:hAnsi="方正仿宋_GBK" w:eastAsia="方正仿宋_GBK" w:cs="方正仿宋_GBK"/>
          <w:sz w:val="32"/>
          <w:szCs w:val="32"/>
        </w:rPr>
        <w:t>本年度培训费支出3.38万元，与2023年度相比，减少4.95万元，下降59.4%，</w:t>
      </w:r>
      <w:r>
        <w:rPr>
          <w:rFonts w:hint="eastAsia" w:ascii="方正仿宋_GBK" w:hAnsi="方正仿宋_GBK" w:eastAsia="方正仿宋_GBK" w:cs="方正仿宋_GBK"/>
          <w:sz w:val="32"/>
          <w:szCs w:val="32"/>
          <w:lang w:val="en-US" w:eastAsia="zh-CN"/>
        </w:rPr>
        <w:t>2024年度领导、同事跨省学习次数较2023年度有所减少，故培训费开支较2023年度减少4.95万元。</w:t>
      </w:r>
    </w:p>
    <w:p w14:paraId="1428FA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430B5A0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度本单位机关运行经费支出132.01万元，机关运行经费主要用于开支办公费、印刷费、手续费、水费、电费、邮电费、差旅费、维修（护）费。机关运行经费较上年支出数减少72.50万元，下降35.5%，主要原因是</w:t>
      </w:r>
      <w:r>
        <w:rPr>
          <w:rFonts w:hint="eastAsia" w:ascii="方正仿宋_GBK" w:hAnsi="方正仿宋_GBK" w:eastAsia="方正仿宋_GBK" w:cs="方正仿宋_GBK"/>
          <w:sz w:val="32"/>
          <w:szCs w:val="32"/>
          <w:lang w:val="en-US" w:eastAsia="zh-CN"/>
        </w:rPr>
        <w:t>2024年按照财政局要求将原统计在机关本级的事业单位划分为7个账套单独核算，较2023年度减少事业单位公用经费支出，故较2023年度减少72.5万元。</w:t>
      </w:r>
    </w:p>
    <w:p w14:paraId="7D42FAC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2AE62F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单位共有车辆3辆，其中，副部（省）级及以上领导用车0辆、主要负责人用车0辆、机要通信用车0辆、应急保障用车3辆、执法执勤用车0辆，特种专业技术用车0辆，离退休干部用车0辆。单价100万元（含）以上专用设备0台（套）。</w:t>
      </w:r>
    </w:p>
    <w:p w14:paraId="41101E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1A3497B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度本单位政府采购支出总额1.80万元，其中：政府采购货物支出1.80万元、政府采购工程支出</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万元、政府采购服务支出</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万元。授予中小企业合同金额1.80万元，占政府采购支出总额的10</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%，其中：授予小微企业合同金额1.80万元，占政府采购支出总额的10</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 xml:space="preserve"> %。主要用于采购</w:t>
      </w:r>
      <w:r>
        <w:rPr>
          <w:rFonts w:hint="eastAsia" w:ascii="方正仿宋_GBK" w:hAnsi="方正仿宋_GBK" w:eastAsia="方正仿宋_GBK" w:cs="方正仿宋_GBK"/>
          <w:sz w:val="32"/>
          <w:szCs w:val="32"/>
          <w:lang w:eastAsia="zh-CN"/>
        </w:rPr>
        <w:t>机关办公电脑、空调等资产</w:t>
      </w:r>
      <w:r>
        <w:rPr>
          <w:rFonts w:hint="eastAsia" w:ascii="方正仿宋_GBK" w:hAnsi="方正仿宋_GBK" w:eastAsia="方正仿宋_GBK" w:cs="方正仿宋_GBK"/>
          <w:sz w:val="32"/>
          <w:szCs w:val="32"/>
        </w:rPr>
        <w:t>。</w:t>
      </w:r>
    </w:p>
    <w:p w14:paraId="6E91D2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14:paraId="151E30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1959BBC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个项目开展了绩效自评，其中，以填报自评表形式开展自评</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1150.33</w:t>
      </w:r>
      <w:r>
        <w:rPr>
          <w:rFonts w:hint="eastAsia" w:ascii="方正仿宋_GBK" w:hAnsi="方正仿宋_GBK" w:eastAsia="方正仿宋_GBK" w:cs="方正仿宋_GBK"/>
          <w:sz w:val="32"/>
          <w:szCs w:val="32"/>
        </w:rPr>
        <w:t>万元。从自评结果来看，项目立项较为规范、绩效目标明确、预算编制合理，项目实施的总体情况较好，基本完成年初设立的绩效目标。</w:t>
      </w:r>
    </w:p>
    <w:p w14:paraId="2BF927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14:paraId="38092D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1.项目绩效自评表。</w:t>
      </w:r>
    </w:p>
    <w:p w14:paraId="76263F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详见附件重庆市铜梁区安溪镇人民政府（本级）2024年度项目绩效自评表。其中，安全维稳项目依上级要求不予公开。</w:t>
      </w:r>
    </w:p>
    <w:p w14:paraId="7DA8C0E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2.项目绩效自评报告或案例。</w:t>
      </w:r>
    </w:p>
    <w:p w14:paraId="093802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我单位未委托第三方开展绩效评价。</w:t>
      </w:r>
    </w:p>
    <w:p w14:paraId="1D4003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14:paraId="68A72B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项目进行绩效自评，其中</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14:paraId="60DD4B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（三）财政重点绩效评价情况 </w:t>
      </w:r>
    </w:p>
    <w:p w14:paraId="5EE2767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我单位无财政重点绩效评价项目。</w:t>
      </w:r>
    </w:p>
    <w:p w14:paraId="19A765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六、专业名词解释</w:t>
      </w:r>
    </w:p>
    <w:p w14:paraId="1A65A9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14:paraId="116890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14:paraId="54BC7DA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14:paraId="112D90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4407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14:paraId="564C942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14:paraId="3BC506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14:paraId="3F3C58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14:paraId="7DB68F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ED3EB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14:paraId="03AFA8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14:paraId="09D6E2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42465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224A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14:paraId="4DF1BA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14:paraId="2B510C3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14:paraId="4C9748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23C788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14:paraId="311F109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本单位决算公开信息反馈和联系方式：</w:t>
      </w:r>
      <w:r>
        <w:rPr>
          <w:rFonts w:hint="eastAsia" w:ascii="方正仿宋_GBK" w:hAnsi="方正仿宋_GBK" w:eastAsia="方正仿宋_GBK" w:cs="方正仿宋_GBK"/>
          <w:sz w:val="32"/>
          <w:szCs w:val="32"/>
          <w:lang w:eastAsia="zh-CN"/>
        </w:rPr>
        <w:t>梁静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023-</w:t>
      </w:r>
      <w:r>
        <w:rPr>
          <w:rFonts w:hint="eastAsia" w:ascii="方正仿宋_GBK" w:hAnsi="方正仿宋_GBK" w:eastAsia="方正仿宋_GBK" w:cs="方正仿宋_GBK"/>
          <w:sz w:val="32"/>
          <w:szCs w:val="32"/>
          <w:lang w:val="en-US" w:eastAsia="zh-CN"/>
        </w:rPr>
        <w:t>45393101。</w:t>
      </w:r>
      <w:bookmarkStart w:id="2" w:name="_GoBack"/>
      <w:bookmarkEnd w:id="2"/>
    </w:p>
    <w:sectPr>
      <w:headerReference r:id="rId3" w:type="default"/>
      <w:footerReference r:id="rId4" w:type="default"/>
      <w:pgSz w:w="11850" w:h="16783"/>
      <w:pgMar w:top="2098" w:right="1474" w:bottom="1984" w:left="158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C677">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-266700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9525AD">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CjmKK6MwIAAGc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SZn8DUAAAACAEAAA8AAAAAAAAAAQAgAAAAIgAAAGRycy9kb3ducmV2LnhtbFBL&#10;AQIUABQAAAAIAIdO4kCjmKK6MwIAAGcEAAAOAAAAAAAAAAEAIAAAACMBAABkcnMvZTJvRG9jLnht&#10;bFBLBQYAAAAABgAGAFkBAADIBQAAAAA=&#10;">
              <v:fill on="f" focussize="0,0"/>
              <v:stroke on="f" weight="0.5pt"/>
              <v:imagedata o:title=""/>
              <o:lock v:ext="edit" aspectratio="f"/>
              <v:textbox inset="0mm,0mm,0mm,0mm" style="mso-fit-shape-to-text:t;">
                <w:txbxContent>
                  <w:p w14:paraId="1F9525AD">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55276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55276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E73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D65E5B"/>
    <w:rsid w:val="06A2550B"/>
    <w:rsid w:val="06F80EE2"/>
    <w:rsid w:val="07001CCA"/>
    <w:rsid w:val="073023D7"/>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9A5D0D"/>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14173D"/>
    <w:rsid w:val="20642787"/>
    <w:rsid w:val="21111D25"/>
    <w:rsid w:val="21556F04"/>
    <w:rsid w:val="21945EDE"/>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0B3373"/>
    <w:rsid w:val="3E1D0952"/>
    <w:rsid w:val="3E247234"/>
    <w:rsid w:val="3E42660A"/>
    <w:rsid w:val="3E7555B1"/>
    <w:rsid w:val="3EB41A2F"/>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0707DB"/>
    <w:rsid w:val="5842572D"/>
    <w:rsid w:val="5AE75037"/>
    <w:rsid w:val="5B58571C"/>
    <w:rsid w:val="5B8376C2"/>
    <w:rsid w:val="5B96133A"/>
    <w:rsid w:val="5C1336B7"/>
    <w:rsid w:val="5C263CE4"/>
    <w:rsid w:val="5C287719"/>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57E0BEF"/>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4B2B7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hint="default" w:ascii="Arial" w:hAnsi="Arial" w:eastAsia="黑体"/>
      <w:b/>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样式 标题 2 + 楷体 小三 段前: 0 磅 段后: 0 磅 行距: 单倍行距"/>
    <w:basedOn w:val="2"/>
    <w:qFormat/>
    <w:uiPriority w:val="0"/>
    <w:pPr>
      <w:spacing w:before="0" w:after="0" w:line="240" w:lineRule="auto"/>
    </w:pPr>
    <w:rPr>
      <w:rFonts w:hint="default" w:ascii="楷体" w:hAnsi="楷体" w:eastAsia="楷体" w:cs="宋体"/>
      <w:b w:val="0"/>
      <w:sz w:val="30"/>
      <w:szCs w:val="20"/>
    </w:rPr>
  </w:style>
  <w:style w:type="paragraph" w:customStyle="1" w:styleId="15">
    <w:name w:val="正文（缩进）"/>
    <w:basedOn w:val="1"/>
    <w:qFormat/>
    <w:uiPriority w:val="0"/>
    <w:pPr>
      <w:spacing w:line="594" w:lineRule="exact"/>
      <w:ind w:firstLine="482"/>
    </w:pPr>
    <w:rPr>
      <w:rFonts w:hint="default"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7252</Words>
  <Characters>8313</Characters>
  <Lines>161</Lines>
  <Paragraphs>45</Paragraphs>
  <TotalTime>12</TotalTime>
  <ScaleCrop>false</ScaleCrop>
  <LinksUpToDate>false</LinksUpToDate>
  <CharactersWithSpaces>8325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2025-10-15T01:59:16Z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9EDAFD8FD9424A54844071572B3E9A06_13</vt:lpwstr>
  </property>
  <property fmtid="{D5CDD505-2E9C-101B-9397-08002B2CF9AE}" pid="4" name="KSOTemplateDocerSaveRecord">
    <vt:lpwstr>eyJoZGlkIjoiYmRlNzE0MjgzNDc2MGY0ZmNjMmI3ZjIwYTg5ZDgxODQiLCJ1c2VySWQiOiI1Njc3OTE5MDYifQ==</vt:lpwstr>
  </property>
</Properties>
</file>