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9B4BF">
      <w:pPr>
        <w:pStyle w:val="4"/>
        <w:keepNext/>
        <w:keepLines/>
        <w:pageBreakBefore w:val="0"/>
        <w:widowControl/>
        <w:kinsoku/>
        <w:wordWrap/>
        <w:overflowPunct/>
        <w:topLinePunct w:val="0"/>
        <w:autoSpaceDE/>
        <w:autoSpaceDN/>
        <w:bidi w:val="0"/>
        <w:adjustRightInd/>
        <w:snapToGrid/>
        <w:spacing w:before="0" w:after="0"/>
        <w:textAlignment w:val="auto"/>
      </w:pPr>
      <w:r>
        <w:t>重庆市铜梁区</w:t>
      </w:r>
      <w:r>
        <w:rPr>
          <w:rFonts w:hint="eastAsia"/>
          <w:lang w:eastAsia="zh-CN"/>
        </w:rPr>
        <w:t>安溪</w:t>
      </w:r>
      <w:r>
        <w:t>镇</w:t>
      </w:r>
      <w:r>
        <w:rPr>
          <w:rFonts w:hint="eastAsia"/>
          <w:lang w:eastAsia="zh-CN"/>
        </w:rPr>
        <w:t>退役军人服务站</w:t>
      </w:r>
    </w:p>
    <w:p w14:paraId="69E78D07">
      <w:pPr>
        <w:pStyle w:val="4"/>
        <w:keepNext/>
        <w:keepLines/>
        <w:pageBreakBefore w:val="0"/>
        <w:widowControl/>
        <w:kinsoku/>
        <w:wordWrap/>
        <w:overflowPunct/>
        <w:topLinePunct w:val="0"/>
        <w:autoSpaceDE/>
        <w:autoSpaceDN/>
        <w:bidi w:val="0"/>
        <w:adjustRightInd/>
        <w:snapToGrid/>
        <w:spacing w:before="0" w:after="0"/>
        <w:textAlignment w:val="auto"/>
        <w:rPr>
          <w:rFonts w:hint="default" w:ascii="方正小标宋_GBK" w:hAnsi="方正小标宋_GBK" w:eastAsia="方正小标宋_GBK" w:cs="方正小标宋_GBK"/>
          <w:szCs w:val="44"/>
          <w:shd w:val="clear" w:color="auto" w:fill="FFFFFF"/>
        </w:rPr>
      </w:pPr>
      <w:r>
        <w:rPr>
          <w:rFonts w:hint="default"/>
        </w:rPr>
        <w:t>2024</w:t>
      </w:r>
      <w:r>
        <w:t>年度决算公开说明</w:t>
      </w:r>
    </w:p>
    <w:p w14:paraId="430D5C17">
      <w:pPr>
        <w:pStyle w:val="5"/>
        <w:pageBreakBefore w:val="0"/>
        <w:kinsoku/>
        <w:wordWrap/>
        <w:overflowPunct/>
        <w:topLinePunct w:val="0"/>
        <w:autoSpaceDE/>
        <w:autoSpaceDN/>
        <w:bidi w:val="0"/>
        <w:adjustRightInd/>
        <w:spacing w:before="0" w:beforeLines="0" w:after="0" w:afterLines="0" w:line="560" w:lineRule="exact"/>
        <w:textAlignment w:val="auto"/>
        <w:rPr>
          <w:rFonts w:hint="eastAsia"/>
          <w:lang w:val="en-US" w:eastAsia="zh-CN"/>
        </w:rPr>
      </w:pPr>
    </w:p>
    <w:p w14:paraId="41CA68D0">
      <w:pPr>
        <w:pStyle w:val="5"/>
        <w:pageBreakBefore w:val="0"/>
        <w:kinsoku/>
        <w:wordWrap/>
        <w:overflowPunct/>
        <w:topLinePunct w:val="0"/>
        <w:autoSpaceDE/>
        <w:autoSpaceDN/>
        <w:bidi w:val="0"/>
        <w:adjustRightInd/>
        <w:spacing w:before="0" w:beforeLines="0" w:after="0" w:afterLines="0" w:line="560" w:lineRule="exact"/>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一、</w:t>
      </w:r>
      <w:r>
        <w:rPr>
          <w:rFonts w:hint="eastAsia" w:ascii="方正黑体_GBK" w:hAnsi="方正黑体_GBK" w:eastAsia="方正黑体_GBK" w:cs="方正黑体_GBK"/>
          <w:lang w:eastAsia="zh-CN"/>
        </w:rPr>
        <w:t>单位</w:t>
      </w:r>
      <w:r>
        <w:rPr>
          <w:rFonts w:hint="eastAsia" w:ascii="方正黑体_GBK" w:hAnsi="方正黑体_GBK" w:eastAsia="方正黑体_GBK" w:cs="方正黑体_GBK"/>
        </w:rPr>
        <w:t>基本情况</w:t>
      </w:r>
    </w:p>
    <w:p w14:paraId="2697B6A8">
      <w:pPr>
        <w:pStyle w:val="6"/>
        <w:pageBreakBefore w:val="0"/>
        <w:kinsoku/>
        <w:wordWrap/>
        <w:overflowPunct/>
        <w:topLinePunct w:val="0"/>
        <w:autoSpaceDE/>
        <w:autoSpaceDN/>
        <w:bidi w:val="0"/>
        <w:adjustRightInd/>
        <w:spacing w:before="0" w:beforeLines="0" w:after="0" w:afterLines="0" w:line="560" w:lineRule="exact"/>
        <w:textAlignment w:val="auto"/>
        <w:rPr>
          <w:rFonts w:hint="default"/>
        </w:rPr>
      </w:pPr>
      <w:r>
        <w:t>（一）职能职责</w:t>
      </w:r>
    </w:p>
    <w:p w14:paraId="07748431">
      <w:pPr>
        <w:pStyle w:val="1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方正仿宋_GBK" w:hAnsi="方正仿宋_GBK" w:eastAsia="方正仿宋_GBK" w:cs="方正仿宋_GBK"/>
          <w:b w:val="0"/>
          <w:kern w:val="2"/>
          <w:sz w:val="32"/>
          <w:szCs w:val="32"/>
          <w:lang w:val="en-US" w:eastAsia="zh-CN" w:bidi="ar-SA"/>
        </w:rPr>
      </w:pPr>
      <w:bookmarkStart w:id="0" w:name="_Toc21955"/>
      <w:r>
        <w:rPr>
          <w:rFonts w:hint="eastAsia" w:ascii="方正仿宋_GBK" w:hAnsi="方正仿宋_GBK" w:eastAsia="方正仿宋_GBK" w:cs="方正仿宋_GBK"/>
          <w:b w:val="0"/>
          <w:kern w:val="2"/>
          <w:sz w:val="32"/>
          <w:szCs w:val="32"/>
          <w:lang w:val="en-US" w:eastAsia="zh-CN" w:bidi="ar-SA"/>
        </w:rPr>
        <w:t>主要职能职责：做好退役军人关系转接、联络接待、困难帮扶、信息采集、情况反映、立功喜报、悬挂光荣牌和“八一”、春节等节日以及重大变故走访慰问等具体事务、搭建政策咨询、帮扶援助、沟通联系、学习交流等活动场所，完成主管按需交办的其他任务。</w:t>
      </w:r>
      <w:bookmarkEnd w:id="0"/>
    </w:p>
    <w:p w14:paraId="262A1513">
      <w:pPr>
        <w:pStyle w:val="6"/>
        <w:pageBreakBefore w:val="0"/>
        <w:kinsoku/>
        <w:wordWrap/>
        <w:overflowPunct/>
        <w:topLinePunct w:val="0"/>
        <w:autoSpaceDE/>
        <w:autoSpaceDN/>
        <w:bidi w:val="0"/>
        <w:adjustRightInd/>
        <w:spacing w:before="0" w:beforeLines="0" w:after="0" w:afterLines="0" w:line="560" w:lineRule="exact"/>
        <w:textAlignment w:val="auto"/>
        <w:rPr>
          <w:rFonts w:hint="default"/>
        </w:rPr>
      </w:pPr>
      <w:r>
        <w:t>（二）机构设置</w:t>
      </w:r>
    </w:p>
    <w:p w14:paraId="4F2B7FF5">
      <w:pPr>
        <w:pageBreakBefore w:val="0"/>
        <w:kinsoku/>
        <w:wordWrap/>
        <w:overflowPunct/>
        <w:topLinePunct w:val="0"/>
        <w:autoSpaceDE/>
        <w:autoSpaceDN/>
        <w:bidi w:val="0"/>
        <w:adjustRightInd/>
        <w:spacing w:line="560" w:lineRule="exact"/>
        <w:textAlignment w:val="auto"/>
        <w:rPr>
          <w:rFonts w:hint="default"/>
        </w:rPr>
      </w:pPr>
      <w:r>
        <w:rPr>
          <w:rFonts w:hint="eastAsia"/>
          <w:lang w:val="en-US" w:eastAsia="zh-CN"/>
        </w:rPr>
        <w:t>重庆市铜梁区安溪镇退役军人服务站是重庆市铜梁区安溪镇人民政府下属事业单位，故我单位不存在内部机构设置。</w:t>
      </w:r>
    </w:p>
    <w:p w14:paraId="5A7D671A">
      <w:pPr>
        <w:pStyle w:val="5"/>
        <w:pageBreakBefore w:val="0"/>
        <w:kinsoku/>
        <w:wordWrap/>
        <w:overflowPunct/>
        <w:topLinePunct w:val="0"/>
        <w:autoSpaceDE/>
        <w:autoSpaceDN/>
        <w:bidi w:val="0"/>
        <w:adjustRightInd/>
        <w:spacing w:before="0" w:beforeLines="0" w:after="0" w:afterLines="0" w:line="560" w:lineRule="exact"/>
        <w:textAlignment w:val="auto"/>
        <w:rPr>
          <w:rFonts w:hint="default" w:ascii="方正黑体_GBK" w:hAnsi="方正黑体_GBK" w:eastAsia="方正黑体_GBK" w:cs="方正黑体_GBK"/>
        </w:rPr>
      </w:pPr>
      <w:r>
        <w:rPr>
          <w:rFonts w:hint="eastAsia" w:ascii="方正黑体_GBK" w:hAnsi="方正黑体_GBK" w:eastAsia="方正黑体_GBK" w:cs="方正黑体_GBK"/>
        </w:rPr>
        <w:t>二、</w:t>
      </w:r>
      <w:r>
        <w:rPr>
          <w:rFonts w:hint="eastAsia" w:ascii="方正黑体_GBK" w:hAnsi="方正黑体_GBK" w:eastAsia="方正黑体_GBK" w:cs="方正黑体_GBK"/>
          <w:lang w:eastAsia="zh-CN"/>
        </w:rPr>
        <w:t>单位</w:t>
      </w:r>
      <w:r>
        <w:rPr>
          <w:rFonts w:hint="eastAsia" w:ascii="方正黑体_GBK" w:hAnsi="方正黑体_GBK" w:eastAsia="方正黑体_GBK" w:cs="方正黑体_GBK"/>
        </w:rPr>
        <w:t>决算</w:t>
      </w:r>
      <w:r>
        <w:rPr>
          <w:rFonts w:hint="eastAsia" w:ascii="方正黑体_GBK" w:hAnsi="方正黑体_GBK" w:eastAsia="方正黑体_GBK" w:cs="方正黑体_GBK"/>
          <w:lang w:eastAsia="zh-CN"/>
        </w:rPr>
        <w:t>收支</w:t>
      </w:r>
      <w:r>
        <w:rPr>
          <w:rFonts w:hint="eastAsia" w:ascii="方正黑体_GBK" w:hAnsi="方正黑体_GBK" w:eastAsia="方正黑体_GBK" w:cs="方正黑体_GBK"/>
        </w:rPr>
        <w:t>情况说明</w:t>
      </w:r>
    </w:p>
    <w:p w14:paraId="771C0F6B">
      <w:pPr>
        <w:pStyle w:val="6"/>
        <w:pageBreakBefore w:val="0"/>
        <w:kinsoku/>
        <w:wordWrap/>
        <w:overflowPunct/>
        <w:topLinePunct w:val="0"/>
        <w:autoSpaceDE/>
        <w:autoSpaceDN/>
        <w:bidi w:val="0"/>
        <w:adjustRightInd/>
        <w:spacing w:before="0" w:beforeLines="0" w:after="0" w:afterLines="0" w:line="560" w:lineRule="exact"/>
        <w:textAlignment w:val="auto"/>
      </w:pPr>
      <w:r>
        <w:rPr>
          <w:rFonts w:hint="eastAsia"/>
        </w:rPr>
        <w:t>（一）收入支出决算总体情况说明</w:t>
      </w:r>
    </w:p>
    <w:p w14:paraId="0D1F31E4">
      <w:pPr>
        <w:pageBreakBefore w:val="0"/>
        <w:kinsoku/>
        <w:wordWrap/>
        <w:overflowPunct/>
        <w:topLinePunct w:val="0"/>
        <w:autoSpaceDE/>
        <w:autoSpaceDN/>
        <w:bidi w:val="0"/>
        <w:adjustRightInd/>
        <w:spacing w:line="560" w:lineRule="exact"/>
        <w:textAlignment w:val="auto"/>
        <w:rPr>
          <w:rFonts w:hint="default"/>
        </w:rPr>
      </w:pPr>
      <w:r>
        <w:rPr>
          <w:b w:val="0"/>
          <w:bCs w:val="0"/>
        </w:rPr>
        <w:t>1.总体情况。</w:t>
      </w:r>
      <w:r>
        <w:rPr>
          <w:rFonts w:hint="eastAsia"/>
          <w:lang w:eastAsia="zh-CN"/>
        </w:rPr>
        <w:t>2024年</w:t>
      </w:r>
      <w:r>
        <w:t>度收入总计</w:t>
      </w:r>
      <w:r>
        <w:rPr>
          <w:rFonts w:hint="eastAsia"/>
          <w:lang w:eastAsia="zh-CN"/>
        </w:rPr>
        <w:t>45.78</w:t>
      </w:r>
      <w:r>
        <w:t>万元，支出总计</w:t>
      </w:r>
      <w:r>
        <w:rPr>
          <w:rFonts w:hint="eastAsia"/>
          <w:lang w:eastAsia="zh-CN"/>
        </w:rPr>
        <w:t>45.78</w:t>
      </w:r>
      <w:r>
        <w:t>万元。收、支与2023年度相比，增加</w:t>
      </w:r>
      <w:r>
        <w:rPr>
          <w:rFonts w:hint="eastAsia"/>
          <w:lang w:eastAsia="zh-CN"/>
        </w:rPr>
        <w:t>45.78</w:t>
      </w:r>
      <w:r>
        <w:t>万元，增长100.0%，主要原因是</w:t>
      </w:r>
      <w:r>
        <w:rPr>
          <w:rFonts w:hint="eastAsia"/>
          <w:lang w:eastAsia="zh-CN"/>
        </w:rPr>
        <w:t>以前年度我单位所有经费开支并入重庆市铜梁区安溪镇人民政府（本级）决算统一反映，未独立列示，</w:t>
      </w:r>
      <w:r>
        <w:rPr>
          <w:rFonts w:hint="eastAsia"/>
          <w:lang w:val="en-US" w:eastAsia="zh-CN"/>
        </w:rPr>
        <w:t>2024年度我单位按照财政局相关要求单独编制决算，故本年决算数据全面反映我单位的开支明细，最终形成2024年度收、支较2023年分别增加45.78万元</w:t>
      </w:r>
      <w:r>
        <w:t>。</w:t>
      </w:r>
    </w:p>
    <w:p w14:paraId="22703725">
      <w:pPr>
        <w:pageBreakBefore w:val="0"/>
        <w:kinsoku/>
        <w:wordWrap/>
        <w:overflowPunct/>
        <w:topLinePunct w:val="0"/>
        <w:autoSpaceDE/>
        <w:autoSpaceDN/>
        <w:bidi w:val="0"/>
        <w:adjustRightInd/>
        <w:spacing w:line="560" w:lineRule="exact"/>
        <w:textAlignment w:val="auto"/>
        <w:rPr>
          <w:rFonts w:hint="default"/>
        </w:rPr>
      </w:pPr>
      <w:r>
        <w:rPr>
          <w:b w:val="0"/>
          <w:bCs w:val="0"/>
        </w:rPr>
        <w:t>2.收入情况。</w:t>
      </w:r>
      <w:r>
        <w:rPr>
          <w:rFonts w:hint="eastAsia"/>
          <w:lang w:eastAsia="zh-CN"/>
        </w:rPr>
        <w:t>2024年</w:t>
      </w:r>
      <w:r>
        <w:t>度收入合计</w:t>
      </w:r>
      <w:r>
        <w:rPr>
          <w:rFonts w:hint="eastAsia"/>
          <w:lang w:eastAsia="zh-CN"/>
        </w:rPr>
        <w:t>45.78</w:t>
      </w:r>
      <w:r>
        <w:t>万元，与2023年度相比，增加</w:t>
      </w:r>
      <w:r>
        <w:rPr>
          <w:rFonts w:hint="eastAsia"/>
          <w:lang w:eastAsia="zh-CN"/>
        </w:rPr>
        <w:t>45.78</w:t>
      </w:r>
      <w:r>
        <w:t>万元，增长100.0%，主要原因是</w:t>
      </w:r>
      <w:r>
        <w:rPr>
          <w:rFonts w:hint="eastAsia"/>
          <w:lang w:eastAsia="zh-CN"/>
        </w:rPr>
        <w:t>以前年度我单位所有经费开支并入重庆市铜梁区安溪镇人民政府（本级）决算统一反映，未独立列示，</w:t>
      </w:r>
      <w:r>
        <w:rPr>
          <w:rFonts w:hint="eastAsia"/>
          <w:lang w:val="en-US" w:eastAsia="zh-CN"/>
        </w:rPr>
        <w:t>2024年度我单位按照财政局相关要求单独编制决算，故本年决算数据全面反映我单位的开支明细，最终形成2024年度收入较2023年增加45.78万元</w:t>
      </w:r>
      <w:r>
        <w:t>。其中：财政拨款收入</w:t>
      </w:r>
      <w:r>
        <w:rPr>
          <w:rFonts w:hint="eastAsia"/>
          <w:lang w:eastAsia="zh-CN"/>
        </w:rPr>
        <w:t>45.78</w:t>
      </w:r>
      <w:r>
        <w:t>万元，占10</w:t>
      </w:r>
      <w:r>
        <w:rPr>
          <w:rFonts w:hint="eastAsia"/>
          <w:lang w:eastAsia="zh-CN"/>
        </w:rPr>
        <w:t>0.0%</w:t>
      </w:r>
      <w:r>
        <w:t>；事业收入</w:t>
      </w:r>
      <w:r>
        <w:rPr>
          <w:rFonts w:hint="eastAsia"/>
          <w:lang w:val="en-US" w:eastAsia="zh-CN"/>
        </w:rPr>
        <w:t>0</w:t>
      </w:r>
      <w:r>
        <w:t>万元，占0.0%；经营收入</w:t>
      </w:r>
      <w:r>
        <w:rPr>
          <w:rFonts w:hint="eastAsia"/>
          <w:lang w:val="en-US" w:eastAsia="zh-CN"/>
        </w:rPr>
        <w:t>0</w:t>
      </w:r>
      <w:r>
        <w:t>万元，占0.0%；其他收入</w:t>
      </w:r>
      <w:r>
        <w:rPr>
          <w:rFonts w:hint="eastAsia"/>
          <w:lang w:val="en-US" w:eastAsia="zh-CN"/>
        </w:rPr>
        <w:t>0</w:t>
      </w:r>
      <w:r>
        <w:t>万元，占0.0%。此外，使用非财政拨款结余和专用结余</w:t>
      </w:r>
      <w:r>
        <w:rPr>
          <w:rFonts w:hint="eastAsia"/>
          <w:lang w:val="en-US" w:eastAsia="zh-CN"/>
        </w:rPr>
        <w:t>0</w:t>
      </w:r>
      <w:r>
        <w:t>万元，年初结转和结余</w:t>
      </w:r>
      <w:r>
        <w:rPr>
          <w:rFonts w:hint="eastAsia"/>
          <w:lang w:val="en-US" w:eastAsia="zh-CN"/>
        </w:rPr>
        <w:t>0</w:t>
      </w:r>
      <w:r>
        <w:t>万元。</w:t>
      </w:r>
    </w:p>
    <w:p w14:paraId="6D6D7C23">
      <w:pPr>
        <w:pStyle w:val="9"/>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b w:val="0"/>
          <w:bCs w:val="0"/>
        </w:rPr>
        <w:t>3.支出情况。</w:t>
      </w:r>
      <w:r>
        <w:rPr>
          <w:rFonts w:hint="eastAsia"/>
          <w:lang w:eastAsia="zh-CN"/>
        </w:rPr>
        <w:t>2024年</w:t>
      </w:r>
      <w:r>
        <w:t>度支出合计</w:t>
      </w:r>
      <w:r>
        <w:rPr>
          <w:rFonts w:hint="eastAsia"/>
          <w:lang w:eastAsia="zh-CN"/>
        </w:rPr>
        <w:t>45.78</w:t>
      </w:r>
      <w:r>
        <w:t>万元，与2023年度相比，增加</w:t>
      </w:r>
      <w:r>
        <w:rPr>
          <w:rFonts w:hint="eastAsia"/>
          <w:lang w:eastAsia="zh-CN"/>
        </w:rPr>
        <w:t>45.78</w:t>
      </w:r>
      <w:r>
        <w:t>万元，增长100.0%，主要原因是</w:t>
      </w:r>
      <w:r>
        <w:rPr>
          <w:rFonts w:hint="eastAsia"/>
          <w:lang w:eastAsia="zh-CN"/>
        </w:rPr>
        <w:t>以前年度我单位所有经费开支并入重庆市铜梁区安溪镇人民政府（本级）决算统一反映，未独立列示，</w:t>
      </w:r>
      <w:r>
        <w:rPr>
          <w:rFonts w:hint="eastAsia"/>
          <w:lang w:val="en-US" w:eastAsia="zh-CN"/>
        </w:rPr>
        <w:t>2024年度我单位按照财政局相关要求单独编制决算，故本年决算数据全面反映我单位的开支明细，最终形成2024年度支出较2023年增加45.78万元</w:t>
      </w:r>
      <w:r>
        <w:t>。</w:t>
      </w:r>
      <w:r>
        <w:rPr>
          <w:rFonts w:ascii="方正仿宋_GBK" w:hAnsi="方正仿宋_GBK" w:eastAsia="方正仿宋_GBK" w:cs="方正仿宋_GBK"/>
          <w:sz w:val="32"/>
          <w:szCs w:val="32"/>
          <w:shd w:val="clear" w:color="auto" w:fill="FFFFFF"/>
        </w:rPr>
        <w:t>基本支出</w:t>
      </w:r>
      <w:r>
        <w:rPr>
          <w:rFonts w:ascii="方正仿宋_GBK" w:hAnsi="方正仿宋_GBK" w:eastAsia="方正仿宋_GBK" w:cs="方正仿宋_GBK"/>
          <w:sz w:val="32"/>
          <w:szCs w:val="32"/>
        </w:rPr>
        <w:t>41.14</w:t>
      </w:r>
      <w:r>
        <w:rPr>
          <w:rFonts w:ascii="方正仿宋_GBK" w:hAnsi="方正仿宋_GBK" w:eastAsia="方正仿宋_GBK" w:cs="方正仿宋_GBK"/>
          <w:sz w:val="32"/>
          <w:szCs w:val="32"/>
          <w:shd w:val="clear" w:color="auto" w:fill="FFFFFF"/>
        </w:rPr>
        <w:t>万元，占89.86%；项目支出</w:t>
      </w:r>
      <w:r>
        <w:rPr>
          <w:rFonts w:ascii="方正仿宋_GBK" w:hAnsi="方正仿宋_GBK" w:eastAsia="方正仿宋_GBK" w:cs="方正仿宋_GBK"/>
          <w:sz w:val="32"/>
          <w:szCs w:val="32"/>
        </w:rPr>
        <w:t>4.64</w:t>
      </w:r>
      <w:r>
        <w:rPr>
          <w:rFonts w:ascii="方正仿宋_GBK" w:hAnsi="方正仿宋_GBK" w:eastAsia="方正仿宋_GBK" w:cs="方正仿宋_GBK"/>
          <w:sz w:val="32"/>
          <w:szCs w:val="32"/>
          <w:shd w:val="clear" w:color="auto" w:fill="FFFFFF"/>
        </w:rPr>
        <w:t>万元，占10.14%；经营支出</w:t>
      </w:r>
      <w:r>
        <w:rPr>
          <w:rFonts w:hint="eastAsia" w:cs="方正仿宋_GBK"/>
          <w:sz w:val="32"/>
          <w:szCs w:val="32"/>
          <w:lang w:eastAsia="zh-CN"/>
        </w:rPr>
        <w:t>0</w:t>
      </w:r>
      <w:r>
        <w:rPr>
          <w:rFonts w:ascii="方正仿宋_GBK" w:hAnsi="方正仿宋_GBK" w:eastAsia="方正仿宋_GBK" w:cs="方正仿宋_GBK"/>
          <w:sz w:val="32"/>
          <w:szCs w:val="32"/>
          <w:shd w:val="clear" w:color="auto" w:fill="FFFFFF"/>
        </w:rPr>
        <w:t>万元，占</w:t>
      </w:r>
      <w:r>
        <w:rPr>
          <w:rFonts w:hint="eastAsia" w:cs="方正仿宋_GBK"/>
          <w:sz w:val="32"/>
          <w:szCs w:val="32"/>
          <w:shd w:val="clear" w:color="auto" w:fill="FFFFFF"/>
          <w:lang w:eastAsia="zh-CN"/>
        </w:rPr>
        <w:t>0.0%</w:t>
      </w:r>
      <w:r>
        <w:rPr>
          <w:rFonts w:ascii="方正仿宋_GBK" w:hAnsi="方正仿宋_GBK" w:eastAsia="方正仿宋_GBK" w:cs="方正仿宋_GBK"/>
          <w:sz w:val="32"/>
          <w:szCs w:val="32"/>
          <w:shd w:val="clear" w:color="auto" w:fill="FFFFFF"/>
        </w:rPr>
        <w:t>。此外，结余分配</w:t>
      </w:r>
      <w:r>
        <w:rPr>
          <w:rFonts w:hint="eastAsia" w:cs="方正仿宋_GBK"/>
          <w:sz w:val="32"/>
          <w:szCs w:val="32"/>
          <w:lang w:eastAsia="zh-CN"/>
        </w:rPr>
        <w:t>0</w:t>
      </w:r>
      <w:r>
        <w:rPr>
          <w:rFonts w:ascii="方正仿宋_GBK" w:hAnsi="方正仿宋_GBK" w:eastAsia="方正仿宋_GBK" w:cs="方正仿宋_GBK"/>
          <w:sz w:val="32"/>
          <w:szCs w:val="32"/>
          <w:shd w:val="clear" w:color="auto" w:fill="FFFFFF"/>
        </w:rPr>
        <w:t>万元。</w:t>
      </w:r>
    </w:p>
    <w:p w14:paraId="253C7FAB">
      <w:pPr>
        <w:pageBreakBefore w:val="0"/>
        <w:kinsoku/>
        <w:wordWrap/>
        <w:overflowPunct/>
        <w:topLinePunct w:val="0"/>
        <w:autoSpaceDE/>
        <w:autoSpaceDN/>
        <w:bidi w:val="0"/>
        <w:adjustRightInd/>
        <w:spacing w:line="560" w:lineRule="exact"/>
        <w:textAlignment w:val="auto"/>
        <w:rPr>
          <w:rFonts w:hint="default"/>
        </w:rPr>
      </w:pPr>
      <w:r>
        <w:rPr>
          <w:b w:val="0"/>
          <w:bCs w:val="0"/>
        </w:rPr>
        <w:t>4.结转结余情况。</w:t>
      </w:r>
      <w:r>
        <w:rPr>
          <w:rFonts w:hint="eastAsia"/>
          <w:lang w:val="en-US" w:eastAsia="zh-CN"/>
        </w:rPr>
        <w:t>2024年度年末结转和结余0万元，较上年决算数增加0万元</w:t>
      </w:r>
      <w:r>
        <w:t>。</w:t>
      </w:r>
    </w:p>
    <w:p w14:paraId="6EBDE85F">
      <w:pPr>
        <w:pStyle w:val="6"/>
        <w:pageBreakBefore w:val="0"/>
        <w:kinsoku/>
        <w:wordWrap/>
        <w:overflowPunct/>
        <w:topLinePunct w:val="0"/>
        <w:autoSpaceDE/>
        <w:autoSpaceDN/>
        <w:bidi w:val="0"/>
        <w:adjustRightInd/>
        <w:spacing w:before="0" w:beforeLines="0" w:after="0" w:afterLines="0" w:line="560" w:lineRule="exact"/>
        <w:textAlignment w:val="auto"/>
      </w:pPr>
      <w:r>
        <w:rPr>
          <w:rFonts w:hint="eastAsia"/>
        </w:rPr>
        <w:t>（二）财政拨款收入支出决算总体情况说明</w:t>
      </w:r>
    </w:p>
    <w:p w14:paraId="691D4165">
      <w:pPr>
        <w:pStyle w:val="9"/>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lang w:eastAsia="zh-CN"/>
        </w:rPr>
        <w:t>2024年</w:t>
      </w:r>
      <w:r>
        <w:t>度财政拨款收、支总计</w:t>
      </w:r>
      <w:r>
        <w:rPr>
          <w:rFonts w:hint="eastAsia"/>
          <w:lang w:eastAsia="zh-CN"/>
        </w:rPr>
        <w:t>45.78</w:t>
      </w:r>
      <w:r>
        <w:t>万元。与202</w:t>
      </w:r>
      <w:r>
        <w:rPr>
          <w:rFonts w:hint="eastAsia"/>
          <w:lang w:val="en-US" w:eastAsia="zh-CN"/>
        </w:rPr>
        <w:t>3</w:t>
      </w:r>
      <w:r>
        <w:t>年相比，财政拨款收、支总计各增加</w:t>
      </w:r>
      <w:r>
        <w:rPr>
          <w:rFonts w:hint="eastAsia"/>
          <w:lang w:eastAsia="zh-CN"/>
        </w:rPr>
        <w:t>45.78</w:t>
      </w:r>
      <w:r>
        <w:t>万元，增长100.0%。主要原因是</w:t>
      </w:r>
      <w:r>
        <w:rPr>
          <w:rFonts w:hint="eastAsia"/>
          <w:lang w:eastAsia="zh-CN"/>
        </w:rPr>
        <w:t>以前年度我单位所有经费开支并入重庆市铜梁区安溪镇人民政府（本级）决算统一反映，未独立列示，</w:t>
      </w:r>
      <w:r>
        <w:rPr>
          <w:rFonts w:hint="eastAsia"/>
          <w:lang w:val="en-US" w:eastAsia="zh-CN"/>
        </w:rPr>
        <w:t>2024年度我单位按照财政局相关要求单独编制决算，故本年决算数据全面反映我单位的开支明细，最终形成2024年度收、支较2023年分别增加45.78万元。</w:t>
      </w:r>
    </w:p>
    <w:p w14:paraId="37D4DD33">
      <w:pPr>
        <w:pStyle w:val="6"/>
        <w:pageBreakBefore w:val="0"/>
        <w:kinsoku/>
        <w:wordWrap/>
        <w:overflowPunct/>
        <w:topLinePunct w:val="0"/>
        <w:autoSpaceDE/>
        <w:autoSpaceDN/>
        <w:bidi w:val="0"/>
        <w:adjustRightInd/>
        <w:spacing w:before="0" w:beforeLines="0" w:after="0" w:afterLines="0" w:line="560" w:lineRule="exact"/>
        <w:textAlignment w:val="auto"/>
      </w:pPr>
      <w:r>
        <w:rPr>
          <w:rFonts w:hint="eastAsia"/>
        </w:rPr>
        <w:t>（三）一般公共预算财政拨款收入支出决算情况说明</w:t>
      </w:r>
    </w:p>
    <w:p w14:paraId="305225A0">
      <w:pPr>
        <w:pageBreakBefore w:val="0"/>
        <w:kinsoku/>
        <w:wordWrap/>
        <w:overflowPunct/>
        <w:topLinePunct w:val="0"/>
        <w:autoSpaceDE/>
        <w:autoSpaceDN/>
        <w:bidi w:val="0"/>
        <w:adjustRightInd/>
        <w:spacing w:line="560" w:lineRule="exact"/>
        <w:textAlignment w:val="auto"/>
        <w:rPr>
          <w:rFonts w:hint="default"/>
        </w:rPr>
      </w:pPr>
      <w:r>
        <w:rPr>
          <w:b w:val="0"/>
          <w:bCs w:val="0"/>
        </w:rPr>
        <w:t>1.收入情况</w:t>
      </w:r>
      <w:r>
        <w:rPr>
          <w:rFonts w:hint="eastAsia"/>
          <w:b w:val="0"/>
          <w:bCs w:val="0"/>
          <w:lang w:eastAsia="zh-CN"/>
        </w:rPr>
        <w:t>。2</w:t>
      </w:r>
      <w:r>
        <w:rPr>
          <w:rFonts w:hint="eastAsia"/>
          <w:lang w:eastAsia="zh-CN"/>
        </w:rPr>
        <w:t>024年</w:t>
      </w:r>
      <w:r>
        <w:t>度一般公共预算财政拨款收入</w:t>
      </w:r>
      <w:r>
        <w:rPr>
          <w:rFonts w:hint="eastAsia"/>
          <w:lang w:eastAsia="zh-CN"/>
        </w:rPr>
        <w:t>45.78</w:t>
      </w:r>
      <w:r>
        <w:t>万元，与2023年度相比，增加</w:t>
      </w:r>
      <w:r>
        <w:rPr>
          <w:rFonts w:hint="eastAsia"/>
          <w:lang w:eastAsia="zh-CN"/>
        </w:rPr>
        <w:t>45.78</w:t>
      </w:r>
      <w:r>
        <w:t>万元，增长100.0%。主要原因是</w:t>
      </w:r>
      <w:r>
        <w:rPr>
          <w:rFonts w:hint="eastAsia"/>
          <w:lang w:eastAsia="zh-CN"/>
        </w:rPr>
        <w:t>以前年度我单位所有经费开支并入重庆市铜梁区安溪镇人民政府（本级）决算统一反映，未独立列示，</w:t>
      </w:r>
      <w:r>
        <w:rPr>
          <w:rFonts w:hint="eastAsia"/>
          <w:lang w:val="en-US" w:eastAsia="zh-CN"/>
        </w:rPr>
        <w:t>2024年度我单位按照财政局相关要求单独编制决算，故本年决算数据全面反映我单位的开支明细，最终形成2024年度收入较2023年增加45.78万元</w:t>
      </w:r>
      <w:r>
        <w:t>。</w:t>
      </w:r>
      <w:r>
        <w:rPr>
          <w:rFonts w:ascii="方正仿宋_GBK" w:hAnsi="方正仿宋_GBK" w:eastAsia="方正仿宋_GBK" w:cs="方正仿宋_GBK"/>
          <w:sz w:val="32"/>
          <w:szCs w:val="32"/>
          <w:shd w:val="clear" w:color="auto" w:fill="FFFFFF"/>
        </w:rPr>
        <w:t>较年初预算数减少5.31万元，下降10.4%。</w:t>
      </w:r>
      <w:r>
        <w:rPr>
          <w:highlight w:val="none"/>
        </w:rPr>
        <w:t>主要原因是</w:t>
      </w:r>
      <w:r>
        <w:rPr>
          <w:rFonts w:hint="eastAsia"/>
          <w:highlight w:val="none"/>
          <w:lang w:val="en-US" w:eastAsia="zh-CN"/>
        </w:rPr>
        <w:t>2024年度区财政局为优先保障“三保”等重点支出</w:t>
      </w:r>
      <w:r>
        <w:rPr>
          <w:rFonts w:hint="eastAsia"/>
          <w:lang w:val="en-US" w:eastAsia="zh-CN"/>
        </w:rPr>
        <w:t>，对我单位部分非紧急、非刚性的项目支出进行了暂缓支出，我单位涉及公用经费、其他项目支出等资金共计5.31万元未全额拨付</w:t>
      </w:r>
      <w:r>
        <w:t>。此外，年初财政拨款结转和结余</w:t>
      </w:r>
      <w:r>
        <w:rPr>
          <w:rFonts w:hint="eastAsia"/>
          <w:lang w:val="en-US" w:eastAsia="zh-CN"/>
        </w:rPr>
        <w:t>0</w:t>
      </w:r>
      <w:r>
        <w:t>万元。</w:t>
      </w:r>
    </w:p>
    <w:p w14:paraId="56767B3F">
      <w:pPr>
        <w:pageBreakBefore w:val="0"/>
        <w:kinsoku/>
        <w:wordWrap/>
        <w:overflowPunct/>
        <w:topLinePunct w:val="0"/>
        <w:autoSpaceDE/>
        <w:autoSpaceDN/>
        <w:bidi w:val="0"/>
        <w:adjustRightInd/>
        <w:spacing w:line="560" w:lineRule="exact"/>
        <w:textAlignment w:val="auto"/>
        <w:rPr>
          <w:rFonts w:hint="default"/>
        </w:rPr>
      </w:pPr>
      <w:r>
        <w:rPr>
          <w:b w:val="0"/>
          <w:bCs w:val="0"/>
        </w:rPr>
        <w:t>2.支出情况。</w:t>
      </w:r>
      <w:r>
        <w:rPr>
          <w:rFonts w:hint="eastAsia"/>
          <w:lang w:eastAsia="zh-CN"/>
        </w:rPr>
        <w:t>2024年</w:t>
      </w:r>
      <w:r>
        <w:t>度一般公共预算财政拨款支出</w:t>
      </w:r>
      <w:r>
        <w:rPr>
          <w:rFonts w:hint="eastAsia"/>
          <w:lang w:eastAsia="zh-CN"/>
        </w:rPr>
        <w:t>45.78</w:t>
      </w:r>
      <w:r>
        <w:t>万元，与2023年度相比，增加</w:t>
      </w:r>
      <w:r>
        <w:rPr>
          <w:rFonts w:hint="eastAsia"/>
          <w:lang w:eastAsia="zh-CN"/>
        </w:rPr>
        <w:t>45.78</w:t>
      </w:r>
      <w:r>
        <w:t>万元，增长100.0%。主要原因是</w:t>
      </w:r>
      <w:r>
        <w:rPr>
          <w:rFonts w:hint="eastAsia"/>
          <w:lang w:eastAsia="zh-CN"/>
        </w:rPr>
        <w:t>以前年度我单位所有经费开支并入重庆市铜梁区安溪镇人民政府（本级）决算统一反映，未独立列示，</w:t>
      </w:r>
      <w:r>
        <w:rPr>
          <w:rFonts w:hint="eastAsia"/>
          <w:lang w:val="en-US" w:eastAsia="zh-CN"/>
        </w:rPr>
        <w:t>2024年度我单位按照财政局相关要求单独编制决算，故本年决算数据全面反映我单位的开支明细，最终形成2024年度支出较2023年增加45.78万元</w:t>
      </w:r>
      <w:r>
        <w:t>。</w:t>
      </w:r>
      <w:r>
        <w:rPr>
          <w:rFonts w:ascii="方正仿宋_GBK" w:hAnsi="方正仿宋_GBK" w:eastAsia="方正仿宋_GBK" w:cs="方正仿宋_GBK"/>
          <w:sz w:val="32"/>
          <w:szCs w:val="32"/>
          <w:shd w:val="clear" w:color="auto" w:fill="FFFFFF"/>
        </w:rPr>
        <w:t>较年初预算数减少5.31万元，下降10.4%</w:t>
      </w:r>
      <w:r>
        <w:t>。主要原因是</w:t>
      </w:r>
      <w:r>
        <w:rPr>
          <w:rFonts w:hint="eastAsia"/>
          <w:lang w:val="en-US" w:eastAsia="zh-CN"/>
        </w:rPr>
        <w:t>2024年度区财政局为优先保障“三保”等重点支出，对我单位部分非紧急、非刚性的项目支出进行了暂缓支出，我单位涉及公用经费、其他项目支出等资金共计5.31万元未全额拨付</w:t>
      </w:r>
      <w:r>
        <w:t>。</w:t>
      </w:r>
    </w:p>
    <w:p w14:paraId="61456680">
      <w:pPr>
        <w:pageBreakBefore w:val="0"/>
        <w:kinsoku/>
        <w:wordWrap/>
        <w:overflowPunct/>
        <w:topLinePunct w:val="0"/>
        <w:autoSpaceDE/>
        <w:autoSpaceDN/>
        <w:bidi w:val="0"/>
        <w:adjustRightInd/>
        <w:spacing w:line="560" w:lineRule="exact"/>
        <w:textAlignment w:val="auto"/>
        <w:rPr>
          <w:rFonts w:hint="default"/>
        </w:rPr>
      </w:pPr>
      <w:r>
        <w:rPr>
          <w:b w:val="0"/>
          <w:bCs w:val="0"/>
        </w:rPr>
        <w:t>3.结转结余情况。</w:t>
      </w:r>
      <w:r>
        <w:rPr>
          <w:rFonts w:hint="eastAsia"/>
          <w:lang w:val="en-US" w:eastAsia="zh-CN"/>
        </w:rPr>
        <w:t>2024年度年末一般公共预算财政拨款结转和结余0万元，较上年决算数增加0万元</w:t>
      </w:r>
      <w:r>
        <w:t>。</w:t>
      </w:r>
    </w:p>
    <w:p w14:paraId="1C4DE213">
      <w:pPr>
        <w:pageBreakBefore w:val="0"/>
        <w:kinsoku/>
        <w:wordWrap/>
        <w:overflowPunct/>
        <w:topLinePunct w:val="0"/>
        <w:autoSpaceDE/>
        <w:autoSpaceDN/>
        <w:bidi w:val="0"/>
        <w:adjustRightInd/>
        <w:spacing w:line="560" w:lineRule="exact"/>
        <w:textAlignment w:val="auto"/>
      </w:pPr>
      <w:r>
        <w:rPr>
          <w:b w:val="0"/>
          <w:bCs w:val="0"/>
        </w:rPr>
        <w:t xml:space="preserve"> 4.比较情况</w:t>
      </w:r>
      <w:r>
        <w:rPr>
          <w:rFonts w:hint="eastAsia"/>
          <w:b w:val="0"/>
          <w:bCs w:val="0"/>
          <w:lang w:eastAsia="zh-CN"/>
        </w:rPr>
        <w:t>。</w:t>
      </w:r>
      <w:r>
        <w:t>本单位</w:t>
      </w:r>
      <w:r>
        <w:rPr>
          <w:rFonts w:hint="eastAsia"/>
          <w:lang w:eastAsia="zh-CN"/>
        </w:rPr>
        <w:t>2024年</w:t>
      </w:r>
      <w:r>
        <w:t>度一般公共预算财政拨款支出主要用于以下几个方面：</w:t>
      </w:r>
    </w:p>
    <w:p w14:paraId="7D3A645A">
      <w:pPr>
        <w:pageBreakBefore w:val="0"/>
        <w:kinsoku/>
        <w:wordWrap/>
        <w:overflowPunct/>
        <w:topLinePunct w:val="0"/>
        <w:autoSpaceDE/>
        <w:autoSpaceDN/>
        <w:bidi w:val="0"/>
        <w:adjustRightInd/>
        <w:spacing w:line="560" w:lineRule="exact"/>
        <w:textAlignment w:val="auto"/>
        <w:rPr>
          <w:rFonts w:hint="eastAsia"/>
          <w:lang w:val="en-US" w:eastAsia="zh-CN"/>
        </w:rPr>
      </w:pPr>
      <w:r>
        <w:t>（</w:t>
      </w:r>
      <w:r>
        <w:rPr>
          <w:rFonts w:hint="eastAsia"/>
          <w:lang w:val="en-US" w:eastAsia="zh-CN"/>
        </w:rPr>
        <w:t>1</w:t>
      </w:r>
      <w:r>
        <w:t>）</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42.38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92.57</w:t>
      </w:r>
      <w:r>
        <w:rPr>
          <w:rFonts w:ascii="方正仿宋_GBK" w:hAnsi="方正仿宋_GBK" w:eastAsia="方正仿宋_GBK" w:cs="方正仿宋_GBK"/>
          <w:sz w:val="32"/>
          <w:szCs w:val="32"/>
          <w:shd w:val="clear" w:color="auto" w:fill="FFFFFF"/>
        </w:rPr>
        <w:t>%，较年初预算数减少4.84万元，下降10.3%</w:t>
      </w:r>
      <w:r>
        <w:rPr>
          <w:rFonts w:hint="eastAsia" w:cs="方正仿宋_GBK"/>
          <w:sz w:val="32"/>
          <w:szCs w:val="32"/>
          <w:shd w:val="clear" w:color="auto" w:fill="FFFFFF"/>
          <w:lang w:val="en-US" w:eastAsia="zh-CN"/>
        </w:rPr>
        <w:t>,</w:t>
      </w:r>
      <w:r>
        <w:t>主要原因是</w:t>
      </w:r>
      <w:r>
        <w:rPr>
          <w:rFonts w:hint="eastAsia"/>
          <w:lang w:val="en-US" w:eastAsia="zh-CN"/>
        </w:rPr>
        <w:t>2024年度区财政局为优先保障“三保”等重点支出，对我单位部分非紧急、非刚性的项目支出进行了暂缓支出，我单位涉及事业单位绩效超高总量、职工教育费、未休假补贴、公用经费定额等预算资金共计4.84元未能全额拨付，最终形成2024年度决算支出低于年初预算</w:t>
      </w:r>
      <w:r>
        <w:t>。</w:t>
      </w:r>
    </w:p>
    <w:p w14:paraId="583FC88B">
      <w:pPr>
        <w:pageBreakBefore w:val="0"/>
        <w:kinsoku/>
        <w:wordWrap/>
        <w:overflowPunct/>
        <w:topLinePunct w:val="0"/>
        <w:autoSpaceDE/>
        <w:autoSpaceDN/>
        <w:bidi w:val="0"/>
        <w:adjustRightInd/>
        <w:spacing w:line="560" w:lineRule="exact"/>
        <w:textAlignment w:val="auto"/>
        <w:rPr>
          <w:rFonts w:hint="default"/>
        </w:rPr>
      </w:pPr>
      <w:r>
        <w:t>（</w:t>
      </w:r>
      <w:r>
        <w:rPr>
          <w:rFonts w:hint="eastAsia"/>
          <w:lang w:val="en-US" w:eastAsia="zh-CN"/>
        </w:rPr>
        <w:t>2</w:t>
      </w:r>
      <w:r>
        <w:t>）</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1.55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3.38</w:t>
      </w:r>
      <w:r>
        <w:rPr>
          <w:rFonts w:ascii="方正仿宋_GBK" w:hAnsi="方正仿宋_GBK" w:eastAsia="方正仿宋_GBK" w:cs="方正仿宋_GBK"/>
          <w:sz w:val="32"/>
          <w:szCs w:val="32"/>
          <w:shd w:val="clear" w:color="auto" w:fill="FFFFFF"/>
        </w:rPr>
        <w:t>%，较年初预算数减少0.46万元，下降22.9%，</w:t>
      </w:r>
      <w:r>
        <w:t>主要原因是</w:t>
      </w:r>
      <w:r>
        <w:rPr>
          <w:rFonts w:hint="eastAsia"/>
          <w:lang w:val="en-US" w:eastAsia="zh-CN"/>
        </w:rPr>
        <w:t>2024年度区财政局为优先保障“三保”等重点支出，对我单位部分非紧急、非刚性的项目支出进行了暂缓支出，我单位涉及退休公务员医疗补助缴费、在职公务员医疗补助缴费等预算资金共计0.46万元未能全额拨付，最终形成2024年度决算支出低于年初预算</w:t>
      </w:r>
      <w:r>
        <w:t>。</w:t>
      </w:r>
    </w:p>
    <w:p w14:paraId="602EE1A3">
      <w:pPr>
        <w:pageBreakBefore w:val="0"/>
        <w:kinsoku/>
        <w:wordWrap/>
        <w:overflowPunct/>
        <w:topLinePunct w:val="0"/>
        <w:autoSpaceDE/>
        <w:autoSpaceDN/>
        <w:bidi w:val="0"/>
        <w:adjustRightInd/>
        <w:spacing w:line="560" w:lineRule="exact"/>
        <w:textAlignment w:val="auto"/>
        <w:rPr>
          <w:rFonts w:hint="default"/>
        </w:rPr>
      </w:pPr>
      <w:r>
        <w:t>（</w:t>
      </w:r>
      <w:r>
        <w:rPr>
          <w:rFonts w:hint="eastAsia"/>
          <w:lang w:val="en-US" w:eastAsia="zh-CN"/>
        </w:rPr>
        <w:t>3</w:t>
      </w:r>
      <w:r>
        <w:t>）</w:t>
      </w:r>
      <w:r>
        <w:rPr>
          <w:rFonts w:ascii="方正仿宋_GBK" w:hAnsi="方正仿宋_GBK" w:eastAsia="方正仿宋_GBK" w:cs="方正仿宋_GBK"/>
          <w:sz w:val="32"/>
          <w:szCs w:val="32"/>
        </w:rPr>
        <w:t>住房保障支出1.85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4.05</w:t>
      </w:r>
      <w:r>
        <w:rPr>
          <w:rFonts w:ascii="方正仿宋_GBK" w:hAnsi="方正仿宋_GBK" w:eastAsia="方正仿宋_GBK" w:cs="方正仿宋_GBK"/>
          <w:sz w:val="32"/>
          <w:szCs w:val="32"/>
          <w:shd w:val="clear" w:color="auto" w:fill="FFFFFF"/>
        </w:rPr>
        <w:t>%，较年初预算数无增减，</w:t>
      </w:r>
      <w:r>
        <w:t>主要原因是</w:t>
      </w:r>
      <w:bookmarkStart w:id="1" w:name="_GoBack"/>
      <w:bookmarkEnd w:id="1"/>
      <w:r>
        <w:rPr>
          <w:rFonts w:hint="eastAsia"/>
          <w:lang w:eastAsia="zh-CN"/>
        </w:rPr>
        <w:t>严格按照预算执行</w:t>
      </w:r>
      <w:r>
        <w:t>。</w:t>
      </w:r>
    </w:p>
    <w:p w14:paraId="088CD006">
      <w:pPr>
        <w:pStyle w:val="6"/>
        <w:pageBreakBefore w:val="0"/>
        <w:kinsoku/>
        <w:wordWrap/>
        <w:overflowPunct/>
        <w:topLinePunct w:val="0"/>
        <w:autoSpaceDE/>
        <w:autoSpaceDN/>
        <w:bidi w:val="0"/>
        <w:adjustRightInd/>
        <w:spacing w:before="0" w:beforeLines="0" w:after="0" w:afterLines="0" w:line="560" w:lineRule="exact"/>
        <w:textAlignment w:val="auto"/>
      </w:pPr>
      <w:r>
        <w:rPr>
          <w:rFonts w:hint="eastAsia"/>
        </w:rPr>
        <w:t>（四）一般公共预算财政拨款基本支出决算情况说明</w:t>
      </w:r>
    </w:p>
    <w:p w14:paraId="6A446F9B">
      <w:pPr>
        <w:pStyle w:val="9"/>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hint="eastAsia" w:cs="方正仿宋_GBK"/>
          <w:sz w:val="32"/>
          <w:szCs w:val="32"/>
          <w:lang w:val="en-US" w:eastAsia="zh-CN"/>
        </w:rPr>
        <w:t>41.4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36.47</w:t>
      </w:r>
      <w:r>
        <w:rPr>
          <w:rFonts w:ascii="方正仿宋_GBK" w:hAnsi="方正仿宋_GBK" w:eastAsia="方正仿宋_GBK" w:cs="方正仿宋_GBK"/>
          <w:sz w:val="32"/>
          <w:szCs w:val="32"/>
          <w:shd w:val="clear" w:color="auto" w:fill="FFFFFF"/>
        </w:rPr>
        <w:t>万元，与2023年度相比，增加36.47万元，增长100.0%，</w:t>
      </w:r>
      <w:r>
        <w:t>主要原因是</w:t>
      </w:r>
      <w:r>
        <w:rPr>
          <w:rFonts w:hint="eastAsia"/>
          <w:lang w:eastAsia="zh-CN"/>
        </w:rPr>
        <w:t>以前年度我单位所有经费开支并入重庆市铜梁区安溪镇人民政府（本级）决算统一反映，未独立列示，</w:t>
      </w:r>
      <w:r>
        <w:rPr>
          <w:rFonts w:hint="eastAsia"/>
          <w:lang w:val="en-US" w:eastAsia="zh-CN"/>
        </w:rPr>
        <w:t>2024年度我单位按照财政局相关要求单独编制决算，故本年决算数据全面反映我单位的开支明细，最终形成2024年度支出较2023年增加36.47万元</w:t>
      </w:r>
      <w:r>
        <w:t>。人员经费用途主要包括</w:t>
      </w:r>
      <w:r>
        <w:rPr>
          <w:rFonts w:hint="eastAsia"/>
          <w:lang w:val="en-US" w:eastAsia="zh-CN"/>
        </w:rPr>
        <w:t>基本工资、津贴补贴、奖金、社会保障缴费、住房公积金等</w:t>
      </w:r>
      <w:r>
        <w:t>。</w:t>
      </w:r>
      <w:r>
        <w:rPr>
          <w:rFonts w:ascii="方正仿宋_GBK" w:hAnsi="方正仿宋_GBK" w:eastAsia="方正仿宋_GBK" w:cs="方正仿宋_GBK"/>
          <w:sz w:val="32"/>
          <w:szCs w:val="32"/>
          <w:shd w:val="clear" w:color="auto" w:fill="FFFFFF"/>
        </w:rPr>
        <w:t>公用经费</w:t>
      </w:r>
      <w:r>
        <w:rPr>
          <w:rFonts w:hint="eastAsia" w:cs="方正仿宋_GBK"/>
          <w:sz w:val="32"/>
          <w:szCs w:val="32"/>
          <w:lang w:val="en-US" w:eastAsia="zh-CN"/>
        </w:rPr>
        <w:t>4.66</w:t>
      </w:r>
      <w:r>
        <w:rPr>
          <w:rFonts w:ascii="方正仿宋_GBK" w:hAnsi="方正仿宋_GBK" w:eastAsia="方正仿宋_GBK" w:cs="方正仿宋_GBK"/>
          <w:sz w:val="32"/>
          <w:szCs w:val="32"/>
          <w:shd w:val="clear" w:color="auto" w:fill="FFFFFF"/>
        </w:rPr>
        <w:t>万元，与2023年度相比，增加</w:t>
      </w:r>
      <w:r>
        <w:rPr>
          <w:rFonts w:hint="eastAsia" w:cs="方正仿宋_GBK"/>
          <w:sz w:val="32"/>
          <w:szCs w:val="32"/>
          <w:shd w:val="clear" w:color="auto" w:fill="FFFFFF"/>
          <w:lang w:val="en-US" w:eastAsia="zh-CN"/>
        </w:rPr>
        <w:t>4.66</w:t>
      </w:r>
      <w:r>
        <w:rPr>
          <w:rFonts w:ascii="方正仿宋_GBK" w:hAnsi="方正仿宋_GBK" w:eastAsia="方正仿宋_GBK" w:cs="方正仿宋_GBK"/>
          <w:sz w:val="32"/>
          <w:szCs w:val="32"/>
          <w:shd w:val="clear" w:color="auto" w:fill="FFFFFF"/>
        </w:rPr>
        <w:t>万元，增长100.0%</w:t>
      </w:r>
      <w:r>
        <w:t>，主要原因是</w:t>
      </w:r>
      <w:r>
        <w:rPr>
          <w:rFonts w:hint="eastAsia"/>
          <w:lang w:eastAsia="zh-CN"/>
        </w:rPr>
        <w:t>以前年度我单位所有经费开支并入重庆市铜梁区安溪镇人民政府（本级）决算统一反映，未独立列示，</w:t>
      </w:r>
      <w:r>
        <w:rPr>
          <w:rFonts w:hint="eastAsia"/>
          <w:lang w:val="en-US" w:eastAsia="zh-CN"/>
        </w:rPr>
        <w:t>2024年度我单位按照财政局相关要求单独编制决算，故本年决算数据全面反映我单位的开支明细，最终形成2024年度公用经费支出较2023年增加4.66万元</w:t>
      </w:r>
      <w:r>
        <w:rPr>
          <w:rFonts w:hint="eastAsia"/>
          <w:lang w:eastAsia="zh-CN"/>
        </w:rPr>
        <w:t>。公用经费用途主要包括</w:t>
      </w:r>
      <w:r>
        <w:rPr>
          <w:rFonts w:hint="eastAsia"/>
          <w:lang w:val="en-US" w:eastAsia="zh-CN"/>
        </w:rPr>
        <w:t>办公费、水费、电费、邮电费、差旅费、维修（护）费等</w:t>
      </w:r>
      <w:r>
        <w:t>。</w:t>
      </w:r>
    </w:p>
    <w:p w14:paraId="4F37CC5B">
      <w:pPr>
        <w:pStyle w:val="6"/>
        <w:pageBreakBefore w:val="0"/>
        <w:kinsoku/>
        <w:wordWrap/>
        <w:overflowPunct/>
        <w:topLinePunct w:val="0"/>
        <w:autoSpaceDE/>
        <w:autoSpaceDN/>
        <w:bidi w:val="0"/>
        <w:adjustRightInd/>
        <w:spacing w:before="0" w:beforeLines="0" w:after="0" w:afterLines="0" w:line="560" w:lineRule="exact"/>
        <w:textAlignment w:val="auto"/>
      </w:pPr>
      <w:r>
        <w:rPr>
          <w:rFonts w:hint="eastAsia"/>
        </w:rPr>
        <w:t>（五）政府性基金预算收支决算情况说明</w:t>
      </w:r>
    </w:p>
    <w:p w14:paraId="57123BA2">
      <w:pPr>
        <w:pageBreakBefore w:val="0"/>
        <w:kinsoku/>
        <w:wordWrap/>
        <w:overflowPunct/>
        <w:topLinePunct w:val="0"/>
        <w:autoSpaceDE/>
        <w:autoSpaceDN/>
        <w:bidi w:val="0"/>
        <w:adjustRightInd/>
        <w:spacing w:line="560" w:lineRule="exact"/>
        <w:textAlignment w:val="auto"/>
        <w:rPr>
          <w:rFonts w:hint="default"/>
        </w:rPr>
      </w:pPr>
      <w:r>
        <w:t>本单位</w:t>
      </w:r>
      <w:r>
        <w:rPr>
          <w:rFonts w:hint="eastAsia"/>
          <w:lang w:eastAsia="zh-CN"/>
        </w:rPr>
        <w:t>2024年</w:t>
      </w:r>
      <w:r>
        <w:t>度无政府性基金预算财政拨款收支。</w:t>
      </w:r>
    </w:p>
    <w:p w14:paraId="7AFD65EA">
      <w:pPr>
        <w:pStyle w:val="6"/>
        <w:pageBreakBefore w:val="0"/>
        <w:kinsoku/>
        <w:wordWrap/>
        <w:overflowPunct/>
        <w:topLinePunct w:val="0"/>
        <w:autoSpaceDE/>
        <w:autoSpaceDN/>
        <w:bidi w:val="0"/>
        <w:adjustRightInd/>
        <w:spacing w:before="0" w:beforeLines="0" w:after="0" w:afterLines="0" w:line="560" w:lineRule="exact"/>
        <w:textAlignment w:val="auto"/>
      </w:pPr>
      <w:r>
        <w:rPr>
          <w:rFonts w:hint="eastAsia"/>
        </w:rPr>
        <w:t>（六）国有资本经营预算财政拨款支出决算情况说明</w:t>
      </w:r>
    </w:p>
    <w:p w14:paraId="790C8ECC">
      <w:pPr>
        <w:pageBreakBefore w:val="0"/>
        <w:kinsoku/>
        <w:wordWrap/>
        <w:overflowPunct/>
        <w:topLinePunct w:val="0"/>
        <w:autoSpaceDE/>
        <w:autoSpaceDN/>
        <w:bidi w:val="0"/>
        <w:adjustRightInd/>
        <w:spacing w:line="560" w:lineRule="exact"/>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t>本单位</w:t>
      </w:r>
      <w:r>
        <w:rPr>
          <w:rFonts w:hint="eastAsia"/>
          <w:lang w:eastAsia="zh-CN"/>
        </w:rPr>
        <w:t>2024年</w:t>
      </w:r>
      <w:r>
        <w:t>度无国有资本经营预算财政拨款支出。</w:t>
      </w:r>
    </w:p>
    <w:p w14:paraId="38ADDC40">
      <w:pPr>
        <w:pStyle w:val="5"/>
        <w:pageBreakBefore w:val="0"/>
        <w:kinsoku/>
        <w:wordWrap/>
        <w:overflowPunct/>
        <w:topLinePunct w:val="0"/>
        <w:autoSpaceDE/>
        <w:autoSpaceDN/>
        <w:bidi w:val="0"/>
        <w:adjustRightInd/>
        <w:spacing w:before="0" w:beforeLines="0" w:after="0" w:afterLines="0" w:line="560" w:lineRule="exact"/>
        <w:textAlignment w:val="auto"/>
        <w:rPr>
          <w:rFonts w:hint="default" w:ascii="方正黑体_GBK" w:hAnsi="方正黑体_GBK" w:eastAsia="方正黑体_GBK" w:cs="方正黑体_GBK"/>
        </w:rPr>
      </w:pPr>
      <w:r>
        <w:rPr>
          <w:rFonts w:hint="eastAsia" w:ascii="方正黑体_GBK" w:hAnsi="方正黑体_GBK" w:eastAsia="方正黑体_GBK" w:cs="方正黑体_GBK"/>
        </w:rPr>
        <w:t>三、</w:t>
      </w:r>
      <w:r>
        <w:rPr>
          <w:rFonts w:hint="eastAsia" w:ascii="方正黑体_GBK" w:hAnsi="方正黑体_GBK" w:eastAsia="方正黑体_GBK" w:cs="方正黑体_GBK"/>
          <w:lang w:eastAsia="zh-CN"/>
        </w:rPr>
        <w:t>财政拨款</w:t>
      </w:r>
      <w:r>
        <w:rPr>
          <w:rFonts w:hint="eastAsia" w:ascii="方正黑体_GBK" w:hAnsi="方正黑体_GBK" w:eastAsia="方正黑体_GBK" w:cs="方正黑体_GBK"/>
        </w:rPr>
        <w:t>“三公”经费情况说明</w:t>
      </w:r>
    </w:p>
    <w:p w14:paraId="7AC89750">
      <w:pPr>
        <w:pStyle w:val="6"/>
        <w:pageBreakBefore w:val="0"/>
        <w:kinsoku/>
        <w:wordWrap/>
        <w:overflowPunct/>
        <w:topLinePunct w:val="0"/>
        <w:autoSpaceDE/>
        <w:autoSpaceDN/>
        <w:bidi w:val="0"/>
        <w:adjustRightInd/>
        <w:spacing w:before="0" w:beforeLines="0" w:after="0" w:afterLines="0" w:line="560" w:lineRule="exact"/>
        <w:textAlignment w:val="auto"/>
      </w:pPr>
      <w:r>
        <w:rPr>
          <w:rFonts w:hint="eastAsia"/>
        </w:rPr>
        <w:t>（一）“三公”经费支出总体情况说明</w:t>
      </w:r>
    </w:p>
    <w:p w14:paraId="674D11FA">
      <w:pPr>
        <w:pageBreakBefore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hint="eastAsia" w:cs="方正仿宋_GBK"/>
          <w:sz w:val="32"/>
          <w:szCs w:val="32"/>
          <w:lang w:val="en-US" w:eastAsia="zh-CN"/>
        </w:rPr>
        <w:t>0</w:t>
      </w:r>
      <w:r>
        <w:rPr>
          <w:rFonts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shd w:val="clear" w:color="auto" w:fill="FFFFFF"/>
          <w:lang w:val="en-US" w:eastAsia="zh-CN"/>
        </w:rPr>
        <w:t>2024年度不存在</w:t>
      </w:r>
      <w:r>
        <w:rPr>
          <w:rFonts w:ascii="方正仿宋_GBK" w:hAnsi="方正仿宋_GBK" w:eastAsia="方正仿宋_GBK" w:cs="方正仿宋_GBK"/>
          <w:sz w:val="32"/>
          <w:szCs w:val="32"/>
          <w:shd w:val="clear" w:color="auto" w:fill="FFFFFF"/>
        </w:rPr>
        <w:t>“三公”经费支出。较上年支出数无增减，主要原因是</w:t>
      </w:r>
      <w:r>
        <w:rPr>
          <w:rFonts w:hint="eastAsia"/>
        </w:rPr>
        <w:t>本单位202</w:t>
      </w:r>
      <w:r>
        <w:rPr>
          <w:rFonts w:hint="eastAsia"/>
          <w:lang w:val="en-US" w:eastAsia="zh-CN"/>
        </w:rPr>
        <w:t>4</w:t>
      </w:r>
      <w:r>
        <w:rPr>
          <w:rFonts w:hint="eastAsia"/>
        </w:rPr>
        <w:t>年度未发生</w:t>
      </w:r>
      <w:r>
        <w:rPr>
          <w:rFonts w:ascii="方正仿宋_GBK" w:hAnsi="方正仿宋_GBK" w:eastAsia="方正仿宋_GBK" w:cs="方正仿宋_GBK"/>
          <w:sz w:val="32"/>
          <w:szCs w:val="32"/>
          <w:shd w:val="clear" w:color="auto" w:fill="FFFFFF"/>
        </w:rPr>
        <w:t>“三公”经费支出</w:t>
      </w:r>
      <w:r>
        <w:rPr>
          <w:rFonts w:hint="eastAsia"/>
        </w:rPr>
        <w:t>，与上年度决算数持平</w:t>
      </w:r>
      <w:r>
        <w:rPr>
          <w:rFonts w:hint="eastAsia"/>
          <w:lang w:eastAsia="zh-CN"/>
        </w:rPr>
        <w:t>。</w:t>
      </w:r>
    </w:p>
    <w:p w14:paraId="6948CF04">
      <w:pPr>
        <w:pStyle w:val="6"/>
        <w:pageBreakBefore w:val="0"/>
        <w:kinsoku/>
        <w:wordWrap/>
        <w:overflowPunct/>
        <w:topLinePunct w:val="0"/>
        <w:autoSpaceDE/>
        <w:autoSpaceDN/>
        <w:bidi w:val="0"/>
        <w:adjustRightInd/>
        <w:spacing w:before="0" w:beforeLines="0" w:after="0" w:afterLines="0" w:line="560" w:lineRule="exact"/>
        <w:textAlignment w:val="auto"/>
      </w:pPr>
      <w:r>
        <w:rPr>
          <w:rFonts w:hint="eastAsia"/>
        </w:rPr>
        <w:t>（二）“三公”经费分项支出情况</w:t>
      </w:r>
    </w:p>
    <w:p w14:paraId="6CBAED4D">
      <w:pPr>
        <w:pageBreakBefore w:val="0"/>
        <w:kinsoku/>
        <w:wordWrap/>
        <w:overflowPunct/>
        <w:topLinePunct w:val="0"/>
        <w:autoSpaceDE/>
        <w:autoSpaceDN/>
        <w:bidi w:val="0"/>
        <w:adjustRightInd/>
        <w:spacing w:line="560" w:lineRule="exact"/>
        <w:textAlignment w:val="auto"/>
        <w:rPr>
          <w:rFonts w:hint="eastAsia"/>
          <w:lang w:eastAsia="zh-CN"/>
        </w:rPr>
      </w:pPr>
      <w:r>
        <w:rPr>
          <w:rFonts w:hint="eastAsia"/>
          <w:lang w:eastAsia="zh-CN"/>
        </w:rPr>
        <w:t>2024年</w:t>
      </w:r>
      <w:r>
        <w:t>度本单位因公出国（境）费用</w:t>
      </w:r>
      <w:r>
        <w:rPr>
          <w:rFonts w:hint="eastAsia"/>
          <w:lang w:val="en-US" w:eastAsia="zh-CN"/>
        </w:rPr>
        <w:t>0</w:t>
      </w:r>
      <w:r>
        <w:t>万元。费用支出较年初预算数无增减，主要原因是</w:t>
      </w:r>
      <w:r>
        <w:rPr>
          <w:rFonts w:hint="eastAsia"/>
        </w:rPr>
        <w:t>202</w:t>
      </w:r>
      <w:r>
        <w:rPr>
          <w:rFonts w:hint="eastAsia"/>
          <w:lang w:val="en-US" w:eastAsia="zh-CN"/>
        </w:rPr>
        <w:t>4</w:t>
      </w:r>
      <w:r>
        <w:rPr>
          <w:rFonts w:hint="eastAsia"/>
        </w:rPr>
        <w:t>年度我单位无因公出国（境）支出</w:t>
      </w:r>
      <w:r>
        <w:rPr>
          <w:rFonts w:hint="eastAsia"/>
          <w:lang w:eastAsia="zh-CN"/>
        </w:rPr>
        <w:t>。</w:t>
      </w:r>
      <w:r>
        <w:t>与2023年度相比，无增减，主要原因是</w:t>
      </w:r>
      <w:r>
        <w:rPr>
          <w:rFonts w:hint="eastAsia"/>
        </w:rPr>
        <w:t>202</w:t>
      </w:r>
      <w:r>
        <w:rPr>
          <w:rFonts w:hint="eastAsia"/>
          <w:lang w:val="en-US" w:eastAsia="zh-CN"/>
        </w:rPr>
        <w:t>4</w:t>
      </w:r>
      <w:r>
        <w:rPr>
          <w:rFonts w:hint="eastAsia"/>
        </w:rPr>
        <w:t>年度我单位无因公出国（境）支出，与上年度决算数持平</w:t>
      </w:r>
      <w:r>
        <w:rPr>
          <w:rFonts w:hint="eastAsia"/>
          <w:lang w:eastAsia="zh-CN"/>
        </w:rPr>
        <w:t>。</w:t>
      </w:r>
    </w:p>
    <w:p w14:paraId="2208FAF1">
      <w:pPr>
        <w:pageBreakBefore w:val="0"/>
        <w:kinsoku/>
        <w:wordWrap/>
        <w:overflowPunct/>
        <w:topLinePunct w:val="0"/>
        <w:autoSpaceDE/>
        <w:autoSpaceDN/>
        <w:bidi w:val="0"/>
        <w:adjustRightInd/>
        <w:spacing w:line="560" w:lineRule="exact"/>
        <w:textAlignment w:val="auto"/>
        <w:rPr>
          <w:rFonts w:hint="default"/>
        </w:rPr>
      </w:pPr>
      <w:r>
        <w:t>公务车购置费</w:t>
      </w:r>
      <w:r>
        <w:rPr>
          <w:rFonts w:hint="eastAsia"/>
          <w:lang w:val="en-US" w:eastAsia="zh-CN"/>
        </w:rPr>
        <w:t>0</w:t>
      </w:r>
      <w:r>
        <w:t>万元，费用支出较年初预算数无增减，主要原因是</w:t>
      </w:r>
      <w:r>
        <w:rPr>
          <w:rFonts w:hint="eastAsia"/>
        </w:rPr>
        <w:t>202</w:t>
      </w:r>
      <w:r>
        <w:rPr>
          <w:rFonts w:hint="eastAsia"/>
          <w:lang w:val="en-US" w:eastAsia="zh-CN"/>
        </w:rPr>
        <w:t>4</w:t>
      </w:r>
      <w:r>
        <w:rPr>
          <w:rFonts w:hint="eastAsia"/>
        </w:rPr>
        <w:t>年度我单位无</w:t>
      </w:r>
      <w:r>
        <w:t>公务车购置费。与2023年度相比，无增减，主要原因是</w:t>
      </w:r>
      <w:r>
        <w:rPr>
          <w:rFonts w:hint="eastAsia"/>
        </w:rPr>
        <w:t>无</w:t>
      </w:r>
      <w:r>
        <w:t>公务车购置费</w:t>
      </w:r>
      <w:r>
        <w:rPr>
          <w:rFonts w:hint="eastAsia"/>
        </w:rPr>
        <w:t>，与上年度决算数持平</w:t>
      </w:r>
      <w:r>
        <w:t>。</w:t>
      </w:r>
    </w:p>
    <w:p w14:paraId="0B6E0233">
      <w:pPr>
        <w:pageBreakBefore w:val="0"/>
        <w:kinsoku/>
        <w:wordWrap/>
        <w:overflowPunct/>
        <w:topLinePunct w:val="0"/>
        <w:autoSpaceDE/>
        <w:autoSpaceDN/>
        <w:bidi w:val="0"/>
        <w:adjustRightInd/>
        <w:spacing w:line="560" w:lineRule="exact"/>
        <w:textAlignment w:val="auto"/>
        <w:rPr>
          <w:rFonts w:hint="eastAsia"/>
          <w:lang w:eastAsia="zh-CN"/>
        </w:rPr>
      </w:pPr>
      <w:r>
        <w:t>公务车运行维护费</w:t>
      </w:r>
      <w:r>
        <w:rPr>
          <w:rFonts w:hint="eastAsia"/>
          <w:lang w:val="en-US" w:eastAsia="zh-CN"/>
        </w:rPr>
        <w:t>0</w:t>
      </w:r>
      <w:r>
        <w:t>万元，费用支出较年初预算数无增减，主要原因是</w:t>
      </w:r>
      <w:r>
        <w:rPr>
          <w:rFonts w:hint="eastAsia"/>
          <w:lang w:eastAsia="zh-CN"/>
        </w:rPr>
        <w:t>我单位无</w:t>
      </w:r>
      <w:r>
        <w:t>公务车运行维护费</w:t>
      </w:r>
      <w:r>
        <w:rPr>
          <w:rFonts w:hint="eastAsia"/>
          <w:lang w:eastAsia="zh-CN"/>
        </w:rPr>
        <w:t>。</w:t>
      </w:r>
      <w:r>
        <w:t>与2023年度相比，无增减，主要原因是</w:t>
      </w:r>
      <w:r>
        <w:rPr>
          <w:rFonts w:hint="eastAsia"/>
        </w:rPr>
        <w:t>无</w:t>
      </w:r>
      <w:r>
        <w:t>公务车运行维护费</w:t>
      </w:r>
      <w:r>
        <w:rPr>
          <w:rFonts w:hint="eastAsia"/>
        </w:rPr>
        <w:t>，与上年度决算数持平</w:t>
      </w:r>
      <w:r>
        <w:rPr>
          <w:rFonts w:hint="eastAsia"/>
          <w:lang w:eastAsia="zh-CN"/>
        </w:rPr>
        <w:t>。</w:t>
      </w:r>
    </w:p>
    <w:p w14:paraId="0C8CBB66">
      <w:pPr>
        <w:pageBreakBefore w:val="0"/>
        <w:kinsoku/>
        <w:wordWrap/>
        <w:overflowPunct/>
        <w:topLinePunct w:val="0"/>
        <w:autoSpaceDE/>
        <w:autoSpaceDN/>
        <w:bidi w:val="0"/>
        <w:adjustRightInd/>
        <w:spacing w:line="560" w:lineRule="exact"/>
        <w:textAlignment w:val="auto"/>
        <w:rPr>
          <w:rFonts w:hint="eastAsia"/>
          <w:lang w:eastAsia="zh-CN"/>
        </w:rPr>
      </w:pPr>
      <w:r>
        <w:t>公务接待费</w:t>
      </w:r>
      <w:r>
        <w:rPr>
          <w:rFonts w:hint="eastAsia"/>
          <w:lang w:val="en-US" w:eastAsia="zh-CN"/>
        </w:rPr>
        <w:t>0</w:t>
      </w:r>
      <w:r>
        <w:t>万元</w:t>
      </w:r>
      <w:r>
        <w:rPr>
          <w:rFonts w:hint="eastAsia"/>
          <w:lang w:eastAsia="zh-CN"/>
        </w:rPr>
        <w:t>。</w:t>
      </w:r>
      <w:r>
        <w:t>费用支出较年初预算数无增减，主要原因是</w:t>
      </w:r>
      <w:r>
        <w:rPr>
          <w:rFonts w:hint="eastAsia"/>
          <w:lang w:eastAsia="zh-CN"/>
        </w:rPr>
        <w:t>我单位无</w:t>
      </w:r>
      <w:r>
        <w:t>公务接待费</w:t>
      </w:r>
      <w:r>
        <w:rPr>
          <w:rFonts w:hint="eastAsia"/>
          <w:lang w:eastAsia="zh-CN"/>
        </w:rPr>
        <w:t>。</w:t>
      </w:r>
      <w:r>
        <w:t>较上年支出数无增减，主要原因是</w:t>
      </w:r>
      <w:r>
        <w:rPr>
          <w:rFonts w:hint="eastAsia"/>
        </w:rPr>
        <w:t>无</w:t>
      </w:r>
      <w:r>
        <w:t>公务接待费</w:t>
      </w:r>
      <w:r>
        <w:rPr>
          <w:rFonts w:hint="eastAsia"/>
        </w:rPr>
        <w:t>，与上年度决算数持平</w:t>
      </w:r>
      <w:r>
        <w:rPr>
          <w:rFonts w:hint="eastAsia"/>
          <w:lang w:eastAsia="zh-CN"/>
        </w:rPr>
        <w:t>。</w:t>
      </w:r>
    </w:p>
    <w:p w14:paraId="12F69782">
      <w:pPr>
        <w:pStyle w:val="6"/>
        <w:pageBreakBefore w:val="0"/>
        <w:kinsoku/>
        <w:wordWrap/>
        <w:overflowPunct/>
        <w:topLinePunct w:val="0"/>
        <w:autoSpaceDE/>
        <w:autoSpaceDN/>
        <w:bidi w:val="0"/>
        <w:adjustRightInd/>
        <w:spacing w:before="0" w:beforeLines="0" w:after="0" w:afterLines="0" w:line="560" w:lineRule="exact"/>
        <w:textAlignment w:val="auto"/>
      </w:pPr>
      <w:r>
        <w:rPr>
          <w:rFonts w:hint="eastAsia"/>
        </w:rPr>
        <w:t>（三）“三公”经费实物量情况</w:t>
      </w:r>
    </w:p>
    <w:p w14:paraId="604ED571">
      <w:pPr>
        <w:pageBreakBefore w:val="0"/>
        <w:kinsoku/>
        <w:wordWrap/>
        <w:overflowPunct/>
        <w:topLinePunct w:val="0"/>
        <w:autoSpaceDE/>
        <w:autoSpaceDN/>
        <w:bidi w:val="0"/>
        <w:adjustRightInd/>
        <w:spacing w:line="560" w:lineRule="exact"/>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19082FF9">
      <w:pPr>
        <w:pStyle w:val="5"/>
        <w:pageBreakBefore w:val="0"/>
        <w:kinsoku/>
        <w:wordWrap/>
        <w:overflowPunct/>
        <w:topLinePunct w:val="0"/>
        <w:autoSpaceDE/>
        <w:autoSpaceDN/>
        <w:bidi w:val="0"/>
        <w:adjustRightInd/>
        <w:spacing w:before="0" w:beforeLines="0" w:after="0" w:afterLines="0" w:line="560" w:lineRule="exact"/>
        <w:textAlignment w:val="auto"/>
        <w:rPr>
          <w:rFonts w:hint="default" w:ascii="方正黑体_GBK" w:hAnsi="方正黑体_GBK" w:eastAsia="方正黑体_GBK" w:cs="方正黑体_GBK"/>
        </w:rPr>
      </w:pPr>
      <w:r>
        <w:rPr>
          <w:rFonts w:hint="eastAsia" w:ascii="方正黑体_GBK" w:hAnsi="方正黑体_GBK" w:eastAsia="方正黑体_GBK" w:cs="方正黑体_GBK"/>
        </w:rPr>
        <w:t>四、其他需要说明的事项</w:t>
      </w:r>
    </w:p>
    <w:p w14:paraId="7C056D3B">
      <w:pPr>
        <w:pStyle w:val="6"/>
        <w:pageBreakBefore w:val="0"/>
        <w:kinsoku/>
        <w:wordWrap/>
        <w:overflowPunct/>
        <w:topLinePunct w:val="0"/>
        <w:autoSpaceDE/>
        <w:autoSpaceDN/>
        <w:bidi w:val="0"/>
        <w:adjustRightInd/>
        <w:spacing w:before="0" w:beforeLines="0" w:after="0" w:afterLines="0" w:line="560" w:lineRule="exact"/>
        <w:textAlignment w:val="auto"/>
      </w:pPr>
      <w:r>
        <w:rPr>
          <w:rFonts w:hint="eastAsia"/>
        </w:rPr>
        <w:t>（一）财政拨款会议费和培训费情况说明</w:t>
      </w:r>
    </w:p>
    <w:p w14:paraId="0BCD09F3">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eastAsia" w:cs="方正仿宋_GBK"/>
          <w:sz w:val="32"/>
          <w:szCs w:val="32"/>
          <w:lang w:val="en-US" w:eastAsia="zh-CN"/>
        </w:rPr>
        <w:t>0</w:t>
      </w:r>
      <w:r>
        <w:rPr>
          <w:rFonts w:ascii="方正仿宋_GBK" w:hAnsi="方正仿宋_GBK" w:eastAsia="方正仿宋_GBK" w:cs="方正仿宋_GBK"/>
          <w:sz w:val="32"/>
          <w:szCs w:val="32"/>
          <w:shd w:val="clear" w:color="auto" w:fill="FFFFFF"/>
        </w:rPr>
        <w:t>万元，与2023年度相比，无增减，主要原因是</w:t>
      </w:r>
      <w:r>
        <w:rPr>
          <w:rFonts w:hint="eastAsia"/>
          <w:lang w:eastAsia="zh-CN"/>
        </w:rPr>
        <w:t>我单位</w:t>
      </w:r>
      <w:r>
        <w:rPr>
          <w:rFonts w:hint="eastAsia"/>
          <w:lang w:val="en-US" w:eastAsia="zh-CN"/>
        </w:rPr>
        <w:t>2024年度未开展会议培训，不存在会议费用支出</w:t>
      </w:r>
      <w:r>
        <w:rPr>
          <w:rFonts w:ascii="方正仿宋_GBK" w:hAnsi="方正仿宋_GBK" w:eastAsia="方正仿宋_GBK" w:cs="方正仿宋_GBK"/>
          <w:sz w:val="32"/>
          <w:szCs w:val="32"/>
          <w:shd w:val="clear" w:color="auto" w:fill="FFFFFF"/>
        </w:rPr>
        <w:t>。本年度培训费支出</w:t>
      </w:r>
      <w:r>
        <w:rPr>
          <w:rFonts w:hint="eastAsia" w:cs="方正仿宋_GBK"/>
          <w:sz w:val="32"/>
          <w:szCs w:val="32"/>
          <w:lang w:val="en-US" w:eastAsia="zh-CN"/>
        </w:rPr>
        <w:t>0</w:t>
      </w:r>
      <w:r>
        <w:rPr>
          <w:rFonts w:ascii="方正仿宋_GBK" w:hAnsi="方正仿宋_GBK" w:eastAsia="方正仿宋_GBK" w:cs="方正仿宋_GBK"/>
          <w:sz w:val="32"/>
          <w:szCs w:val="32"/>
          <w:shd w:val="clear" w:color="auto" w:fill="FFFFFF"/>
        </w:rPr>
        <w:t>万元，与2023年度相比，无变化，主要原因是</w:t>
      </w:r>
      <w:r>
        <w:rPr>
          <w:rFonts w:hint="eastAsia"/>
          <w:lang w:eastAsia="zh-CN"/>
        </w:rPr>
        <w:t>我单位</w:t>
      </w:r>
      <w:r>
        <w:rPr>
          <w:rFonts w:hint="eastAsia"/>
          <w:lang w:val="en-US" w:eastAsia="zh-CN"/>
        </w:rPr>
        <w:t>2024年度未开展集中培训，未列支培训费用支出</w:t>
      </w:r>
      <w:r>
        <w:rPr>
          <w:rFonts w:ascii="方正仿宋_GBK" w:hAnsi="方正仿宋_GBK" w:eastAsia="方正仿宋_GBK" w:cs="方正仿宋_GBK"/>
          <w:sz w:val="32"/>
          <w:szCs w:val="32"/>
          <w:shd w:val="clear" w:color="auto" w:fill="FFFFFF"/>
        </w:rPr>
        <w:t>。</w:t>
      </w:r>
    </w:p>
    <w:p w14:paraId="464C76F5">
      <w:pPr>
        <w:pStyle w:val="6"/>
        <w:pageBreakBefore w:val="0"/>
        <w:kinsoku/>
        <w:wordWrap/>
        <w:overflowPunct/>
        <w:topLinePunct w:val="0"/>
        <w:autoSpaceDE/>
        <w:autoSpaceDN/>
        <w:bidi w:val="0"/>
        <w:adjustRightInd/>
        <w:spacing w:before="0" w:beforeLines="0" w:after="0" w:afterLines="0" w:line="560" w:lineRule="exact"/>
        <w:textAlignment w:val="auto"/>
      </w:pPr>
      <w:r>
        <w:rPr>
          <w:rFonts w:hint="eastAsia"/>
        </w:rPr>
        <w:t>（二）机关运行经费情况说明</w:t>
      </w:r>
    </w:p>
    <w:p w14:paraId="6B95270F">
      <w:pPr>
        <w:pageBreakBefore w:val="0"/>
        <w:kinsoku/>
        <w:wordWrap/>
        <w:overflowPunct/>
        <w:topLinePunct w:val="0"/>
        <w:autoSpaceDE/>
        <w:autoSpaceDN/>
        <w:bidi w:val="0"/>
        <w:adjustRightInd/>
        <w:spacing w:line="560" w:lineRule="exact"/>
        <w:textAlignment w:val="auto"/>
        <w:rPr>
          <w:rFonts w:hint="default" w:ascii="方正仿宋_GBK" w:hAnsi="方正仿宋_GBK" w:eastAsia="方正仿宋_GBK" w:cs="方正仿宋_GBK"/>
          <w:color w:val="FF0000"/>
          <w:szCs w:val="32"/>
        </w:rPr>
      </w:pPr>
      <w:r>
        <w:rPr>
          <w:rFonts w:hint="default"/>
        </w:rPr>
        <w:t>按照部门决算列报口径，我单位不在机关运行经费统计范围之内。</w:t>
      </w:r>
    </w:p>
    <w:p w14:paraId="2D440BDE">
      <w:pPr>
        <w:pStyle w:val="6"/>
        <w:pageBreakBefore w:val="0"/>
        <w:kinsoku/>
        <w:wordWrap/>
        <w:overflowPunct/>
        <w:topLinePunct w:val="0"/>
        <w:autoSpaceDE/>
        <w:autoSpaceDN/>
        <w:bidi w:val="0"/>
        <w:adjustRightInd/>
        <w:spacing w:before="0" w:beforeLines="0" w:after="0" w:afterLines="0" w:line="560" w:lineRule="exact"/>
        <w:textAlignment w:val="auto"/>
      </w:pPr>
      <w:r>
        <w:rPr>
          <w:rFonts w:hint="eastAsia"/>
        </w:rPr>
        <w:t>（三）国有资产占用情况说明</w:t>
      </w:r>
    </w:p>
    <w:p w14:paraId="60681FA0">
      <w:pPr>
        <w:pageBreakBefore w:val="0"/>
        <w:kinsoku/>
        <w:wordWrap/>
        <w:overflowPunct/>
        <w:topLinePunct w:val="0"/>
        <w:autoSpaceDE/>
        <w:autoSpaceDN/>
        <w:bidi w:val="0"/>
        <w:adjustRightInd/>
        <w:spacing w:line="560" w:lineRule="exact"/>
        <w:textAlignment w:val="auto"/>
        <w:rPr>
          <w:rFonts w:hint="default"/>
        </w:rPr>
      </w:pPr>
      <w:r>
        <w:t>截至</w:t>
      </w:r>
      <w:r>
        <w:rPr>
          <w:rFonts w:hint="eastAsia"/>
          <w:lang w:eastAsia="zh-CN"/>
        </w:rPr>
        <w:t>2024年</w:t>
      </w:r>
      <w:r>
        <w:t>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239DAA76">
      <w:pPr>
        <w:pStyle w:val="6"/>
        <w:pageBreakBefore w:val="0"/>
        <w:kinsoku/>
        <w:wordWrap/>
        <w:overflowPunct/>
        <w:topLinePunct w:val="0"/>
        <w:autoSpaceDE/>
        <w:autoSpaceDN/>
        <w:bidi w:val="0"/>
        <w:adjustRightInd/>
        <w:spacing w:before="0" w:beforeLines="0" w:after="0" w:afterLines="0" w:line="560" w:lineRule="exact"/>
        <w:textAlignment w:val="auto"/>
      </w:pPr>
      <w:r>
        <w:rPr>
          <w:rFonts w:hint="eastAsia"/>
        </w:rPr>
        <w:t>（四）政府采购支出情况说明</w:t>
      </w:r>
    </w:p>
    <w:p w14:paraId="1497483C">
      <w:pPr>
        <w:pageBreakBefore w:val="0"/>
        <w:kinsoku/>
        <w:wordWrap/>
        <w:overflowPunct/>
        <w:topLinePunct w:val="0"/>
        <w:autoSpaceDE/>
        <w:autoSpaceDN/>
        <w:bidi w:val="0"/>
        <w:adjustRightInd/>
        <w:spacing w:line="560" w:lineRule="exact"/>
        <w:textAlignment w:val="auto"/>
        <w:rPr>
          <w:rFonts w:hint="default"/>
        </w:rPr>
      </w:pPr>
      <w:r>
        <w:rPr>
          <w:rFonts w:hint="eastAsia"/>
          <w:lang w:eastAsia="zh-CN"/>
        </w:rPr>
        <w:t>2024年</w:t>
      </w:r>
      <w:r>
        <w:t>度我单位未发生政府采购事项，无相关经费支出。</w:t>
      </w:r>
    </w:p>
    <w:p w14:paraId="7F5D5733">
      <w:pPr>
        <w:pStyle w:val="5"/>
        <w:pageBreakBefore w:val="0"/>
        <w:kinsoku/>
        <w:wordWrap/>
        <w:overflowPunct/>
        <w:topLinePunct w:val="0"/>
        <w:autoSpaceDE/>
        <w:autoSpaceDN/>
        <w:bidi w:val="0"/>
        <w:adjustRightInd/>
        <w:spacing w:before="0" w:beforeLines="0" w:after="0" w:afterLines="0" w:line="560" w:lineRule="exact"/>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五、2024年度预算绩效管理情况说明</w:t>
      </w:r>
    </w:p>
    <w:p w14:paraId="26233E4A">
      <w:pPr>
        <w:pStyle w:val="6"/>
        <w:pageBreakBefore w:val="0"/>
        <w:kinsoku/>
        <w:wordWrap/>
        <w:overflowPunct/>
        <w:topLinePunct w:val="0"/>
        <w:autoSpaceDE/>
        <w:autoSpaceDN/>
        <w:bidi w:val="0"/>
        <w:adjustRightInd/>
        <w:spacing w:before="0" w:beforeLines="0" w:after="0" w:afterLines="0" w:line="560" w:lineRule="exact"/>
        <w:textAlignment w:val="auto"/>
        <w:rPr>
          <w:rFonts w:hint="eastAsia"/>
        </w:rPr>
      </w:pPr>
      <w:r>
        <w:rPr>
          <w:rFonts w:hint="eastAsia"/>
        </w:rPr>
        <w:t>（一）预算绩效管理工作开展情况</w:t>
      </w:r>
    </w:p>
    <w:p w14:paraId="06894AE5">
      <w:pPr>
        <w:pageBreakBefore w:val="0"/>
        <w:kinsoku/>
        <w:wordWrap/>
        <w:overflowPunct/>
        <w:topLinePunct w:val="0"/>
        <w:autoSpaceDE/>
        <w:autoSpaceDN/>
        <w:bidi w:val="0"/>
        <w:adjustRightInd/>
        <w:spacing w:line="560" w:lineRule="exact"/>
        <w:textAlignment w:val="auto"/>
        <w:rPr>
          <w:rFonts w:hint="eastAsia" w:ascii="方正仿宋_GBK" w:hAnsi="方正仿宋_GBK" w:eastAsia="宋体" w:cs="方正仿宋_GBK"/>
          <w:kern w:val="0"/>
          <w:szCs w:val="32"/>
          <w:shd w:val="clear" w:fill="FFFFFF"/>
          <w:lang w:eastAsia="zh-CN"/>
        </w:rPr>
      </w:pPr>
      <w:r>
        <w:rPr>
          <w:rFonts w:hint="eastAsia"/>
        </w:rPr>
        <w:t>根据预算绩效管理要求，我单位</w:t>
      </w:r>
      <w:r>
        <w:rPr>
          <w:rFonts w:hint="eastAsia"/>
          <w:lang w:eastAsia="zh-CN"/>
        </w:rPr>
        <w:t>对</w:t>
      </w:r>
      <w:r>
        <w:rPr>
          <w:rFonts w:hint="eastAsia"/>
          <w:lang w:val="en-US" w:eastAsia="zh-CN"/>
        </w:rPr>
        <w:t>1</w:t>
      </w:r>
      <w:r>
        <w:rPr>
          <w:rFonts w:hint="eastAsia"/>
        </w:rPr>
        <w:t>个项目开展了绩效自评，其中，以填报自评表形式开展自评</w:t>
      </w:r>
      <w:r>
        <w:rPr>
          <w:rFonts w:hint="eastAsia"/>
          <w:lang w:val="en-US" w:eastAsia="zh-CN"/>
        </w:rPr>
        <w:t>1</w:t>
      </w:r>
      <w:r>
        <w:rPr>
          <w:rFonts w:hint="eastAsia"/>
        </w:rPr>
        <w:t>项，涉及资金</w:t>
      </w:r>
      <w:r>
        <w:rPr>
          <w:rFonts w:hint="eastAsia"/>
          <w:lang w:val="en-US" w:eastAsia="zh-CN"/>
        </w:rPr>
        <w:t>5</w:t>
      </w:r>
      <w:r>
        <w:rPr>
          <w:rFonts w:hint="eastAsia"/>
        </w:rPr>
        <w:t>万元。从自评结果来看，项目立项较为规范、绩效目标明确、预算编制合理，项目实施的总体情况较好，基本完成年初设立的绩效目标</w:t>
      </w:r>
      <w:r>
        <w:rPr>
          <w:rFonts w:hint="eastAsia"/>
          <w:lang w:eastAsia="zh-CN"/>
        </w:rPr>
        <w:t>。</w:t>
      </w:r>
    </w:p>
    <w:p w14:paraId="2DA00EAD">
      <w:pPr>
        <w:pStyle w:val="6"/>
        <w:pageBreakBefore w:val="0"/>
        <w:kinsoku/>
        <w:wordWrap/>
        <w:overflowPunct/>
        <w:topLinePunct w:val="0"/>
        <w:autoSpaceDE/>
        <w:autoSpaceDN/>
        <w:bidi w:val="0"/>
        <w:adjustRightInd/>
        <w:spacing w:before="0" w:beforeLines="0" w:after="0" w:afterLines="0" w:line="560" w:lineRule="exact"/>
        <w:textAlignment w:val="auto"/>
        <w:rPr>
          <w:rFonts w:hint="eastAsia"/>
        </w:rPr>
      </w:pPr>
      <w:r>
        <w:rPr>
          <w:rFonts w:hint="eastAsia"/>
        </w:rPr>
        <w:t>（二）绩效自评结果</w:t>
      </w:r>
    </w:p>
    <w:p w14:paraId="49BDCF58">
      <w:pPr>
        <w:pageBreakBefore w:val="0"/>
        <w:kinsoku/>
        <w:wordWrap/>
        <w:overflowPunct/>
        <w:topLinePunct w:val="0"/>
        <w:autoSpaceDE/>
        <w:autoSpaceDN/>
        <w:bidi w:val="0"/>
        <w:adjustRightInd/>
        <w:spacing w:line="560" w:lineRule="exact"/>
        <w:textAlignment w:val="auto"/>
        <w:rPr>
          <w:rFonts w:hint="eastAsia"/>
        </w:rPr>
      </w:pPr>
      <w:r>
        <w:rPr>
          <w:rFonts w:hint="eastAsia"/>
        </w:rPr>
        <w:t>1.项目绩效自评表。</w:t>
      </w:r>
    </w:p>
    <w:p w14:paraId="593DFCC2">
      <w:pPr>
        <w:pageBreakBefore w:val="0"/>
        <w:kinsoku/>
        <w:wordWrap/>
        <w:overflowPunct/>
        <w:topLinePunct w:val="0"/>
        <w:autoSpaceDE/>
        <w:autoSpaceDN/>
        <w:bidi w:val="0"/>
        <w:adjustRightInd/>
        <w:spacing w:line="560" w:lineRule="exact"/>
        <w:textAlignment w:val="auto"/>
        <w:rPr>
          <w:rFonts w:hint="eastAsia"/>
        </w:rPr>
      </w:pPr>
      <w:r>
        <w:rPr>
          <w:rFonts w:hint="eastAsia"/>
          <w:lang w:eastAsia="zh-CN"/>
        </w:rPr>
        <w:t>详</w:t>
      </w:r>
      <w:r>
        <w:rPr>
          <w:rFonts w:hint="eastAsia"/>
        </w:rPr>
        <w:t>见附件</w:t>
      </w:r>
      <w:r>
        <w:rPr>
          <w:rFonts w:hint="eastAsia"/>
          <w:lang w:val="en-US" w:eastAsia="zh-CN"/>
        </w:rPr>
        <w:t>重庆市铜梁区安溪镇退役军人服务站2024年度项目绩效自评表</w:t>
      </w:r>
      <w:r>
        <w:rPr>
          <w:rFonts w:hint="eastAsia"/>
        </w:rPr>
        <w:t>。</w:t>
      </w:r>
    </w:p>
    <w:p w14:paraId="10DF0FEA">
      <w:pPr>
        <w:pageBreakBefore w:val="0"/>
        <w:kinsoku/>
        <w:wordWrap/>
        <w:overflowPunct/>
        <w:topLinePunct w:val="0"/>
        <w:autoSpaceDE/>
        <w:autoSpaceDN/>
        <w:bidi w:val="0"/>
        <w:adjustRightInd/>
        <w:spacing w:line="560" w:lineRule="exact"/>
        <w:textAlignment w:val="auto"/>
        <w:rPr>
          <w:rFonts w:hint="eastAsia"/>
        </w:rPr>
      </w:pPr>
      <w:r>
        <w:rPr>
          <w:rFonts w:hint="eastAsia"/>
        </w:rPr>
        <w:t>2.项目绩效自评报告或案例。</w:t>
      </w:r>
    </w:p>
    <w:p w14:paraId="740F5478">
      <w:pPr>
        <w:pageBreakBefore w:val="0"/>
        <w:kinsoku/>
        <w:wordWrap/>
        <w:overflowPunct/>
        <w:topLinePunct w:val="0"/>
        <w:autoSpaceDE/>
        <w:autoSpaceDN/>
        <w:bidi w:val="0"/>
        <w:adjustRightInd/>
        <w:spacing w:line="560" w:lineRule="exact"/>
        <w:textAlignment w:val="auto"/>
        <w:rPr>
          <w:rFonts w:hint="eastAsia"/>
        </w:rPr>
      </w:pPr>
      <w:r>
        <w:rPr>
          <w:rFonts w:hint="eastAsia"/>
          <w:lang w:eastAsia="zh-CN"/>
        </w:rPr>
        <w:t>我单位未委托第三方开展绩效评价</w:t>
      </w:r>
      <w:r>
        <w:rPr>
          <w:rFonts w:hint="eastAsia"/>
        </w:rPr>
        <w:t>。</w:t>
      </w:r>
    </w:p>
    <w:p w14:paraId="361304F8">
      <w:pPr>
        <w:pageBreakBefore w:val="0"/>
        <w:kinsoku/>
        <w:wordWrap/>
        <w:overflowPunct/>
        <w:topLinePunct w:val="0"/>
        <w:autoSpaceDE/>
        <w:autoSpaceDN/>
        <w:bidi w:val="0"/>
        <w:adjustRightInd/>
        <w:spacing w:line="560" w:lineRule="exact"/>
        <w:textAlignment w:val="auto"/>
        <w:rPr>
          <w:rFonts w:hint="eastAsia"/>
        </w:rPr>
      </w:pPr>
      <w:r>
        <w:rPr>
          <w:rFonts w:hint="eastAsia"/>
        </w:rPr>
        <w:t>3.关于绩效自评结果的说明。</w:t>
      </w:r>
    </w:p>
    <w:p w14:paraId="22E75B71">
      <w:pPr>
        <w:pageBreakBefore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kern w:val="0"/>
          <w:szCs w:val="32"/>
          <w:shd w:val="clear" w:fill="FFFFFF"/>
        </w:rPr>
      </w:pPr>
      <w:r>
        <w:rPr>
          <w:rFonts w:hint="eastAsia"/>
        </w:rPr>
        <w:t>我单位对</w:t>
      </w:r>
      <w:r>
        <w:rPr>
          <w:rFonts w:hint="eastAsia"/>
          <w:lang w:val="en-US" w:eastAsia="zh-CN"/>
        </w:rPr>
        <w:t>1</w:t>
      </w:r>
      <w:r>
        <w:rPr>
          <w:rFonts w:hint="eastAsia"/>
        </w:rPr>
        <w:t>项目进行绩效自评，其中</w:t>
      </w:r>
      <w:r>
        <w:rPr>
          <w:rFonts w:hint="eastAsia"/>
          <w:lang w:val="en-US" w:eastAsia="zh-CN"/>
        </w:rPr>
        <w:t>1</w:t>
      </w:r>
      <w:r>
        <w:rPr>
          <w:rFonts w:hint="eastAsia"/>
        </w:rPr>
        <w:t>个已完成年度绩效目标，</w:t>
      </w:r>
      <w:r>
        <w:rPr>
          <w:rFonts w:hint="eastAsia"/>
          <w:lang w:val="en-US" w:eastAsia="zh-CN"/>
        </w:rPr>
        <w:t>0</w:t>
      </w:r>
      <w:r>
        <w:rPr>
          <w:rFonts w:hint="eastAsia"/>
        </w:rPr>
        <w:t>个未完成年度绩效目标。</w:t>
      </w:r>
    </w:p>
    <w:p w14:paraId="143FE274">
      <w:pPr>
        <w:pStyle w:val="6"/>
        <w:pageBreakBefore w:val="0"/>
        <w:kinsoku/>
        <w:wordWrap/>
        <w:overflowPunct/>
        <w:topLinePunct w:val="0"/>
        <w:autoSpaceDE/>
        <w:autoSpaceDN/>
        <w:bidi w:val="0"/>
        <w:adjustRightInd/>
        <w:spacing w:before="0" w:beforeLines="0" w:after="0" w:afterLines="0" w:line="560" w:lineRule="exact"/>
        <w:textAlignment w:val="auto"/>
        <w:rPr>
          <w:rFonts w:hint="default"/>
          <w:lang w:val="en-US" w:eastAsia="zh-CN"/>
        </w:rPr>
      </w:pPr>
      <w:r>
        <w:rPr>
          <w:rFonts w:hint="eastAsia"/>
          <w:lang w:val="en-US" w:eastAsia="zh-CN"/>
        </w:rPr>
        <w:t xml:space="preserve">（三）财政重点绩效评价情况 </w:t>
      </w:r>
    </w:p>
    <w:p w14:paraId="0F09B76D">
      <w:pPr>
        <w:pageBreakBefore w:val="0"/>
        <w:kinsoku/>
        <w:wordWrap/>
        <w:overflowPunct/>
        <w:topLinePunct w:val="0"/>
        <w:autoSpaceDE/>
        <w:autoSpaceDN/>
        <w:bidi w:val="0"/>
        <w:adjustRightInd/>
        <w:spacing w:line="560" w:lineRule="exact"/>
        <w:textAlignment w:val="auto"/>
        <w:rPr>
          <w:rFonts w:hint="eastAsia"/>
          <w:lang w:val="en-US" w:eastAsia="zh-CN"/>
        </w:rPr>
      </w:pPr>
      <w:r>
        <w:rPr>
          <w:rFonts w:hint="eastAsia"/>
          <w:lang w:val="en-US" w:eastAsia="zh-CN"/>
        </w:rPr>
        <w:t>我单位无财政重点绩效评价项目。</w:t>
      </w:r>
    </w:p>
    <w:p w14:paraId="2E0D6B74">
      <w:pPr>
        <w:pageBreakBefore w:val="0"/>
        <w:kinsoku/>
        <w:wordWrap/>
        <w:overflowPunct/>
        <w:topLinePunct w:val="0"/>
        <w:autoSpaceDE/>
        <w:autoSpaceDN/>
        <w:bidi w:val="0"/>
        <w:adjustRightInd/>
        <w:spacing w:line="560" w:lineRule="exact"/>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六、专业名词解释</w:t>
      </w:r>
    </w:p>
    <w:p w14:paraId="56108BD7">
      <w:pPr>
        <w:pageBreakBefore w:val="0"/>
        <w:kinsoku/>
        <w:wordWrap/>
        <w:overflowPunct/>
        <w:topLinePunct w:val="0"/>
        <w:autoSpaceDE/>
        <w:autoSpaceDN/>
        <w:bidi w:val="0"/>
        <w:adjustRightInd/>
        <w:spacing w:line="560" w:lineRule="exact"/>
        <w:textAlignment w:val="auto"/>
        <w:rPr>
          <w:rFonts w:hint="eastAsia"/>
        </w:rPr>
      </w:pPr>
      <w:r>
        <w:rPr>
          <w:rFonts w:hint="eastAsia" w:ascii="方正楷体_GBK" w:hAnsi="方正楷体_GBK" w:eastAsia="方正楷体_GBK" w:cs="方正楷体_GBK"/>
          <w:b w:val="0"/>
          <w:bCs w:val="0"/>
        </w:rPr>
        <w:t>（一）财政拨款收入：</w:t>
      </w:r>
      <w:r>
        <w:rPr>
          <w:rFonts w:hint="eastAsia"/>
        </w:rPr>
        <w:t>指本年度从本级财政单位取得的财政拨款，包括一般公共预算财政拨款和政府性基金预算财政拨款。</w:t>
      </w:r>
    </w:p>
    <w:p w14:paraId="15E57DA5">
      <w:pPr>
        <w:pageBreakBefore w:val="0"/>
        <w:kinsoku/>
        <w:wordWrap/>
        <w:overflowPunct/>
        <w:topLinePunct w:val="0"/>
        <w:autoSpaceDE/>
        <w:autoSpaceDN/>
        <w:bidi w:val="0"/>
        <w:adjustRightInd/>
        <w:spacing w:line="560" w:lineRule="exact"/>
        <w:textAlignment w:val="auto"/>
        <w:rPr>
          <w:rFonts w:hint="eastAsia"/>
        </w:rPr>
      </w:pPr>
      <w:r>
        <w:rPr>
          <w:rFonts w:hint="eastAsia" w:ascii="方正楷体_GBK" w:hAnsi="方正楷体_GBK" w:eastAsia="方正楷体_GBK" w:cs="方正楷体_GBK"/>
          <w:b w:val="0"/>
          <w:bCs w:val="0"/>
        </w:rPr>
        <w:t>（二）年初结转和结余：</w:t>
      </w:r>
      <w:r>
        <w:rPr>
          <w:rFonts w:hint="eastAsia"/>
        </w:rPr>
        <w:t>指单位上年结转本年使用的基本支出结转、项目支出结转和结余、经营结余。</w:t>
      </w:r>
    </w:p>
    <w:p w14:paraId="73A80548">
      <w:pPr>
        <w:pageBreakBefore w:val="0"/>
        <w:kinsoku/>
        <w:wordWrap/>
        <w:overflowPunct/>
        <w:topLinePunct w:val="0"/>
        <w:autoSpaceDE/>
        <w:autoSpaceDN/>
        <w:bidi w:val="0"/>
        <w:adjustRightInd/>
        <w:spacing w:line="560" w:lineRule="exact"/>
        <w:textAlignment w:val="auto"/>
        <w:rPr>
          <w:rFonts w:hint="eastAsia"/>
        </w:rPr>
      </w:pPr>
      <w:r>
        <w:rPr>
          <w:rFonts w:hint="eastAsia" w:ascii="方正楷体_GBK" w:hAnsi="方正楷体_GBK" w:eastAsia="方正楷体_GBK" w:cs="方正楷体_GBK"/>
          <w:b w:val="0"/>
          <w:bCs w:val="0"/>
        </w:rPr>
        <w:t>（三）年末结转和结余：</w:t>
      </w:r>
      <w:r>
        <w:rPr>
          <w:rFonts w:hint="eastAsia"/>
        </w:rPr>
        <w:t>指单位结转下年的基本支出结转、项目支出结转和结余、经营结余。</w:t>
      </w:r>
    </w:p>
    <w:p w14:paraId="626A08D2">
      <w:pPr>
        <w:pageBreakBefore w:val="0"/>
        <w:kinsoku/>
        <w:wordWrap/>
        <w:overflowPunct/>
        <w:topLinePunct w:val="0"/>
        <w:autoSpaceDE/>
        <w:autoSpaceDN/>
        <w:bidi w:val="0"/>
        <w:adjustRightInd/>
        <w:spacing w:line="560" w:lineRule="exact"/>
        <w:textAlignment w:val="auto"/>
        <w:rPr>
          <w:rFonts w:hint="eastAsia"/>
        </w:rPr>
      </w:pPr>
      <w:r>
        <w:rPr>
          <w:rFonts w:hint="eastAsia" w:ascii="方正楷体_GBK" w:hAnsi="方正楷体_GBK" w:eastAsia="方正楷体_GBK" w:cs="方正楷体_GBK"/>
          <w:b w:val="0"/>
          <w:bCs w:val="0"/>
        </w:rPr>
        <w:t>（四）基本支出：</w:t>
      </w:r>
      <w:r>
        <w:rPr>
          <w:rFonts w:hint="eastAsi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5A2F1F9">
      <w:pPr>
        <w:pageBreakBefore w:val="0"/>
        <w:kinsoku/>
        <w:wordWrap/>
        <w:overflowPunct/>
        <w:topLinePunct w:val="0"/>
        <w:autoSpaceDE/>
        <w:autoSpaceDN/>
        <w:bidi w:val="0"/>
        <w:adjustRightInd/>
        <w:spacing w:line="560" w:lineRule="exact"/>
        <w:textAlignment w:val="auto"/>
        <w:rPr>
          <w:rFonts w:hint="eastAsia"/>
        </w:rPr>
      </w:pPr>
      <w:r>
        <w:rPr>
          <w:rFonts w:hint="eastAsia" w:ascii="方正楷体_GBK" w:hAnsi="方正楷体_GBK" w:eastAsia="方正楷体_GBK" w:cs="方正楷体_GBK"/>
          <w:b w:val="0"/>
          <w:bCs w:val="0"/>
        </w:rPr>
        <w:t>（五）项目支出：</w:t>
      </w:r>
      <w:r>
        <w:rPr>
          <w:rFonts w:hint="eastAsia"/>
        </w:rPr>
        <w:t>指在基本支出之外为完成特定行政任务和事业发展目标所发生的支出。</w:t>
      </w:r>
    </w:p>
    <w:p w14:paraId="1DF2487B">
      <w:pPr>
        <w:pageBreakBefore w:val="0"/>
        <w:kinsoku/>
        <w:wordWrap/>
        <w:overflowPunct/>
        <w:topLinePunct w:val="0"/>
        <w:autoSpaceDE/>
        <w:autoSpaceDN/>
        <w:bidi w:val="0"/>
        <w:adjustRightInd/>
        <w:spacing w:line="560" w:lineRule="exact"/>
        <w:textAlignment w:val="auto"/>
        <w:rPr>
          <w:rFonts w:hint="eastAsia"/>
        </w:rPr>
      </w:pPr>
      <w:r>
        <w:rPr>
          <w:rFonts w:hint="eastAsia" w:ascii="方正楷体_GBK" w:hAnsi="方正楷体_GBK" w:eastAsia="方正楷体_GBK" w:cs="方正楷体_GBK"/>
          <w:b w:val="0"/>
          <w:bCs w:val="0"/>
        </w:rPr>
        <w:t>（六）“三公”经费：</w:t>
      </w:r>
      <w:r>
        <w:rPr>
          <w:rFonts w:hint="eastAsi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84FA73F">
      <w:pPr>
        <w:pageBreakBefore w:val="0"/>
        <w:kinsoku/>
        <w:wordWrap/>
        <w:overflowPunct/>
        <w:topLinePunct w:val="0"/>
        <w:autoSpaceDE/>
        <w:autoSpaceDN/>
        <w:bidi w:val="0"/>
        <w:adjustRightInd/>
        <w:spacing w:line="560" w:lineRule="exact"/>
        <w:textAlignment w:val="auto"/>
        <w:rPr>
          <w:rFonts w:hint="eastAsia"/>
        </w:rPr>
      </w:pPr>
      <w:r>
        <w:rPr>
          <w:rFonts w:hint="eastAsia" w:ascii="方正楷体_GBK" w:hAnsi="方正楷体_GBK" w:eastAsia="方正楷体_GBK" w:cs="方正楷体_GBK"/>
          <w:b w:val="0"/>
          <w:bCs w:val="0"/>
        </w:rPr>
        <w:t>（七）机关运行经费：</w:t>
      </w:r>
      <w:r>
        <w:rPr>
          <w:rFonts w:hint="eastAsi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734C1F1">
      <w:pPr>
        <w:pageBreakBefore w:val="0"/>
        <w:kinsoku/>
        <w:wordWrap/>
        <w:overflowPunct/>
        <w:topLinePunct w:val="0"/>
        <w:autoSpaceDE/>
        <w:autoSpaceDN/>
        <w:bidi w:val="0"/>
        <w:adjustRightInd/>
        <w:spacing w:line="560" w:lineRule="exact"/>
        <w:textAlignment w:val="auto"/>
        <w:rPr>
          <w:rFonts w:hint="eastAsia"/>
        </w:rPr>
      </w:pPr>
      <w:r>
        <w:rPr>
          <w:rFonts w:hint="eastAsia" w:ascii="方正楷体_GBK" w:hAnsi="方正楷体_GBK" w:eastAsia="方正楷体_GBK" w:cs="方正楷体_GBK"/>
          <w:b w:val="0"/>
          <w:bCs w:val="0"/>
        </w:rPr>
        <w:t>（八）工资福利支出（支出经济分类科目类级）：</w:t>
      </w:r>
      <w:r>
        <w:rPr>
          <w:rFonts w:hint="eastAsia"/>
        </w:rPr>
        <w:t>反映单位开支的在职职工和编制外长期聘用人员的各类劳动报酬，以及为上述人员缴纳的各项社会保险费等。</w:t>
      </w:r>
    </w:p>
    <w:p w14:paraId="6FD7CFF7">
      <w:pPr>
        <w:pageBreakBefore w:val="0"/>
        <w:kinsoku/>
        <w:wordWrap/>
        <w:overflowPunct/>
        <w:topLinePunct w:val="0"/>
        <w:autoSpaceDE/>
        <w:autoSpaceDN/>
        <w:bidi w:val="0"/>
        <w:adjustRightInd/>
        <w:spacing w:line="560" w:lineRule="exact"/>
        <w:textAlignment w:val="auto"/>
        <w:rPr>
          <w:rFonts w:hint="eastAsia"/>
        </w:rPr>
      </w:pPr>
      <w:r>
        <w:rPr>
          <w:rFonts w:hint="eastAsia" w:ascii="方正楷体_GBK" w:hAnsi="方正楷体_GBK" w:eastAsia="方正楷体_GBK" w:cs="方正楷体_GBK"/>
          <w:b w:val="0"/>
          <w:bCs w:val="0"/>
        </w:rPr>
        <w:t>（九）商品和服务支出（支出经济分类科目类级）：</w:t>
      </w:r>
      <w:r>
        <w:rPr>
          <w:rFonts w:hint="eastAsia"/>
        </w:rPr>
        <w:t>反映单位购买商品和服务的支出（不包括用于购置固定资产的支出、战略性和应急储备支出）。</w:t>
      </w:r>
    </w:p>
    <w:p w14:paraId="12C10614">
      <w:pPr>
        <w:pageBreakBefore w:val="0"/>
        <w:kinsoku/>
        <w:wordWrap/>
        <w:overflowPunct/>
        <w:topLinePunct w:val="0"/>
        <w:autoSpaceDE/>
        <w:autoSpaceDN/>
        <w:bidi w:val="0"/>
        <w:adjustRightInd/>
        <w:spacing w:line="560" w:lineRule="exact"/>
        <w:textAlignment w:val="auto"/>
        <w:rPr>
          <w:rFonts w:hint="eastAsia"/>
        </w:rPr>
      </w:pPr>
      <w:r>
        <w:rPr>
          <w:rFonts w:hint="eastAsia" w:ascii="方正楷体_GBK" w:hAnsi="方正楷体_GBK" w:eastAsia="方正楷体_GBK" w:cs="方正楷体_GBK"/>
          <w:b w:val="0"/>
          <w:bCs w:val="0"/>
        </w:rPr>
        <w:t>（十）对个人和家庭的补助（支出经济分类科目类级）：</w:t>
      </w:r>
      <w:r>
        <w:rPr>
          <w:rFonts w:hint="eastAsia"/>
        </w:rPr>
        <w:t>反映用于对个人和家庭的补助支出。</w:t>
      </w:r>
    </w:p>
    <w:p w14:paraId="50CBDC1A">
      <w:pPr>
        <w:pageBreakBefore w:val="0"/>
        <w:kinsoku/>
        <w:wordWrap/>
        <w:overflowPunct/>
        <w:topLinePunct w:val="0"/>
        <w:autoSpaceDE/>
        <w:autoSpaceDN/>
        <w:bidi w:val="0"/>
        <w:adjustRightInd/>
        <w:spacing w:line="560" w:lineRule="exact"/>
        <w:textAlignment w:val="auto"/>
      </w:pPr>
      <w:r>
        <w:rPr>
          <w:rFonts w:hint="eastAsia" w:ascii="方正楷体_GBK" w:hAnsi="方正楷体_GBK" w:eastAsia="方正楷体_GBK" w:cs="方正楷体_GBK"/>
          <w:b w:val="0"/>
          <w:bCs w:val="0"/>
        </w:rPr>
        <w:t>（十一）其他资本性支出（支出经济分类科目类级）：</w:t>
      </w:r>
      <w:r>
        <w:rPr>
          <w:rFonts w:hint="eastAsia"/>
        </w:rPr>
        <w:t>反映非各级发展与改革单位集中安排的用于购置固定资产、战略性和应急性储备、土地和无形资产，以及构建基础设施、大型修缮和财政支持企业更新改造所发生的支出</w:t>
      </w:r>
      <w:r>
        <w:rPr>
          <w:rFonts w:hint="eastAsia" w:ascii="方正仿宋_GBK" w:hAnsi="方正仿宋_GBK" w:eastAsia="方正仿宋_GBK" w:cs="方正仿宋_GBK"/>
          <w:kern w:val="2"/>
          <w:szCs w:val="32"/>
        </w:rPr>
        <w:t>。</w:t>
      </w:r>
    </w:p>
    <w:p w14:paraId="2206AD79">
      <w:pPr>
        <w:pageBreakBefore w:val="0"/>
        <w:kinsoku/>
        <w:wordWrap/>
        <w:overflowPunct/>
        <w:topLinePunct w:val="0"/>
        <w:autoSpaceDE/>
        <w:autoSpaceDN/>
        <w:bidi w:val="0"/>
        <w:adjustRightInd/>
        <w:spacing w:line="560" w:lineRule="exact"/>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七、决算公开联系方式及信息反馈渠道</w:t>
      </w:r>
    </w:p>
    <w:p w14:paraId="16B3E26E">
      <w:pPr>
        <w:pageBreakBefore w:val="0"/>
        <w:kinsoku/>
        <w:wordWrap/>
        <w:overflowPunct/>
        <w:topLinePunct w:val="0"/>
        <w:autoSpaceDE/>
        <w:autoSpaceDN/>
        <w:bidi w:val="0"/>
        <w:adjustRightInd/>
        <w:spacing w:line="560" w:lineRule="exact"/>
        <w:textAlignment w:val="auto"/>
        <w:rPr>
          <w:rFonts w:hint="default" w:eastAsia="方正仿宋_GBK"/>
          <w:lang w:val="en-US" w:eastAsia="zh-CN"/>
        </w:rPr>
      </w:pPr>
      <w:r>
        <w:rPr>
          <w:rFonts w:hint="eastAsia"/>
        </w:rPr>
        <w:t>本单位决算公开信息反馈和联系方式：</w:t>
      </w:r>
      <w:r>
        <w:rPr>
          <w:rFonts w:hint="eastAsia"/>
          <w:lang w:eastAsia="zh-CN"/>
        </w:rPr>
        <w:t>梁静</w:t>
      </w:r>
      <w:r>
        <w:rPr>
          <w:rFonts w:hint="eastAsia"/>
          <w:lang w:val="en-US" w:eastAsia="zh-CN"/>
        </w:rPr>
        <w:t xml:space="preserve"> </w:t>
      </w:r>
      <w:r>
        <w:rPr>
          <w:rFonts w:hint="eastAsia"/>
        </w:rPr>
        <w:t>023-</w:t>
      </w:r>
      <w:r>
        <w:rPr>
          <w:rFonts w:hint="eastAsia"/>
          <w:lang w:val="en-US" w:eastAsia="zh-CN"/>
        </w:rPr>
        <w:t>45393101。</w:t>
      </w:r>
    </w:p>
    <w:p w14:paraId="5E8101E9">
      <w:pPr>
        <w:ind w:left="0" w:leftChars="0" w:firstLine="0" w:firstLineChars="0"/>
      </w:pPr>
    </w:p>
    <w:sectPr>
      <w:headerReference r:id="rId5" w:type="default"/>
      <w:footerReference r:id="rId6" w:type="default"/>
      <w:pgSz w:w="11850" w:h="16783"/>
      <w:pgMar w:top="2098" w:right="1474" w:bottom="1984" w:left="1587" w:header="0" w:footer="283"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D7639FB-C23E-4B5B-A29C-8FA689776271}"/>
  </w:font>
  <w:font w:name="方正仿宋_GBK">
    <w:panose1 w:val="02000000000000000000"/>
    <w:charset w:val="86"/>
    <w:family w:val="script"/>
    <w:pitch w:val="default"/>
    <w:sig w:usb0="00000001" w:usb1="080E0000" w:usb2="00000000" w:usb3="00000000" w:csb0="00040000" w:csb1="00000000"/>
    <w:embedRegular r:id="rId2" w:fontKey="{90BB7777-5798-430C-A342-46655EF1A8B8}"/>
  </w:font>
  <w:font w:name="方正小标宋_GBK">
    <w:panose1 w:val="02000000000000000000"/>
    <w:charset w:val="86"/>
    <w:family w:val="script"/>
    <w:pitch w:val="default"/>
    <w:sig w:usb0="A00002BF" w:usb1="38CF7CFA" w:usb2="00082016" w:usb3="00000000" w:csb0="00040001" w:csb1="00000000"/>
    <w:embedRegular r:id="rId3" w:fontKey="{2D432C5F-2B12-4DC6-B342-CE002AD6EF0F}"/>
  </w:font>
  <w:font w:name="方正楷体_GBK">
    <w:altName w:val="微软雅黑"/>
    <w:panose1 w:val="03000509000000000000"/>
    <w:charset w:val="86"/>
    <w:family w:val="auto"/>
    <w:pitch w:val="default"/>
    <w:sig w:usb0="00000000" w:usb1="00000000" w:usb2="00000000" w:usb3="00000000" w:csb0="00040000" w:csb1="00000000"/>
    <w:embedRegular r:id="rId4" w:fontKey="{471B4CD3-E1C6-4BA2-96E9-259C02AAA6C4}"/>
  </w:font>
  <w:font w:name="方正黑体_GBK">
    <w:altName w:val="微软雅黑"/>
    <w:panose1 w:val="03000509000000000000"/>
    <w:charset w:val="86"/>
    <w:family w:val="auto"/>
    <w:pitch w:val="default"/>
    <w:sig w:usb0="00000000" w:usb1="00000000" w:usb2="00000000" w:usb3="00000000" w:csb0="00040000" w:csb1="00000000"/>
    <w:embedRegular r:id="rId5" w:fontKey="{64C6889F-35ED-4BD5-94F8-7AC54B1205D5}"/>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52903">
    <w:pPr>
      <w:pStyle w:val="7"/>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3B86EC">
                          <w:pPr>
                            <w:pStyle w:val="7"/>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93B86EC">
                    <w:pPr>
                      <w:pStyle w:val="7"/>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721A4CD">
                          <w:pPr>
                            <w:pStyle w:val="7"/>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721A4CD">
                    <w:pPr>
                      <w:pStyle w:val="7"/>
                      <w:jc w:val="both"/>
                      <w:rPr>
                        <w:rFonts w:hint="default"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615A9">
    <w:pPr>
      <w:pStyle w:val="8"/>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42C62"/>
    <w:rsid w:val="07C43E7A"/>
    <w:rsid w:val="08355B30"/>
    <w:rsid w:val="14772774"/>
    <w:rsid w:val="23EC70A6"/>
    <w:rsid w:val="2FF972F5"/>
    <w:rsid w:val="3923162D"/>
    <w:rsid w:val="40C42C62"/>
    <w:rsid w:val="6249593B"/>
    <w:rsid w:val="768F7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pPr>
      <w:spacing w:line="560" w:lineRule="exact"/>
      <w:ind w:firstLine="880" w:firstLineChars="200"/>
    </w:pPr>
    <w:rPr>
      <w:rFonts w:hint="eastAsia" w:ascii="方正仿宋_GBK" w:hAnsi="方正仿宋_GBK" w:eastAsia="方正仿宋_GBK" w:cs="Times New Roman"/>
      <w:sz w:val="32"/>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60" w:lineRule="exact"/>
      <w:jc w:val="center"/>
      <w:outlineLvl w:val="0"/>
    </w:pPr>
    <w:rPr>
      <w:rFonts w:hint="eastAsia" w:ascii="方正小标宋_GBK" w:hAnsi="方正小标宋_GBK" w:eastAsia="方正小标宋_GBK" w:cs="Times New Roman"/>
      <w:kern w:val="44"/>
      <w:sz w:val="44"/>
    </w:rPr>
  </w:style>
  <w:style w:type="paragraph" w:styleId="5">
    <w:name w:val="heading 2"/>
    <w:basedOn w:val="1"/>
    <w:next w:val="1"/>
    <w:unhideWhenUsed/>
    <w:qFormat/>
    <w:uiPriority w:val="0"/>
    <w:pPr>
      <w:keepNext/>
      <w:keepLines/>
      <w:spacing w:before="50" w:beforeLines="50" w:beforeAutospacing="0" w:after="50" w:afterLines="50" w:afterAutospacing="0" w:line="560" w:lineRule="exact"/>
      <w:ind w:firstLine="880" w:firstLineChars="200"/>
      <w:outlineLvl w:val="1"/>
    </w:pPr>
    <w:rPr>
      <w:rFonts w:ascii="方正楷体_GBK" w:hAnsi="方正楷体_GBK" w:eastAsia="方正楷体_GBK"/>
    </w:rPr>
  </w:style>
  <w:style w:type="paragraph" w:styleId="6">
    <w:name w:val="heading 3"/>
    <w:basedOn w:val="1"/>
    <w:next w:val="1"/>
    <w:unhideWhenUsed/>
    <w:qFormat/>
    <w:uiPriority w:val="0"/>
    <w:pPr>
      <w:keepNext/>
      <w:keepLines/>
      <w:spacing w:before="50" w:beforeLines="50" w:beforeAutospacing="0" w:after="50" w:afterLines="50" w:afterAutospacing="0" w:line="560" w:lineRule="exact"/>
      <w:ind w:firstLine="880" w:firstLineChars="200"/>
      <w:outlineLvl w:val="2"/>
    </w:pPr>
    <w:rPr>
      <w:rFonts w:hint="eastAsia" w:ascii="方正黑体_GBK" w:hAnsi="方正黑体_GBK" w:eastAsia="方正楷体_GBK" w:cs="Times New Roman"/>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594" w:lineRule="exact"/>
      <w:ind w:firstLine="880" w:firstLineChars="200"/>
    </w:pPr>
    <w:rPr>
      <w:rFonts w:ascii="Times New Roman" w:hAnsi="Times New Roman"/>
    </w:rPr>
  </w:style>
  <w:style w:type="paragraph" w:styleId="3">
    <w:name w:val="toc 5"/>
    <w:basedOn w:val="1"/>
    <w:next w:val="1"/>
    <w:qFormat/>
    <w:uiPriority w:val="0"/>
    <w:pPr>
      <w:ind w:left="840"/>
      <w:jc w:val="left"/>
    </w:pPr>
    <w:rPr>
      <w:sz w:val="20"/>
      <w:szCs w:val="20"/>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Normal (Web)"/>
    <w:basedOn w:val="1"/>
    <w:unhideWhenUsed/>
    <w:qFormat/>
    <w:uiPriority w:val="0"/>
    <w:pPr>
      <w:spacing w:before="100" w:beforeAutospacing="1" w:after="100" w:afterAutospacing="1"/>
    </w:pPr>
  </w:style>
  <w:style w:type="character" w:styleId="12">
    <w:name w:val="Strong"/>
    <w:qFormat/>
    <w:uiPriority w:val="0"/>
    <w:rPr>
      <w:b/>
    </w:rPr>
  </w:style>
  <w:style w:type="character" w:customStyle="1" w:styleId="13">
    <w:name w:val="21"/>
    <w:basedOn w:val="11"/>
    <w:qFormat/>
    <w:uiPriority w:val="0"/>
    <w:rPr>
      <w:rFonts w:hint="default" w:ascii="Wingdings" w:hAnsi="Wingdings" w:cs="Wingdings"/>
      <w:b/>
      <w:bCs/>
    </w:rPr>
  </w:style>
  <w:style w:type="paragraph" w:customStyle="1" w:styleId="14">
    <w:name w:val="样式 标题 2 + 楷体 小三 段前: 0 磅 段后: 0 磅 行距: 单倍行距"/>
    <w:basedOn w:val="5"/>
    <w:qFormat/>
    <w:uiPriority w:val="0"/>
    <w:pPr>
      <w:spacing w:before="0" w:after="0" w:line="240" w:lineRule="auto"/>
    </w:pPr>
    <w:rPr>
      <w:rFonts w:hint="default" w:ascii="楷体" w:hAnsi="楷体" w:eastAsia="楷体" w:cs="宋体"/>
      <w:sz w:val="3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4680</Words>
  <Characters>5161</Characters>
  <Lines>0</Lines>
  <Paragraphs>0</Paragraphs>
  <TotalTime>6</TotalTime>
  <ScaleCrop>false</ScaleCrop>
  <LinksUpToDate>false</LinksUpToDate>
  <CharactersWithSpaces>5168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2025-10-14T04:08:00Z</dcterms:created>
  <dc:creator>Administrator</dc:creator>
  <cp:lastModifiedBy>静</cp:lastModifiedBy>
  <dcterms:modified xsi:type="dcterms:W3CDTF">2025-10-20T03:10:19Z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80D46F53097D452B9541E4DEB6537AB1_11</vt:lpwstr>
  </property>
  <property fmtid="{D5CDD505-2E9C-101B-9397-08002B2CF9AE}" pid="4" name="KSOTemplateDocerSaveRecord">
    <vt:lpwstr>eyJoZGlkIjoiNGFiMzVkZjEyZmY3Yjg1YzVmN2VlNzE1ZTU2YTcwZjgiLCJ1c2VySWQiOiIzMTEyNTYzNDYifQ==</vt:lpwstr>
  </property>
</Properties>
</file>