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B4BF">
      <w:pPr>
        <w:pStyle w:val="4"/>
        <w:keepNext/>
        <w:keepLines/>
        <w:pageBreakBefore w:val="0"/>
        <w:widowControl/>
        <w:kinsoku/>
        <w:wordWrap/>
        <w:overflowPunct/>
        <w:topLinePunct w:val="0"/>
        <w:autoSpaceDE/>
        <w:autoSpaceDN/>
        <w:bidi w:val="0"/>
        <w:adjustRightInd/>
        <w:snapToGrid/>
        <w:spacing w:before="0" w:after="0"/>
        <w:textAlignment w:val="auto"/>
      </w:pPr>
      <w:r>
        <w:t>重庆市铜梁区</w:t>
      </w:r>
      <w:r>
        <w:rPr>
          <w:rFonts w:hint="eastAsia"/>
          <w:lang w:eastAsia="zh-CN"/>
        </w:rPr>
        <w:t>安溪</w:t>
      </w:r>
      <w:r>
        <w:t>镇</w:t>
      </w:r>
      <w:r>
        <w:rPr>
          <w:rFonts w:hint="eastAsia"/>
          <w:lang w:eastAsia="zh-CN"/>
        </w:rPr>
        <w:t>乡村生态治理中心</w:t>
      </w:r>
    </w:p>
    <w:p w14:paraId="69E78D07">
      <w:pPr>
        <w:pStyle w:val="4"/>
        <w:keepNext/>
        <w:keepLines/>
        <w:pageBreakBefore w:val="0"/>
        <w:widowControl/>
        <w:kinsoku/>
        <w:wordWrap/>
        <w:overflowPunct/>
        <w:topLinePunct w:val="0"/>
        <w:autoSpaceDE/>
        <w:autoSpaceDN/>
        <w:bidi w:val="0"/>
        <w:adjustRightInd/>
        <w:snapToGrid/>
        <w:spacing w:before="0" w:after="0"/>
        <w:textAlignment w:val="auto"/>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14:paraId="3B2F9B14">
      <w:pPr>
        <w:pStyle w:val="5"/>
        <w:pageBreakBefore w:val="0"/>
        <w:kinsoku/>
        <w:wordWrap/>
        <w:overflowPunct/>
        <w:topLinePunct w:val="0"/>
        <w:autoSpaceDE/>
        <w:autoSpaceDN/>
        <w:bidi w:val="0"/>
        <w:adjustRightInd/>
        <w:spacing w:before="0" w:beforeLines="0" w:after="0" w:afterLines="0" w:line="560" w:lineRule="exact"/>
        <w:textAlignment w:val="auto"/>
        <w:rPr>
          <w:highlight w:val="none"/>
        </w:rPr>
      </w:pPr>
    </w:p>
    <w:p w14:paraId="41CA68D0">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rPr>
      </w:pPr>
      <w:r>
        <w:rPr>
          <w:rFonts w:hint="eastAsia" w:ascii="方正黑体_GBK" w:hAnsi="方正黑体_GBK" w:eastAsia="方正黑体_GBK" w:cs="方正黑体_GBK"/>
          <w:highlight w:val="none"/>
        </w:rPr>
        <w:t>一、</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基本情况</w:t>
      </w:r>
    </w:p>
    <w:p w14:paraId="2697B6A8">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（一）职能职责</w:t>
      </w:r>
    </w:p>
    <w:p w14:paraId="5BB0B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kern w:val="2"/>
          <w:sz w:val="32"/>
          <w:szCs w:val="32"/>
          <w:highlight w:val="none"/>
          <w:lang w:val="en-US" w:eastAsia="zh-CN" w:bidi="ar-SA"/>
        </w:rPr>
      </w:pPr>
      <w:r>
        <w:rPr>
          <w:rFonts w:hint="eastAsia" w:ascii="方正仿宋_GBK" w:hAnsi="方正仿宋_GBK" w:eastAsia="方正仿宋_GBK" w:cs="方正仿宋_GBK"/>
          <w:b w:val="0"/>
          <w:kern w:val="2"/>
          <w:sz w:val="32"/>
          <w:szCs w:val="32"/>
          <w:highlight w:val="none"/>
          <w:lang w:val="en-US" w:eastAsia="zh-CN" w:bidi="ar-SA"/>
        </w:rPr>
        <w:t>主要职能职责：保障和改善村镇居住环境，促进乡村生态文明发展，加强农村、场镇建设管理和环境卫生管理，提供技术，管理、咨询服务，完成主管单位交办的其他事项。</w:t>
      </w:r>
    </w:p>
    <w:p w14:paraId="262A1513">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（二）机构设置</w:t>
      </w:r>
    </w:p>
    <w:p w14:paraId="4F2B7FF5">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val="en-US" w:eastAsia="zh-CN"/>
        </w:rPr>
        <w:t>重庆市铜梁区安溪镇乡村生态治理中心是重庆市铜梁区安溪镇人民政府下属事业单位，故我单位不存在内部机构设置。</w:t>
      </w:r>
    </w:p>
    <w:p w14:paraId="5A7D671A">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二、</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决算</w:t>
      </w:r>
      <w:r>
        <w:rPr>
          <w:rFonts w:hint="eastAsia" w:ascii="方正黑体_GBK" w:hAnsi="方正黑体_GBK" w:eastAsia="方正黑体_GBK" w:cs="方正黑体_GBK"/>
          <w:highlight w:val="none"/>
          <w:lang w:eastAsia="zh-CN"/>
        </w:rPr>
        <w:t>收支</w:t>
      </w:r>
      <w:r>
        <w:rPr>
          <w:rFonts w:hint="eastAsia" w:ascii="方正黑体_GBK" w:hAnsi="方正黑体_GBK" w:eastAsia="方正黑体_GBK" w:cs="方正黑体_GBK"/>
          <w:highlight w:val="none"/>
        </w:rPr>
        <w:t>情况说明</w:t>
      </w:r>
    </w:p>
    <w:p w14:paraId="771C0F6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（一）收入支出决算总体情况说明</w:t>
      </w:r>
    </w:p>
    <w:p w14:paraId="0D1F31E4">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1.总体情况。</w:t>
      </w:r>
      <w:r>
        <w:rPr>
          <w:rFonts w:hint="eastAsia"/>
          <w:highlight w:val="none"/>
          <w:lang w:eastAsia="zh-CN"/>
        </w:rPr>
        <w:t>2024年</w:t>
      </w:r>
      <w:r>
        <w:rPr>
          <w:highlight w:val="none"/>
        </w:rPr>
        <w:t>度收入总计</w:t>
      </w:r>
      <w:r>
        <w:rPr>
          <w:rFonts w:hint="eastAsia"/>
          <w:highlight w:val="none"/>
          <w:lang w:eastAsia="zh-CN"/>
        </w:rPr>
        <w:t>40.08</w:t>
      </w:r>
      <w:r>
        <w:rPr>
          <w:highlight w:val="none"/>
        </w:rPr>
        <w:t>万元，支出总计</w:t>
      </w:r>
      <w:r>
        <w:rPr>
          <w:rFonts w:hint="eastAsia"/>
          <w:highlight w:val="none"/>
          <w:lang w:eastAsia="zh-CN"/>
        </w:rPr>
        <w:t>40.08</w:t>
      </w:r>
      <w:r>
        <w:rPr>
          <w:highlight w:val="none"/>
        </w:rPr>
        <w:t>万元。收、支与2023年度相比，增加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2024年度我单位按照财政局相关要求单独编制决算，故本年决算数据全面反映我单位的开支明细，最终形成2024年度收、支较2023年分别增加40.08万元</w:t>
      </w:r>
      <w:r>
        <w:rPr>
          <w:highlight w:val="none"/>
        </w:rPr>
        <w:t>。</w:t>
      </w:r>
    </w:p>
    <w:p w14:paraId="22703725">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2.收入情况。</w:t>
      </w:r>
      <w:r>
        <w:rPr>
          <w:rFonts w:hint="eastAsia"/>
          <w:highlight w:val="none"/>
          <w:lang w:eastAsia="zh-CN"/>
        </w:rPr>
        <w:t>2024年</w:t>
      </w:r>
      <w:r>
        <w:rPr>
          <w:highlight w:val="none"/>
        </w:rPr>
        <w:t>度收入合计</w:t>
      </w:r>
      <w:r>
        <w:rPr>
          <w:rFonts w:hint="eastAsia"/>
          <w:highlight w:val="none"/>
          <w:lang w:eastAsia="zh-CN"/>
        </w:rPr>
        <w:t>40.08</w:t>
      </w:r>
      <w:r>
        <w:rPr>
          <w:highlight w:val="none"/>
        </w:rPr>
        <w:t>万元，与2023年度相比，增加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2024年度我单位按照财政局相关要求单独编制决算，故本年决算数据全面反映我单位的开支明细，最终形成2024年度收入较2023年增加40.08万元</w:t>
      </w:r>
      <w:r>
        <w:rPr>
          <w:highlight w:val="none"/>
        </w:rPr>
        <w:t>。其中：财政拨款收入</w:t>
      </w:r>
      <w:r>
        <w:rPr>
          <w:rFonts w:hint="eastAsia"/>
          <w:highlight w:val="none"/>
          <w:lang w:eastAsia="zh-CN"/>
        </w:rPr>
        <w:t>40.08</w:t>
      </w:r>
      <w:r>
        <w:rPr>
          <w:highlight w:val="none"/>
        </w:rPr>
        <w:t>万元，占10</w:t>
      </w:r>
      <w:r>
        <w:rPr>
          <w:rFonts w:hint="eastAsia"/>
          <w:highlight w:val="none"/>
          <w:lang w:eastAsia="zh-CN"/>
        </w:rPr>
        <w:t>0</w:t>
      </w:r>
      <w:r>
        <w:rPr>
          <w:highlight w:val="none"/>
        </w:rPr>
        <w:t>%；事业收入</w:t>
      </w:r>
      <w:r>
        <w:rPr>
          <w:rFonts w:hint="eastAsia"/>
          <w:highlight w:val="none"/>
          <w:lang w:val="en-US" w:eastAsia="zh-CN"/>
        </w:rPr>
        <w:t>0</w:t>
      </w:r>
      <w:r>
        <w:rPr>
          <w:highlight w:val="none"/>
        </w:rPr>
        <w:t>万元，占0.0%；经营收入</w:t>
      </w:r>
      <w:r>
        <w:rPr>
          <w:rFonts w:hint="eastAsia"/>
          <w:highlight w:val="none"/>
          <w:lang w:val="en-US" w:eastAsia="zh-CN"/>
        </w:rPr>
        <w:t>0</w:t>
      </w:r>
      <w:r>
        <w:rPr>
          <w:highlight w:val="none"/>
        </w:rPr>
        <w:t>万元，占0.0%；其他收入</w:t>
      </w:r>
      <w:r>
        <w:rPr>
          <w:rFonts w:hint="eastAsia"/>
          <w:highlight w:val="none"/>
          <w:lang w:val="en-US" w:eastAsia="zh-CN"/>
        </w:rPr>
        <w:t>0</w:t>
      </w:r>
      <w:r>
        <w:rPr>
          <w:highlight w:val="none"/>
        </w:rPr>
        <w:t>万元，占0.0%。此外，使用非财政拨款结余和专用结余</w:t>
      </w:r>
      <w:r>
        <w:rPr>
          <w:rFonts w:hint="eastAsia"/>
          <w:highlight w:val="none"/>
          <w:lang w:val="en-US" w:eastAsia="zh-CN"/>
        </w:rPr>
        <w:t>0</w:t>
      </w:r>
      <w:r>
        <w:rPr>
          <w:highlight w:val="none"/>
        </w:rPr>
        <w:t>万元，年初结转和结余</w:t>
      </w:r>
      <w:r>
        <w:rPr>
          <w:rFonts w:hint="eastAsia"/>
          <w:highlight w:val="none"/>
          <w:lang w:val="en-US" w:eastAsia="zh-CN"/>
        </w:rPr>
        <w:t>0</w:t>
      </w:r>
      <w:r>
        <w:rPr>
          <w:highlight w:val="none"/>
        </w:rPr>
        <w:t>万元。</w:t>
      </w:r>
    </w:p>
    <w:p w14:paraId="1E582D54">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b w:val="0"/>
          <w:bCs w:val="0"/>
          <w:highlight w:val="none"/>
        </w:rPr>
        <w:t>3.支出情况。</w:t>
      </w:r>
      <w:r>
        <w:rPr>
          <w:rFonts w:hint="eastAsia"/>
          <w:highlight w:val="none"/>
          <w:lang w:eastAsia="zh-CN"/>
        </w:rPr>
        <w:t>2024年</w:t>
      </w:r>
      <w:r>
        <w:rPr>
          <w:highlight w:val="none"/>
        </w:rPr>
        <w:t>度支出合计</w:t>
      </w:r>
      <w:r>
        <w:rPr>
          <w:rFonts w:hint="eastAsia"/>
          <w:highlight w:val="none"/>
          <w:lang w:eastAsia="zh-CN"/>
        </w:rPr>
        <w:t>40.08</w:t>
      </w:r>
      <w:r>
        <w:rPr>
          <w:highlight w:val="none"/>
        </w:rPr>
        <w:t>万元，与2023年度相比，增加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2024年度我单位按照财政局相关要求单独编制决算，故本年决算数据全面反映我单位的开支明细，最终形成2024年度支出较2023年增加40.08万元</w:t>
      </w:r>
      <w:r>
        <w:rPr>
          <w:highlight w:val="none"/>
        </w:rPr>
        <w:t>。</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39.25</w:t>
      </w:r>
      <w:r>
        <w:rPr>
          <w:rFonts w:ascii="方正仿宋_GBK" w:hAnsi="方正仿宋_GBK" w:eastAsia="方正仿宋_GBK" w:cs="方正仿宋_GBK"/>
          <w:sz w:val="32"/>
          <w:szCs w:val="32"/>
          <w:highlight w:val="none"/>
          <w:shd w:val="clear" w:color="auto" w:fill="FFFFFF"/>
        </w:rPr>
        <w:t>万元，占97.93%；项目支出</w:t>
      </w:r>
      <w:r>
        <w:rPr>
          <w:rFonts w:ascii="方正仿宋_GBK" w:hAnsi="方正仿宋_GBK" w:eastAsia="方正仿宋_GBK" w:cs="方正仿宋_GBK"/>
          <w:sz w:val="32"/>
          <w:szCs w:val="32"/>
          <w:highlight w:val="none"/>
        </w:rPr>
        <w:t>0.83</w:t>
      </w:r>
      <w:r>
        <w:rPr>
          <w:rFonts w:ascii="方正仿宋_GBK" w:hAnsi="方正仿宋_GBK" w:eastAsia="方正仿宋_GBK" w:cs="方正仿宋_GBK"/>
          <w:sz w:val="32"/>
          <w:szCs w:val="32"/>
          <w:highlight w:val="none"/>
          <w:shd w:val="clear" w:color="auto" w:fill="FFFFFF"/>
        </w:rPr>
        <w:t>万元，占2.07%；经营支出</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万元，占</w:t>
      </w:r>
      <w:r>
        <w:rPr>
          <w:rFonts w:hint="eastAsia" w:cs="方正仿宋_GBK"/>
          <w:sz w:val="32"/>
          <w:szCs w:val="32"/>
          <w:highlight w:val="none"/>
          <w:shd w:val="clear" w:color="auto" w:fill="FFFFFF"/>
          <w:lang w:eastAsia="zh-CN"/>
        </w:rPr>
        <w:t>0</w:t>
      </w:r>
      <w:r>
        <w:rPr>
          <w:rFonts w:hint="eastAsia" w:cs="方正仿宋_GBK"/>
          <w:sz w:val="32"/>
          <w:szCs w:val="32"/>
          <w:highlight w:val="none"/>
          <w:shd w:val="clear" w:color="auto" w:fill="FFFFFF"/>
          <w:lang w:val="en-US" w:eastAsia="zh-CN"/>
        </w:rPr>
        <w:t>.0</w:t>
      </w:r>
      <w:r>
        <w:rPr>
          <w:rFonts w:ascii="方正仿宋_GBK" w:hAnsi="方正仿宋_GBK" w:eastAsia="方正仿宋_GBK" w:cs="方正仿宋_GBK"/>
          <w:sz w:val="32"/>
          <w:szCs w:val="32"/>
          <w:highlight w:val="none"/>
          <w:shd w:val="clear" w:color="auto" w:fill="FFFFFF"/>
        </w:rPr>
        <w:t>%。此外，结余分配</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w:t>
      </w:r>
    </w:p>
    <w:p w14:paraId="253C7FAB">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4.结转结余情况。</w:t>
      </w:r>
      <w:r>
        <w:rPr>
          <w:rFonts w:hint="eastAsia"/>
          <w:highlight w:val="none"/>
          <w:lang w:val="en-US" w:eastAsia="zh-CN"/>
        </w:rPr>
        <w:t>2024年度年末结转和结余0万元，较上年决算数增加0万元</w:t>
      </w:r>
      <w:r>
        <w:rPr>
          <w:highlight w:val="none"/>
        </w:rPr>
        <w:t>。</w:t>
      </w:r>
    </w:p>
    <w:p w14:paraId="6EBDE85F">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（二）财政拨款收入支出决算总体情况说明</w:t>
      </w:r>
    </w:p>
    <w:p w14:paraId="691D4165">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hint="eastAsia"/>
          <w:highlight w:val="none"/>
          <w:lang w:eastAsia="zh-CN"/>
        </w:rPr>
        <w:t>2024年</w:t>
      </w:r>
      <w:r>
        <w:rPr>
          <w:highlight w:val="none"/>
        </w:rPr>
        <w:t>度财政拨款收、支总计</w:t>
      </w:r>
      <w:r>
        <w:rPr>
          <w:rFonts w:hint="eastAsia"/>
          <w:highlight w:val="none"/>
          <w:lang w:eastAsia="zh-CN"/>
        </w:rPr>
        <w:t>40.08</w:t>
      </w:r>
      <w:r>
        <w:rPr>
          <w:highlight w:val="none"/>
        </w:rPr>
        <w:t>万元。与202</w:t>
      </w:r>
      <w:r>
        <w:rPr>
          <w:rFonts w:hint="eastAsia"/>
          <w:highlight w:val="none"/>
          <w:lang w:val="en-US" w:eastAsia="zh-CN"/>
        </w:rPr>
        <w:t>3</w:t>
      </w:r>
      <w:r>
        <w:rPr>
          <w:highlight w:val="none"/>
        </w:rPr>
        <w:t>年相比，财政拨款收、支总计各增加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2024年度我单位按照财政局相关要求单独编制决算，故本年决算数据全面反映我单位的开支明细，最终形成2024年度收、支较2023年分别增加40.08万元。</w:t>
      </w:r>
    </w:p>
    <w:p w14:paraId="37D4DD33">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（三）一般公共预算财政拨款收入支出决算情况说明</w:t>
      </w:r>
    </w:p>
    <w:p w14:paraId="305225A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1.收入情况</w:t>
      </w:r>
      <w:r>
        <w:rPr>
          <w:rFonts w:hint="eastAsia"/>
          <w:b w:val="0"/>
          <w:bCs w:val="0"/>
          <w:highlight w:val="none"/>
          <w:lang w:eastAsia="zh-CN"/>
        </w:rPr>
        <w:t>。</w:t>
      </w:r>
      <w:r>
        <w:rPr>
          <w:rFonts w:hint="eastAsia"/>
          <w:highlight w:val="none"/>
          <w:lang w:eastAsia="zh-CN"/>
        </w:rPr>
        <w:t>2024年</w:t>
      </w:r>
      <w:r>
        <w:rPr>
          <w:highlight w:val="none"/>
        </w:rPr>
        <w:t>度一般公共预算财政拨款收入</w:t>
      </w:r>
      <w:r>
        <w:rPr>
          <w:rFonts w:hint="eastAsia"/>
          <w:highlight w:val="none"/>
          <w:lang w:eastAsia="zh-CN"/>
        </w:rPr>
        <w:t>40.08</w:t>
      </w:r>
      <w:r>
        <w:rPr>
          <w:highlight w:val="none"/>
        </w:rPr>
        <w:t>万元，与2023年度相比，增加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2024年度我单位按照财政局相关要求单独编制决算，故本年决算数据全面反映我单位的开支明细，最终形成2024年度收入较2023年增加40.08万元</w:t>
      </w:r>
      <w:r>
        <w:rPr>
          <w:highlight w:val="none"/>
        </w:rPr>
        <w:t>。</w:t>
      </w:r>
      <w:r>
        <w:rPr>
          <w:rFonts w:ascii="方正仿宋_GBK" w:hAnsi="方正仿宋_GBK" w:eastAsia="方正仿宋_GBK" w:cs="方正仿宋_GBK"/>
          <w:sz w:val="32"/>
          <w:szCs w:val="32"/>
          <w:highlight w:val="none"/>
          <w:shd w:val="clear" w:color="auto" w:fill="FFFFFF"/>
        </w:rPr>
        <w:t>较年初预算数减少11.11万元，下降21.7%。</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2024年度区财政局为优先保障“三保”等重点支出，对我单位部分非紧急、非刚性的项目支出进行了暂缓支出，我单位涉及公用经费、其他项目支出等资金共计11.11万元未全额拨付</w:t>
      </w:r>
      <w:r>
        <w:rPr>
          <w:highlight w:val="none"/>
        </w:rPr>
        <w:t>。此外，年初财政拨款结转和结余</w:t>
      </w:r>
      <w:r>
        <w:rPr>
          <w:rFonts w:hint="eastAsia"/>
          <w:highlight w:val="none"/>
          <w:lang w:val="en-US" w:eastAsia="zh-CN"/>
        </w:rPr>
        <w:t>0</w:t>
      </w:r>
      <w:r>
        <w:rPr>
          <w:highlight w:val="none"/>
        </w:rPr>
        <w:t>万元。</w:t>
      </w:r>
    </w:p>
    <w:p w14:paraId="56767B3F">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2.支出情况。</w:t>
      </w:r>
      <w:r>
        <w:rPr>
          <w:rFonts w:hint="eastAsia"/>
          <w:highlight w:val="none"/>
          <w:lang w:eastAsia="zh-CN"/>
        </w:rPr>
        <w:t>2024年</w:t>
      </w:r>
      <w:r>
        <w:rPr>
          <w:highlight w:val="none"/>
        </w:rPr>
        <w:t>度一般公共预算财政拨款支出</w:t>
      </w:r>
      <w:r>
        <w:rPr>
          <w:rFonts w:hint="eastAsia"/>
          <w:highlight w:val="none"/>
          <w:lang w:eastAsia="zh-CN"/>
        </w:rPr>
        <w:t>40.08</w:t>
      </w:r>
      <w:r>
        <w:rPr>
          <w:highlight w:val="none"/>
        </w:rPr>
        <w:t>万元，与2023年度相比，增加</w:t>
      </w:r>
      <w:r>
        <w:rPr>
          <w:rFonts w:hint="eastAsia"/>
          <w:highlight w:val="none"/>
          <w:lang w:eastAsia="zh-CN"/>
        </w:rPr>
        <w:t>40.08</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2024年度我单位按照财政局相关要求单独编制决算，故本年决算数据全面反映我单位的开支明细，最终形成2024年度支出较2023年增加40.08万元</w:t>
      </w:r>
      <w:r>
        <w:rPr>
          <w:highlight w:val="none"/>
        </w:rPr>
        <w:t>。</w:t>
      </w:r>
      <w:r>
        <w:rPr>
          <w:rFonts w:ascii="方正仿宋_GBK" w:hAnsi="方正仿宋_GBK" w:eastAsia="方正仿宋_GBK" w:cs="方正仿宋_GBK"/>
          <w:sz w:val="32"/>
          <w:szCs w:val="32"/>
          <w:highlight w:val="none"/>
          <w:shd w:val="clear" w:color="auto" w:fill="FFFFFF"/>
        </w:rPr>
        <w:t>较年初预算数减少11.11万元，下降21.7%</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2024年度区财政局为优先保障“三保”等重点支出，对我单位部分非紧急、非刚性的项目支出进行了暂缓支出，我单位涉及公用经费、其他项目支出等资金共计11.11万元未全额拨付</w:t>
      </w:r>
      <w:r>
        <w:rPr>
          <w:highlight w:val="none"/>
        </w:rPr>
        <w:t>。</w:t>
      </w:r>
    </w:p>
    <w:p w14:paraId="6145668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3.结转结余情况。</w:t>
      </w:r>
      <w:r>
        <w:rPr>
          <w:rFonts w:hint="eastAsia"/>
          <w:highlight w:val="none"/>
          <w:lang w:val="en-US" w:eastAsia="zh-CN"/>
        </w:rPr>
        <w:t>2024年度年末一般公共预算财政拨款结转和结余0万元，较上年决算数增加0万元</w:t>
      </w:r>
      <w:r>
        <w:rPr>
          <w:highlight w:val="none"/>
        </w:rPr>
        <w:t>。</w:t>
      </w:r>
    </w:p>
    <w:p w14:paraId="1AD971A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highlight w:val="none"/>
        </w:rPr>
        <w:t xml:space="preserve"> </w:t>
      </w:r>
      <w:r>
        <w:rPr>
          <w:b w:val="0"/>
          <w:bCs w:val="0"/>
          <w:highlight w:val="none"/>
        </w:rPr>
        <w:t>4.比较情况</w:t>
      </w:r>
      <w:r>
        <w:rPr>
          <w:rFonts w:hint="eastAsia"/>
          <w:b w:val="0"/>
          <w:bCs w:val="0"/>
          <w:highlight w:val="none"/>
          <w:lang w:eastAsia="zh-CN"/>
        </w:rPr>
        <w:t>。</w:t>
      </w:r>
      <w:r>
        <w:rPr>
          <w:highlight w:val="none"/>
        </w:rPr>
        <w:t>本单位</w:t>
      </w:r>
      <w:r>
        <w:rPr>
          <w:rFonts w:hint="eastAsia"/>
          <w:highlight w:val="none"/>
          <w:lang w:eastAsia="zh-CN"/>
        </w:rPr>
        <w:t>2024年</w:t>
      </w:r>
      <w:r>
        <w:rPr>
          <w:highlight w:val="none"/>
        </w:rPr>
        <w:t>度一般公共预算财政拨款支出主要用于以下几个方面：</w:t>
      </w:r>
    </w:p>
    <w:p w14:paraId="6DF147D1">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1</w:t>
      </w:r>
      <w:r>
        <w:rPr>
          <w:highlight w:val="none"/>
        </w:rPr>
        <w:t>）</w:t>
      </w:r>
      <w:r>
        <w:rPr>
          <w:rFonts w:ascii="方正仿宋_GBK" w:hAnsi="方正仿宋_GBK" w:eastAsia="方正仿宋_GBK" w:cs="方正仿宋_GBK"/>
          <w:sz w:val="32"/>
          <w:szCs w:val="32"/>
          <w:highlight w:val="none"/>
          <w:shd w:val="clear" w:color="auto" w:fill="FFFFFF"/>
        </w:rPr>
        <w:t>节能环保支出</w:t>
      </w:r>
      <w:r>
        <w:rPr>
          <w:rFonts w:ascii="方正仿宋_GBK" w:hAnsi="方正仿宋_GBK" w:eastAsia="方正仿宋_GBK" w:cs="方正仿宋_GBK"/>
          <w:sz w:val="32"/>
          <w:szCs w:val="32"/>
          <w:highlight w:val="none"/>
        </w:rPr>
        <w:t>31.99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79.81</w:t>
      </w:r>
      <w:r>
        <w:rPr>
          <w:rFonts w:ascii="方正仿宋_GBK" w:hAnsi="方正仿宋_GBK" w:eastAsia="方正仿宋_GBK" w:cs="方正仿宋_GBK"/>
          <w:sz w:val="32"/>
          <w:szCs w:val="32"/>
          <w:highlight w:val="none"/>
          <w:shd w:val="clear" w:color="auto" w:fill="FFFFFF"/>
        </w:rPr>
        <w:t>%，较年初预算数减少9.46万元，下降22.8%，</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9.46万元未能全额拨付，最终形成2024年度决算支出低于年初预算</w:t>
      </w:r>
      <w:r>
        <w:rPr>
          <w:highlight w:val="none"/>
        </w:rPr>
        <w:t>。</w:t>
      </w:r>
    </w:p>
    <w:p w14:paraId="0C465C87">
      <w:pPr>
        <w:pageBreakBefore w:val="0"/>
        <w:kinsoku/>
        <w:wordWrap/>
        <w:overflowPunct/>
        <w:topLinePunct w:val="0"/>
        <w:autoSpaceDE/>
        <w:autoSpaceDN/>
        <w:bidi w:val="0"/>
        <w:adjustRightInd/>
        <w:spacing w:line="560" w:lineRule="exact"/>
        <w:textAlignment w:val="auto"/>
        <w:rPr>
          <w:rFonts w:hint="eastAsia" w:eastAsia="方正仿宋_GBK"/>
          <w:highlight w:val="none"/>
          <w:lang w:val="en-US" w:eastAsia="zh-CN"/>
        </w:rPr>
      </w:pPr>
      <w:r>
        <w:rPr>
          <w:highlight w:val="none"/>
        </w:rPr>
        <w:t>（</w:t>
      </w:r>
      <w:r>
        <w:rPr>
          <w:rFonts w:hint="eastAsia"/>
          <w:highlight w:val="none"/>
          <w:lang w:val="en-US" w:eastAsia="zh-CN"/>
        </w:rPr>
        <w:t>2</w:t>
      </w:r>
      <w:r>
        <w:rPr>
          <w:highlight w:val="none"/>
        </w:rPr>
        <w:t>）</w:t>
      </w:r>
      <w:r>
        <w:rPr>
          <w:rFonts w:ascii="方正仿宋_GBK" w:hAnsi="方正仿宋_GBK" w:eastAsia="方正仿宋_GBK" w:cs="方正仿宋_GBK"/>
          <w:sz w:val="32"/>
          <w:szCs w:val="32"/>
          <w:highlight w:val="none"/>
          <w:shd w:val="clear" w:color="auto" w:fill="FFFFFF"/>
        </w:rPr>
        <w:t>社会保障与就业支出</w:t>
      </w:r>
      <w:r>
        <w:rPr>
          <w:rFonts w:ascii="方正仿宋_GBK" w:hAnsi="方正仿宋_GBK" w:eastAsia="方正仿宋_GBK" w:cs="方正仿宋_GBK"/>
          <w:sz w:val="32"/>
          <w:szCs w:val="32"/>
          <w:highlight w:val="none"/>
        </w:rPr>
        <w:t>5.16</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12.88</w:t>
      </w:r>
      <w:r>
        <w:rPr>
          <w:rFonts w:ascii="方正仿宋_GBK" w:hAnsi="方正仿宋_GBK" w:eastAsia="方正仿宋_GBK" w:cs="方正仿宋_GBK"/>
          <w:sz w:val="32"/>
          <w:szCs w:val="32"/>
          <w:highlight w:val="none"/>
          <w:shd w:val="clear" w:color="auto" w:fill="FFFFFF"/>
        </w:rPr>
        <w:t>%，较年初预算数减少1.05万元，下降16.9%</w:t>
      </w:r>
      <w:r>
        <w:rPr>
          <w:rFonts w:hint="eastAsia" w:cs="方正仿宋_GBK"/>
          <w:sz w:val="32"/>
          <w:szCs w:val="32"/>
          <w:highlight w:val="none"/>
          <w:shd w:val="clear" w:color="auto" w:fill="FFFFFF"/>
          <w:lang w:val="en-US" w:eastAsia="zh-CN"/>
        </w:rPr>
        <w:t>,</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退休公务员医疗补助缴费、在职公务员医疗补助缴费等预算资金共计1.05万元未能全额拨付，最终形成2024年度决算支出低于年初预算。</w:t>
      </w:r>
    </w:p>
    <w:p w14:paraId="583FC88B">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3</w:t>
      </w:r>
      <w:r>
        <w:rPr>
          <w:highlight w:val="none"/>
        </w:rPr>
        <w:t>）</w:t>
      </w:r>
      <w:r>
        <w:rPr>
          <w:rFonts w:ascii="方正仿宋_GBK" w:hAnsi="方正仿宋_GBK" w:eastAsia="方正仿宋_GBK" w:cs="方正仿宋_GBK"/>
          <w:sz w:val="32"/>
          <w:szCs w:val="32"/>
          <w:highlight w:val="none"/>
          <w:shd w:val="clear" w:color="auto" w:fill="FFFFFF"/>
        </w:rPr>
        <w:t>卫生健康支出</w:t>
      </w:r>
      <w:r>
        <w:rPr>
          <w:rFonts w:ascii="方正仿宋_GBK" w:hAnsi="方正仿宋_GBK" w:eastAsia="方正仿宋_GBK" w:cs="方正仿宋_GBK"/>
          <w:sz w:val="32"/>
          <w:szCs w:val="32"/>
          <w:highlight w:val="none"/>
        </w:rPr>
        <w:t>1.33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3.32</w:t>
      </w:r>
      <w:r>
        <w:rPr>
          <w:rFonts w:ascii="方正仿宋_GBK" w:hAnsi="方正仿宋_GBK" w:eastAsia="方正仿宋_GBK" w:cs="方正仿宋_GBK"/>
          <w:sz w:val="32"/>
          <w:szCs w:val="32"/>
          <w:highlight w:val="none"/>
          <w:shd w:val="clear" w:color="auto" w:fill="FFFFFF"/>
        </w:rPr>
        <w:t>%，较年初预算数减少0.60万元，下降31.1%，</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退休公务员医疗补助缴费、在职公务员医疗补助缴费等预算资金共计0.60万元未能全额拨付，最终形成2024年度决算支出低于年初预算</w:t>
      </w:r>
      <w:r>
        <w:rPr>
          <w:highlight w:val="none"/>
        </w:rPr>
        <w:t>。</w:t>
      </w:r>
    </w:p>
    <w:p w14:paraId="602EE1A3">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4</w:t>
      </w:r>
      <w:r>
        <w:rPr>
          <w:highlight w:val="none"/>
        </w:rPr>
        <w:t>）</w:t>
      </w:r>
      <w:r>
        <w:rPr>
          <w:rFonts w:ascii="方正仿宋_GBK" w:hAnsi="方正仿宋_GBK" w:eastAsia="方正仿宋_GBK" w:cs="方正仿宋_GBK"/>
          <w:sz w:val="32"/>
          <w:szCs w:val="32"/>
          <w:highlight w:val="none"/>
        </w:rPr>
        <w:t>住房保障支出1.60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3.99</w:t>
      </w:r>
      <w:r>
        <w:rPr>
          <w:rFonts w:ascii="方正仿宋_GBK" w:hAnsi="方正仿宋_GBK" w:eastAsia="方正仿宋_GBK" w:cs="方正仿宋_GBK"/>
          <w:sz w:val="32"/>
          <w:szCs w:val="32"/>
          <w:highlight w:val="none"/>
          <w:shd w:val="clear" w:color="auto" w:fill="FFFFFF"/>
        </w:rPr>
        <w:t>%，较年初预算数无增减，</w:t>
      </w:r>
      <w:r>
        <w:rPr>
          <w:highlight w:val="none"/>
        </w:rPr>
        <w:t>主要原因</w:t>
      </w:r>
      <w:bookmarkStart w:id="0" w:name="_GoBack"/>
      <w:bookmarkEnd w:id="0"/>
      <w:r>
        <w:rPr>
          <w:rFonts w:hint="eastAsia"/>
          <w:highlight w:val="none"/>
          <w:lang w:val="en-US" w:eastAsia="zh-CN"/>
        </w:rPr>
        <w:t>是</w:t>
      </w:r>
      <w:r>
        <w:rPr>
          <w:rFonts w:hint="eastAsia"/>
          <w:highlight w:val="none"/>
          <w:lang w:eastAsia="zh-CN"/>
        </w:rPr>
        <w:t>严格按照预算执行</w:t>
      </w:r>
      <w:r>
        <w:rPr>
          <w:highlight w:val="none"/>
        </w:rPr>
        <w:t>。</w:t>
      </w:r>
    </w:p>
    <w:p w14:paraId="088CD00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（四）一般公共预算财政拨款基本支出决算情况说明</w:t>
      </w:r>
    </w:p>
    <w:p w14:paraId="6A446F9B">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度一般公共财政拨款基本支出</w:t>
      </w:r>
      <w:r>
        <w:rPr>
          <w:rFonts w:hint="eastAsia" w:cs="方正仿宋_GBK"/>
          <w:sz w:val="32"/>
          <w:szCs w:val="32"/>
          <w:highlight w:val="none"/>
          <w:shd w:val="clear" w:color="auto" w:fill="FFFFFF"/>
          <w:lang w:val="en-US" w:eastAsia="zh-CN"/>
        </w:rPr>
        <w:t>39.25</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35.71</w:t>
      </w:r>
      <w:r>
        <w:rPr>
          <w:rFonts w:ascii="方正仿宋_GBK" w:hAnsi="方正仿宋_GBK" w:eastAsia="方正仿宋_GBK" w:cs="方正仿宋_GBK"/>
          <w:sz w:val="32"/>
          <w:szCs w:val="32"/>
          <w:highlight w:val="none"/>
          <w:shd w:val="clear" w:color="auto" w:fill="FFFFFF"/>
        </w:rPr>
        <w:t>万元，与2023年度相比，增加35.71万元，增长100.0%，，</w:t>
      </w:r>
      <w:r>
        <w:rPr>
          <w:highlight w:val="none"/>
        </w:rPr>
        <w:t>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2024年度我单位按照财政局相关要求单独编制决算，故本年决算数据全面反映我单位的开支明细，最终形成2024年度支出较2023年增加35.71万元</w:t>
      </w:r>
      <w:r>
        <w:rPr>
          <w:highlight w:val="none"/>
        </w:rPr>
        <w:t>。人员经费用途主要包括</w:t>
      </w:r>
      <w:r>
        <w:rPr>
          <w:rFonts w:hint="eastAsia"/>
          <w:highlight w:val="none"/>
          <w:lang w:val="en-US" w:eastAsia="zh-CN"/>
        </w:rPr>
        <w:t>基本工资、津贴补贴、奖金、社会保障缴费、住房公积金等</w:t>
      </w:r>
      <w:r>
        <w:rPr>
          <w:highlight w:val="none"/>
        </w:rPr>
        <w:t>。</w:t>
      </w:r>
      <w:r>
        <w:rPr>
          <w:rFonts w:ascii="方正仿宋_GBK" w:hAnsi="方正仿宋_GBK" w:eastAsia="方正仿宋_GBK" w:cs="方正仿宋_GBK"/>
          <w:sz w:val="32"/>
          <w:szCs w:val="32"/>
          <w:highlight w:val="none"/>
          <w:shd w:val="clear" w:color="auto" w:fill="FFFFFF"/>
        </w:rPr>
        <w:t>公用经费</w:t>
      </w:r>
      <w:r>
        <w:rPr>
          <w:rFonts w:hint="eastAsia" w:cs="方正仿宋_GBK"/>
          <w:sz w:val="32"/>
          <w:szCs w:val="32"/>
          <w:highlight w:val="none"/>
          <w:shd w:val="clear" w:color="auto" w:fill="FFFFFF"/>
          <w:lang w:val="en-US" w:eastAsia="zh-CN"/>
        </w:rPr>
        <w:t>3.54</w:t>
      </w:r>
      <w:r>
        <w:rPr>
          <w:rFonts w:ascii="方正仿宋_GBK" w:hAnsi="方正仿宋_GBK" w:eastAsia="方正仿宋_GBK" w:cs="方正仿宋_GBK"/>
          <w:sz w:val="32"/>
          <w:szCs w:val="32"/>
          <w:highlight w:val="none"/>
          <w:shd w:val="clear" w:color="auto" w:fill="FFFFFF"/>
        </w:rPr>
        <w:t>万元，与2023年度相比，增加</w:t>
      </w:r>
      <w:r>
        <w:rPr>
          <w:rFonts w:hint="eastAsia" w:cs="方正仿宋_GBK"/>
          <w:sz w:val="32"/>
          <w:szCs w:val="32"/>
          <w:highlight w:val="none"/>
          <w:shd w:val="clear" w:color="auto" w:fill="FFFFFF"/>
          <w:lang w:val="en-US" w:eastAsia="zh-CN"/>
        </w:rPr>
        <w:t>.354</w:t>
      </w:r>
      <w:r>
        <w:rPr>
          <w:rFonts w:ascii="方正仿宋_GBK" w:hAnsi="方正仿宋_GBK" w:eastAsia="方正仿宋_GBK" w:cs="方正仿宋_GBK"/>
          <w:sz w:val="32"/>
          <w:szCs w:val="32"/>
          <w:highlight w:val="none"/>
          <w:shd w:val="clear" w:color="auto" w:fill="FFFFFF"/>
        </w:rPr>
        <w:t>万元，增长100.0%</w:t>
      </w:r>
      <w:r>
        <w:rPr>
          <w:highlight w:val="none"/>
        </w:rPr>
        <w:t>，主要原因是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2024年度我单位按照财政局相关要求单独编制决算，故本年决算数据全面反映我单位的开支明细，最终形成2024年度公用经费支出较2023年增加3.54万元</w:t>
      </w:r>
      <w:r>
        <w:rPr>
          <w:rFonts w:hint="eastAsia"/>
          <w:highlight w:val="none"/>
          <w:lang w:eastAsia="zh-CN"/>
        </w:rPr>
        <w:t>。公用经费用途主要包括</w:t>
      </w:r>
      <w:r>
        <w:rPr>
          <w:rFonts w:hint="eastAsia"/>
          <w:highlight w:val="none"/>
          <w:lang w:val="en-US" w:eastAsia="zh-CN"/>
        </w:rPr>
        <w:t>办公费、水费、电费、邮电费、差旅费、维修（护）费等</w:t>
      </w:r>
      <w:r>
        <w:rPr>
          <w:highlight w:val="none"/>
        </w:rPr>
        <w:t>。</w:t>
      </w:r>
    </w:p>
    <w:p w14:paraId="4F37CC5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（五）政府性基金预算收支决算情况说明</w:t>
      </w:r>
    </w:p>
    <w:p w14:paraId="57123BA2">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本单位</w:t>
      </w:r>
      <w:r>
        <w:rPr>
          <w:rFonts w:hint="eastAsia"/>
          <w:highlight w:val="none"/>
          <w:lang w:eastAsia="zh-CN"/>
        </w:rPr>
        <w:t>2024年</w:t>
      </w:r>
      <w:r>
        <w:rPr>
          <w:highlight w:val="none"/>
        </w:rPr>
        <w:t>度无政府性基金预算财政拨款收支。</w:t>
      </w:r>
    </w:p>
    <w:p w14:paraId="7AFD65EA">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（六）国有资本经营预算财政拨款支出决算情况说明</w:t>
      </w:r>
    </w:p>
    <w:p w14:paraId="790C8EC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highlight w:val="none"/>
        </w:rPr>
        <w:t>本单位</w:t>
      </w:r>
      <w:r>
        <w:rPr>
          <w:rFonts w:hint="eastAsia"/>
          <w:highlight w:val="none"/>
          <w:lang w:eastAsia="zh-CN"/>
        </w:rPr>
        <w:t>2024年</w:t>
      </w:r>
      <w:r>
        <w:rPr>
          <w:highlight w:val="none"/>
        </w:rPr>
        <w:t>度无国有资本经营预算财政拨款支出。</w:t>
      </w:r>
    </w:p>
    <w:p w14:paraId="38ADDC40">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三、</w:t>
      </w:r>
      <w:r>
        <w:rPr>
          <w:rFonts w:hint="eastAsia" w:ascii="方正黑体_GBK" w:hAnsi="方正黑体_GBK" w:eastAsia="方正黑体_GBK" w:cs="方正黑体_GBK"/>
          <w:highlight w:val="none"/>
          <w:lang w:eastAsia="zh-CN"/>
        </w:rPr>
        <w:t>财政拨款</w:t>
      </w:r>
      <w:r>
        <w:rPr>
          <w:rFonts w:hint="eastAsia" w:ascii="方正黑体_GBK" w:hAnsi="方正黑体_GBK" w:eastAsia="方正黑体_GBK" w:cs="方正黑体_GBK"/>
          <w:highlight w:val="none"/>
        </w:rPr>
        <w:t>“三公”经费情况说明</w:t>
      </w:r>
    </w:p>
    <w:p w14:paraId="7AC89750">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（一）“三公”经费支出总体情况说明</w:t>
      </w:r>
    </w:p>
    <w:p w14:paraId="674D11FA">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度“三公”经费支出共计</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万元，较年初预算数无增减，主要原因是</w:t>
      </w:r>
      <w:r>
        <w:rPr>
          <w:rFonts w:hint="eastAsia" w:ascii="方正仿宋_GBK" w:hAnsi="方正仿宋_GBK" w:eastAsia="方正仿宋_GBK" w:cs="方正仿宋_GBK"/>
          <w:sz w:val="32"/>
          <w:szCs w:val="32"/>
          <w:highlight w:val="none"/>
          <w:shd w:val="clear" w:color="auto" w:fill="FFFFFF"/>
          <w:lang w:val="en-US" w:eastAsia="zh-CN"/>
        </w:rPr>
        <w:t>2024年度不存在</w:t>
      </w:r>
      <w:r>
        <w:rPr>
          <w:rFonts w:ascii="方正仿宋_GBK" w:hAnsi="方正仿宋_GBK" w:eastAsia="方正仿宋_GBK" w:cs="方正仿宋_GBK"/>
          <w:sz w:val="32"/>
          <w:szCs w:val="32"/>
          <w:highlight w:val="none"/>
          <w:shd w:val="clear" w:color="auto" w:fill="FFFFFF"/>
        </w:rPr>
        <w:t>“三公”经费支出。较上年支出数无增减，主要原因是</w:t>
      </w:r>
      <w:r>
        <w:rPr>
          <w:rFonts w:hint="eastAsia"/>
          <w:highlight w:val="none"/>
        </w:rPr>
        <w:t>本单位202</w:t>
      </w:r>
      <w:r>
        <w:rPr>
          <w:rFonts w:hint="eastAsia"/>
          <w:highlight w:val="none"/>
          <w:lang w:val="en-US" w:eastAsia="zh-CN"/>
        </w:rPr>
        <w:t>4</w:t>
      </w:r>
      <w:r>
        <w:rPr>
          <w:rFonts w:hint="eastAsia"/>
          <w:highlight w:val="none"/>
        </w:rPr>
        <w:t>年度未发生</w:t>
      </w:r>
      <w:r>
        <w:rPr>
          <w:rFonts w:ascii="方正仿宋_GBK" w:hAnsi="方正仿宋_GBK" w:eastAsia="方正仿宋_GBK" w:cs="方正仿宋_GBK"/>
          <w:sz w:val="32"/>
          <w:szCs w:val="32"/>
          <w:highlight w:val="none"/>
          <w:shd w:val="clear" w:color="auto" w:fill="FFFFFF"/>
        </w:rPr>
        <w:t>“三公”经费支出</w:t>
      </w:r>
      <w:r>
        <w:rPr>
          <w:rFonts w:hint="eastAsia"/>
          <w:highlight w:val="none"/>
        </w:rPr>
        <w:t>，与上年度决算数持平</w:t>
      </w:r>
      <w:r>
        <w:rPr>
          <w:rFonts w:hint="eastAsia"/>
          <w:highlight w:val="none"/>
          <w:lang w:eastAsia="zh-CN"/>
        </w:rPr>
        <w:t>。</w:t>
      </w:r>
    </w:p>
    <w:p w14:paraId="6948CF04">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（二）“三公”经费分项支出情况</w:t>
      </w:r>
    </w:p>
    <w:p w14:paraId="6CBAED4D">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rFonts w:hint="eastAsia"/>
          <w:highlight w:val="none"/>
          <w:lang w:eastAsia="zh-CN"/>
        </w:rPr>
        <w:t>2024年</w:t>
      </w:r>
      <w:r>
        <w:rPr>
          <w:highlight w:val="none"/>
        </w:rPr>
        <w:t>度本单位因公出国（境）费用</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w:t>
      </w:r>
      <w:r>
        <w:rPr>
          <w:rFonts w:hint="eastAsia"/>
          <w:highlight w:val="none"/>
          <w:lang w:eastAsia="zh-CN"/>
        </w:rPr>
        <w:t>。</w:t>
      </w:r>
      <w:r>
        <w:rPr>
          <w:highlight w:val="none"/>
        </w:rPr>
        <w:t>与2023年度相比，无增减，主要原因是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年度我单位无因公出国（境）支出，与上年度决算数持平</w:t>
      </w:r>
      <w:r>
        <w:rPr>
          <w:rFonts w:hint="eastAsia"/>
          <w:highlight w:val="none"/>
          <w:lang w:eastAsia="zh-CN"/>
        </w:rPr>
        <w:t>。</w:t>
      </w:r>
    </w:p>
    <w:p w14:paraId="2208FAF1">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公务车购置费</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w:t>
      </w:r>
      <w:r>
        <w:rPr>
          <w:highlight w:val="none"/>
        </w:rPr>
        <w:t>公务车购置费。与2023年度相比，无增减，主要原因是</w:t>
      </w:r>
      <w:r>
        <w:rPr>
          <w:rFonts w:hint="eastAsia"/>
          <w:highlight w:val="none"/>
        </w:rPr>
        <w:t>无</w:t>
      </w:r>
      <w:r>
        <w:rPr>
          <w:highlight w:val="none"/>
        </w:rPr>
        <w:t>公务车购置费</w:t>
      </w:r>
      <w:r>
        <w:rPr>
          <w:rFonts w:hint="eastAsia"/>
          <w:highlight w:val="none"/>
        </w:rPr>
        <w:t>，与上年度决算数持平</w:t>
      </w:r>
      <w:r>
        <w:rPr>
          <w:highlight w:val="none"/>
        </w:rPr>
        <w:t>。</w:t>
      </w:r>
    </w:p>
    <w:p w14:paraId="0B6E0233">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公务车运行维护费</w:t>
      </w:r>
      <w:r>
        <w:rPr>
          <w:rFonts w:hint="eastAsia"/>
          <w:highlight w:val="none"/>
          <w:lang w:val="en-US" w:eastAsia="zh-CN"/>
        </w:rPr>
        <w:t>0</w:t>
      </w:r>
      <w:r>
        <w:rPr>
          <w:highlight w:val="none"/>
        </w:rPr>
        <w:t>万元，费用支出较年初预算数无增减，主要原因是</w:t>
      </w:r>
      <w:r>
        <w:rPr>
          <w:rFonts w:hint="eastAsia"/>
          <w:highlight w:val="none"/>
          <w:lang w:eastAsia="zh-CN"/>
        </w:rPr>
        <w:t>我单位无</w:t>
      </w:r>
      <w:r>
        <w:rPr>
          <w:highlight w:val="none"/>
        </w:rPr>
        <w:t>公务车运行维护费</w:t>
      </w:r>
      <w:r>
        <w:rPr>
          <w:rFonts w:hint="eastAsia"/>
          <w:highlight w:val="none"/>
          <w:lang w:eastAsia="zh-CN"/>
        </w:rPr>
        <w:t>。</w:t>
      </w:r>
      <w:r>
        <w:rPr>
          <w:highlight w:val="none"/>
        </w:rPr>
        <w:t>与2023年度相比，无增减，主要原因是</w:t>
      </w:r>
      <w:r>
        <w:rPr>
          <w:rFonts w:hint="eastAsia"/>
          <w:highlight w:val="none"/>
        </w:rPr>
        <w:t>无</w:t>
      </w:r>
      <w:r>
        <w:rPr>
          <w:highlight w:val="none"/>
        </w:rPr>
        <w:t>公务车运行维护费</w:t>
      </w:r>
      <w:r>
        <w:rPr>
          <w:rFonts w:hint="eastAsia"/>
          <w:highlight w:val="none"/>
        </w:rPr>
        <w:t>，与上年度决算数持平</w:t>
      </w:r>
      <w:r>
        <w:rPr>
          <w:rFonts w:hint="eastAsia"/>
          <w:highlight w:val="none"/>
          <w:lang w:eastAsia="zh-CN"/>
        </w:rPr>
        <w:t>。</w:t>
      </w:r>
    </w:p>
    <w:p w14:paraId="0C8CBB66">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公务接待费</w:t>
      </w:r>
      <w:r>
        <w:rPr>
          <w:rFonts w:hint="eastAsia"/>
          <w:highlight w:val="none"/>
          <w:lang w:val="en-US" w:eastAsia="zh-CN"/>
        </w:rPr>
        <w:t>0</w:t>
      </w:r>
      <w:r>
        <w:rPr>
          <w:highlight w:val="none"/>
        </w:rPr>
        <w:t>万元</w:t>
      </w:r>
      <w:r>
        <w:rPr>
          <w:rFonts w:hint="eastAsia"/>
          <w:highlight w:val="none"/>
          <w:lang w:eastAsia="zh-CN"/>
        </w:rPr>
        <w:t>。</w:t>
      </w:r>
      <w:r>
        <w:rPr>
          <w:highlight w:val="none"/>
        </w:rPr>
        <w:t>费用支出较年初预算数无增减，主要原因是</w:t>
      </w:r>
      <w:r>
        <w:rPr>
          <w:rFonts w:hint="eastAsia"/>
          <w:highlight w:val="none"/>
          <w:lang w:eastAsia="zh-CN"/>
        </w:rPr>
        <w:t>我单位无</w:t>
      </w:r>
      <w:r>
        <w:rPr>
          <w:highlight w:val="none"/>
        </w:rPr>
        <w:t>公务接待费</w:t>
      </w:r>
      <w:r>
        <w:rPr>
          <w:rFonts w:hint="eastAsia"/>
          <w:highlight w:val="none"/>
          <w:lang w:eastAsia="zh-CN"/>
        </w:rPr>
        <w:t>。</w:t>
      </w:r>
      <w:r>
        <w:rPr>
          <w:highlight w:val="none"/>
        </w:rPr>
        <w:t>较上年支出数无增减，主要原因是</w:t>
      </w:r>
      <w:r>
        <w:rPr>
          <w:rFonts w:hint="eastAsia"/>
          <w:highlight w:val="none"/>
        </w:rPr>
        <w:t>无</w:t>
      </w:r>
      <w:r>
        <w:rPr>
          <w:highlight w:val="none"/>
        </w:rPr>
        <w:t>公务接待费</w:t>
      </w:r>
      <w:r>
        <w:rPr>
          <w:rFonts w:hint="eastAsia"/>
          <w:highlight w:val="none"/>
        </w:rPr>
        <w:t>，与上年度决算数持平</w:t>
      </w:r>
      <w:r>
        <w:rPr>
          <w:rFonts w:hint="eastAsia"/>
          <w:highlight w:val="none"/>
          <w:lang w:eastAsia="zh-CN"/>
        </w:rPr>
        <w:t>。</w:t>
      </w:r>
    </w:p>
    <w:p w14:paraId="12F69782">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（三）“三公”经费实物量情况</w:t>
      </w:r>
    </w:p>
    <w:p w14:paraId="604ED571">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本单位人均接待费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w:t>
      </w:r>
    </w:p>
    <w:p w14:paraId="19082FF9">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四、其他需要说明的事项</w:t>
      </w:r>
    </w:p>
    <w:p w14:paraId="7C056D3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（一）财政拨款会议费和培训费情况说明</w:t>
      </w:r>
    </w:p>
    <w:p w14:paraId="0BCD09F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highlight w:val="none"/>
          <w:lang w:eastAsia="zh-CN"/>
        </w:rPr>
        <w:t>我单位</w:t>
      </w:r>
      <w:r>
        <w:rPr>
          <w:rFonts w:hint="eastAsia"/>
          <w:highlight w:val="none"/>
          <w:lang w:val="en-US" w:eastAsia="zh-CN"/>
        </w:rPr>
        <w:t>2024年度未开展会议培训，不存在会议费用支出</w:t>
      </w:r>
      <w:r>
        <w:rPr>
          <w:rFonts w:ascii="方正仿宋_GBK" w:hAnsi="方正仿宋_GBK" w:eastAsia="方正仿宋_GBK" w:cs="方正仿宋_GBK"/>
          <w:sz w:val="32"/>
          <w:szCs w:val="32"/>
          <w:highlight w:val="none"/>
          <w:shd w:val="clear" w:color="auto" w:fill="FFFFFF"/>
        </w:rPr>
        <w:t>。本年度培训费支出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万元，与2023年度相比，无变化，主要原因是</w:t>
      </w:r>
      <w:r>
        <w:rPr>
          <w:rFonts w:hint="eastAsia"/>
          <w:highlight w:val="none"/>
          <w:lang w:eastAsia="zh-CN"/>
        </w:rPr>
        <w:t>我单位</w:t>
      </w:r>
      <w:r>
        <w:rPr>
          <w:rFonts w:hint="eastAsia"/>
          <w:highlight w:val="none"/>
          <w:lang w:val="en-US" w:eastAsia="zh-CN"/>
        </w:rPr>
        <w:t>2024年度未开展集中培训，未列支培训费用支出</w:t>
      </w:r>
      <w:r>
        <w:rPr>
          <w:rFonts w:ascii="方正仿宋_GBK" w:hAnsi="方正仿宋_GBK" w:eastAsia="方正仿宋_GBK" w:cs="方正仿宋_GBK"/>
          <w:sz w:val="32"/>
          <w:szCs w:val="32"/>
          <w:highlight w:val="none"/>
          <w:shd w:val="clear" w:color="auto" w:fill="FFFFFF"/>
        </w:rPr>
        <w:t>。</w:t>
      </w:r>
    </w:p>
    <w:p w14:paraId="464C76F5">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（二）机关运行经费情况说明</w:t>
      </w:r>
    </w:p>
    <w:p w14:paraId="6B95270F">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color w:val="FF0000"/>
          <w:szCs w:val="32"/>
          <w:highlight w:val="none"/>
        </w:rPr>
      </w:pPr>
      <w:r>
        <w:rPr>
          <w:rFonts w:hint="default"/>
          <w:highlight w:val="none"/>
        </w:rPr>
        <w:t>按照部门决算列报口径，我单位不在机关运行经费统计范围之内。</w:t>
      </w:r>
    </w:p>
    <w:p w14:paraId="2D440BDE">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（三）国有资产占用情况说明</w:t>
      </w:r>
    </w:p>
    <w:p w14:paraId="60681FA0">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截至</w:t>
      </w:r>
      <w:r>
        <w:rPr>
          <w:rFonts w:hint="eastAsia"/>
          <w:highlight w:val="none"/>
          <w:lang w:eastAsia="zh-CN"/>
        </w:rPr>
        <w:t>2024年</w:t>
      </w:r>
      <w:r>
        <w:rPr>
          <w:highlight w:val="none"/>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（四）政府采购支出情况说明</w:t>
      </w:r>
    </w:p>
    <w:p w14:paraId="1497483C">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eastAsia="zh-CN"/>
        </w:rPr>
        <w:t>2024年</w:t>
      </w:r>
      <w:r>
        <w:rPr>
          <w:highlight w:val="none"/>
        </w:rPr>
        <w:t>度我单位未发生政府采购事项，无相关经费支出。</w:t>
      </w:r>
    </w:p>
    <w:p w14:paraId="7F5D5733">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五、2024年度预算绩效管理情况说明</w:t>
      </w:r>
    </w:p>
    <w:p w14:paraId="26233E4A">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（一）预算绩效管理工作开展情况</w:t>
      </w:r>
    </w:p>
    <w:p w14:paraId="06894AE5">
      <w:pPr>
        <w:pageBreakBefore w:val="0"/>
        <w:kinsoku/>
        <w:wordWrap/>
        <w:overflowPunct/>
        <w:topLinePunct w:val="0"/>
        <w:autoSpaceDE/>
        <w:autoSpaceDN/>
        <w:bidi w:val="0"/>
        <w:adjustRightInd/>
        <w:spacing w:line="560" w:lineRule="exact"/>
        <w:textAlignment w:val="auto"/>
        <w:rPr>
          <w:rFonts w:hint="eastAsia" w:ascii="方正仿宋_GBK" w:hAnsi="方正仿宋_GBK" w:eastAsia="宋体" w:cs="方正仿宋_GBK"/>
          <w:kern w:val="0"/>
          <w:szCs w:val="32"/>
          <w:highlight w:val="none"/>
          <w:shd w:val="clear" w:fill="FFFFFF"/>
          <w:lang w:eastAsia="zh-CN"/>
        </w:rPr>
      </w:pPr>
      <w:r>
        <w:rPr>
          <w:rFonts w:hint="eastAsia"/>
          <w:highlight w:val="none"/>
        </w:rPr>
        <w:t>根据预算绩效管理要求，我单位</w:t>
      </w:r>
      <w:r>
        <w:rPr>
          <w:rFonts w:hint="eastAsia"/>
          <w:highlight w:val="none"/>
          <w:lang w:eastAsia="zh-CN"/>
        </w:rPr>
        <w:t>对</w:t>
      </w:r>
      <w:r>
        <w:rPr>
          <w:rFonts w:hint="eastAsia"/>
          <w:highlight w:val="none"/>
          <w:lang w:val="en-US" w:eastAsia="zh-CN"/>
        </w:rPr>
        <w:t>1</w:t>
      </w:r>
      <w:r>
        <w:rPr>
          <w:rFonts w:hint="eastAsia"/>
          <w:highlight w:val="none"/>
        </w:rPr>
        <w:t>个项目开展了绩效自评，其中，以填报自评表形式开展自评</w:t>
      </w:r>
      <w:r>
        <w:rPr>
          <w:rFonts w:hint="eastAsia"/>
          <w:highlight w:val="none"/>
          <w:lang w:val="en-US" w:eastAsia="zh-CN"/>
        </w:rPr>
        <w:t>1</w:t>
      </w:r>
      <w:r>
        <w:rPr>
          <w:rFonts w:hint="eastAsia"/>
          <w:highlight w:val="none"/>
        </w:rPr>
        <w:t>项，涉及资金</w:t>
      </w:r>
      <w:r>
        <w:rPr>
          <w:rFonts w:hint="eastAsia"/>
          <w:highlight w:val="none"/>
          <w:lang w:val="en-US" w:eastAsia="zh-CN"/>
        </w:rPr>
        <w:t>0.83</w:t>
      </w:r>
      <w:r>
        <w:rPr>
          <w:rFonts w:hint="eastAsia"/>
          <w:highlight w:val="none"/>
        </w:rPr>
        <w:t>万元。从自评结果来看，项目立项较为规范、绩效目标明确、预算编制合理，项目实施的总体情况较好，基本完成年初设立的绩效目标</w:t>
      </w:r>
      <w:r>
        <w:rPr>
          <w:rFonts w:hint="eastAsia"/>
          <w:highlight w:val="none"/>
          <w:lang w:eastAsia="zh-CN"/>
        </w:rPr>
        <w:t>。</w:t>
      </w:r>
    </w:p>
    <w:p w14:paraId="2DA00EAD">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（二）绩效自评结果</w:t>
      </w:r>
    </w:p>
    <w:p w14:paraId="49BDCF5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1.项目绩效自评表。</w:t>
      </w:r>
    </w:p>
    <w:p w14:paraId="593DFCC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详</w:t>
      </w:r>
      <w:r>
        <w:rPr>
          <w:rFonts w:hint="eastAsia"/>
          <w:highlight w:val="none"/>
        </w:rPr>
        <w:t>见附件</w:t>
      </w:r>
      <w:r>
        <w:rPr>
          <w:rFonts w:hint="eastAsia"/>
          <w:highlight w:val="none"/>
          <w:lang w:val="en-US" w:eastAsia="zh-CN"/>
        </w:rPr>
        <w:t>重庆市铜梁区安溪镇乡村生态治理中心2024年度项目绩效自评表</w:t>
      </w:r>
      <w:r>
        <w:rPr>
          <w:rFonts w:hint="eastAsia"/>
          <w:highlight w:val="none"/>
        </w:rPr>
        <w:t>。</w:t>
      </w:r>
    </w:p>
    <w:p w14:paraId="10DF0FEA">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2.项目绩效自评报告或案例。</w:t>
      </w:r>
    </w:p>
    <w:p w14:paraId="740F547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我单位未委托第三方开展绩效评价</w:t>
      </w:r>
      <w:r>
        <w:rPr>
          <w:rFonts w:hint="eastAsia"/>
          <w:highlight w:val="none"/>
        </w:rPr>
        <w:t>。</w:t>
      </w:r>
    </w:p>
    <w:p w14:paraId="361304F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3.关于绩效自评结果的说明。</w:t>
      </w:r>
    </w:p>
    <w:p w14:paraId="22E75B71">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Cs w:val="32"/>
          <w:highlight w:val="none"/>
          <w:shd w:val="clear" w:fill="FFFFFF"/>
        </w:rPr>
      </w:pPr>
      <w:r>
        <w:rPr>
          <w:rFonts w:hint="eastAsia"/>
          <w:highlight w:val="none"/>
        </w:rPr>
        <w:t>我单位对</w:t>
      </w:r>
      <w:r>
        <w:rPr>
          <w:rFonts w:hint="eastAsia"/>
          <w:highlight w:val="none"/>
          <w:lang w:val="en-US" w:eastAsia="zh-CN"/>
        </w:rPr>
        <w:t>1</w:t>
      </w:r>
      <w:r>
        <w:rPr>
          <w:rFonts w:hint="eastAsia"/>
          <w:highlight w:val="none"/>
        </w:rPr>
        <w:t>项目进行绩效自评，其中</w:t>
      </w:r>
      <w:r>
        <w:rPr>
          <w:rFonts w:hint="eastAsia"/>
          <w:highlight w:val="none"/>
          <w:lang w:val="en-US" w:eastAsia="zh-CN"/>
        </w:rPr>
        <w:t>1</w:t>
      </w:r>
      <w:r>
        <w:rPr>
          <w:rFonts w:hint="eastAsia"/>
          <w:highlight w:val="none"/>
        </w:rPr>
        <w:t>个已完成年度绩效目标，</w:t>
      </w:r>
      <w:r>
        <w:rPr>
          <w:rFonts w:hint="eastAsia"/>
          <w:highlight w:val="none"/>
          <w:lang w:val="en-US" w:eastAsia="zh-CN"/>
        </w:rPr>
        <w:t>0</w:t>
      </w:r>
      <w:r>
        <w:rPr>
          <w:rFonts w:hint="eastAsia"/>
          <w:highlight w:val="none"/>
        </w:rPr>
        <w:t>个未完成年度绩效目标。</w:t>
      </w:r>
    </w:p>
    <w:p w14:paraId="143FE274">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lang w:val="en-US" w:eastAsia="zh-CN"/>
        </w:rPr>
      </w:pPr>
      <w:r>
        <w:rPr>
          <w:rFonts w:hint="eastAsia"/>
          <w:highlight w:val="none"/>
          <w:lang w:val="en-US" w:eastAsia="zh-CN"/>
        </w:rPr>
        <w:t xml:space="preserve">（三）财政重点绩效评价情况 </w:t>
      </w:r>
    </w:p>
    <w:p w14:paraId="1788BC94">
      <w:pPr>
        <w:pageBreakBefore w:val="0"/>
        <w:kinsoku/>
        <w:wordWrap/>
        <w:overflowPunct/>
        <w:topLinePunct w:val="0"/>
        <w:autoSpaceDE/>
        <w:autoSpaceDN/>
        <w:bidi w:val="0"/>
        <w:adjustRightInd/>
        <w:spacing w:line="560" w:lineRule="exact"/>
        <w:textAlignment w:val="auto"/>
        <w:rPr>
          <w:rFonts w:hint="eastAsia"/>
          <w:highlight w:val="none"/>
          <w:lang w:val="en-US" w:eastAsia="zh-CN"/>
        </w:rPr>
      </w:pPr>
      <w:r>
        <w:rPr>
          <w:rFonts w:hint="eastAsia"/>
          <w:highlight w:val="none"/>
          <w:lang w:val="en-US" w:eastAsia="zh-CN"/>
        </w:rPr>
        <w:t>我单位无财政重点绩效评价项目。</w:t>
      </w:r>
    </w:p>
    <w:p w14:paraId="2E0D6B74">
      <w:pPr>
        <w:pageBreakBefore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六、专业名词解释</w:t>
      </w:r>
    </w:p>
    <w:p w14:paraId="56108BD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（一）财政拨款收入：</w:t>
      </w:r>
      <w:r>
        <w:rPr>
          <w:rFonts w:hint="eastAsia"/>
          <w:highlight w:val="none"/>
        </w:rPr>
        <w:t>指本年度从本级财政单位取得的财政拨款，包括一般公共预算财政拨款和政府性基金预算财政拨款。</w:t>
      </w:r>
    </w:p>
    <w:p w14:paraId="15E57DA5">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（二）年初结转和结余：</w:t>
      </w:r>
      <w:r>
        <w:rPr>
          <w:rFonts w:hint="eastAsia"/>
          <w:highlight w:val="none"/>
        </w:rPr>
        <w:t>指单位上年结转本年使用的基本支出结转、项目支出结转和结余、经营结余。</w:t>
      </w:r>
    </w:p>
    <w:p w14:paraId="73A8054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（三）年末结转和结余：</w:t>
      </w:r>
      <w:r>
        <w:rPr>
          <w:rFonts w:hint="eastAsia"/>
          <w:highlight w:val="none"/>
        </w:rPr>
        <w:t>指单位结转下年的基本支出结转、项目支出结转和结余、经营结余。</w:t>
      </w:r>
    </w:p>
    <w:p w14:paraId="626A08D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（四）基本支出：</w:t>
      </w:r>
      <w:r>
        <w:rPr>
          <w:rFonts w:hint="eastAsia"/>
          <w:highlight w:val="no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（五）项目支出：</w:t>
      </w:r>
      <w:r>
        <w:rPr>
          <w:rFonts w:hint="eastAsia"/>
          <w:highlight w:val="none"/>
        </w:rPr>
        <w:t>指在基本支出之外为完成特定行政任务和事业发展目标所发生的支出。</w:t>
      </w:r>
    </w:p>
    <w:p w14:paraId="1DF2487B">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（六）“三公”经费：</w:t>
      </w:r>
      <w:r>
        <w:rPr>
          <w:rFonts w:hint="eastAsia"/>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（七）机关运行经费：</w:t>
      </w:r>
      <w:r>
        <w:rPr>
          <w:rFonts w:hint="eastAsia"/>
          <w:highlight w:val="no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（八）工资福利支出（支出经济分类科目类级）：</w:t>
      </w:r>
      <w:r>
        <w:rPr>
          <w:rFonts w:hint="eastAsia"/>
          <w:highlight w:val="none"/>
        </w:rPr>
        <w:t>反映单位开支的在职职工和编制外长期聘用人员的各类劳动报酬，以及为上述人员缴纳的各项社会保险费等。</w:t>
      </w:r>
    </w:p>
    <w:p w14:paraId="6FD7CFF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（九）商品和服务支出（支出经济分类科目类级）：</w:t>
      </w:r>
      <w:r>
        <w:rPr>
          <w:rFonts w:hint="eastAsia"/>
          <w:highlight w:val="none"/>
        </w:rPr>
        <w:t>反映单位购买商品和服务的支出（不包括用于购置固定资产的支出、战略性和应急储备支出）。</w:t>
      </w:r>
    </w:p>
    <w:p w14:paraId="12C10614">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（十）对个人和家庭的补助（支出经济分类科目类级）：</w:t>
      </w:r>
      <w:r>
        <w:rPr>
          <w:rFonts w:hint="eastAsia"/>
          <w:highlight w:val="none"/>
        </w:rPr>
        <w:t>反映用于对个人和家庭的补助支出。</w:t>
      </w:r>
    </w:p>
    <w:p w14:paraId="50CBDC1A">
      <w:pPr>
        <w:pageBreakBefore w:val="0"/>
        <w:kinsoku/>
        <w:wordWrap/>
        <w:overflowPunct/>
        <w:topLinePunct w:val="0"/>
        <w:autoSpaceDE/>
        <w:autoSpaceDN/>
        <w:bidi w:val="0"/>
        <w:adjustRightInd/>
        <w:spacing w:line="560" w:lineRule="exact"/>
        <w:textAlignment w:val="auto"/>
        <w:rPr>
          <w:highlight w:val="none"/>
        </w:rPr>
      </w:pPr>
      <w:r>
        <w:rPr>
          <w:rFonts w:hint="eastAsia" w:ascii="方正楷体_GBK" w:hAnsi="方正楷体_GBK" w:eastAsia="方正楷体_GBK" w:cs="方正楷体_GBK"/>
          <w:b w:val="0"/>
          <w:bCs w:val="0"/>
          <w:highlight w:val="none"/>
        </w:rPr>
        <w:t>（十一）其他资本性支出（支出经济分类科目类级）：</w:t>
      </w:r>
      <w:r>
        <w:rPr>
          <w:rFonts w:hint="eastAsia"/>
          <w:highlight w:val="none"/>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highlight w:val="none"/>
        </w:rPr>
        <w:t>。</w:t>
      </w:r>
    </w:p>
    <w:p w14:paraId="2206AD79">
      <w:pPr>
        <w:pageBreakBefore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七、决算公开联系方式及信息反馈渠道</w:t>
      </w:r>
    </w:p>
    <w:p w14:paraId="16B3E26E">
      <w:pPr>
        <w:pageBreakBefore w:val="0"/>
        <w:kinsoku/>
        <w:wordWrap/>
        <w:overflowPunct/>
        <w:topLinePunct w:val="0"/>
        <w:autoSpaceDE/>
        <w:autoSpaceDN/>
        <w:bidi w:val="0"/>
        <w:adjustRightInd/>
        <w:spacing w:line="560" w:lineRule="exact"/>
        <w:textAlignment w:val="auto"/>
        <w:rPr>
          <w:rFonts w:hint="default" w:eastAsia="方正仿宋_GBK"/>
          <w:highlight w:val="none"/>
          <w:lang w:val="en-US" w:eastAsia="zh-CN"/>
        </w:rPr>
      </w:pPr>
      <w:r>
        <w:rPr>
          <w:rFonts w:hint="eastAsia"/>
          <w:highlight w:val="none"/>
        </w:rPr>
        <w:t>本单位决算公开信息反馈和联系方式：</w:t>
      </w:r>
      <w:r>
        <w:rPr>
          <w:rFonts w:hint="eastAsia"/>
          <w:highlight w:val="none"/>
          <w:lang w:eastAsia="zh-CN"/>
        </w:rPr>
        <w:t>梁静</w:t>
      </w:r>
      <w:r>
        <w:rPr>
          <w:rFonts w:hint="eastAsia"/>
          <w:highlight w:val="none"/>
          <w:lang w:val="en-US" w:eastAsia="zh-CN"/>
        </w:rPr>
        <w:t xml:space="preserve"> </w:t>
      </w:r>
      <w:r>
        <w:rPr>
          <w:rFonts w:hint="eastAsia"/>
          <w:highlight w:val="none"/>
        </w:rPr>
        <w:t>023-</w:t>
      </w:r>
      <w:r>
        <w:rPr>
          <w:rFonts w:hint="eastAsia"/>
          <w:highlight w:val="none"/>
          <w:lang w:val="en-US" w:eastAsia="zh-CN"/>
        </w:rPr>
        <w:t>45393101。</w:t>
      </w:r>
    </w:p>
    <w:p w14:paraId="5E8101E9">
      <w:pPr>
        <w:ind w:left="0" w:leftChars="0" w:firstLine="0" w:firstLineChars="0"/>
      </w:pP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2E9C53-DA42-47AC-A8E2-7A77F01CBA24}"/>
  </w:font>
  <w:font w:name="方正仿宋_GBK">
    <w:panose1 w:val="02000000000000000000"/>
    <w:charset w:val="86"/>
    <w:family w:val="script"/>
    <w:pitch w:val="default"/>
    <w:sig w:usb0="00000001" w:usb1="080E0000" w:usb2="00000000" w:usb3="00000000" w:csb0="00040000" w:csb1="00000000"/>
    <w:embedRegular r:id="rId2" w:fontKey="{55C0DF9F-D02E-49B8-81B4-CC32BB555B36}"/>
  </w:font>
  <w:font w:name="方正小标宋_GBK">
    <w:panose1 w:val="02000000000000000000"/>
    <w:charset w:val="86"/>
    <w:family w:val="script"/>
    <w:pitch w:val="default"/>
    <w:sig w:usb0="A00002BF" w:usb1="38CF7CFA" w:usb2="00082016" w:usb3="00000000" w:csb0="00040001" w:csb1="00000000"/>
    <w:embedRegular r:id="rId3" w:fontKey="{2E88BC1E-C317-49C2-AC87-02F1D922309B}"/>
  </w:font>
  <w:font w:name="方正楷体_GBK">
    <w:altName w:val="微软雅黑"/>
    <w:panose1 w:val="03000509000000000000"/>
    <w:charset w:val="86"/>
    <w:family w:val="auto"/>
    <w:pitch w:val="default"/>
    <w:sig w:usb0="00000000" w:usb1="00000000" w:usb2="00000000" w:usb3="00000000" w:csb0="00040000" w:csb1="00000000"/>
    <w:embedRegular r:id="rId4" w:fontKey="{DFD54647-6737-4EF1-B143-7C67E64F0A5E}"/>
  </w:font>
  <w:font w:name="方正黑体_GBK">
    <w:altName w:val="微软雅黑"/>
    <w:panose1 w:val="03000509000000000000"/>
    <w:charset w:val="86"/>
    <w:family w:val="auto"/>
    <w:pitch w:val="default"/>
    <w:sig w:usb0="00000000" w:usb1="00000000" w:usb2="00000000" w:usb3="00000000" w:csb0="00040000" w:csb1="00000000"/>
    <w:embedRegular r:id="rId5" w:fontKey="{F46318DD-15AE-427D-978E-B7F06419266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08355B30"/>
    <w:rsid w:val="099D0726"/>
    <w:rsid w:val="1B776A68"/>
    <w:rsid w:val="2F5F4BCD"/>
    <w:rsid w:val="2FF972F5"/>
    <w:rsid w:val="40C42C62"/>
    <w:rsid w:val="46206805"/>
    <w:rsid w:val="4E2D2E33"/>
    <w:rsid w:val="4F5678EC"/>
    <w:rsid w:val="4FCE7526"/>
    <w:rsid w:val="5503044A"/>
    <w:rsid w:val="5C115B42"/>
    <w:rsid w:val="61FB0242"/>
    <w:rsid w:val="6726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5">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6">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94" w:lineRule="exact"/>
      <w:ind w:firstLine="880" w:firstLineChars="200"/>
    </w:pPr>
    <w:rPr>
      <w:rFonts w:hint="default" w:ascii="Times New Roman" w:hAnsi="Times New Roman"/>
    </w:rPr>
  </w:style>
  <w:style w:type="paragraph" w:styleId="3">
    <w:name w:val="toc 5"/>
    <w:basedOn w:val="1"/>
    <w:next w:val="1"/>
    <w:qFormat/>
    <w:uiPriority w:val="0"/>
    <w:pPr>
      <w:ind w:left="840"/>
      <w:jc w:val="left"/>
    </w:pPr>
    <w:rPr>
      <w:sz w:val="20"/>
      <w:szCs w:val="20"/>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character" w:customStyle="1" w:styleId="13">
    <w:name w:val="21"/>
    <w:basedOn w:val="11"/>
    <w:qFormat/>
    <w:uiPriority w:val="0"/>
    <w:rPr>
      <w:rFonts w:hint="default" w:ascii="Wingdings" w:hAnsi="Wingdings" w:cs="Wingdings"/>
      <w:b/>
      <w:bCs/>
    </w:rPr>
  </w:style>
  <w:style w:type="paragraph" w:customStyle="1" w:styleId="14">
    <w:name w:val="样式 标题 2 + 楷体 小三 段前: 0 磅 段后: 0 磅 行距: 单倍行距"/>
    <w:basedOn w:val="5"/>
    <w:qFormat/>
    <w:uiPriority w:val="0"/>
    <w:pPr>
      <w:spacing w:before="0" w:after="0" w:line="240" w:lineRule="auto"/>
    </w:pPr>
    <w:rPr>
      <w:rFonts w:hint="default" w:ascii="楷体" w:hAnsi="楷体" w:eastAsia="楷体" w:cs="宋体"/>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4796</Words>
  <Characters>5306</Characters>
  <Lines>0</Lines>
  <Paragraphs>0</Paragraphs>
  <TotalTime>7</TotalTime>
  <ScaleCrop>false</ScaleCrop>
  <LinksUpToDate>false</LinksUpToDate>
  <CharactersWithSpaces>5313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