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重庆市铜梁区巴川街道劳动就业和社会保障服务所</w:t>
      </w:r>
    </w:p>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rPr>
      </w:pPr>
      <w:r>
        <w:rPr>
          <w:rFonts w:hint="eastAsia" w:ascii="方正小标宋_GBK" w:hAnsi="Times New Roman" w:eastAsia="方正小标宋_GBK" w:cs="Times New Roman"/>
          <w:kern w:val="2"/>
          <w:sz w:val="44"/>
          <w:szCs w:val="44"/>
        </w:rPr>
        <w:t>2024年度决算公开说明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仿宋_GBK" w:hAnsi="方正仿宋_GBK" w:eastAsia="方正仿宋_GBK" w:cs="方正仿宋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一、单位基本情况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主要职责任务是承担就业、再就业促进工作，社会保险业务经办，优抚救济、社会救助和城乡低保办理，离退休人员社会化管理和服务，完成主管部门交办的其他任务。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lang w:val="en-US" w:eastAsia="zh-CN"/>
        </w:rPr>
        <w:t>重庆市铜梁区巴川街道劳动就业和社会保障服务所无内设机构。</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b w:val="0"/>
          <w:bCs w:val="0"/>
          <w:kern w:val="2"/>
          <w:sz w:val="32"/>
          <w:szCs w:val="32"/>
          <w:lang w:val="en-US" w:eastAsia="zh-CN" w:bidi="ar-SA"/>
        </w:rPr>
      </w:pPr>
      <w:r>
        <w:rPr>
          <w:rFonts w:hint="eastAsia" w:ascii="方正黑体_GBK" w:hAnsi="Times New Roman" w:eastAsia="方正黑体_GBK" w:cs="Times New Roman"/>
          <w:b w:val="0"/>
          <w:bCs w:val="0"/>
          <w:kern w:val="2"/>
          <w:sz w:val="32"/>
          <w:szCs w:val="32"/>
          <w:lang w:val="en-US" w:eastAsia="zh-CN" w:bidi="ar-SA"/>
        </w:rPr>
        <w:t>二、单位决算收支情况说明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1.总体情况。2024年度收入总计1</w:t>
      </w:r>
      <w:r>
        <w:rPr>
          <w:rFonts w:hint="eastAsia" w:ascii="方正仿宋_GBK" w:hAnsi="方正仿宋_GBK" w:eastAsia="方正仿宋_GBK" w:cs="方正仿宋_GBK"/>
          <w:b w:val="0"/>
          <w:bCs w:val="0"/>
          <w:sz w:val="32"/>
          <w:szCs w:val="32"/>
          <w:shd w:val="clear" w:color="auto" w:fill="FFFFFF"/>
        </w:rPr>
        <w:t>90.96万元，支出总计</w:t>
      </w:r>
      <w:r>
        <w:rPr>
          <w:rFonts w:hint="eastAsia" w:ascii="方正仿宋_GBK" w:hAnsi="方正仿宋_GBK" w:eastAsia="方正仿宋_GBK" w:cs="方正仿宋_GBK"/>
          <w:b w:val="0"/>
          <w:bCs w:val="0"/>
          <w:sz w:val="32"/>
          <w:szCs w:val="32"/>
        </w:rPr>
        <w:t>190.96</w:t>
      </w:r>
      <w:r>
        <w:rPr>
          <w:rFonts w:hint="eastAsia" w:ascii="方正仿宋_GBK" w:hAnsi="方正仿宋_GBK" w:eastAsia="方正仿宋_GBK" w:cs="方正仿宋_GBK"/>
          <w:b w:val="0"/>
          <w:bCs w:val="0"/>
          <w:sz w:val="32"/>
          <w:szCs w:val="32"/>
          <w:shd w:val="clear" w:color="auto" w:fill="FFFFFF"/>
        </w:rPr>
        <w:t>万元。收、支与2023年度相比，增加190.96万元，增长100.0%，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w:t>
      </w:r>
      <w:bookmarkStart w:id="0" w:name="_GoBack"/>
      <w:bookmarkEnd w:id="0"/>
      <w:r>
        <w:rPr>
          <w:rFonts w:hint="eastAsia" w:ascii="方正仿宋_GBK" w:hAnsi="方正仿宋_GBK" w:eastAsia="方正仿宋_GBK" w:cs="方正仿宋_GBK"/>
          <w:b w:val="0"/>
          <w:bCs w:val="0"/>
          <w:sz w:val="32"/>
          <w:szCs w:val="32"/>
          <w:shd w:val="clear" w:color="auto" w:fill="FFFFFF"/>
          <w:lang w:val="en-US" w:eastAsia="zh-CN"/>
        </w:rPr>
        <w:t>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度收入合计190.96万元，与2023年度相比，增加190.96万元，增长100.0%，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其中：财政拨款收入</w:t>
      </w:r>
      <w:r>
        <w:rPr>
          <w:rFonts w:hint="eastAsia" w:ascii="方正仿宋_GBK" w:hAnsi="方正仿宋_GBK" w:eastAsia="方正仿宋_GBK" w:cs="方正仿宋_GBK"/>
          <w:b w:val="0"/>
          <w:bCs w:val="0"/>
          <w:sz w:val="32"/>
          <w:szCs w:val="32"/>
        </w:rPr>
        <w:t>190.96</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%；事业收入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万元，占0.00%；经营收入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万元，占0.00%；其他收入</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万元，占0.00%。此外，使用非财政拨款结余和专用结余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万元，年初结转和结余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度支出合计</w:t>
      </w:r>
      <w:r>
        <w:rPr>
          <w:rFonts w:hint="eastAsia" w:ascii="方正仿宋_GBK" w:hAnsi="方正仿宋_GBK" w:eastAsia="方正仿宋_GBK" w:cs="方正仿宋_GBK"/>
          <w:b w:val="0"/>
          <w:bCs w:val="0"/>
          <w:sz w:val="32"/>
          <w:szCs w:val="32"/>
        </w:rPr>
        <w:t>190.96</w:t>
      </w:r>
      <w:r>
        <w:rPr>
          <w:rFonts w:hint="eastAsia" w:ascii="方正仿宋_GBK" w:hAnsi="方正仿宋_GBK" w:eastAsia="方正仿宋_GBK" w:cs="方正仿宋_GBK"/>
          <w:b w:val="0"/>
          <w:bCs w:val="0"/>
          <w:sz w:val="32"/>
          <w:szCs w:val="32"/>
          <w:shd w:val="clear" w:color="auto" w:fill="FFFFFF"/>
        </w:rPr>
        <w:t>万元，与2023年度相比，增加190.96万元，增长100.0%，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其中：基本支出</w:t>
      </w:r>
      <w:r>
        <w:rPr>
          <w:rFonts w:hint="eastAsia" w:ascii="方正仿宋_GBK" w:hAnsi="方正仿宋_GBK" w:eastAsia="方正仿宋_GBK" w:cs="方正仿宋_GBK"/>
          <w:b w:val="0"/>
          <w:bCs w:val="0"/>
          <w:sz w:val="32"/>
          <w:szCs w:val="32"/>
        </w:rPr>
        <w:t>190.86</w:t>
      </w:r>
      <w:r>
        <w:rPr>
          <w:rFonts w:hint="eastAsia" w:ascii="方正仿宋_GBK" w:hAnsi="方正仿宋_GBK" w:eastAsia="方正仿宋_GBK" w:cs="方正仿宋_GBK"/>
          <w:b w:val="0"/>
          <w:bCs w:val="0"/>
          <w:sz w:val="32"/>
          <w:szCs w:val="32"/>
          <w:shd w:val="clear" w:color="auto" w:fill="FFFFFF"/>
        </w:rPr>
        <w:t>万元，占99.95%；项目支出</w:t>
      </w:r>
      <w:r>
        <w:rPr>
          <w:rFonts w:hint="eastAsia" w:ascii="方正仿宋_GBK" w:hAnsi="方正仿宋_GBK" w:eastAsia="方正仿宋_GBK" w:cs="方正仿宋_GBK"/>
          <w:b w:val="0"/>
          <w:bCs w:val="0"/>
          <w:sz w:val="32"/>
          <w:szCs w:val="32"/>
        </w:rPr>
        <w:t>0.10</w:t>
      </w:r>
      <w:r>
        <w:rPr>
          <w:rFonts w:hint="eastAsia" w:ascii="方正仿宋_GBK" w:hAnsi="方正仿宋_GBK" w:eastAsia="方正仿宋_GBK" w:cs="方正仿宋_GBK"/>
          <w:b w:val="0"/>
          <w:bCs w:val="0"/>
          <w:sz w:val="32"/>
          <w:szCs w:val="32"/>
          <w:shd w:val="clear" w:color="auto" w:fill="FFFFFF"/>
        </w:rPr>
        <w:t>万元，占0.05%；经营支出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万元，占0.00%。此外，结余分配</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Style w:val="8"/>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14:textFill>
            <w14:solidFill>
              <w14:schemeClr w14:val="tx1"/>
            </w14:solidFill>
          </w14:textFill>
        </w:rPr>
        <w:t>与上年持平</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度财政拨款收、支总计190.96万元。与202</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年相比，财政拨款收、支总计各增加190.96万元，增长100.0%。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keepNext w:val="0"/>
        <w:keepLines w:val="0"/>
        <w:pageBreakBefore w:val="0"/>
        <w:widowControl/>
        <w:suppressLineNumbers w:val="0"/>
        <w:kinsoku/>
        <w:wordWrap/>
        <w:overflowPunct/>
        <w:topLinePunct w:val="0"/>
        <w:autoSpaceDN/>
        <w:bidi w:val="0"/>
        <w:adjustRightInd/>
        <w:spacing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8"/>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度一般公共预算财政拨款收入</w:t>
      </w:r>
      <w:r>
        <w:rPr>
          <w:rFonts w:hint="eastAsia" w:ascii="方正仿宋_GBK" w:hAnsi="方正仿宋_GBK" w:eastAsia="方正仿宋_GBK" w:cs="方正仿宋_GBK"/>
          <w:b w:val="0"/>
          <w:bCs w:val="0"/>
          <w:sz w:val="32"/>
          <w:szCs w:val="32"/>
        </w:rPr>
        <w:t>190.96</w:t>
      </w:r>
      <w:r>
        <w:rPr>
          <w:rFonts w:hint="eastAsia" w:ascii="方正仿宋_GBK" w:hAnsi="方正仿宋_GBK" w:eastAsia="方正仿宋_GBK" w:cs="方正仿宋_GBK"/>
          <w:b w:val="0"/>
          <w:bCs w:val="0"/>
          <w:sz w:val="32"/>
          <w:szCs w:val="32"/>
          <w:shd w:val="clear" w:color="auto" w:fill="FFFFFF"/>
        </w:rPr>
        <w:t>万元，与2023年度相比，增加190.96万元，增长100.0%。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sz w:val="32"/>
          <w:szCs w:val="32"/>
          <w:shd w:val="clear" w:color="auto" w:fill="FFFFFF"/>
        </w:rPr>
        <w:t>较年初预算数减少46.77万元，下降19.7%。</w:t>
      </w:r>
      <w:r>
        <w:rPr>
          <w:rFonts w:hint="eastAsia" w:ascii="方正仿宋_GBK" w:hAnsi="方正仿宋_GBK" w:eastAsia="方正仿宋_GBK" w:cs="方正仿宋_GBK"/>
          <w:b w:val="0"/>
          <w:bCs w:val="0"/>
          <w:sz w:val="32"/>
          <w:szCs w:val="32"/>
          <w:shd w:val="clear" w:color="auto" w:fill="FFFFFF"/>
          <w:lang w:val="en-US" w:eastAsia="zh-CN"/>
        </w:rPr>
        <w:t>主要原因是机构改革导致事业编制人员减少，公用经费支出减少。</w:t>
      </w:r>
      <w:r>
        <w:rPr>
          <w:rFonts w:hint="eastAsia" w:ascii="方正仿宋_GBK" w:hAnsi="方正仿宋_GBK" w:eastAsia="方正仿宋_GBK" w:cs="方正仿宋_GBK"/>
          <w:b w:val="0"/>
          <w:bCs w:val="0"/>
          <w:sz w:val="32"/>
          <w:szCs w:val="32"/>
          <w:shd w:val="clear" w:color="auto" w:fill="FFFFFF"/>
        </w:rPr>
        <w:t>此外，年初财政拨款结转和结余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8"/>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w:t>
      </w:r>
      <w:r>
        <w:rPr>
          <w:rFonts w:hint="eastAsia" w:ascii="方正仿宋_GBK" w:hAnsi="方正仿宋_GBK" w:eastAsia="方正仿宋_GBK" w:cs="方正仿宋_GBK"/>
          <w:b w:val="0"/>
          <w:bCs w:val="0"/>
          <w:sz w:val="32"/>
          <w:szCs w:val="32"/>
        </w:rPr>
        <w:t>190.96</w:t>
      </w:r>
      <w:r>
        <w:rPr>
          <w:rFonts w:hint="eastAsia" w:ascii="方正仿宋_GBK" w:hAnsi="方正仿宋_GBK" w:eastAsia="方正仿宋_GBK" w:cs="方正仿宋_GBK"/>
          <w:b w:val="0"/>
          <w:bCs w:val="0"/>
          <w:sz w:val="32"/>
          <w:szCs w:val="32"/>
          <w:shd w:val="clear" w:color="auto" w:fill="FFFFFF"/>
        </w:rPr>
        <w:t>万元，与2023年度相比，增加190.96万元，增长100.0%。</w:t>
      </w:r>
      <w:r>
        <w:rPr>
          <w:rFonts w:hint="eastAsia" w:ascii="方正仿宋_GBK" w:hAnsi="方正仿宋_GBK" w:eastAsia="方正仿宋_GBK" w:cs="方正仿宋_GBK"/>
          <w:b w:val="0"/>
          <w:bCs w:val="0"/>
          <w:sz w:val="32"/>
          <w:szCs w:val="32"/>
          <w:shd w:val="clear" w:color="auto" w:fill="FFFFFF"/>
          <w:lang w:val="en-US" w:eastAsia="zh-CN"/>
        </w:rPr>
        <w:t>主要原因是机构改革，事业编制人员减少，公用经费支出减少。</w:t>
      </w:r>
      <w:r>
        <w:rPr>
          <w:rFonts w:hint="eastAsia" w:ascii="方正仿宋_GBK" w:hAnsi="方正仿宋_GBK" w:eastAsia="方正仿宋_GBK" w:cs="方正仿宋_GBK"/>
          <w:b w:val="0"/>
          <w:bCs w:val="0"/>
          <w:sz w:val="32"/>
          <w:szCs w:val="32"/>
          <w:shd w:val="clear" w:color="auto" w:fill="FFFFFF"/>
        </w:rPr>
        <w:t>较年初预算数减少46.77万元，下降19.7%。</w:t>
      </w:r>
      <w:r>
        <w:rPr>
          <w:rFonts w:hint="eastAsia" w:ascii="方正仿宋_GBK" w:hAnsi="方正仿宋_GBK" w:eastAsia="方正仿宋_GBK" w:cs="方正仿宋_GBK"/>
          <w:b w:val="0"/>
          <w:bCs w:val="0"/>
          <w:sz w:val="32"/>
          <w:szCs w:val="32"/>
          <w:shd w:val="clear" w:color="auto" w:fill="FFFFFF"/>
          <w:lang w:val="en-US" w:eastAsia="zh-CN"/>
        </w:rPr>
        <w:t>主要原因是公用经费支出减少、劳动就业工作经费减少。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Style w:val="8"/>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度年末一般公共预算财政拨款结转和结余</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14:textFill>
            <w14:solidFill>
              <w14:schemeClr w14:val="tx1"/>
            </w14:solidFill>
          </w14:textFill>
        </w:rPr>
        <w:t>与上年持平</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rPr>
      </w:pPr>
      <w:r>
        <w:rPr>
          <w:rStyle w:val="8"/>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本单位</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w:t>
      </w:r>
      <w:r>
        <w:rPr>
          <w:rFonts w:hint="eastAsia" w:ascii="方正仿宋_GBK" w:hAnsi="方正仿宋_GBK" w:eastAsia="方正仿宋_GBK" w:cs="方正仿宋_GBK"/>
          <w:b w:val="0"/>
          <w:bCs w:val="0"/>
          <w:sz w:val="32"/>
          <w:szCs w:val="32"/>
          <w:shd w:val="clear" w:color="auto" w:fill="FFFFFF"/>
        </w:rPr>
        <w:t>）社会保障与就业支出</w:t>
      </w:r>
      <w:r>
        <w:rPr>
          <w:rFonts w:hint="eastAsia" w:ascii="方正仿宋_GBK" w:hAnsi="方正仿宋_GBK" w:eastAsia="方正仿宋_GBK" w:cs="方正仿宋_GBK"/>
          <w:b w:val="0"/>
          <w:bCs w:val="0"/>
          <w:sz w:val="32"/>
          <w:szCs w:val="32"/>
        </w:rPr>
        <w:t>176.04</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92.19</w:t>
      </w:r>
      <w:r>
        <w:rPr>
          <w:rFonts w:hint="eastAsia" w:ascii="方正仿宋_GBK" w:hAnsi="方正仿宋_GBK" w:eastAsia="方正仿宋_GBK" w:cs="方正仿宋_GBK"/>
          <w:b w:val="0"/>
          <w:bCs w:val="0"/>
          <w:sz w:val="32"/>
          <w:szCs w:val="32"/>
          <w:shd w:val="clear" w:color="auto" w:fill="FFFFFF"/>
        </w:rPr>
        <w:t>%，较年初预算数减少43.93万元，下降20.0%，</w:t>
      </w:r>
      <w:r>
        <w:rPr>
          <w:rFonts w:hint="eastAsia" w:ascii="方正仿宋_GBK" w:hAnsi="方正仿宋_GBK" w:eastAsia="方正仿宋_GBK" w:cs="方正仿宋_GBK"/>
          <w:b w:val="0"/>
          <w:bCs w:val="0"/>
          <w:sz w:val="32"/>
          <w:szCs w:val="32"/>
          <w:shd w:val="clear" w:color="auto" w:fill="FFFFFF"/>
          <w:lang w:val="en-US" w:eastAsia="zh-CN"/>
        </w:rPr>
        <w:t>主要原因是公用经费支出减少、劳动就业工作经费减少。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2</w:t>
      </w:r>
      <w:r>
        <w:rPr>
          <w:rFonts w:hint="eastAsia" w:ascii="方正仿宋_GBK" w:hAnsi="方正仿宋_GBK" w:eastAsia="方正仿宋_GBK" w:cs="方正仿宋_GBK"/>
          <w:b w:val="0"/>
          <w:bCs w:val="0"/>
          <w:sz w:val="32"/>
          <w:szCs w:val="32"/>
          <w:shd w:val="clear" w:color="auto" w:fill="FFFFFF"/>
        </w:rPr>
        <w:t>）卫生健康支出</w:t>
      </w:r>
      <w:r>
        <w:rPr>
          <w:rFonts w:hint="eastAsia" w:ascii="方正仿宋_GBK" w:hAnsi="方正仿宋_GBK" w:eastAsia="方正仿宋_GBK" w:cs="方正仿宋_GBK"/>
          <w:b w:val="0"/>
          <w:bCs w:val="0"/>
          <w:sz w:val="32"/>
          <w:szCs w:val="32"/>
        </w:rPr>
        <w:t>6.46</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3.38</w:t>
      </w:r>
      <w:r>
        <w:rPr>
          <w:rFonts w:hint="eastAsia" w:ascii="方正仿宋_GBK" w:hAnsi="方正仿宋_GBK" w:eastAsia="方正仿宋_GBK" w:cs="方正仿宋_GBK"/>
          <w:b w:val="0"/>
          <w:bCs w:val="0"/>
          <w:sz w:val="32"/>
          <w:szCs w:val="32"/>
          <w:shd w:val="clear" w:color="auto" w:fill="FFFFFF"/>
        </w:rPr>
        <w:t>%，较年初预算数减少2.87万元，下降30.8%</w:t>
      </w:r>
      <w:r>
        <w:rPr>
          <w:rFonts w:hint="eastAsia" w:ascii="方正仿宋_GBK" w:hAnsi="方正仿宋_GBK" w:eastAsia="方正仿宋_GBK" w:cs="方正仿宋_GBK"/>
          <w:b w:val="0"/>
          <w:bCs w:val="0"/>
          <w:sz w:val="32"/>
          <w:szCs w:val="32"/>
        </w:rPr>
        <w:t>，主要原因是</w:t>
      </w:r>
      <w:r>
        <w:rPr>
          <w:rFonts w:hint="eastAsia" w:ascii="方正仿宋_GBK" w:hAnsi="方正仿宋_GBK" w:eastAsia="方正仿宋_GBK" w:cs="方正仿宋_GBK"/>
          <w:b w:val="0"/>
          <w:bCs w:val="0"/>
          <w:sz w:val="32"/>
          <w:szCs w:val="32"/>
          <w:lang w:eastAsia="zh-CN"/>
        </w:rPr>
        <w:t>机构改革，事业编制人员调整导致保险缴费基数减少。</w:t>
      </w:r>
    </w:p>
    <w:p>
      <w:pPr>
        <w:keepNext w:val="0"/>
        <w:keepLines w:val="0"/>
        <w:pageBreakBefore w:val="0"/>
        <w:kinsoku/>
        <w:wordWrap/>
        <w:overflowPunct/>
        <w:topLinePunct w:val="0"/>
        <w:autoSpaceDN/>
        <w:bidi w:val="0"/>
        <w:adjustRightInd/>
        <w:spacing w:line="560" w:lineRule="exact"/>
        <w:ind w:firstLine="640" w:firstLineChars="200"/>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住房保障支出8.46</w:t>
      </w:r>
      <w:r>
        <w:rPr>
          <w:rFonts w:hint="eastAsia" w:ascii="方正仿宋_GBK" w:hAnsi="方正仿宋_GBK" w:eastAsia="方正仿宋_GBK" w:cs="方正仿宋_GBK"/>
          <w:b w:val="0"/>
          <w:bCs w:val="0"/>
          <w:sz w:val="32"/>
          <w:szCs w:val="32"/>
          <w:shd w:val="clear" w:color="auto" w:fill="FFFFFF"/>
        </w:rPr>
        <w:t>万元，占</w:t>
      </w:r>
      <w:r>
        <w:rPr>
          <w:rFonts w:hint="eastAsia" w:ascii="方正仿宋_GBK" w:hAnsi="方正仿宋_GBK" w:eastAsia="方正仿宋_GBK" w:cs="方正仿宋_GBK"/>
          <w:b w:val="0"/>
          <w:bCs w:val="0"/>
          <w:sz w:val="32"/>
          <w:szCs w:val="32"/>
        </w:rPr>
        <w:t>4.43</w:t>
      </w:r>
      <w:r>
        <w:rPr>
          <w:rFonts w:hint="eastAsia" w:ascii="方正仿宋_GBK" w:hAnsi="方正仿宋_GBK" w:eastAsia="方正仿宋_GBK" w:cs="方正仿宋_GBK"/>
          <w:b w:val="0"/>
          <w:bCs w:val="0"/>
          <w:sz w:val="32"/>
          <w:szCs w:val="32"/>
          <w:shd w:val="clear" w:color="auto" w:fill="FFFFFF"/>
        </w:rPr>
        <w:t>%，较年初预算数增加0.04万元，增长0.5%，主要原因是</w:t>
      </w:r>
      <w:r>
        <w:rPr>
          <w:rFonts w:hint="eastAsia" w:ascii="方正仿宋_GBK" w:hAnsi="方正仿宋_GBK" w:eastAsia="方正仿宋_GBK" w:cs="方正仿宋_GBK"/>
          <w:b w:val="0"/>
          <w:bCs w:val="0"/>
          <w:sz w:val="32"/>
          <w:szCs w:val="32"/>
          <w:shd w:val="clear" w:color="auto" w:fill="FFFFFF"/>
          <w:lang w:eastAsia="zh-CN"/>
        </w:rPr>
        <w:t>住房公积金支出增加。</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度一般公共财政拨款基本支出</w:t>
      </w:r>
      <w:r>
        <w:rPr>
          <w:rFonts w:hint="eastAsia" w:ascii="方正仿宋_GBK" w:hAnsi="方正仿宋_GBK" w:eastAsia="方正仿宋_GBK" w:cs="方正仿宋_GBK"/>
          <w:b w:val="0"/>
          <w:bCs w:val="0"/>
          <w:sz w:val="32"/>
          <w:szCs w:val="32"/>
        </w:rPr>
        <w:t>190.86</w:t>
      </w:r>
      <w:r>
        <w:rPr>
          <w:rFonts w:hint="eastAsia" w:ascii="方正仿宋_GBK" w:hAnsi="方正仿宋_GBK" w:eastAsia="方正仿宋_GBK" w:cs="方正仿宋_GBK"/>
          <w:b w:val="0"/>
          <w:bCs w:val="0"/>
          <w:sz w:val="32"/>
          <w:szCs w:val="32"/>
          <w:shd w:val="clear" w:color="auto" w:fill="FFFFFF"/>
        </w:rPr>
        <w:t>万元。其中：人员经费</w:t>
      </w:r>
      <w:r>
        <w:rPr>
          <w:rFonts w:hint="eastAsia" w:ascii="方正仿宋_GBK" w:hAnsi="方正仿宋_GBK" w:eastAsia="方正仿宋_GBK" w:cs="方正仿宋_GBK"/>
          <w:b w:val="0"/>
          <w:bCs w:val="0"/>
          <w:sz w:val="32"/>
          <w:szCs w:val="32"/>
        </w:rPr>
        <w:t>171.30</w:t>
      </w:r>
      <w:r>
        <w:rPr>
          <w:rFonts w:hint="eastAsia" w:ascii="方正仿宋_GBK" w:hAnsi="方正仿宋_GBK" w:eastAsia="方正仿宋_GBK" w:cs="方正仿宋_GBK"/>
          <w:b w:val="0"/>
          <w:bCs w:val="0"/>
          <w:sz w:val="32"/>
          <w:szCs w:val="32"/>
          <w:shd w:val="clear" w:color="auto" w:fill="FFFFFF"/>
        </w:rPr>
        <w:t>万元，与2023年度相比，增加171.30万元，增长100.0%，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w:t>
      </w:r>
      <w:r>
        <w:rPr>
          <w:rFonts w:hint="eastAsia" w:ascii="方正仿宋_GBK" w:hAnsi="方正仿宋_GBK" w:eastAsia="方正仿宋_GBK" w:cs="方正仿宋_GBK"/>
          <w:b w:val="0"/>
          <w:bCs w:val="0"/>
          <w:sz w:val="32"/>
          <w:szCs w:val="32"/>
        </w:rPr>
        <w:t>19.56</w:t>
      </w:r>
      <w:r>
        <w:rPr>
          <w:rFonts w:hint="eastAsia" w:ascii="方正仿宋_GBK" w:hAnsi="方正仿宋_GBK" w:eastAsia="方正仿宋_GBK" w:cs="方正仿宋_GBK"/>
          <w:b w:val="0"/>
          <w:bCs w:val="0"/>
          <w:sz w:val="32"/>
          <w:szCs w:val="32"/>
          <w:shd w:val="clear" w:color="auto" w:fill="FFFFFF"/>
        </w:rPr>
        <w:t>万元，与2023年度相比，增加19.56万元，增长100.0%，</w:t>
      </w:r>
      <w:r>
        <w:rPr>
          <w:rFonts w:hint="eastAsia" w:ascii="方正仿宋_GBK" w:hAnsi="方正仿宋_GBK" w:eastAsia="方正仿宋_GBK" w:cs="方正仿宋_GBK"/>
          <w:b w:val="0"/>
          <w:bCs w:val="0"/>
          <w:color w:val="000000" w:themeColor="text1"/>
          <w:sz w:val="32"/>
          <w:szCs w:val="32"/>
          <w:highlight w:val="none"/>
          <w:shd w:val="clear" w:color="auto" w:fill="FFFFFF"/>
          <w14:textFill>
            <w14:solidFill>
              <w14:schemeClr w14:val="tx1"/>
            </w14:solidFill>
          </w14:textFill>
        </w:rPr>
        <w:t>人员经费用途主要包括</w:t>
      </w:r>
      <w:r>
        <w:rPr>
          <w:rFonts w:hint="eastAsia" w:ascii="方正仿宋_GBK" w:hAnsi="方正仿宋_GBK" w:eastAsia="方正仿宋_GBK" w:cs="方正仿宋_GBK"/>
          <w:b w:val="0"/>
          <w:bCs w:val="0"/>
          <w:color w:val="000000" w:themeColor="text1"/>
          <w:kern w:val="2"/>
          <w:sz w:val="32"/>
          <w:szCs w:val="32"/>
          <w:highlight w:val="none"/>
          <w:lang w:val="en-US" w:eastAsia="zh-CN" w:bidi="ar"/>
          <w14:textFill>
            <w14:solidFill>
              <w14:schemeClr w14:val="tx1"/>
            </w14:solidFill>
          </w14:textFill>
        </w:rPr>
        <w:t>事业编制人员工资、绩效。</w:t>
      </w:r>
      <w:r>
        <w:rPr>
          <w:rFonts w:hint="eastAsia" w:ascii="方正仿宋_GBK" w:hAnsi="方正仿宋_GBK" w:eastAsia="方正仿宋_GBK" w:cs="方正仿宋_GBK"/>
          <w:b w:val="0"/>
          <w:bCs w:val="0"/>
          <w:sz w:val="32"/>
          <w:szCs w:val="32"/>
          <w:shd w:val="clear" w:color="auto" w:fill="FFFFFF"/>
        </w:rPr>
        <w:t>公用经费用途主要包括</w:t>
      </w:r>
      <w:r>
        <w:rPr>
          <w:rFonts w:hint="eastAsia" w:ascii="方正仿宋_GBK" w:hAnsi="方正仿宋_GBK" w:eastAsia="方正仿宋_GBK" w:cs="方正仿宋_GBK"/>
          <w:b w:val="0"/>
          <w:bCs w:val="0"/>
          <w:sz w:val="32"/>
          <w:szCs w:val="32"/>
          <w:shd w:val="clear" w:color="auto" w:fill="FFFFFF"/>
          <w:lang w:eastAsia="zh-CN"/>
        </w:rPr>
        <w:t>工会经费、职工教育费、工会慰问。</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度“三公”经费支出共计</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eastAsia="zh-CN"/>
          <w14:textFill>
            <w14:solidFill>
              <w14:schemeClr w14:val="tx1"/>
            </w14:solidFill>
          </w14:textFill>
        </w:rPr>
        <w:t>与上年持平</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度本单位因公出国（境）费用</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eastAsia="zh-CN"/>
          <w14:textFill>
            <w14:solidFill>
              <w14:schemeClr w14:val="tx1"/>
            </w14:solidFill>
          </w14:textFill>
        </w:rPr>
        <w:t>与上年持平</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公务车购置费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万元。费用支出较年初预算数无增减。与2023年度相比无增减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eastAsia="zh-CN"/>
          <w14:textFill>
            <w14:solidFill>
              <w14:schemeClr w14:val="tx1"/>
            </w14:solidFill>
          </w14:textFill>
        </w:rPr>
        <w:t>与上年持平</w:t>
      </w:r>
      <w:r>
        <w:rPr>
          <w:rFonts w:hint="eastAsia" w:ascii="方正仿宋_GBK" w:hAnsi="方正仿宋_GBK" w:eastAsia="方正仿宋_GBK" w:cs="方正仿宋_GBK"/>
          <w:b w:val="0"/>
          <w:bCs w:val="0"/>
          <w:sz w:val="32"/>
          <w:szCs w:val="32"/>
          <w:shd w:val="clear" w:color="auto" w:fill="FFFFFF"/>
        </w:rPr>
        <w:t>。</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与2023年度相比无增减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14:textFill>
            <w14:solidFill>
              <w14:schemeClr w14:val="tx1"/>
            </w14:solidFill>
          </w14:textFill>
        </w:rPr>
        <w:t>与上年度持平</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费用支出较年初预算数无增减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rPr>
        <w:t>较上年支出数无增减</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color w:val="000000" w:themeColor="text1"/>
          <w:kern w:val="0"/>
          <w:sz w:val="32"/>
          <w:szCs w:val="32"/>
          <w:highlight w:val="none"/>
          <w:shd w:val="clear" w:color="auto" w:fill="FFFFFF"/>
          <w:lang w:eastAsia="zh-CN"/>
          <w14:textFill>
            <w14:solidFill>
              <w14:schemeClr w14:val="tx1"/>
            </w14:solidFill>
          </w14:textFill>
        </w:rPr>
        <w:t>与上年持平</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度本单位因公出国（境）共计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个团组，</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人；公务用车购置</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辆，公务车保有量为</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辆；国内公务接待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人，其中：国内外事接待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人；国（境）外公务接待</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批次，</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人。</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本单位人均接待费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元，车均购置费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万元，车均维护费</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本年度会议费支出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万元，与2023年度相比，无增减。本年度培训费支出</w:t>
      </w:r>
      <w:r>
        <w:rPr>
          <w:rFonts w:hint="eastAsia" w:ascii="方正仿宋_GBK" w:hAnsi="方正仿宋_GBK" w:eastAsia="方正仿宋_GBK" w:cs="方正仿宋_GBK"/>
          <w:b w:val="0"/>
          <w:bCs w:val="0"/>
          <w:sz w:val="32"/>
          <w:szCs w:val="32"/>
        </w:rPr>
        <w:t>0.08</w:t>
      </w:r>
      <w:r>
        <w:rPr>
          <w:rFonts w:hint="eastAsia" w:ascii="方正仿宋_GBK" w:hAnsi="方正仿宋_GBK" w:eastAsia="方正仿宋_GBK" w:cs="方正仿宋_GBK"/>
          <w:b w:val="0"/>
          <w:bCs w:val="0"/>
          <w:sz w:val="32"/>
          <w:szCs w:val="32"/>
          <w:shd w:val="clear" w:color="auto" w:fill="FFFFFF"/>
        </w:rPr>
        <w:t>万元，与2023年度相比，增加0.08万元，增长100.0%，</w:t>
      </w:r>
      <w:r>
        <w:rPr>
          <w:rFonts w:hint="eastAsia" w:ascii="方正仿宋_GBK" w:hAnsi="方正仿宋_GBK" w:eastAsia="方正仿宋_GBK" w:cs="方正仿宋_GBK"/>
          <w:b w:val="0"/>
          <w:bCs w:val="0"/>
          <w:sz w:val="32"/>
          <w:szCs w:val="32"/>
          <w:shd w:val="clear" w:color="auto" w:fill="FFFFFF"/>
          <w:lang w:eastAsia="zh-CN"/>
        </w:rPr>
        <w:t>主要原因是</w:t>
      </w:r>
      <w:r>
        <w:rPr>
          <w:rFonts w:hint="eastAsia" w:ascii="方正仿宋_GBK" w:hAnsi="方正仿宋_GBK" w:eastAsia="方正仿宋_GBK" w:cs="方正仿宋_GBK"/>
          <w:b w:val="0"/>
          <w:bCs w:val="0"/>
          <w:sz w:val="32"/>
          <w:szCs w:val="32"/>
          <w:shd w:val="clear" w:color="auto" w:fill="FFFFFF"/>
          <w:lang w:val="en-US" w:eastAsia="zh-CN"/>
        </w:rPr>
        <w:t>2024年依据财政局要求，本单位将事业单位划分为重庆市铜梁区巴川街道</w:t>
      </w:r>
      <w:r>
        <w:rPr>
          <w:rFonts w:hint="eastAsia" w:ascii="方正仿宋_GBK" w:hAnsi="方正仿宋_GBK" w:eastAsia="方正仿宋_GBK" w:cs="方正仿宋_GBK"/>
          <w:b w:val="0"/>
          <w:bCs w:val="0"/>
          <w:sz w:val="32"/>
          <w:szCs w:val="32"/>
          <w:shd w:val="clear" w:color="auto" w:fill="FFFFFF"/>
          <w:lang w:eastAsia="zh-CN"/>
        </w:rPr>
        <w:t>劳动就业和社会保障服务所</w:t>
      </w:r>
      <w:r>
        <w:rPr>
          <w:rFonts w:hint="eastAsia" w:ascii="方正仿宋_GBK" w:hAnsi="方正仿宋_GBK" w:eastAsia="方正仿宋_GBK" w:cs="方正仿宋_GBK"/>
          <w:b w:val="0"/>
          <w:bCs w:val="0"/>
          <w:sz w:val="32"/>
          <w:szCs w:val="32"/>
          <w:shd w:val="clear" w:color="auto" w:fill="FFFFFF"/>
          <w:lang w:val="en-US" w:eastAsia="zh-CN"/>
        </w:rPr>
        <w:t>等七个账套单独核算，上年度未单独核算，因此变化较大。</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按照部门决算列报口径，我单位不在机关运行经费统计范围之内。</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w:t>
      </w: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12月31日，本单位共有车辆</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辆，其中，副部（省）级及以上领导用车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辆、主要负责人用车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辆、机要通信用车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辆、应急保障用车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辆、执法执勤用车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辆，特种专业技术用车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辆，离退休干部用车</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辆。单价100万元（含）以上专用设备</w:t>
      </w:r>
      <w:r>
        <w:rPr>
          <w:rFonts w:hint="eastAsia" w:ascii="方正仿宋_GBK" w:hAnsi="方正仿宋_GBK" w:eastAsia="方正仿宋_GBK" w:cs="方正仿宋_GBK"/>
          <w:b w:val="0"/>
          <w:bCs w:val="0"/>
          <w:sz w:val="32"/>
          <w:szCs w:val="32"/>
        </w:rPr>
        <w:t>0</w:t>
      </w:r>
      <w:r>
        <w:rPr>
          <w:rFonts w:hint="eastAsia" w:ascii="方正仿宋_GBK" w:hAnsi="方正仿宋_GBK" w:eastAsia="方正仿宋_GBK" w:cs="方正仿宋_GBK"/>
          <w:b w:val="0"/>
          <w:bCs w:val="0"/>
          <w:sz w:val="32"/>
          <w:szCs w:val="32"/>
          <w:shd w:val="clear" w:color="auto" w:fill="FFFFFF"/>
        </w:rPr>
        <w:t>台（套）。</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FF0000"/>
          <w:sz w:val="32"/>
          <w:szCs w:val="32"/>
          <w:shd w:val="clear" w:color="auto" w:fill="FFFFFF"/>
          <w:lang w:eastAsia="zh-CN"/>
        </w:rPr>
      </w:pPr>
      <w:r>
        <w:rPr>
          <w:rFonts w:hint="eastAsia" w:ascii="方正仿宋_GBK" w:hAnsi="方正仿宋_GBK" w:eastAsia="方正仿宋_GBK" w:cs="方正仿宋_GBK"/>
          <w:b w:val="0"/>
          <w:bCs w:val="0"/>
          <w:sz w:val="32"/>
          <w:szCs w:val="32"/>
          <w:shd w:val="clear" w:color="auto" w:fill="FFFFFF"/>
          <w:lang w:eastAsia="zh-CN"/>
        </w:rPr>
        <w:t>2024年</w:t>
      </w:r>
      <w:r>
        <w:rPr>
          <w:rFonts w:hint="eastAsia" w:ascii="方正仿宋_GBK" w:hAnsi="方正仿宋_GBK" w:eastAsia="方正仿宋_GBK" w:cs="方正仿宋_GBK"/>
          <w:b w:val="0"/>
          <w:bCs w:val="0"/>
          <w:sz w:val="32"/>
          <w:szCs w:val="32"/>
          <w:shd w:val="clear" w:color="auto" w:fill="FFFFFF"/>
        </w:rPr>
        <w:t>度本单位政府采购支出总额</w:t>
      </w:r>
      <w:r>
        <w:rPr>
          <w:rFonts w:hint="eastAsia" w:ascii="方正仿宋_GBK" w:hAnsi="方正仿宋_GBK" w:eastAsia="方正仿宋_GBK" w:cs="方正仿宋_GBK"/>
          <w:b w:val="0"/>
          <w:bCs w:val="0"/>
          <w:sz w:val="32"/>
          <w:szCs w:val="32"/>
        </w:rPr>
        <w:t>1.66</w:t>
      </w:r>
      <w:r>
        <w:rPr>
          <w:rFonts w:hint="eastAsia" w:ascii="方正仿宋_GBK" w:hAnsi="方正仿宋_GBK" w:eastAsia="方正仿宋_GBK" w:cs="方正仿宋_GBK"/>
          <w:b w:val="0"/>
          <w:bCs w:val="0"/>
          <w:sz w:val="32"/>
          <w:szCs w:val="32"/>
          <w:shd w:val="clear" w:color="auto" w:fill="FFFFFF"/>
        </w:rPr>
        <w:t>万元，其中：政府采购货物支出</w:t>
      </w:r>
      <w:r>
        <w:rPr>
          <w:rFonts w:hint="eastAsia" w:ascii="方正仿宋_GBK" w:hAnsi="方正仿宋_GBK" w:eastAsia="方正仿宋_GBK" w:cs="方正仿宋_GBK"/>
          <w:b w:val="0"/>
          <w:bCs w:val="0"/>
          <w:sz w:val="32"/>
          <w:szCs w:val="32"/>
        </w:rPr>
        <w:t>1.66</w:t>
      </w:r>
      <w:r>
        <w:rPr>
          <w:rFonts w:hint="eastAsia" w:ascii="方正仿宋_GBK" w:hAnsi="方正仿宋_GBK" w:eastAsia="方正仿宋_GBK" w:cs="方正仿宋_GBK"/>
          <w:b w:val="0"/>
          <w:bCs w:val="0"/>
          <w:sz w:val="32"/>
          <w:szCs w:val="32"/>
          <w:shd w:val="clear" w:color="auto" w:fill="FFFFFF"/>
        </w:rPr>
        <w:t>万元、政府采购工程支出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万元、政府采购服务支出</w:t>
      </w:r>
      <w:r>
        <w:rPr>
          <w:rFonts w:hint="eastAsia" w:ascii="方正仿宋_GBK" w:hAnsi="方正仿宋_GBK" w:eastAsia="方正仿宋_GBK" w:cs="方正仿宋_GBK"/>
          <w:b w:val="0"/>
          <w:bCs w:val="0"/>
          <w:sz w:val="32"/>
          <w:szCs w:val="32"/>
        </w:rPr>
        <w:t>0.00</w:t>
      </w:r>
      <w:r>
        <w:rPr>
          <w:rFonts w:hint="eastAsia" w:ascii="方正仿宋_GBK" w:hAnsi="方正仿宋_GBK" w:eastAsia="方正仿宋_GBK" w:cs="方正仿宋_GBK"/>
          <w:b w:val="0"/>
          <w:bCs w:val="0"/>
          <w:sz w:val="32"/>
          <w:szCs w:val="32"/>
          <w:shd w:val="clear" w:color="auto" w:fill="FFFFFF"/>
        </w:rPr>
        <w:t>万元。授予中小企业合同金额</w:t>
      </w:r>
      <w:r>
        <w:rPr>
          <w:rFonts w:hint="eastAsia" w:ascii="方正仿宋_GBK" w:hAnsi="方正仿宋_GBK" w:eastAsia="方正仿宋_GBK" w:cs="方正仿宋_GBK"/>
          <w:b w:val="0"/>
          <w:bCs w:val="0"/>
          <w:sz w:val="32"/>
          <w:szCs w:val="32"/>
        </w:rPr>
        <w:t>1.66万</w:t>
      </w:r>
      <w:r>
        <w:rPr>
          <w:rFonts w:hint="eastAsia" w:ascii="方正仿宋_GBK" w:hAnsi="方正仿宋_GBK" w:eastAsia="方正仿宋_GBK" w:cs="方正仿宋_GBK"/>
          <w:b w:val="0"/>
          <w:bCs w:val="0"/>
          <w:sz w:val="32"/>
          <w:szCs w:val="32"/>
          <w:shd w:val="clear" w:color="auto" w:fill="FFFFFF"/>
        </w:rPr>
        <w:t>元，占政府采购支出总额的</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%，其中：授予小微企业合同金额</w:t>
      </w:r>
      <w:r>
        <w:rPr>
          <w:rFonts w:hint="eastAsia" w:ascii="方正仿宋_GBK" w:hAnsi="方正仿宋_GBK" w:eastAsia="方正仿宋_GBK" w:cs="方正仿宋_GBK"/>
          <w:b w:val="0"/>
          <w:bCs w:val="0"/>
          <w:sz w:val="32"/>
          <w:szCs w:val="32"/>
        </w:rPr>
        <w:t>1.66</w:t>
      </w:r>
      <w:r>
        <w:rPr>
          <w:rFonts w:hint="eastAsia" w:ascii="方正仿宋_GBK" w:hAnsi="方正仿宋_GBK" w:eastAsia="方正仿宋_GBK" w:cs="方正仿宋_GBK"/>
          <w:b w:val="0"/>
          <w:bCs w:val="0"/>
          <w:sz w:val="32"/>
          <w:szCs w:val="32"/>
          <w:shd w:val="clear" w:color="auto" w:fill="FFFFFF"/>
        </w:rPr>
        <w:t>万元，占政府采购支出总额的</w:t>
      </w:r>
      <w:r>
        <w:rPr>
          <w:rFonts w:hint="eastAsia" w:ascii="方正仿宋_GBK" w:hAnsi="方正仿宋_GBK" w:eastAsia="方正仿宋_GBK" w:cs="方正仿宋_GBK"/>
          <w:b w:val="0"/>
          <w:bCs w:val="0"/>
          <w:sz w:val="32"/>
          <w:szCs w:val="32"/>
        </w:rPr>
        <w:t>100.00</w:t>
      </w:r>
      <w:r>
        <w:rPr>
          <w:rFonts w:hint="eastAsia" w:ascii="方正仿宋_GBK" w:hAnsi="方正仿宋_GBK" w:eastAsia="方正仿宋_GBK" w:cs="方正仿宋_GBK"/>
          <w:b w:val="0"/>
          <w:bCs w:val="0"/>
          <w:sz w:val="32"/>
          <w:szCs w:val="32"/>
          <w:shd w:val="clear" w:color="auto" w:fill="FFFFFF"/>
        </w:rPr>
        <w:t xml:space="preserve"> %。主要用于采购</w:t>
      </w:r>
      <w:r>
        <w:rPr>
          <w:rFonts w:hint="eastAsia" w:ascii="方正仿宋_GBK" w:hAnsi="方正仿宋_GBK" w:eastAsia="方正仿宋_GBK" w:cs="方正仿宋_GBK"/>
          <w:b w:val="0"/>
          <w:bCs w:val="0"/>
          <w:sz w:val="32"/>
          <w:szCs w:val="32"/>
          <w:shd w:val="clear" w:color="auto" w:fill="FFFFFF"/>
          <w:lang w:eastAsia="zh-CN"/>
        </w:rPr>
        <w:t>电脑。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9"/>
        <w:keepNext w:val="0"/>
        <w:keepLines w:val="0"/>
        <w:pageBreakBefore w:val="0"/>
        <w:kinsoku/>
        <w:wordWrap/>
        <w:overflowPunct/>
        <w:topLinePunct w:val="0"/>
        <w:autoSpaceDE w:val="0"/>
        <w:autoSpaceDN/>
        <w:bidi w:val="0"/>
        <w:adjustRightInd/>
        <w:spacing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方正仿宋_GBK" w:hAnsi="方正仿宋_GBK" w:eastAsia="方正仿宋_GBK" w:cs="方正仿宋_GBK"/>
          <w:b w:val="0"/>
          <w:bCs w:val="0"/>
          <w:kern w:val="0"/>
          <w:sz w:val="32"/>
          <w:szCs w:val="32"/>
          <w:shd w:val="clear" w:fill="FFFFFF"/>
          <w:lang w:val="en-US" w:eastAsia="zh-CN"/>
        </w:rPr>
        <w:t>0.09</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项目进行绩效自，其中</w:t>
      </w:r>
      <w:r>
        <w:rPr>
          <w:rFonts w:hint="eastAsia" w:ascii="方正仿宋_GBK" w:hAnsi="方正仿宋_GBK"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5583BE8"/>
    <w:rsid w:val="06A2550B"/>
    <w:rsid w:val="06F80EE2"/>
    <w:rsid w:val="07001CCA"/>
    <w:rsid w:val="075678DB"/>
    <w:rsid w:val="08051BCA"/>
    <w:rsid w:val="08887FC5"/>
    <w:rsid w:val="08B84F60"/>
    <w:rsid w:val="08BA052C"/>
    <w:rsid w:val="08DB07BA"/>
    <w:rsid w:val="098305D0"/>
    <w:rsid w:val="09B72B6E"/>
    <w:rsid w:val="09D5592C"/>
    <w:rsid w:val="0A372658"/>
    <w:rsid w:val="0A3851D8"/>
    <w:rsid w:val="0A5C4B69"/>
    <w:rsid w:val="0AEC3BC7"/>
    <w:rsid w:val="0B9335CE"/>
    <w:rsid w:val="0C7927C4"/>
    <w:rsid w:val="0C9B098C"/>
    <w:rsid w:val="0D11728C"/>
    <w:rsid w:val="0D673E11"/>
    <w:rsid w:val="0DB50EFE"/>
    <w:rsid w:val="0DDA54E4"/>
    <w:rsid w:val="0E3A5F83"/>
    <w:rsid w:val="0F836721"/>
    <w:rsid w:val="103645A3"/>
    <w:rsid w:val="107B59E5"/>
    <w:rsid w:val="10CF27FB"/>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67F3757"/>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8954CD4"/>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68013E"/>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98C027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017C11"/>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88344CB"/>
    <w:rsid w:val="796D60A4"/>
    <w:rsid w:val="79A031D5"/>
    <w:rsid w:val="7A1525F7"/>
    <w:rsid w:val="7A3E6CB6"/>
    <w:rsid w:val="7A680D2D"/>
    <w:rsid w:val="7B260559"/>
    <w:rsid w:val="7B420052"/>
    <w:rsid w:val="7BD06A28"/>
    <w:rsid w:val="7C1E4CD7"/>
    <w:rsid w:val="7C3A7C0B"/>
    <w:rsid w:val="7C5248E4"/>
    <w:rsid w:val="7C566698"/>
    <w:rsid w:val="7CAB4C5A"/>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4</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cp:lastModifiedBy>
  <dcterms:modified xsi:type="dcterms:W3CDTF">2025-10-16T07:10:33Z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