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095F9">
      <w:pPr>
        <w:pStyle w:val="2"/>
        <w:bidi w:val="0"/>
        <w:rPr>
          <w:rFonts w:hint="default" w:ascii="Times New Roman" w:hAnsi="Times New Roman" w:cs="Times New Roman"/>
        </w:rPr>
      </w:pPr>
      <w:bookmarkStart w:id="0" w:name="_GoBack"/>
      <w:r>
        <w:rPr>
          <w:rFonts w:hint="default" w:ascii="Times New Roman" w:hAnsi="Times New Roman" w:cs="Times New Roman"/>
        </w:rPr>
        <w:t>重庆市铜梁区白羊镇人民政府</w:t>
      </w:r>
    </w:p>
    <w:p w14:paraId="4AC3989B">
      <w:pPr>
        <w:pStyle w:val="2"/>
        <w:bidi w:val="0"/>
        <w:rPr>
          <w:rFonts w:hint="default" w:ascii="Times New Roman" w:hAnsi="Times New Roman" w:cs="Times New Roman"/>
        </w:rPr>
      </w:pPr>
      <w:r>
        <w:rPr>
          <w:rFonts w:hint="default" w:ascii="Times New Roman" w:hAnsi="Times New Roman" w:cs="Times New Roman"/>
        </w:rPr>
        <w:t>2024</w:t>
      </w:r>
      <w:r>
        <w:rPr>
          <w:rFonts w:hint="default" w:ascii="Times New Roman" w:hAnsi="Times New Roman" w:cs="Times New Roman"/>
        </w:rPr>
        <w:t>年度决算公开说明</w:t>
      </w:r>
    </w:p>
    <w:p w14:paraId="738AAC68">
      <w:pPr>
        <w:pStyle w:val="3"/>
        <w:bidi w:val="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eastAsia="zh-CN"/>
        </w:rPr>
        <w:t>部门</w:t>
      </w:r>
      <w:r>
        <w:rPr>
          <w:rFonts w:hint="default" w:ascii="Times New Roman" w:hAnsi="Times New Roman" w:cs="Times New Roman"/>
        </w:rPr>
        <w:t>基本情况</w:t>
      </w:r>
    </w:p>
    <w:p w14:paraId="0E35A079">
      <w:pPr>
        <w:pStyle w:val="4"/>
        <w:bidi w:val="0"/>
        <w:rPr>
          <w:rFonts w:hint="default" w:ascii="Times New Roman" w:hAnsi="Times New Roman" w:cs="Times New Roman"/>
        </w:rPr>
      </w:pPr>
      <w:r>
        <w:rPr>
          <w:rFonts w:hint="default" w:ascii="Times New Roman" w:hAnsi="Times New Roman" w:cs="Times New Roman"/>
        </w:rPr>
        <w:t>（一）职能职责</w:t>
      </w:r>
    </w:p>
    <w:p w14:paraId="17793EED">
      <w:pPr>
        <w:bidi w:val="0"/>
        <w:rPr>
          <w:rFonts w:hint="default" w:ascii="Times New Roman" w:hAnsi="Times New Roman" w:eastAsia="方正仿宋_GBK" w:cs="Times New Roman"/>
          <w:lang w:val="en-US" w:eastAsia="zh-CN"/>
        </w:rPr>
      </w:pPr>
      <w:r>
        <w:rPr>
          <w:rFonts w:hint="default" w:ascii="Times New Roman" w:hAnsi="Times New Roman" w:cs="Times New Roman"/>
          <w:lang w:val="en-US" w:eastAsia="zh-CN"/>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指导和帮助居（村）民委员会搞好组织建设和制度建设，发挥居（村）民委员会的群众自治作用；（6）配合有关部门做好防汛、防火、防震、抢险和救灾工作。</w:t>
      </w:r>
    </w:p>
    <w:p w14:paraId="233B94AE">
      <w:pPr>
        <w:pStyle w:val="4"/>
        <w:bidi w:val="0"/>
        <w:rPr>
          <w:rFonts w:hint="default" w:ascii="Times New Roman" w:hAnsi="Times New Roman" w:cs="Times New Roman"/>
        </w:rPr>
      </w:pPr>
      <w:r>
        <w:rPr>
          <w:rFonts w:hint="default" w:ascii="Times New Roman" w:hAnsi="Times New Roman" w:cs="Times New Roman"/>
        </w:rPr>
        <w:t>（二）机构设置</w:t>
      </w:r>
    </w:p>
    <w:p w14:paraId="76C30B96">
      <w:pPr>
        <w:bidi w:val="0"/>
        <w:rPr>
          <w:rFonts w:hint="default" w:ascii="Times New Roman" w:hAnsi="Times New Roman" w:cs="Times New Roman"/>
          <w:lang w:val="en-US" w:eastAsia="zh-CN"/>
        </w:rPr>
      </w:pPr>
      <w:r>
        <w:rPr>
          <w:rFonts w:hint="default" w:ascii="Times New Roman" w:hAnsi="Times New Roman" w:cs="Times New Roman"/>
          <w:lang w:val="en-US" w:eastAsia="zh-CN"/>
        </w:rPr>
        <w:t>1.统一设置综合性办事机构</w:t>
      </w:r>
    </w:p>
    <w:p w14:paraId="6EAD59BD">
      <w:pPr>
        <w:bidi w:val="0"/>
        <w:rPr>
          <w:rFonts w:hint="default" w:ascii="Times New Roman" w:hAnsi="Times New Roman" w:cs="Times New Roman"/>
          <w:lang w:val="en-US" w:eastAsia="zh-CN"/>
        </w:rPr>
      </w:pPr>
      <w:r>
        <w:rPr>
          <w:rFonts w:hint="default" w:ascii="Times New Roman" w:hAnsi="Times New Roman" w:cs="Times New Roman"/>
          <w:lang w:val="en-US" w:eastAsia="zh-CN"/>
        </w:rPr>
        <w:t>（1）基层治理综合指挥室。统筹负责一体化智治平台运行</w:t>
      </w:r>
      <w:r>
        <w:rPr>
          <w:rFonts w:hint="default" w:ascii="Times New Roman" w:hAnsi="Times New Roman" w:cs="Times New Roman"/>
          <w:lang w:val="en-US" w:eastAsia="zh-CN"/>
        </w:rPr>
        <w:t>管理相关工作，承担基层治理指挥中心运行监测、分析研判</w:t>
      </w:r>
      <w:r>
        <w:rPr>
          <w:rFonts w:hint="default" w:ascii="Times New Roman" w:hAnsi="Times New Roman" w:cs="Times New Roman"/>
          <w:lang w:val="en-US" w:eastAsia="zh-CN"/>
        </w:rPr>
        <w:t>、</w:t>
      </w:r>
      <w:r>
        <w:rPr>
          <w:rFonts w:hint="default" w:ascii="Times New Roman" w:hAnsi="Times New Roman" w:cs="Times New Roman"/>
          <w:lang w:val="en-US" w:eastAsia="zh-CN"/>
        </w:rPr>
        <w:t>协同流转、应急指挥、督查考核等职责，负责综合协调、文件收发</w:t>
      </w:r>
      <w:r>
        <w:rPr>
          <w:rFonts w:hint="default" w:ascii="Times New Roman" w:hAnsi="Times New Roman" w:cs="Times New Roman"/>
          <w:lang w:val="en-US" w:eastAsia="zh-CN"/>
        </w:rPr>
        <w:t>、</w:t>
      </w:r>
      <w:r>
        <w:rPr>
          <w:rFonts w:hint="default" w:ascii="Times New Roman" w:hAnsi="Times New Roman" w:cs="Times New Roman"/>
          <w:lang w:val="en-US" w:eastAsia="zh-CN"/>
        </w:rPr>
        <w:t>政务公开、后勤管理、机要保密等工作</w:t>
      </w:r>
      <w:r>
        <w:rPr>
          <w:rFonts w:hint="default" w:ascii="Times New Roman" w:hAnsi="Times New Roman" w:cs="Times New Roman"/>
          <w:lang w:val="en-US" w:eastAsia="zh-CN"/>
        </w:rPr>
        <w:t>。</w:t>
      </w:r>
    </w:p>
    <w:p w14:paraId="1E58AC1D">
      <w:pPr>
        <w:bidi w:val="0"/>
        <w:rPr>
          <w:rFonts w:hint="default" w:ascii="Times New Roman" w:hAnsi="Times New Roman" w:cs="Times New Roman"/>
          <w:lang w:val="en-US" w:eastAsia="zh-CN"/>
        </w:rPr>
      </w:pPr>
      <w:r>
        <w:rPr>
          <w:rFonts w:hint="default" w:ascii="Times New Roman" w:hAnsi="Times New Roman" w:cs="Times New Roman"/>
          <w:lang w:val="en-US" w:eastAsia="zh-CN"/>
        </w:rPr>
        <w:t>（2）党的建设办公室。统筹负责党的政治建设、思想建设、</w:t>
      </w:r>
      <w:r>
        <w:rPr>
          <w:rFonts w:hint="default" w:ascii="Times New Roman" w:hAnsi="Times New Roman" w:cs="Times New Roman"/>
          <w:lang w:val="en-US" w:eastAsia="zh-CN"/>
        </w:rPr>
        <w:t>组织建设、作风建设、纪律建设、制度建设和反腐败斗争、民主法治、意识形态、精神文明建设、统一战线、民宗侨台、群众团体、人大政协联络等领域工作</w:t>
      </w:r>
      <w:r>
        <w:rPr>
          <w:rFonts w:hint="default" w:ascii="Times New Roman" w:hAnsi="Times New Roman" w:cs="Times New Roman"/>
          <w:lang w:val="en-US" w:eastAsia="zh-CN"/>
        </w:rPr>
        <w:t>。</w:t>
      </w:r>
    </w:p>
    <w:p w14:paraId="47B07F2B">
      <w:pPr>
        <w:bidi w:val="0"/>
        <w:rPr>
          <w:rFonts w:hint="default" w:ascii="Times New Roman" w:hAnsi="Times New Roman" w:cs="Times New Roman"/>
          <w:lang w:val="en-US" w:eastAsia="zh-CN"/>
        </w:rPr>
      </w:pPr>
      <w:r>
        <w:rPr>
          <w:rFonts w:hint="default" w:ascii="Times New Roman" w:hAnsi="Times New Roman" w:cs="Times New Roman"/>
          <w:lang w:val="en-US" w:eastAsia="zh-CN"/>
        </w:rPr>
        <w:t>（3）经济发展办公室。统筹负责经济发展、辖区规划建设、</w:t>
      </w:r>
      <w:r>
        <w:rPr>
          <w:rFonts w:hint="default" w:ascii="Times New Roman" w:hAnsi="Times New Roman" w:cs="Times New Roman"/>
          <w:lang w:val="en-US" w:eastAsia="zh-CN"/>
        </w:rPr>
        <w:t>生态环境、农业农村、乡村振兴、财政管理、经济社会统计等领域工作。</w:t>
      </w:r>
    </w:p>
    <w:p w14:paraId="6E5BD175">
      <w:pPr>
        <w:bidi w:val="0"/>
        <w:rPr>
          <w:rFonts w:hint="default" w:ascii="Times New Roman" w:hAnsi="Times New Roman" w:cs="Times New Roman"/>
          <w:lang w:val="en-US" w:eastAsia="zh-CN"/>
        </w:rPr>
      </w:pPr>
      <w:r>
        <w:rPr>
          <w:rFonts w:hint="default" w:ascii="Times New Roman" w:hAnsi="Times New Roman" w:cs="Times New Roman"/>
          <w:lang w:val="en-US" w:eastAsia="zh-CN"/>
        </w:rPr>
        <w:t>（4）民生服务办公室。统筹负责民政、教育、文化、卫生</w:t>
      </w:r>
      <w:r>
        <w:rPr>
          <w:rFonts w:hint="default" w:ascii="Times New Roman" w:hAnsi="Times New Roman" w:cs="Times New Roman"/>
          <w:lang w:val="en-US" w:eastAsia="zh-CN"/>
        </w:rPr>
        <w:t>健康、体育、劳动就业、残疾人事业、退役军人服务等领域工作，负责落实社会保险、社会救助、社会福利、优抚安置等社会保障政策。</w:t>
      </w:r>
    </w:p>
    <w:p w14:paraId="0F6D4B04">
      <w:pPr>
        <w:bidi w:val="0"/>
        <w:rPr>
          <w:rFonts w:hint="default" w:ascii="Times New Roman" w:hAnsi="Times New Roman" w:cs="Times New Roman"/>
          <w:lang w:val="en-US" w:eastAsia="zh-CN"/>
        </w:rPr>
      </w:pPr>
      <w:r>
        <w:rPr>
          <w:rFonts w:hint="default" w:ascii="Times New Roman" w:hAnsi="Times New Roman" w:cs="Times New Roman"/>
          <w:lang w:val="en-US" w:eastAsia="zh-CN"/>
        </w:rPr>
        <w:t>（5）平安法治办公室。统筹负责平安综治、应急管理、安</w:t>
      </w:r>
      <w:r>
        <w:rPr>
          <w:rFonts w:hint="default" w:ascii="Times New Roman" w:hAnsi="Times New Roman" w:cs="Times New Roman"/>
          <w:lang w:val="en-US" w:eastAsia="zh-CN"/>
        </w:rPr>
        <w:t>全生产综合监管、综合执法、信访稳定、防范和处理邪教、人民武装、社会治理等领域工作。</w:t>
      </w:r>
    </w:p>
    <w:p w14:paraId="65C4B44D">
      <w:pPr>
        <w:bidi w:val="0"/>
        <w:rPr>
          <w:rFonts w:hint="default" w:ascii="Times New Roman" w:hAnsi="Times New Roman" w:cs="Times New Roman"/>
          <w:lang w:val="en-US" w:eastAsia="zh-CN"/>
        </w:rPr>
      </w:pPr>
      <w:r>
        <w:rPr>
          <w:rFonts w:hint="default" w:ascii="Times New Roman" w:hAnsi="Times New Roman" w:cs="Times New Roman"/>
          <w:lang w:val="en-US" w:eastAsia="zh-CN"/>
        </w:rPr>
        <w:t>2.统筹设置事业单位7个</w:t>
      </w:r>
    </w:p>
    <w:p w14:paraId="4D623C2D">
      <w:pPr>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乡村产业培育中</w:t>
      </w:r>
      <w:r>
        <w:rPr>
          <w:rFonts w:hint="default" w:ascii="Times New Roman" w:hAnsi="Times New Roman" w:cs="Times New Roman"/>
          <w:lang w:eastAsia="zh-CN"/>
        </w:rPr>
        <w:t>心。</w:t>
      </w:r>
      <w:r>
        <w:rPr>
          <w:rFonts w:hint="default" w:ascii="Times New Roman" w:hAnsi="Times New Roman" w:cs="Times New Roman"/>
          <w:lang w:val="en-US" w:eastAsia="zh-CN"/>
        </w:rPr>
        <w:t>承担产业规划、引进培育等工作，提振乡村经济发展，承担各类招商项目洽谈、推介活动等投资促进具体工作，承担扶贫开发等事务性工作，完成主管部门交办的其他任务。</w:t>
      </w:r>
    </w:p>
    <w:p w14:paraId="768951FC">
      <w:pPr>
        <w:bidi w:val="0"/>
        <w:rPr>
          <w:rFonts w:hint="default" w:ascii="Times New Roman" w:hAnsi="Times New Roman" w:cs="Times New Roman"/>
          <w:lang w:val="en-US" w:eastAsia="zh-CN"/>
        </w:rPr>
      </w:pPr>
      <w:r>
        <w:rPr>
          <w:rFonts w:hint="default" w:ascii="Times New Roman" w:hAnsi="Times New Roman" w:cs="Times New Roman"/>
          <w:lang w:val="en-US" w:eastAsia="zh-CN"/>
        </w:rPr>
        <w:t>（2）农业服务中心：承担农技、农机、林业、畜牧、水利水保、水产等方面的重大技术推广、信息服务、资源保护、灾害防治等工作、承担农产品质量安全检测和监测等事务性工作。完成主管部门交办的其他任务。</w:t>
      </w:r>
    </w:p>
    <w:p w14:paraId="6DD9F4A2">
      <w:pPr>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劳动就业和社会保障服务所</w:t>
      </w:r>
      <w:r>
        <w:rPr>
          <w:rFonts w:hint="default" w:ascii="Times New Roman" w:hAnsi="Times New Roman" w:cs="Times New Roman"/>
          <w:lang w:eastAsia="zh-CN"/>
        </w:rPr>
        <w:t>：</w:t>
      </w:r>
      <w:r>
        <w:rPr>
          <w:rFonts w:hint="default" w:ascii="Times New Roman" w:hAnsi="Times New Roman" w:cs="Times New Roman"/>
          <w:lang w:val="en-US" w:eastAsia="zh-CN"/>
        </w:rPr>
        <w:t>承担就业、再就业促进工作、社会保险业务经办、优抚救济、社会救助和城乡低保办理，离退休人员社会化管理和服务，完成主管部门交办的其他任务。</w:t>
      </w:r>
    </w:p>
    <w:p w14:paraId="66780EB3">
      <w:pPr>
        <w:bidi w:val="0"/>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default" w:ascii="Times New Roman" w:hAnsi="Times New Roman" w:cs="Times New Roman"/>
        </w:rPr>
        <w:t>乡村生态治理中心</w:t>
      </w:r>
      <w:r>
        <w:rPr>
          <w:rFonts w:hint="default" w:ascii="Times New Roman" w:hAnsi="Times New Roman" w:cs="Times New Roman"/>
          <w:lang w:eastAsia="zh-CN"/>
        </w:rPr>
        <w:t>：</w:t>
      </w:r>
      <w:r>
        <w:rPr>
          <w:rFonts w:hint="default" w:ascii="Times New Roman" w:hAnsi="Times New Roman" w:cs="Times New Roman"/>
          <w:lang w:val="en-US" w:eastAsia="zh-CN"/>
        </w:rPr>
        <w:t>保障和改善村镇居住环境，促进乡村生态文明发展，加强农村、场镇建设管理和环境卫生管理，提供技术、管理、咨询服务，完成主管部门交办的其他事项。</w:t>
      </w:r>
    </w:p>
    <w:p w14:paraId="502847BB">
      <w:pPr>
        <w:bidi w:val="0"/>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default" w:ascii="Times New Roman" w:hAnsi="Times New Roman" w:cs="Times New Roman"/>
        </w:rPr>
        <w:t>退役军人服务站</w:t>
      </w:r>
      <w:r>
        <w:rPr>
          <w:rFonts w:hint="default" w:ascii="Times New Roman" w:hAnsi="Times New Roman" w:cs="Times New Roman"/>
          <w:lang w:eastAsia="zh-CN"/>
        </w:rPr>
        <w:t>：</w:t>
      </w:r>
      <w:r>
        <w:rPr>
          <w:rFonts w:hint="default" w:ascii="Times New Roman" w:hAnsi="Times New Roman" w:cs="Times New Roman"/>
          <w:lang w:val="en-US" w:eastAsia="zh-CN"/>
        </w:rPr>
        <w:t>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14:paraId="038365BE">
      <w:pPr>
        <w:bidi w:val="0"/>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default" w:ascii="Times New Roman" w:hAnsi="Times New Roman" w:cs="Times New Roman"/>
        </w:rPr>
        <w:t>文化服务中心</w:t>
      </w:r>
      <w:r>
        <w:rPr>
          <w:rFonts w:hint="default" w:ascii="Times New Roman" w:hAnsi="Times New Roman" w:cs="Times New Roman"/>
          <w:lang w:eastAsia="zh-CN"/>
        </w:rPr>
        <w:t>：</w:t>
      </w:r>
      <w:r>
        <w:rPr>
          <w:rFonts w:hint="default" w:ascii="Times New Roman" w:hAnsi="Times New Roman" w:cs="Times New Roman"/>
          <w:lang w:val="en-US" w:eastAsia="zh-CN"/>
        </w:rPr>
        <w:t>承担文化旅游、宣传、广播电视、体育、科技培训等方面服务工作。管理农村文艺演出活动和文化市场，非物质文化遗产搜集、整理等，完成主管部门交办的其他任务。</w:t>
      </w:r>
    </w:p>
    <w:p w14:paraId="17C43BFD">
      <w:pPr>
        <w:bidi w:val="0"/>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default" w:ascii="Times New Roman" w:hAnsi="Times New Roman" w:cs="Times New Roman"/>
        </w:rPr>
        <w:t>综合行政执法大队</w:t>
      </w:r>
      <w:r>
        <w:rPr>
          <w:rFonts w:hint="default" w:ascii="Times New Roman" w:hAnsi="Times New Roman" w:cs="Times New Roman"/>
          <w:lang w:eastAsia="zh-CN"/>
        </w:rPr>
        <w:t>：</w:t>
      </w:r>
      <w:r>
        <w:rPr>
          <w:rFonts w:hint="default" w:ascii="Times New Roman" w:hAnsi="Times New Roman" w:cs="Times New Roman"/>
          <w:lang w:val="en-US" w:eastAsia="zh-CN"/>
        </w:rPr>
        <w:t>受镇人民政府委托、集中行使农林水利、规划建设、卫生计生、市容环卫、环境保护、文化旅游等领域的行政执法权，完成主管部门交办的其他任务。</w:t>
      </w:r>
    </w:p>
    <w:p w14:paraId="28189E7D">
      <w:pPr>
        <w:pStyle w:val="4"/>
        <w:numPr>
          <w:ilvl w:val="0"/>
          <w:numId w:val="1"/>
        </w:numPr>
        <w:bidi w:val="0"/>
        <w:rPr>
          <w:rFonts w:hint="default" w:ascii="Times New Roman" w:hAnsi="Times New Roman" w:cs="Times New Roman"/>
        </w:rPr>
      </w:pPr>
      <w:r>
        <w:rPr>
          <w:rFonts w:hint="default" w:ascii="Times New Roman" w:hAnsi="Times New Roman" w:cs="Times New Roman"/>
        </w:rPr>
        <w:t>单位构成</w:t>
      </w:r>
    </w:p>
    <w:p w14:paraId="72C6B102">
      <w:pPr>
        <w:bidi w:val="0"/>
        <w:rPr>
          <w:rFonts w:hint="default" w:ascii="Times New Roman" w:hAnsi="Times New Roman" w:cs="Times New Roman"/>
          <w:lang w:eastAsia="zh-CN"/>
        </w:rPr>
      </w:pPr>
      <w:r>
        <w:rPr>
          <w:rFonts w:hint="default" w:ascii="Times New Roman" w:hAnsi="Times New Roman" w:cs="Times New Roman"/>
        </w:rPr>
        <w:t>从预算单位构成看，纳入本部门2024年度决算编制的二级预算单位主要包括</w:t>
      </w:r>
      <w:r>
        <w:rPr>
          <w:rFonts w:hint="default" w:ascii="Times New Roman" w:hAnsi="Times New Roman" w:cs="Times New Roman"/>
          <w:lang w:eastAsia="zh-CN"/>
        </w:rPr>
        <w:t>永嘉镇</w:t>
      </w:r>
      <w:r>
        <w:rPr>
          <w:rFonts w:hint="default" w:ascii="Times New Roman" w:hAnsi="Times New Roman" w:cs="Times New Roman"/>
        </w:rPr>
        <w:t>乡村产业培育中</w:t>
      </w:r>
      <w:r>
        <w:rPr>
          <w:rFonts w:hint="default" w:ascii="Times New Roman" w:hAnsi="Times New Roman" w:cs="Times New Roman"/>
          <w:lang w:eastAsia="zh-CN"/>
        </w:rPr>
        <w:t>心</w:t>
      </w:r>
      <w:r>
        <w:rPr>
          <w:rFonts w:hint="default" w:ascii="Times New Roman" w:hAnsi="Times New Roman" w:cs="Times New Roman"/>
        </w:rPr>
        <w:t>、</w:t>
      </w:r>
      <w:r>
        <w:rPr>
          <w:rFonts w:hint="default" w:ascii="Times New Roman" w:hAnsi="Times New Roman" w:cs="Times New Roman"/>
          <w:lang w:eastAsia="zh-CN"/>
        </w:rPr>
        <w:t>永嘉镇</w:t>
      </w:r>
      <w:r>
        <w:rPr>
          <w:rFonts w:hint="default" w:ascii="Times New Roman" w:hAnsi="Times New Roman" w:cs="Times New Roman"/>
          <w:lang w:val="en-US" w:eastAsia="zh-CN"/>
        </w:rPr>
        <w:t>农业服务中心、永嘉镇</w:t>
      </w:r>
      <w:r>
        <w:rPr>
          <w:rFonts w:hint="default" w:ascii="Times New Roman" w:hAnsi="Times New Roman" w:cs="Times New Roman"/>
        </w:rPr>
        <w:t>劳动就业和社会保障服务所</w:t>
      </w:r>
      <w:r>
        <w:rPr>
          <w:rFonts w:hint="default" w:ascii="Times New Roman" w:hAnsi="Times New Roman" w:cs="Times New Roman"/>
          <w:lang w:eastAsia="zh-CN"/>
        </w:rPr>
        <w:t>、永嘉镇</w:t>
      </w:r>
      <w:r>
        <w:rPr>
          <w:rFonts w:hint="default" w:ascii="Times New Roman" w:hAnsi="Times New Roman" w:cs="Times New Roman"/>
        </w:rPr>
        <w:t>乡村生态治理中心</w:t>
      </w:r>
      <w:r>
        <w:rPr>
          <w:rFonts w:hint="default" w:ascii="Times New Roman" w:hAnsi="Times New Roman" w:cs="Times New Roman"/>
          <w:lang w:eastAsia="zh-CN"/>
        </w:rPr>
        <w:t>、永嘉镇</w:t>
      </w:r>
      <w:r>
        <w:rPr>
          <w:rFonts w:hint="default" w:ascii="Times New Roman" w:hAnsi="Times New Roman" w:cs="Times New Roman"/>
        </w:rPr>
        <w:t>退役军人服务站</w:t>
      </w:r>
      <w:r>
        <w:rPr>
          <w:rFonts w:hint="default" w:ascii="Times New Roman" w:hAnsi="Times New Roman" w:cs="Times New Roman"/>
          <w:lang w:eastAsia="zh-CN"/>
        </w:rPr>
        <w:t>、永嘉镇</w:t>
      </w:r>
      <w:r>
        <w:rPr>
          <w:rFonts w:hint="default" w:ascii="Times New Roman" w:hAnsi="Times New Roman" w:cs="Times New Roman"/>
        </w:rPr>
        <w:t>文化服务中心</w:t>
      </w:r>
      <w:r>
        <w:rPr>
          <w:rFonts w:hint="default" w:ascii="Times New Roman" w:hAnsi="Times New Roman" w:cs="Times New Roman"/>
          <w:lang w:eastAsia="zh-CN"/>
        </w:rPr>
        <w:t>、永嘉镇</w:t>
      </w:r>
      <w:r>
        <w:rPr>
          <w:rFonts w:hint="default" w:ascii="Times New Roman" w:hAnsi="Times New Roman" w:cs="Times New Roman"/>
        </w:rPr>
        <w:t>综合行政执法大队</w:t>
      </w:r>
      <w:r>
        <w:rPr>
          <w:rFonts w:hint="default" w:ascii="Times New Roman" w:hAnsi="Times New Roman" w:cs="Times New Roman"/>
          <w:lang w:eastAsia="zh-CN"/>
        </w:rPr>
        <w:t>。</w:t>
      </w:r>
    </w:p>
    <w:p w14:paraId="54F3545D">
      <w:pPr>
        <w:pStyle w:val="3"/>
        <w:bidi w:val="0"/>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部门</w:t>
      </w:r>
      <w:r>
        <w:rPr>
          <w:rFonts w:hint="default" w:ascii="Times New Roman" w:hAnsi="Times New Roman" w:cs="Times New Roman"/>
        </w:rPr>
        <w:t>决算</w:t>
      </w:r>
      <w:r>
        <w:rPr>
          <w:rFonts w:hint="default" w:ascii="Times New Roman" w:hAnsi="Times New Roman" w:cs="Times New Roman"/>
          <w:lang w:eastAsia="zh-CN"/>
        </w:rPr>
        <w:t>收支</w:t>
      </w:r>
      <w:r>
        <w:rPr>
          <w:rFonts w:hint="default" w:ascii="Times New Roman" w:hAnsi="Times New Roman" w:cs="Times New Roman"/>
        </w:rPr>
        <w:t>情况说明</w:t>
      </w:r>
    </w:p>
    <w:p w14:paraId="44ACA56D">
      <w:pPr>
        <w:pStyle w:val="4"/>
        <w:bidi w:val="0"/>
        <w:rPr>
          <w:rFonts w:hint="default" w:ascii="Times New Roman" w:hAnsi="Times New Roman" w:cs="Times New Roman"/>
        </w:rPr>
      </w:pPr>
      <w:r>
        <w:rPr>
          <w:rFonts w:hint="default" w:ascii="Times New Roman" w:hAnsi="Times New Roman" w:cs="Times New Roman"/>
        </w:rPr>
        <w:t>（一）收入支出决算总体情况说明</w:t>
      </w:r>
    </w:p>
    <w:p w14:paraId="0294F95B">
      <w:pPr>
        <w:bidi w:val="0"/>
        <w:rPr>
          <w:rFonts w:hint="default" w:ascii="Times New Roman" w:hAnsi="Times New Roman" w:eastAsia="方正仿宋_GBK" w:cs="Times New Roman"/>
          <w:szCs w:val="32"/>
          <w:lang w:eastAsia="zh-CN"/>
        </w:rPr>
      </w:pPr>
      <w:r>
        <w:rPr>
          <w:rFonts w:hint="default" w:ascii="Times New Roman" w:hAnsi="Times New Roman" w:cs="Times New Roman"/>
          <w:b/>
          <w:bCs/>
        </w:rPr>
        <w:t>1.总体情况</w:t>
      </w:r>
      <w:r>
        <w:rPr>
          <w:rFonts w:hint="default" w:ascii="Times New Roman" w:hAnsi="Times New Roman" w:cs="Times New Roman"/>
        </w:rPr>
        <w:t>。</w:t>
      </w:r>
      <w:r>
        <w:rPr>
          <w:rFonts w:hint="default" w:ascii="Times New Roman" w:hAnsi="Times New Roman" w:cs="Times New Roman"/>
          <w:lang w:eastAsia="zh-CN"/>
        </w:rPr>
        <w:t>2024年</w:t>
      </w:r>
      <w:r>
        <w:rPr>
          <w:rFonts w:hint="default" w:ascii="Times New Roman" w:hAnsi="Times New Roman" w:cs="Times New Roman"/>
        </w:rPr>
        <w:t>度收入总计2833.02万元，支出总计2833.02万元。收、支与2023年度相比，减少246.64万元，下降8.0%，主要原因是</w:t>
      </w:r>
      <w:r>
        <w:rPr>
          <w:rFonts w:hint="default" w:ascii="Times New Roman" w:hAnsi="Times New Roman" w:cs="Times New Roman"/>
        </w:rPr>
        <w:t>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r>
        <w:rPr>
          <w:rFonts w:hint="default" w:ascii="Times New Roman" w:hAnsi="Times New Roman" w:cs="Times New Roman"/>
          <w:lang w:eastAsia="zh-CN"/>
        </w:rPr>
        <w:t>。</w:t>
      </w:r>
    </w:p>
    <w:p w14:paraId="0DCFB8E2">
      <w:pPr>
        <w:bidi w:val="0"/>
        <w:rPr>
          <w:rFonts w:hint="default" w:ascii="Times New Roman" w:hAnsi="Times New Roman" w:eastAsia="方正仿宋_GBK" w:cs="Times New Roman"/>
          <w:szCs w:val="32"/>
          <w:shd w:val="clear" w:color="auto" w:fill="FFFFFF"/>
        </w:rPr>
      </w:pPr>
      <w:r>
        <w:rPr>
          <w:rFonts w:hint="default" w:ascii="Times New Roman" w:hAnsi="Times New Roman" w:cs="Times New Roman"/>
          <w:b/>
          <w:bCs/>
        </w:rPr>
        <w:t>2.收入情况。</w:t>
      </w:r>
      <w:r>
        <w:rPr>
          <w:rFonts w:hint="default" w:ascii="Times New Roman" w:hAnsi="Times New Roman" w:cs="Times New Roman"/>
          <w:lang w:eastAsia="zh-CN"/>
        </w:rPr>
        <w:t>2024年</w:t>
      </w:r>
      <w:r>
        <w:rPr>
          <w:rFonts w:hint="default" w:ascii="Times New Roman" w:hAnsi="Times New Roman" w:cs="Times New Roman"/>
        </w:rPr>
        <w:t>度收入合计2825.2万元，与2023年度相比，减少246.63万元，下降8.0%，主要原因是</w:t>
      </w:r>
      <w:r>
        <w:rPr>
          <w:rFonts w:hint="default" w:ascii="Times New Roman" w:hAnsi="Times New Roman" w:cs="Times New Roman"/>
        </w:rPr>
        <w:t>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r>
        <w:rPr>
          <w:rFonts w:hint="default" w:ascii="Times New Roman" w:hAnsi="Times New Roman" w:cs="Times New Roman"/>
          <w:lang w:eastAsia="zh-CN"/>
        </w:rPr>
        <w:t>。</w:t>
      </w:r>
      <w:r>
        <w:rPr>
          <w:rFonts w:hint="default" w:ascii="Times New Roman" w:hAnsi="Times New Roman" w:cs="Times New Roman"/>
        </w:rPr>
        <w:t>其中：财政拨款收入2825.2万元，占100.0%；事业收入</w:t>
      </w:r>
      <w:r>
        <w:rPr>
          <w:rFonts w:hint="default" w:ascii="Times New Roman" w:hAnsi="Times New Roman" w:cs="Times New Roman"/>
          <w:lang w:val="en-US" w:eastAsia="zh-CN"/>
        </w:rPr>
        <w:t>0</w:t>
      </w:r>
      <w:r>
        <w:rPr>
          <w:rFonts w:hint="default" w:ascii="Times New Roman" w:hAnsi="Times New Roman" w:cs="Times New Roman"/>
        </w:rPr>
        <w:t>万元，占0.0%；经营收入</w:t>
      </w:r>
      <w:r>
        <w:rPr>
          <w:rFonts w:hint="default" w:ascii="Times New Roman" w:hAnsi="Times New Roman" w:cs="Times New Roman"/>
          <w:lang w:val="en-US" w:eastAsia="zh-CN"/>
        </w:rPr>
        <w:t>0</w:t>
      </w:r>
      <w:r>
        <w:rPr>
          <w:rFonts w:hint="default" w:ascii="Times New Roman" w:hAnsi="Times New Roman" w:cs="Times New Roman"/>
        </w:rPr>
        <w:t>万元，占0.0%；其他收入</w:t>
      </w:r>
      <w:r>
        <w:rPr>
          <w:rFonts w:hint="default" w:ascii="Times New Roman" w:hAnsi="Times New Roman" w:cs="Times New Roman"/>
          <w:lang w:val="en-US" w:eastAsia="zh-CN"/>
        </w:rPr>
        <w:t>0</w:t>
      </w:r>
      <w:r>
        <w:rPr>
          <w:rFonts w:hint="default" w:ascii="Times New Roman" w:hAnsi="Times New Roman" w:cs="Times New Roman"/>
        </w:rPr>
        <w:t>万元，占0.0%。此外，使用非财政拨款结余和专用结余</w:t>
      </w:r>
      <w:r>
        <w:rPr>
          <w:rFonts w:hint="default" w:ascii="Times New Roman" w:hAnsi="Times New Roman" w:cs="Times New Roman"/>
          <w:lang w:val="en-US" w:eastAsia="zh-CN"/>
        </w:rPr>
        <w:t>0</w:t>
      </w:r>
      <w:r>
        <w:rPr>
          <w:rFonts w:hint="default" w:ascii="Times New Roman" w:hAnsi="Times New Roman" w:cs="Times New Roman"/>
        </w:rPr>
        <w:t>万元，年初结转和结余7.83万元。</w:t>
      </w:r>
    </w:p>
    <w:p w14:paraId="4685A518">
      <w:pPr>
        <w:bidi w:val="0"/>
        <w:rPr>
          <w:rFonts w:hint="default" w:ascii="Times New Roman" w:hAnsi="Times New Roman" w:cs="Times New Roman"/>
        </w:rPr>
      </w:pPr>
      <w:r>
        <w:rPr>
          <w:rFonts w:hint="default" w:ascii="Times New Roman" w:hAnsi="Times New Roman" w:cs="Times New Roman"/>
          <w:b/>
          <w:bCs/>
        </w:rPr>
        <w:t>3.支出情况。</w:t>
      </w:r>
      <w:r>
        <w:rPr>
          <w:rFonts w:hint="default" w:ascii="Times New Roman" w:hAnsi="Times New Roman" w:cs="Times New Roman"/>
          <w:lang w:eastAsia="zh-CN"/>
        </w:rPr>
        <w:t>2024年</w:t>
      </w:r>
      <w:r>
        <w:rPr>
          <w:rFonts w:hint="default" w:ascii="Times New Roman" w:hAnsi="Times New Roman" w:cs="Times New Roman"/>
        </w:rPr>
        <w:t>度支出合计2825.20万元，与2023年度相比，减少246.63万元，下降8.0%，主要原因是</w:t>
      </w:r>
      <w:r>
        <w:rPr>
          <w:rFonts w:hint="default" w:ascii="Times New Roman" w:hAnsi="Times New Roman" w:cs="Times New Roman"/>
        </w:rPr>
        <w:t>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r>
        <w:rPr>
          <w:rFonts w:hint="default" w:ascii="Times New Roman" w:hAnsi="Times New Roman" w:cs="Times New Roman"/>
          <w:lang w:eastAsia="zh-CN"/>
        </w:rPr>
        <w:t>。</w:t>
      </w:r>
      <w:r>
        <w:rPr>
          <w:rFonts w:hint="default" w:ascii="Times New Roman" w:hAnsi="Times New Roman" w:cs="Times New Roman"/>
        </w:rPr>
        <w:t>其中：基本支出1466.87万元，占51.92%；项目支出1358.32万元，占48.08%；经营支出</w:t>
      </w:r>
      <w:r>
        <w:rPr>
          <w:rFonts w:hint="default" w:ascii="Times New Roman" w:hAnsi="Times New Roman" w:cs="Times New Roman"/>
          <w:lang w:val="en-US" w:eastAsia="zh-CN"/>
        </w:rPr>
        <w:t>0</w:t>
      </w:r>
      <w:r>
        <w:rPr>
          <w:rFonts w:hint="default" w:ascii="Times New Roman" w:hAnsi="Times New Roman" w:cs="Times New Roman"/>
        </w:rPr>
        <w:t>万元，占0.0%。此外，结余分配</w:t>
      </w:r>
      <w:r>
        <w:rPr>
          <w:rFonts w:hint="default" w:ascii="Times New Roman" w:hAnsi="Times New Roman" w:cs="Times New Roman"/>
          <w:lang w:val="en-US" w:eastAsia="zh-CN"/>
        </w:rPr>
        <w:t>0</w:t>
      </w:r>
      <w:r>
        <w:rPr>
          <w:rFonts w:hint="default" w:ascii="Times New Roman" w:hAnsi="Times New Roman" w:cs="Times New Roman"/>
        </w:rPr>
        <w:t>万元。</w:t>
      </w:r>
    </w:p>
    <w:p w14:paraId="3BDC8F42">
      <w:pPr>
        <w:bidi w:val="0"/>
        <w:rPr>
          <w:rFonts w:hint="default" w:ascii="Times New Roman" w:hAnsi="Times New Roman" w:eastAsia="方正仿宋_GBK" w:cs="Times New Roman"/>
          <w:szCs w:val="32"/>
          <w:lang w:eastAsia="zh-CN"/>
        </w:rPr>
      </w:pPr>
      <w:r>
        <w:rPr>
          <w:rFonts w:hint="default" w:ascii="Times New Roman" w:hAnsi="Times New Roman" w:cs="Times New Roman"/>
          <w:b/>
          <w:bCs/>
        </w:rPr>
        <w:t>4.结转结余情况。</w:t>
      </w:r>
      <w:r>
        <w:rPr>
          <w:rFonts w:hint="default" w:ascii="Times New Roman" w:hAnsi="Times New Roman" w:cs="Times New Roman"/>
          <w:lang w:eastAsia="zh-CN"/>
        </w:rPr>
        <w:t>2024年</w:t>
      </w:r>
      <w:r>
        <w:rPr>
          <w:rFonts w:hint="default" w:ascii="Times New Roman" w:hAnsi="Times New Roman" w:cs="Times New Roman"/>
        </w:rPr>
        <w:t>度年末结转和结余7.83万元，与2023年度相比，无增减</w:t>
      </w:r>
      <w:r>
        <w:rPr>
          <w:rFonts w:hint="default" w:ascii="Times New Roman" w:hAnsi="Times New Roman" w:cs="Times New Roman"/>
          <w:lang w:eastAsia="zh-CN"/>
        </w:rPr>
        <w:t>。</w:t>
      </w:r>
    </w:p>
    <w:p w14:paraId="2CD49A50">
      <w:pPr>
        <w:pStyle w:val="4"/>
        <w:bidi w:val="0"/>
        <w:rPr>
          <w:rFonts w:hint="default" w:ascii="Times New Roman" w:hAnsi="Times New Roman" w:cs="Times New Roman"/>
        </w:rPr>
      </w:pPr>
      <w:r>
        <w:rPr>
          <w:rFonts w:hint="default" w:ascii="Times New Roman" w:hAnsi="Times New Roman" w:cs="Times New Roman"/>
        </w:rPr>
        <w:t>（二）财政拨款收入支出决算总体情况说明</w:t>
      </w:r>
    </w:p>
    <w:p w14:paraId="25D0A64E">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度财政拨款收、支总计2833.02万元。与202</w:t>
      </w:r>
      <w:r>
        <w:rPr>
          <w:rFonts w:hint="default" w:ascii="Times New Roman" w:hAnsi="Times New Roman" w:cs="Times New Roman"/>
          <w:lang w:val="en-US" w:eastAsia="zh-CN"/>
        </w:rPr>
        <w:t>3</w:t>
      </w:r>
      <w:r>
        <w:rPr>
          <w:rFonts w:hint="default" w:ascii="Times New Roman" w:hAnsi="Times New Roman" w:cs="Times New Roman"/>
        </w:rPr>
        <w:t>年相比，财政拨款收、支总计各减少246.64万元，下降8.0%。主要原因是</w:t>
      </w:r>
      <w:r>
        <w:rPr>
          <w:rFonts w:hint="default" w:ascii="Times New Roman" w:hAnsi="Times New Roman" w:cs="Times New Roman"/>
        </w:rPr>
        <w:t>2024年度区财政局为优先保障“三保”等重点支出，对我单位部分非紧急、非刚性的项目支出进行了暂缓拨付，我单位涉及群众服务专项经费</w:t>
      </w:r>
      <w:r>
        <w:rPr>
          <w:rFonts w:hint="default" w:ascii="Times New Roman" w:hAnsi="Times New Roman" w:cs="Times New Roman"/>
          <w:lang w:eastAsia="zh-CN"/>
        </w:rPr>
        <w:t>、环境综合整治经费、村社区办公经费、场镇管理与垃圾收运经费、2023年泥结石路硬化项目</w:t>
      </w:r>
      <w:r>
        <w:rPr>
          <w:rFonts w:hint="default" w:ascii="Times New Roman" w:hAnsi="Times New Roman" w:cs="Times New Roman"/>
          <w:lang w:val="en-US" w:eastAsia="zh-CN"/>
        </w:rPr>
        <w:t>经费、群众服务专项经费、文化宣传工作经费、应急管理经费</w:t>
      </w:r>
      <w:r>
        <w:rPr>
          <w:rFonts w:hint="default" w:ascii="Times New Roman" w:hAnsi="Times New Roman" w:cs="Times New Roman"/>
        </w:rPr>
        <w:t>等未全额拨付。</w:t>
      </w:r>
    </w:p>
    <w:p w14:paraId="5CE89013">
      <w:pPr>
        <w:pStyle w:val="4"/>
        <w:bidi w:val="0"/>
        <w:rPr>
          <w:rFonts w:hint="default" w:ascii="Times New Roman" w:hAnsi="Times New Roman" w:cs="Times New Roman"/>
        </w:rPr>
      </w:pPr>
      <w:r>
        <w:rPr>
          <w:rFonts w:hint="default" w:ascii="Times New Roman" w:hAnsi="Times New Roman" w:cs="Times New Roman"/>
        </w:rPr>
        <w:t>（三）一般公共预算财政拨款收入支出决算情况说明</w:t>
      </w:r>
    </w:p>
    <w:p w14:paraId="198B560A">
      <w:pPr>
        <w:bidi w:val="0"/>
        <w:rPr>
          <w:rFonts w:hint="default" w:ascii="Times New Roman" w:hAnsi="Times New Roman" w:cs="Times New Roman"/>
        </w:rPr>
      </w:pPr>
      <w:r>
        <w:rPr>
          <w:rFonts w:hint="default" w:ascii="Times New Roman" w:hAnsi="Times New Roman" w:cs="Times New Roman"/>
          <w:b/>
          <w:bCs/>
        </w:rPr>
        <w:t>1.收入情况。</w:t>
      </w:r>
      <w:r>
        <w:rPr>
          <w:rFonts w:hint="default" w:ascii="Times New Roman" w:hAnsi="Times New Roman" w:cs="Times New Roman"/>
          <w:lang w:eastAsia="zh-CN"/>
        </w:rPr>
        <w:t>2024年</w:t>
      </w:r>
      <w:r>
        <w:rPr>
          <w:rFonts w:hint="default" w:ascii="Times New Roman" w:hAnsi="Times New Roman" w:cs="Times New Roman"/>
        </w:rPr>
        <w:t>度一般公共预算财政拨款收入2298.57万元，与2023年度相比，减少773.26万元，下降25.2%。主要原因是</w:t>
      </w:r>
      <w:r>
        <w:rPr>
          <w:rFonts w:hint="default" w:ascii="Times New Roman" w:hAnsi="Times New Roman" w:cs="Times New Roman"/>
        </w:rPr>
        <w:t>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w:t>
      </w:r>
      <w:r>
        <w:rPr>
          <w:rFonts w:hint="default" w:ascii="Times New Roman" w:hAnsi="Times New Roman" w:cs="Times New Roman"/>
        </w:rPr>
        <w:t>较年初预算数减少891.84万元，下降28.0%。主要原因是</w:t>
      </w:r>
      <w:r>
        <w:rPr>
          <w:rFonts w:hint="default" w:ascii="Times New Roman" w:hAnsi="Times New Roman" w:cs="Times New Roman"/>
        </w:rPr>
        <w:t>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w:t>
      </w:r>
      <w:r>
        <w:rPr>
          <w:rFonts w:hint="default" w:ascii="Times New Roman" w:hAnsi="Times New Roman" w:cs="Times New Roman"/>
          <w:lang w:eastAsia="zh-CN"/>
        </w:rPr>
        <w:t>。</w:t>
      </w:r>
      <w:r>
        <w:rPr>
          <w:rFonts w:hint="default" w:ascii="Times New Roman" w:hAnsi="Times New Roman" w:cs="Times New Roman"/>
        </w:rPr>
        <w:t>此外，年初财政拨款结转和结余7.83万元。</w:t>
      </w:r>
    </w:p>
    <w:p w14:paraId="7B407C62">
      <w:pPr>
        <w:bidi w:val="0"/>
        <w:rPr>
          <w:rFonts w:hint="default" w:ascii="Times New Roman" w:hAnsi="Times New Roman" w:cs="Times New Roman"/>
          <w:lang w:eastAsia="zh-CN"/>
        </w:rPr>
      </w:pPr>
      <w:r>
        <w:rPr>
          <w:rFonts w:hint="default" w:ascii="Times New Roman" w:hAnsi="Times New Roman" w:cs="Times New Roman"/>
          <w:b/>
          <w:bCs/>
        </w:rPr>
        <w:t>2.支出情况。</w:t>
      </w:r>
      <w:r>
        <w:rPr>
          <w:rFonts w:hint="default" w:ascii="Times New Roman" w:hAnsi="Times New Roman" w:cs="Times New Roman"/>
          <w:lang w:eastAsia="zh-CN"/>
        </w:rPr>
        <w:t>2024年</w:t>
      </w:r>
      <w:r>
        <w:rPr>
          <w:rFonts w:hint="default" w:ascii="Times New Roman" w:hAnsi="Times New Roman" w:cs="Times New Roman"/>
        </w:rPr>
        <w:t>度一般公共预算财政拨款支出2298.57万元，与2023年度相比，减少773.26万元，下降25.2%。主要原因是</w:t>
      </w:r>
      <w:r>
        <w:rPr>
          <w:rFonts w:hint="default" w:ascii="Times New Roman" w:hAnsi="Times New Roman" w:cs="Times New Roman"/>
        </w:rPr>
        <w:t>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w:t>
      </w:r>
      <w:r>
        <w:rPr>
          <w:rFonts w:hint="default" w:ascii="Times New Roman" w:hAnsi="Times New Roman" w:cs="Times New Roman"/>
        </w:rPr>
        <w:t>较年初预算数减少891.84万元，下降28.0%。主要原因是</w:t>
      </w:r>
      <w:r>
        <w:rPr>
          <w:rFonts w:hint="default" w:ascii="Times New Roman" w:hAnsi="Times New Roman" w:cs="Times New Roman"/>
        </w:rPr>
        <w:t>2024年度区财政局为优先保障“三保”等重点支出，对我单位部分非紧急、非刚性的项目支出进行了暂缓拨付，我单位涉及党建工作经费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w:t>
      </w:r>
      <w:r>
        <w:rPr>
          <w:rFonts w:hint="default" w:ascii="Times New Roman" w:hAnsi="Times New Roman" w:cs="Times New Roman"/>
        </w:rPr>
        <w:t>等未全额拨付</w:t>
      </w:r>
      <w:r>
        <w:rPr>
          <w:rFonts w:hint="default" w:ascii="Times New Roman" w:hAnsi="Times New Roman" w:cs="Times New Roman"/>
          <w:lang w:eastAsia="zh-CN"/>
        </w:rPr>
        <w:t>。</w:t>
      </w:r>
    </w:p>
    <w:p w14:paraId="043E7C1B">
      <w:pPr>
        <w:bidi w:val="0"/>
        <w:rPr>
          <w:rFonts w:hint="default" w:ascii="Times New Roman" w:hAnsi="Times New Roman" w:cs="Times New Roman"/>
          <w:lang w:eastAsia="zh-CN"/>
        </w:rPr>
      </w:pPr>
      <w:r>
        <w:rPr>
          <w:rFonts w:hint="default" w:ascii="Times New Roman" w:hAnsi="Times New Roman" w:cs="Times New Roman"/>
          <w:b/>
          <w:bCs/>
        </w:rPr>
        <w:t>3.结转结余情况。</w:t>
      </w:r>
      <w:r>
        <w:rPr>
          <w:rFonts w:hint="default" w:ascii="Times New Roman" w:hAnsi="Times New Roman" w:cs="Times New Roman"/>
          <w:lang w:eastAsia="zh-CN"/>
        </w:rPr>
        <w:t>2024年</w:t>
      </w:r>
      <w:r>
        <w:rPr>
          <w:rFonts w:hint="default" w:ascii="Times New Roman" w:hAnsi="Times New Roman" w:cs="Times New Roman"/>
        </w:rPr>
        <w:t>度年末一般公共预算财政拨款结转和结余7.83万元，与2023年度相比，无增减</w:t>
      </w:r>
      <w:r>
        <w:rPr>
          <w:rFonts w:hint="default" w:ascii="Times New Roman" w:hAnsi="Times New Roman" w:cs="Times New Roman"/>
          <w:lang w:eastAsia="zh-CN"/>
        </w:rPr>
        <w:t>。</w:t>
      </w:r>
    </w:p>
    <w:p w14:paraId="4BCE65F9">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cs="Times New Roman"/>
          <w:b/>
          <w:bCs/>
        </w:rPr>
        <w:t xml:space="preserve"> 4.比较情况。</w:t>
      </w:r>
      <w:r>
        <w:rPr>
          <w:rFonts w:hint="default" w:ascii="Times New Roman" w:hAnsi="Times New Roman" w:cs="Times New Roman"/>
        </w:rPr>
        <w:t>本部门</w:t>
      </w:r>
      <w:r>
        <w:rPr>
          <w:rFonts w:hint="default" w:ascii="Times New Roman" w:hAnsi="Times New Roman" w:cs="Times New Roman"/>
          <w:lang w:eastAsia="zh-CN"/>
        </w:rPr>
        <w:t>2024年</w:t>
      </w:r>
      <w:r>
        <w:rPr>
          <w:rFonts w:hint="default" w:ascii="Times New Roman" w:hAnsi="Times New Roman" w:cs="Times New Roman"/>
        </w:rPr>
        <w:t>度一般公共预算财政拨款支出主要用于以下几个方面：</w:t>
      </w:r>
    </w:p>
    <w:p w14:paraId="02EA5A1F">
      <w:pPr>
        <w:bidi w:val="0"/>
        <w:rPr>
          <w:rFonts w:hint="default" w:ascii="Times New Roman" w:hAnsi="Times New Roman" w:cs="Times New Roman"/>
        </w:rPr>
      </w:pPr>
      <w:r>
        <w:rPr>
          <w:rFonts w:hint="default" w:ascii="Times New Roman" w:hAnsi="Times New Roman" w:cs="Times New Roman"/>
        </w:rPr>
        <w:t>（1）一般公共服务支出605.04万元，占26.32%，较年初预算数减少59.13万元，下降8.9%，主要原因是</w:t>
      </w:r>
      <w:r>
        <w:rPr>
          <w:rFonts w:hint="default" w:ascii="Times New Roman" w:hAnsi="Times New Roman" w:cs="Times New Roman"/>
          <w:lang w:val="en-US" w:eastAsia="zh-CN"/>
        </w:rPr>
        <w:t>2024年度区财政局为优先保障“三保”等重点支出，对我单位部分非紧急、非刚性的项目支出进行了暂缓拨付，我单位涉及</w:t>
      </w:r>
      <w:r>
        <w:rPr>
          <w:rFonts w:hint="default" w:ascii="Times New Roman" w:hAnsi="Times New Roman" w:cs="Times New Roman"/>
        </w:rPr>
        <w:t>党建工作经费</w:t>
      </w:r>
      <w:r>
        <w:rPr>
          <w:rFonts w:hint="default" w:ascii="Times New Roman" w:hAnsi="Times New Roman" w:cs="Times New Roman"/>
          <w:lang w:eastAsia="zh-CN"/>
        </w:rPr>
        <w:t>、信访平安法治建设经费、白羊镇党群服务中心项目</w:t>
      </w:r>
      <w:r>
        <w:rPr>
          <w:rFonts w:hint="default" w:ascii="Times New Roman" w:hAnsi="Times New Roman" w:cs="Times New Roman"/>
          <w:lang w:val="en-US" w:eastAsia="zh-CN"/>
        </w:rPr>
        <w:t>经费、人大经费、统发规范性津补贴等预算资金共计59.13万元未能全额拨付，最终形成2024年度决算支出低于年初预算。</w:t>
      </w:r>
    </w:p>
    <w:p w14:paraId="708CA9EC">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）国防支出1.86万元，占0.08%，较年初预算数减少2.14万元，下降53.5%，主要原因是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武装退役军人经费</w:t>
      </w:r>
      <w:r>
        <w:rPr>
          <w:rFonts w:hint="default" w:ascii="Times New Roman" w:hAnsi="Times New Roman" w:eastAsia="方正仿宋_GBK" w:cs="Times New Roman"/>
          <w:sz w:val="32"/>
          <w:szCs w:val="32"/>
          <w:shd w:val="clear" w:color="auto" w:fill="FFFFFF"/>
          <w:lang w:val="en-US" w:eastAsia="zh-CN"/>
        </w:rPr>
        <w:t>等预算资金共计2.14万元未能全额拨付，最终形成2024年度决算支出低于年初预算</w:t>
      </w:r>
      <w:r>
        <w:rPr>
          <w:rFonts w:hint="default" w:ascii="Times New Roman" w:hAnsi="Times New Roman" w:cs="Times New Roman"/>
        </w:rPr>
        <w:t>。</w:t>
      </w:r>
    </w:p>
    <w:p w14:paraId="56E0E1D8">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）文化旅游体育与传媒支出53.87万元，占2.34%，较年初预算数减少46.36万元，下降46.3%，主要原因是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文化宣传工作经费</w:t>
      </w:r>
      <w:r>
        <w:rPr>
          <w:rFonts w:hint="default" w:ascii="Times New Roman" w:hAnsi="Times New Roman" w:eastAsia="方正仿宋_GBK" w:cs="Times New Roman"/>
          <w:sz w:val="32"/>
          <w:szCs w:val="32"/>
          <w:shd w:val="clear" w:color="auto" w:fill="FFFFFF"/>
          <w:lang w:eastAsia="zh-CN"/>
        </w:rPr>
        <w:t>、事业单位绩效超高总量、统发基本工资、未休假补贴、工会慰问</w:t>
      </w:r>
      <w:r>
        <w:rPr>
          <w:rFonts w:hint="default" w:ascii="Times New Roman" w:hAnsi="Times New Roman" w:eastAsia="方正仿宋_GBK" w:cs="Times New Roman"/>
          <w:sz w:val="32"/>
          <w:szCs w:val="32"/>
          <w:shd w:val="clear" w:color="auto" w:fill="FFFFFF"/>
          <w:lang w:val="en-US" w:eastAsia="zh-CN"/>
        </w:rPr>
        <w:t>等预算资金共计</w:t>
      </w:r>
      <w:r>
        <w:rPr>
          <w:rFonts w:hint="default" w:ascii="Times New Roman" w:hAnsi="Times New Roman" w:eastAsia="方正仿宋_GBK" w:cs="Times New Roman"/>
          <w:sz w:val="32"/>
          <w:szCs w:val="32"/>
          <w:shd w:val="clear" w:color="auto" w:fill="FFFFFF"/>
        </w:rPr>
        <w:t>46.36</w:t>
      </w:r>
      <w:r>
        <w:rPr>
          <w:rFonts w:hint="default" w:ascii="Times New Roman" w:hAnsi="Times New Roman" w:eastAsia="方正仿宋_GBK" w:cs="Times New Roman"/>
          <w:sz w:val="32"/>
          <w:szCs w:val="32"/>
          <w:shd w:val="clear" w:color="auto" w:fill="FFFFFF"/>
          <w:lang w:val="en-US" w:eastAsia="zh-CN"/>
        </w:rPr>
        <w:t>万元未能全额拨付，最终形成2024年度决算支出低于年初预算</w:t>
      </w:r>
      <w:r>
        <w:rPr>
          <w:rFonts w:hint="default" w:ascii="Times New Roman" w:hAnsi="Times New Roman" w:cs="Times New Roman"/>
        </w:rPr>
        <w:t>。</w:t>
      </w:r>
    </w:p>
    <w:p w14:paraId="10BCFC80">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）社会保障与就业支出703.28万元，占30.60%，较年初预算数减少486.32万元，下降40.9%，主要原因是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铜梁区第十二特困供养设施</w:t>
      </w:r>
      <w:r>
        <w:rPr>
          <w:rFonts w:hint="default" w:ascii="Times New Roman" w:hAnsi="Times New Roman" w:eastAsia="方正仿宋_GBK" w:cs="Times New Roman"/>
          <w:sz w:val="32"/>
          <w:szCs w:val="32"/>
          <w:shd w:val="clear" w:color="auto" w:fill="FFFFFF"/>
          <w:lang w:eastAsia="zh-CN"/>
        </w:rPr>
        <w:t>、事业单位绩效超高总量、未休假补贴、统发基本工资</w:t>
      </w:r>
      <w:r>
        <w:rPr>
          <w:rFonts w:hint="default" w:ascii="Times New Roman" w:hAnsi="Times New Roman" w:eastAsia="方正仿宋_GBK" w:cs="Times New Roman"/>
          <w:sz w:val="32"/>
          <w:szCs w:val="32"/>
          <w:shd w:val="clear" w:color="auto" w:fill="FFFFFF"/>
          <w:lang w:val="en-US" w:eastAsia="zh-CN"/>
        </w:rPr>
        <w:t>等预算资金共计486.32万元未能全额拨付，最终形成2024年度决算支出低于年初预算</w:t>
      </w:r>
      <w:r>
        <w:rPr>
          <w:rFonts w:hint="default" w:ascii="Times New Roman" w:hAnsi="Times New Roman" w:cs="Times New Roman"/>
        </w:rPr>
        <w:t>。</w:t>
      </w:r>
    </w:p>
    <w:p w14:paraId="6EF4D442">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）卫生健康支出61.95万元，占2.70%，较年初预算数减少21.66万元，下降25.9%，主要原因是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在职公务员医疗补助缴费</w:t>
      </w:r>
      <w:r>
        <w:rPr>
          <w:rFonts w:hint="default" w:ascii="Times New Roman" w:hAnsi="Times New Roman" w:eastAsia="方正仿宋_GBK" w:cs="Times New Roman"/>
          <w:sz w:val="32"/>
          <w:szCs w:val="32"/>
          <w:shd w:val="clear" w:color="auto" w:fill="FFFFFF"/>
          <w:lang w:eastAsia="zh-CN"/>
        </w:rPr>
        <w:t>、退休公务员医疗补助缴费、精神病患者医疗费</w:t>
      </w:r>
      <w:r>
        <w:rPr>
          <w:rFonts w:hint="default" w:ascii="Times New Roman" w:hAnsi="Times New Roman" w:eastAsia="方正仿宋_GBK" w:cs="Times New Roman"/>
          <w:sz w:val="32"/>
          <w:szCs w:val="32"/>
          <w:shd w:val="clear" w:color="auto" w:fill="FFFFFF"/>
          <w:lang w:val="en-US" w:eastAsia="zh-CN"/>
        </w:rPr>
        <w:t>等预算资金共计21.66万元未能全额拨付，最终形成2024年度决算支出低于年初预算</w:t>
      </w:r>
      <w:r>
        <w:rPr>
          <w:rFonts w:hint="default" w:ascii="Times New Roman" w:hAnsi="Times New Roman" w:cs="Times New Roman"/>
        </w:rPr>
        <w:t>。</w:t>
      </w:r>
    </w:p>
    <w:p w14:paraId="24996370">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）节能环保支出49.64万元，占2.16%，较年初预算数增加11.48万元，增长30.1%，主要原因是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未休假补贴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工会慰问等预算资金共计11.48万元未能全额拨付，最终形成2024年度决算支出低于年初预算</w:t>
      </w:r>
      <w:r>
        <w:rPr>
          <w:rFonts w:hint="default" w:ascii="Times New Roman" w:hAnsi="Times New Roman" w:cs="Times New Roman"/>
        </w:rPr>
        <w:t>。</w:t>
      </w:r>
    </w:p>
    <w:p w14:paraId="3FF14F44">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）城乡社区支出35.10万元，占1.53%，较年初预算数减少84.90万元，下降70.8%，主要原因是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环境综合整治经费</w:t>
      </w:r>
      <w:r>
        <w:rPr>
          <w:rFonts w:hint="default" w:ascii="Times New Roman" w:hAnsi="Times New Roman" w:eastAsia="方正仿宋_GBK" w:cs="Times New Roman"/>
          <w:sz w:val="32"/>
          <w:szCs w:val="32"/>
          <w:shd w:val="clear" w:color="auto" w:fill="FFFFFF"/>
          <w:lang w:eastAsia="zh-CN"/>
        </w:rPr>
        <w:t>、场镇管理与垃圾收运经费</w:t>
      </w:r>
      <w:r>
        <w:rPr>
          <w:rFonts w:hint="default" w:ascii="Times New Roman" w:hAnsi="Times New Roman" w:eastAsia="方正仿宋_GBK" w:cs="Times New Roman"/>
          <w:sz w:val="32"/>
          <w:szCs w:val="32"/>
          <w:shd w:val="clear" w:color="auto" w:fill="FFFFFF"/>
          <w:lang w:val="en-US" w:eastAsia="zh-CN"/>
        </w:rPr>
        <w:t>等预算资金共计84.90万元未能全额拨付，最终形成2024年度决算支出低于年初预算</w:t>
      </w:r>
      <w:r>
        <w:rPr>
          <w:rFonts w:hint="default" w:ascii="Times New Roman" w:hAnsi="Times New Roman" w:cs="Times New Roman"/>
        </w:rPr>
        <w:t>。</w:t>
      </w:r>
    </w:p>
    <w:p w14:paraId="0053D956">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8</w:t>
      </w:r>
      <w:r>
        <w:rPr>
          <w:rFonts w:hint="default" w:ascii="Times New Roman" w:hAnsi="Times New Roman" w:cs="Times New Roman"/>
        </w:rPr>
        <w:t>）农林水支出658.94万元，占28.67%，较年初预算数减少215.63万元，下降24.7%，主要原因是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乡村振兴工作经费</w:t>
      </w:r>
      <w:r>
        <w:rPr>
          <w:rFonts w:hint="default" w:ascii="Times New Roman" w:hAnsi="Times New Roman" w:eastAsia="方正仿宋_GBK" w:cs="Times New Roman"/>
          <w:sz w:val="32"/>
          <w:szCs w:val="32"/>
          <w:shd w:val="clear" w:color="auto" w:fill="FFFFFF"/>
          <w:lang w:eastAsia="zh-CN"/>
        </w:rPr>
        <w:t>、村社区办公经费、河长制、泥结石路硬化项目</w:t>
      </w:r>
      <w:r>
        <w:rPr>
          <w:rFonts w:hint="default" w:ascii="Times New Roman" w:hAnsi="Times New Roman" w:eastAsia="方正仿宋_GBK" w:cs="Times New Roman"/>
          <w:sz w:val="32"/>
          <w:szCs w:val="32"/>
          <w:shd w:val="clear" w:color="auto" w:fill="FFFFFF"/>
          <w:lang w:val="en-US" w:eastAsia="zh-CN"/>
        </w:rPr>
        <w:t>等预算资金共计215.63万元未能全额拨付，最终形成2024年度决算支出低于年初预算</w:t>
      </w:r>
      <w:r>
        <w:rPr>
          <w:rFonts w:hint="default" w:ascii="Times New Roman" w:hAnsi="Times New Roman" w:cs="Times New Roman"/>
        </w:rPr>
        <w:t>。</w:t>
      </w:r>
    </w:p>
    <w:p w14:paraId="180AC9CB">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9</w:t>
      </w:r>
      <w:r>
        <w:rPr>
          <w:rFonts w:hint="default" w:ascii="Times New Roman" w:hAnsi="Times New Roman" w:cs="Times New Roman"/>
        </w:rPr>
        <w:t>）交通运输支出32.41万元，占1.41%，较年初预算数增加12.41万元，增长62.1%，主要原因是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2024年度区财政局为优先保障“三保”等重点支出，对我单位部分非紧急、非刚性的项目支出进行了暂缓拨付，我单位涉及</w:t>
      </w:r>
      <w:r>
        <w:rPr>
          <w:rFonts w:hint="default" w:ascii="Times New Roman" w:hAnsi="Times New Roman" w:eastAsia="方正仿宋_GBK" w:cs="Times New Roman"/>
          <w:sz w:val="32"/>
          <w:szCs w:val="32"/>
          <w:shd w:val="clear" w:color="auto" w:fill="FFFFFF"/>
        </w:rPr>
        <w:t>乡村道路养护</w:t>
      </w:r>
      <w:r>
        <w:rPr>
          <w:rFonts w:hint="default" w:ascii="Times New Roman" w:hAnsi="Times New Roman" w:eastAsia="方正仿宋_GBK" w:cs="Times New Roman"/>
          <w:sz w:val="32"/>
          <w:szCs w:val="32"/>
          <w:shd w:val="clear" w:color="auto" w:fill="FFFFFF"/>
          <w:lang w:val="en-US" w:eastAsia="zh-CN"/>
        </w:rPr>
        <w:t>等预算资金共计12.41万元未能全额拨付，最终形成2024年度决算支出低于年初预算</w:t>
      </w:r>
      <w:r>
        <w:rPr>
          <w:rFonts w:hint="default" w:ascii="Times New Roman" w:hAnsi="Times New Roman" w:cs="Times New Roman"/>
        </w:rPr>
        <w:t>。</w:t>
      </w:r>
    </w:p>
    <w:p w14:paraId="30E1531A">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10</w:t>
      </w:r>
      <w:r>
        <w:rPr>
          <w:rFonts w:hint="default" w:ascii="Times New Roman" w:hAnsi="Times New Roman" w:cs="Times New Roman"/>
        </w:rPr>
        <w:t>）住房保障支出76.07万元，占3.31%，较年初预算数无增减，主要原因是</w:t>
      </w:r>
      <w:r>
        <w:rPr>
          <w:rFonts w:hint="default" w:ascii="Times New Roman" w:hAnsi="Times New Roman" w:cs="Times New Roman"/>
          <w:lang w:eastAsia="zh-CN"/>
        </w:rPr>
        <w:t>严格按照预算执行</w:t>
      </w:r>
      <w:r>
        <w:rPr>
          <w:rFonts w:hint="default" w:ascii="Times New Roman" w:hAnsi="Times New Roman" w:cs="Times New Roman"/>
        </w:rPr>
        <w:t>。</w:t>
      </w:r>
    </w:p>
    <w:p w14:paraId="38A7B156">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11</w:t>
      </w:r>
      <w:r>
        <w:rPr>
          <w:rFonts w:hint="default" w:ascii="Times New Roman" w:hAnsi="Times New Roman" w:cs="Times New Roman"/>
        </w:rPr>
        <w:t>）灾害防治及应急管理支出20.41万元，占0.89%，较年初预算数增加0.41万元，增长2.1%，主要原因是</w:t>
      </w:r>
      <w:r>
        <w:rPr>
          <w:rFonts w:hint="default" w:ascii="Times New Roman" w:hAnsi="Times New Roman" w:cs="Times New Roman"/>
        </w:rPr>
        <w:t>年中上级新下达抗旱防汛专项资金</w:t>
      </w:r>
      <w:r>
        <w:rPr>
          <w:rFonts w:hint="default" w:ascii="Times New Roman" w:hAnsi="Times New Roman" w:cs="Times New Roman"/>
          <w:lang w:val="en-US" w:eastAsia="zh-CN"/>
        </w:rPr>
        <w:t>20</w:t>
      </w:r>
      <w:r>
        <w:rPr>
          <w:rFonts w:hint="default" w:ascii="Times New Roman" w:hAnsi="Times New Roman" w:cs="Times New Roman"/>
        </w:rPr>
        <w:t>万元</w:t>
      </w:r>
      <w:r>
        <w:rPr>
          <w:rFonts w:hint="default" w:ascii="Times New Roman" w:hAnsi="Times New Roman" w:cs="Times New Roman"/>
        </w:rPr>
        <w:t>。</w:t>
      </w:r>
    </w:p>
    <w:p w14:paraId="617437F8">
      <w:pPr>
        <w:pStyle w:val="4"/>
        <w:bidi w:val="0"/>
        <w:rPr>
          <w:rFonts w:hint="default" w:ascii="Times New Roman" w:hAnsi="Times New Roman" w:cs="Times New Roman"/>
        </w:rPr>
      </w:pPr>
      <w:r>
        <w:rPr>
          <w:rFonts w:hint="default" w:ascii="Times New Roman" w:hAnsi="Times New Roman" w:cs="Times New Roman"/>
        </w:rPr>
        <w:t>（四）一般公共预算财政拨款基本支出决算情况说明</w:t>
      </w:r>
    </w:p>
    <w:p w14:paraId="76286ECD">
      <w:pPr>
        <w:bidi w:val="0"/>
        <w:rPr>
          <w:rFonts w:hint="default" w:ascii="Times New Roman" w:hAnsi="Times New Roman" w:cs="Times New Roman"/>
          <w:lang w:eastAsia="zh-CN"/>
        </w:rPr>
      </w:pPr>
      <w:r>
        <w:rPr>
          <w:rFonts w:hint="default" w:ascii="Times New Roman" w:hAnsi="Times New Roman" w:cs="Times New Roman"/>
        </w:rPr>
        <w:t> </w:t>
      </w:r>
      <w:r>
        <w:rPr>
          <w:rFonts w:hint="default" w:ascii="Times New Roman" w:hAnsi="Times New Roman" w:cs="Times New Roman"/>
          <w:lang w:eastAsia="zh-CN"/>
        </w:rPr>
        <w:t>2024年</w:t>
      </w:r>
      <w:r>
        <w:rPr>
          <w:rFonts w:hint="default" w:ascii="Times New Roman" w:hAnsi="Times New Roman" w:cs="Times New Roman"/>
        </w:rPr>
        <w:t>度一般公共财政拨款基本支出1466.87万元。其中：人员经费1217.13万元，与2023年度相比，减少4.92万元，下降0.4%，主要原因是</w:t>
      </w:r>
      <w:r>
        <w:rPr>
          <w:rFonts w:hint="default" w:ascii="Times New Roman" w:hAnsi="Times New Roman" w:cs="Times New Roman"/>
        </w:rPr>
        <w:t>2023年发放了2021年、2022年</w:t>
      </w:r>
      <w:r>
        <w:rPr>
          <w:rFonts w:hint="default" w:ascii="Times New Roman" w:hAnsi="Times New Roman" w:cs="Times New Roman"/>
          <w:lang w:eastAsia="zh-CN"/>
        </w:rPr>
        <w:t>事业人员</w:t>
      </w:r>
      <w:r>
        <w:rPr>
          <w:rFonts w:hint="default" w:ascii="Times New Roman" w:hAnsi="Times New Roman" w:cs="Times New Roman"/>
        </w:rPr>
        <w:t>剩余超高绩效</w:t>
      </w:r>
      <w:r>
        <w:rPr>
          <w:rFonts w:hint="default" w:ascii="Times New Roman" w:hAnsi="Times New Roman" w:cs="Times New Roman"/>
          <w:lang w:eastAsia="zh-CN"/>
        </w:rPr>
        <w:t>。</w:t>
      </w:r>
      <w:r>
        <w:rPr>
          <w:rFonts w:hint="default" w:ascii="Times New Roman" w:hAnsi="Times New Roman" w:cs="Times New Roman"/>
        </w:rPr>
        <w:t>人员经费用途主要包括</w:t>
      </w:r>
      <w:r>
        <w:rPr>
          <w:rFonts w:hint="default" w:ascii="Times New Roman" w:hAnsi="Times New Roman" w:cs="Times New Roman"/>
          <w:lang w:val="en-US" w:eastAsia="zh-CN"/>
        </w:rPr>
        <w:t>基本工资、津贴补贴、奖金、社会保障缴费、住房公积金等。</w:t>
      </w:r>
      <w:r>
        <w:rPr>
          <w:rFonts w:hint="default" w:ascii="Times New Roman" w:hAnsi="Times New Roman" w:cs="Times New Roman"/>
        </w:rPr>
        <w:t>公用经费249.75万元，与2023年度相比，减少76.21万元，下降23.4%，主要原因是</w:t>
      </w:r>
      <w:r>
        <w:rPr>
          <w:rFonts w:hint="default" w:ascii="Times New Roman" w:hAnsi="Times New Roman" w:cs="Times New Roman"/>
        </w:rPr>
        <w:t>财政资金紧张，部分预算资金未能全部支出，故本年支出较上年度减少</w:t>
      </w:r>
      <w:r>
        <w:rPr>
          <w:rFonts w:hint="default" w:ascii="Times New Roman" w:hAnsi="Times New Roman" w:cs="Times New Roman"/>
          <w:lang w:val="en-US" w:eastAsia="zh-CN"/>
        </w:rPr>
        <w:t>76.21</w:t>
      </w:r>
      <w:r>
        <w:rPr>
          <w:rFonts w:hint="default" w:ascii="Times New Roman" w:hAnsi="Times New Roman" w:cs="Times New Roman"/>
        </w:rPr>
        <w:t>万元。</w:t>
      </w:r>
      <w:r>
        <w:rPr>
          <w:rFonts w:hint="default" w:ascii="Times New Roman" w:hAnsi="Times New Roman" w:cs="Times New Roman"/>
        </w:rPr>
        <w:t>公用经费用途主要包括</w:t>
      </w:r>
      <w:r>
        <w:rPr>
          <w:rFonts w:hint="default" w:ascii="Times New Roman" w:hAnsi="Times New Roman" w:cs="Times New Roman"/>
        </w:rPr>
        <w:t>办公费、水费、电费、邮电费、差旅费、维修（护）费等</w:t>
      </w:r>
      <w:r>
        <w:rPr>
          <w:rFonts w:hint="default" w:ascii="Times New Roman" w:hAnsi="Times New Roman" w:cs="Times New Roman"/>
          <w:lang w:eastAsia="zh-CN"/>
        </w:rPr>
        <w:t>。</w:t>
      </w:r>
    </w:p>
    <w:p w14:paraId="0C9CE6F3">
      <w:pPr>
        <w:pStyle w:val="4"/>
        <w:bidi w:val="0"/>
        <w:rPr>
          <w:rFonts w:hint="default" w:ascii="Times New Roman" w:hAnsi="Times New Roman" w:cs="Times New Roman"/>
        </w:rPr>
      </w:pPr>
      <w:r>
        <w:rPr>
          <w:rFonts w:hint="default" w:ascii="Times New Roman" w:hAnsi="Times New Roman" w:cs="Times New Roman"/>
        </w:rPr>
        <w:t>（五）政府性基金预算收支决算情况说明</w:t>
      </w:r>
    </w:p>
    <w:p w14:paraId="3E4B3A1A">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526.63</w:t>
      </w:r>
      <w:r>
        <w:rPr>
          <w:rFonts w:hint="default" w:ascii="Times New Roman" w:hAnsi="Times New Roman" w:eastAsia="方正仿宋_GBK" w:cs="Times New Roman"/>
          <w:sz w:val="32"/>
          <w:szCs w:val="32"/>
          <w:shd w:val="clear" w:color="auto" w:fill="FFFFFF"/>
        </w:rPr>
        <w:t>万元，与2023年度相比，增加526.63万元，增长100.0%，主要原因是</w:t>
      </w:r>
      <w:r>
        <w:rPr>
          <w:rFonts w:hint="default" w:ascii="Times New Roman" w:hAnsi="Times New Roman" w:eastAsia="方正仿宋_GBK" w:cs="Times New Roman"/>
          <w:sz w:val="32"/>
          <w:szCs w:val="32"/>
          <w:shd w:val="clear" w:color="auto" w:fill="FFFFFF"/>
          <w:lang w:val="en-US" w:eastAsia="zh-CN"/>
        </w:rPr>
        <w:t>2024年我单位牵头修建铜梁区第十二特困供养设施（敬老院），涉及土地补偿款526.63万元，故2024年我单位</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val="en-US" w:eastAsia="zh-CN"/>
        </w:rPr>
        <w:t>收入增加526.63万元</w:t>
      </w:r>
      <w:r>
        <w:rPr>
          <w:rFonts w:hint="default" w:ascii="Times New Roman" w:hAnsi="Times New Roman"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526.63</w:t>
      </w:r>
      <w:r>
        <w:rPr>
          <w:rFonts w:hint="default" w:ascii="Times New Roman" w:hAnsi="Times New Roman" w:eastAsia="方正仿宋_GBK" w:cs="Times New Roman"/>
          <w:sz w:val="32"/>
          <w:szCs w:val="32"/>
          <w:shd w:val="clear" w:color="auto" w:fill="FFFFFF"/>
        </w:rPr>
        <w:t>万元，与2023年度相比，增加526.63万元，增长100.0%，主要原因是</w:t>
      </w:r>
      <w:r>
        <w:rPr>
          <w:rFonts w:hint="default" w:ascii="Times New Roman" w:hAnsi="Times New Roman" w:eastAsia="方正仿宋_GBK" w:cs="Times New Roman"/>
          <w:sz w:val="32"/>
          <w:szCs w:val="32"/>
          <w:shd w:val="clear" w:color="auto" w:fill="FFFFFF"/>
          <w:lang w:val="en-US" w:eastAsia="zh-CN"/>
        </w:rPr>
        <w:t>2024年我单位牵头修建铜梁区第十二特困供养设施（敬老院），涉及土地补偿款526.63万元，故2024年我单位</w:t>
      </w:r>
      <w:r>
        <w:rPr>
          <w:rFonts w:hint="default" w:ascii="Times New Roman" w:hAnsi="Times New Roman" w:eastAsia="方正仿宋_GBK" w:cs="Times New Roman"/>
          <w:sz w:val="32"/>
          <w:szCs w:val="32"/>
          <w:shd w:val="clear" w:color="auto" w:fill="FFFFFF"/>
        </w:rPr>
        <w:t>政府性基金预算财政</w:t>
      </w:r>
      <w:r>
        <w:rPr>
          <w:rFonts w:hint="default" w:ascii="Times New Roman" w:hAnsi="Times New Roman"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增加526.63万元</w:t>
      </w:r>
      <w:r>
        <w:rPr>
          <w:rFonts w:hint="default" w:ascii="Times New Roman" w:hAnsi="Times New Roman" w:cs="Times New Roman"/>
          <w:sz w:val="32"/>
          <w:szCs w:val="32"/>
          <w:shd w:val="clear" w:color="auto" w:fill="FFFFFF"/>
          <w:lang w:val="en-US" w:eastAsia="zh-CN"/>
        </w:rPr>
        <w:t>。</w:t>
      </w:r>
    </w:p>
    <w:p w14:paraId="7BD5D108">
      <w:pPr>
        <w:pStyle w:val="4"/>
        <w:bidi w:val="0"/>
        <w:rPr>
          <w:rFonts w:hint="default" w:ascii="Times New Roman" w:hAnsi="Times New Roman" w:cs="Times New Roman"/>
        </w:rPr>
      </w:pPr>
      <w:r>
        <w:rPr>
          <w:rFonts w:hint="default" w:ascii="Times New Roman" w:hAnsi="Times New Roman" w:cs="Times New Roman"/>
        </w:rPr>
        <w:t>（六）国有资本经营预算财政拨款支出决算情况说明</w:t>
      </w:r>
    </w:p>
    <w:p w14:paraId="40A741AA">
      <w:pPr>
        <w:bidi w:val="0"/>
        <w:rPr>
          <w:rFonts w:hint="default" w:ascii="Times New Roman" w:hAnsi="Times New Roman" w:cs="Times New Roman"/>
        </w:rPr>
      </w:pPr>
      <w:r>
        <w:rPr>
          <w:rFonts w:hint="default" w:ascii="Times New Roman" w:hAnsi="Times New Roman" w:cs="Times New Roman"/>
        </w:rPr>
        <w:t>本部门</w:t>
      </w:r>
      <w:r>
        <w:rPr>
          <w:rFonts w:hint="default" w:ascii="Times New Roman" w:hAnsi="Times New Roman" w:cs="Times New Roman"/>
          <w:lang w:eastAsia="zh-CN"/>
        </w:rPr>
        <w:t>2024年</w:t>
      </w:r>
      <w:r>
        <w:rPr>
          <w:rFonts w:hint="default" w:ascii="Times New Roman" w:hAnsi="Times New Roman" w:cs="Times New Roman"/>
        </w:rPr>
        <w:t>度无国有资本经营预算财政拨款支出。</w:t>
      </w:r>
    </w:p>
    <w:p w14:paraId="7D5D1D2D">
      <w:pPr>
        <w:pStyle w:val="3"/>
        <w:bidi w:val="0"/>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lang w:eastAsia="zh-CN"/>
        </w:rPr>
        <w:t>财政拨款</w:t>
      </w:r>
      <w:r>
        <w:rPr>
          <w:rFonts w:hint="default" w:ascii="Times New Roman" w:hAnsi="Times New Roman" w:cs="Times New Roman"/>
        </w:rPr>
        <w:t>“三公”经费情况说明</w:t>
      </w:r>
    </w:p>
    <w:p w14:paraId="47E8820E">
      <w:pPr>
        <w:pStyle w:val="4"/>
        <w:bidi w:val="0"/>
        <w:rPr>
          <w:rFonts w:hint="default" w:ascii="Times New Roman" w:hAnsi="Times New Roman" w:cs="Times New Roman"/>
        </w:rPr>
      </w:pPr>
      <w:r>
        <w:rPr>
          <w:rFonts w:hint="default" w:ascii="Times New Roman" w:hAnsi="Times New Roman" w:cs="Times New Roman"/>
        </w:rPr>
        <w:t>（一）“三公”经费支出总体情况说明</w:t>
      </w:r>
    </w:p>
    <w:p w14:paraId="69F09C10">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度“三公”经费支出共计9.8万元，较年初预算数无增减，主要原因是</w:t>
      </w:r>
      <w:r>
        <w:rPr>
          <w:rFonts w:hint="default" w:ascii="Times New Roman" w:hAnsi="Times New Roman" w:cs="Times New Roman"/>
          <w:lang w:eastAsia="zh-CN"/>
        </w:rPr>
        <w:t>严格按照预算执行。</w:t>
      </w:r>
      <w:r>
        <w:rPr>
          <w:rFonts w:hint="default" w:ascii="Times New Roman" w:hAnsi="Times New Roman" w:cs="Times New Roman"/>
        </w:rPr>
        <w:t>较上年支出数减少0.92万元，下降8.6%，主要原因是</w:t>
      </w:r>
      <w:r>
        <w:rPr>
          <w:rFonts w:hint="default" w:ascii="Times New Roman" w:hAnsi="Times New Roman" w:cs="Times New Roman"/>
        </w:rPr>
        <w:t>加强公务用车管理</w:t>
      </w:r>
      <w:r>
        <w:rPr>
          <w:rFonts w:hint="default" w:ascii="Times New Roman" w:hAnsi="Times New Roman" w:cs="Times New Roman"/>
          <w:lang w:eastAsia="zh-CN"/>
        </w:rPr>
        <w:t>，</w:t>
      </w:r>
      <w:r>
        <w:rPr>
          <w:rFonts w:hint="default" w:ascii="Times New Roman" w:hAnsi="Times New Roman" w:cs="Times New Roman"/>
        </w:rPr>
        <w:t>公务用车运行维护费</w:t>
      </w:r>
      <w:r>
        <w:rPr>
          <w:rFonts w:hint="default" w:ascii="Times New Roman" w:hAnsi="Times New Roman" w:cs="Times New Roman"/>
          <w:lang w:val="en-US" w:eastAsia="zh-CN"/>
        </w:rPr>
        <w:t>减少。</w:t>
      </w:r>
    </w:p>
    <w:p w14:paraId="459AFB11">
      <w:pPr>
        <w:pStyle w:val="4"/>
        <w:bidi w:val="0"/>
        <w:rPr>
          <w:rFonts w:hint="default" w:ascii="Times New Roman" w:hAnsi="Times New Roman" w:cs="Times New Roman"/>
        </w:rPr>
      </w:pPr>
      <w:r>
        <w:rPr>
          <w:rFonts w:hint="default" w:ascii="Times New Roman" w:hAnsi="Times New Roman" w:cs="Times New Roman"/>
        </w:rPr>
        <w:t>（二）“三公”经费分项支出情况</w:t>
      </w:r>
    </w:p>
    <w:p w14:paraId="166D0119">
      <w:pPr>
        <w:bidi w:val="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年度本单位因公出国（境）费用0万元，费用支出较年初预算数增加0万元，增长0.0%。较上年支出数增加0万元，增长0.0%。202</w:t>
      </w:r>
      <w:r>
        <w:rPr>
          <w:rFonts w:hint="default" w:ascii="Times New Roman" w:hAnsi="Times New Roman" w:cs="Times New Roman"/>
          <w:lang w:val="en-US" w:eastAsia="zh-CN"/>
        </w:rPr>
        <w:t>4</w:t>
      </w:r>
      <w:r>
        <w:rPr>
          <w:rFonts w:hint="default" w:ascii="Times New Roman" w:hAnsi="Times New Roman" w:cs="Times New Roman"/>
        </w:rPr>
        <w:t>年度我单位无因公出国（境）支出，与上年度决算数持平。</w:t>
      </w:r>
    </w:p>
    <w:p w14:paraId="1007ADC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Cs w:val="32"/>
          <w:lang w:eastAsia="zh-CN"/>
        </w:rPr>
        <w:t>公务用车</w:t>
      </w:r>
      <w:r>
        <w:rPr>
          <w:rFonts w:hint="default" w:ascii="Times New Roman" w:hAnsi="Times New Roman" w:eastAsia="方正仿宋_GBK" w:cs="Times New Roman"/>
          <w:kern w:val="2"/>
          <w:szCs w:val="32"/>
        </w:rPr>
        <w:t>购置费0万元，费用支出较年初预算数增加0万元，增长0.0</w:t>
      </w:r>
      <w:r>
        <w:rPr>
          <w:rFonts w:hint="default" w:ascii="Times New Roman" w:hAnsi="Times New Roman" w:cs="Times New Roman"/>
        </w:rPr>
        <w:t>%。较上年支出数增加0万元，增长0.0%。本单位202</w:t>
      </w:r>
      <w:r>
        <w:rPr>
          <w:rFonts w:hint="default" w:ascii="Times New Roman" w:hAnsi="Times New Roman" w:cs="Times New Roman"/>
          <w:lang w:val="en-US" w:eastAsia="zh-CN"/>
        </w:rPr>
        <w:t>4</w:t>
      </w:r>
      <w:r>
        <w:rPr>
          <w:rFonts w:hint="default" w:ascii="Times New Roman" w:hAnsi="Times New Roman" w:cs="Times New Roman"/>
        </w:rPr>
        <w:t>年度未发生</w:t>
      </w:r>
      <w:r>
        <w:rPr>
          <w:rFonts w:hint="default" w:ascii="Times New Roman" w:hAnsi="Times New Roman" w:cs="Times New Roman"/>
          <w:lang w:eastAsia="zh-CN"/>
        </w:rPr>
        <w:t>公务用车</w:t>
      </w:r>
      <w:r>
        <w:rPr>
          <w:rFonts w:hint="default" w:ascii="Times New Roman" w:hAnsi="Times New Roman" w:cs="Times New Roman"/>
        </w:rPr>
        <w:t>购置费，与上年度决算数持平</w:t>
      </w:r>
      <w:r>
        <w:rPr>
          <w:rFonts w:hint="default" w:ascii="Times New Roman" w:hAnsi="Times New Roman" w:eastAsia="方正仿宋_GBK" w:cs="Times New Roman"/>
          <w:sz w:val="32"/>
          <w:szCs w:val="32"/>
          <w:shd w:val="clear" w:color="auto" w:fill="FFFFFF"/>
        </w:rPr>
        <w:t>。</w:t>
      </w:r>
    </w:p>
    <w:p w14:paraId="55E42821">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9.8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cs="Times New Roman"/>
          <w:lang w:eastAsia="zh-CN"/>
        </w:rPr>
        <w:t>公务用车</w:t>
      </w:r>
      <w:r>
        <w:rPr>
          <w:rFonts w:hint="default" w:ascii="Times New Roman" w:hAnsi="Times New Roman" w:cs="Times New Roman"/>
        </w:rPr>
        <w:t>燃料费、维修费、路桥费、保险费等</w:t>
      </w:r>
      <w:r>
        <w:rPr>
          <w:rFonts w:hint="default" w:ascii="Times New Roman" w:hAnsi="Times New Roman" w:cs="Times New Roman"/>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cs="Times New Roman"/>
          <w:lang w:eastAsia="zh-CN"/>
        </w:rPr>
        <w:t>严格按照预算执行。</w:t>
      </w:r>
      <w:r>
        <w:rPr>
          <w:rFonts w:hint="default" w:ascii="Times New Roman" w:hAnsi="Times New Roman" w:eastAsia="方正仿宋_GBK" w:cs="Times New Roman"/>
          <w:sz w:val="32"/>
          <w:szCs w:val="32"/>
          <w:shd w:val="clear" w:color="auto" w:fill="FFFFFF"/>
        </w:rPr>
        <w:t>较上年支出数减少0.77万元，下降7.3%，主要原因是</w:t>
      </w:r>
      <w:r>
        <w:rPr>
          <w:rFonts w:hint="default" w:ascii="Times New Roman" w:hAnsi="Times New Roman" w:eastAsia="方正仿宋_GBK" w:cs="Times New Roman"/>
          <w:kern w:val="2"/>
          <w:sz w:val="32"/>
          <w:szCs w:val="32"/>
        </w:rPr>
        <w:t>加强公务用车管理</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公务用车运行维护费</w:t>
      </w:r>
      <w:r>
        <w:rPr>
          <w:rFonts w:hint="default" w:ascii="Times New Roman" w:hAnsi="Times New Roman" w:eastAsia="方正仿宋_GBK" w:cs="Times New Roman"/>
          <w:kern w:val="2"/>
          <w:sz w:val="32"/>
          <w:szCs w:val="32"/>
          <w:lang w:val="en-US" w:eastAsia="zh-CN"/>
        </w:rPr>
        <w:t>减少</w:t>
      </w:r>
      <w:r>
        <w:rPr>
          <w:rFonts w:hint="default" w:ascii="Times New Roman" w:hAnsi="Times New Roman" w:cs="Times New Roman"/>
          <w:kern w:val="2"/>
          <w:sz w:val="32"/>
          <w:szCs w:val="32"/>
          <w:lang w:val="en-US" w:eastAsia="zh-CN"/>
        </w:rPr>
        <w:t>。</w:t>
      </w:r>
    </w:p>
    <w:p w14:paraId="3D4FD72F">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cs="Times New Roman"/>
          <w:lang w:eastAsia="zh-CN"/>
        </w:rPr>
        <w:t>严格按照预算执行。</w:t>
      </w:r>
      <w:r>
        <w:rPr>
          <w:rFonts w:hint="default" w:ascii="Times New Roman" w:hAnsi="Times New Roman" w:eastAsia="方正仿宋_GBK" w:cs="Times New Roman"/>
          <w:sz w:val="32"/>
          <w:szCs w:val="32"/>
          <w:shd w:val="clear" w:color="auto" w:fill="FFFFFF"/>
        </w:rPr>
        <w:t>较上年支出数减少0.15万元，下降100.0%，主要原因是</w:t>
      </w:r>
      <w:r>
        <w:rPr>
          <w:rFonts w:hint="default" w:ascii="Times New Roman" w:hAnsi="Times New Roman" w:eastAsia="方正仿宋_GBK" w:cs="Times New Roman"/>
          <w:sz w:val="32"/>
          <w:szCs w:val="32"/>
          <w:shd w:val="clear" w:color="auto" w:fill="FFFFFF"/>
          <w:lang w:val="en-US" w:eastAsia="zh-CN"/>
        </w:rPr>
        <w:t>加强公务接待管理，本年未产生接待费用。</w:t>
      </w:r>
    </w:p>
    <w:p w14:paraId="14C5208E">
      <w:pPr>
        <w:pStyle w:val="4"/>
        <w:bidi w:val="0"/>
        <w:rPr>
          <w:rFonts w:hint="default" w:ascii="Times New Roman" w:hAnsi="Times New Roman" w:cs="Times New Roman"/>
        </w:rPr>
      </w:pPr>
      <w:r>
        <w:rPr>
          <w:rFonts w:hint="default" w:ascii="Times New Roman" w:hAnsi="Times New Roman" w:cs="Times New Roman"/>
        </w:rPr>
        <w:t>（三）“三公”经费实物量情况</w:t>
      </w:r>
    </w:p>
    <w:p w14:paraId="7E0DC3E4">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度本部门因公出国（境）共计0个团组，0人；公务用车购置0辆，公务车保有量为3辆；国内公务接待0批次0人，其中：国内外事接待0批次，0人；国（境）外公务接待0批次，0人。</w:t>
      </w:r>
      <w:r>
        <w:rPr>
          <w:rFonts w:hint="default" w:ascii="Times New Roman" w:hAnsi="Times New Roman" w:cs="Times New Roman"/>
          <w:lang w:eastAsia="zh-CN"/>
        </w:rPr>
        <w:t>2024年</w:t>
      </w:r>
      <w:r>
        <w:rPr>
          <w:rFonts w:hint="default" w:ascii="Times New Roman" w:hAnsi="Times New Roman" w:cs="Times New Roman"/>
        </w:rPr>
        <w:t>本部门人均接待费0元，车均购置费0万元，车均维护费3.27万元。</w:t>
      </w:r>
    </w:p>
    <w:p w14:paraId="30FD97F5">
      <w:pPr>
        <w:pStyle w:val="3"/>
        <w:bidi w:val="0"/>
        <w:rPr>
          <w:rFonts w:hint="default" w:ascii="Times New Roman" w:hAnsi="Times New Roman" w:cs="Times New Roman"/>
        </w:rPr>
      </w:pPr>
      <w:r>
        <w:rPr>
          <w:rFonts w:hint="default" w:ascii="Times New Roman" w:hAnsi="Times New Roman" w:cs="Times New Roman"/>
        </w:rPr>
        <w:t>四、其他需要说明的事项</w:t>
      </w:r>
    </w:p>
    <w:p w14:paraId="72E6FA47">
      <w:pPr>
        <w:pStyle w:val="4"/>
        <w:bidi w:val="0"/>
        <w:rPr>
          <w:rFonts w:hint="default" w:ascii="Times New Roman" w:hAnsi="Times New Roman" w:cs="Times New Roman"/>
        </w:rPr>
      </w:pPr>
      <w:r>
        <w:rPr>
          <w:rFonts w:hint="default" w:ascii="Times New Roman" w:hAnsi="Times New Roman" w:cs="Times New Roman"/>
        </w:rPr>
        <w:t>（一）财政拨款会议费和培训费情况说明</w:t>
      </w:r>
    </w:p>
    <w:p w14:paraId="043B3CBA">
      <w:pPr>
        <w:bidi w:val="0"/>
        <w:rPr>
          <w:rFonts w:hint="default" w:ascii="Times New Roman" w:hAnsi="Times New Roman" w:cs="Times New Roman"/>
        </w:rPr>
      </w:pPr>
      <w:r>
        <w:rPr>
          <w:rFonts w:hint="default" w:ascii="Times New Roman" w:hAnsi="Times New Roman" w:cs="Times New Roman"/>
        </w:rPr>
        <w:t>本年度会议费支出</w:t>
      </w:r>
      <w:r>
        <w:rPr>
          <w:rFonts w:hint="default" w:ascii="Times New Roman" w:hAnsi="Times New Roman" w:cs="Times New Roman"/>
          <w:lang w:val="en-US" w:eastAsia="zh-CN"/>
        </w:rPr>
        <w:t>0</w:t>
      </w:r>
      <w:r>
        <w:rPr>
          <w:rFonts w:hint="default" w:ascii="Times New Roman" w:hAnsi="Times New Roman" w:cs="Times New Roman"/>
        </w:rPr>
        <w:t>万元，与2023年度相比，减少2.53万元，下降100.0%，主要原因是</w:t>
      </w:r>
      <w:r>
        <w:rPr>
          <w:rFonts w:hint="default" w:ascii="Times New Roman" w:hAnsi="Times New Roman" w:cs="Times New Roman"/>
          <w:lang w:val="en-US" w:eastAsia="zh-CN"/>
        </w:rPr>
        <w:t>2024年度区财政局为优先保障“三保”等重点支出，对我单位部分非紧急、非刚性的项目支出进行了暂缓支出，我单位涉及人大经费等未能全额拨付。</w:t>
      </w:r>
      <w:r>
        <w:rPr>
          <w:rFonts w:hint="default" w:ascii="Times New Roman" w:hAnsi="Times New Roman" w:cs="Times New Roman"/>
        </w:rPr>
        <w:t>本年度培训费支出0.65万元，与2023年度相比，增加0.49万元，增长306.3%，主要原因是</w:t>
      </w:r>
      <w:r>
        <w:rPr>
          <w:rFonts w:hint="default" w:ascii="Times New Roman" w:hAnsi="Times New Roman" w:cs="Times New Roman"/>
          <w:lang w:val="en-US" w:eastAsia="zh-CN"/>
        </w:rPr>
        <w:t>我单位职工参与培训人次增加</w:t>
      </w:r>
      <w:r>
        <w:rPr>
          <w:rFonts w:hint="default" w:ascii="Times New Roman" w:hAnsi="Times New Roman" w:cs="Times New Roman"/>
        </w:rPr>
        <w:t>。</w:t>
      </w:r>
    </w:p>
    <w:p w14:paraId="373AC0F3">
      <w:pPr>
        <w:pStyle w:val="4"/>
        <w:bidi w:val="0"/>
        <w:rPr>
          <w:rFonts w:hint="default" w:ascii="Times New Roman" w:hAnsi="Times New Roman" w:cs="Times New Roman"/>
        </w:rPr>
      </w:pPr>
      <w:r>
        <w:rPr>
          <w:rFonts w:hint="default" w:ascii="Times New Roman" w:hAnsi="Times New Roman" w:cs="Times New Roman"/>
        </w:rPr>
        <w:t>（二）机关运行经费情况说明</w:t>
      </w:r>
    </w:p>
    <w:p w14:paraId="556BFE5B">
      <w:pPr>
        <w:bidi w:val="0"/>
        <w:rPr>
          <w:rFonts w:hint="default" w:ascii="Times New Roman" w:hAnsi="Times New Roman" w:cs="Times New Roman"/>
        </w:rPr>
      </w:pPr>
      <w:r>
        <w:rPr>
          <w:rFonts w:hint="default" w:ascii="Times New Roman" w:hAnsi="Times New Roman" w:cs="Times New Roman"/>
          <w:lang w:eastAsia="zh-CN"/>
        </w:rPr>
        <w:t>2024年</w:t>
      </w:r>
      <w:r>
        <w:rPr>
          <w:rFonts w:hint="default" w:ascii="Times New Roman" w:hAnsi="Times New Roman" w:cs="Times New Roman"/>
        </w:rPr>
        <w:t>度本部门机关运行经费支出153.88万元，机关运行经费主要用于开支</w:t>
      </w:r>
      <w:r>
        <w:rPr>
          <w:rFonts w:hint="default" w:ascii="Times New Roman" w:hAnsi="Times New Roman" w:cs="Times New Roman"/>
        </w:rPr>
        <w:t>办公费、印刷费、手续费、水费、电费、邮电费、差旅费、维修（护）费</w:t>
      </w:r>
      <w:r>
        <w:rPr>
          <w:rFonts w:hint="default" w:ascii="Times New Roman" w:hAnsi="Times New Roman" w:cs="Times New Roman"/>
          <w:lang w:eastAsia="zh-CN"/>
        </w:rPr>
        <w:t>。</w:t>
      </w:r>
      <w:r>
        <w:rPr>
          <w:rFonts w:hint="default" w:ascii="Times New Roman" w:hAnsi="Times New Roman" w:cs="Times New Roman"/>
        </w:rPr>
        <w:t>机关运行经费较上年支出数减少43.59万元，下降22.1%，主要原因是</w:t>
      </w:r>
      <w:r>
        <w:rPr>
          <w:rFonts w:hint="default" w:ascii="Times New Roman" w:hAnsi="Times New Roman" w:cs="Times New Roman"/>
        </w:rPr>
        <w:t>由于2024年按照财政局要求将原统计在机关本级的事业单位划分为7个账套单独核算，故较上年度减少事业单位相关支出</w:t>
      </w:r>
      <w:r>
        <w:rPr>
          <w:rFonts w:hint="default" w:ascii="Times New Roman" w:hAnsi="Times New Roman" w:cs="Times New Roman"/>
          <w:lang w:val="en-US" w:eastAsia="zh-CN"/>
        </w:rPr>
        <w:t>减少。</w:t>
      </w:r>
    </w:p>
    <w:p w14:paraId="224FE603">
      <w:pPr>
        <w:pStyle w:val="4"/>
        <w:bidi w:val="0"/>
        <w:rPr>
          <w:rFonts w:hint="default" w:ascii="Times New Roman" w:hAnsi="Times New Roman" w:cs="Times New Roman"/>
        </w:rPr>
      </w:pPr>
      <w:r>
        <w:rPr>
          <w:rFonts w:hint="default" w:ascii="Times New Roman" w:hAnsi="Times New Roman" w:cs="Times New Roman"/>
        </w:rPr>
        <w:t>（三）国有资产占用情况说明</w:t>
      </w:r>
    </w:p>
    <w:p w14:paraId="06ABECA2">
      <w:pPr>
        <w:bidi w:val="0"/>
        <w:rPr>
          <w:rFonts w:hint="default" w:ascii="Times New Roman" w:hAnsi="Times New Roman" w:eastAsia="方正仿宋_GBK" w:cs="Times New Roman"/>
          <w:szCs w:val="32"/>
        </w:rPr>
      </w:pPr>
      <w:r>
        <w:rPr>
          <w:rFonts w:hint="default" w:ascii="Times New Roman" w:hAnsi="Times New Roman" w:cs="Times New Roman"/>
        </w:rPr>
        <w:t>截至</w:t>
      </w:r>
      <w:r>
        <w:rPr>
          <w:rFonts w:hint="default" w:ascii="Times New Roman" w:hAnsi="Times New Roman" w:cs="Times New Roman"/>
          <w:lang w:eastAsia="zh-CN"/>
        </w:rPr>
        <w:t>2024年</w:t>
      </w:r>
      <w:r>
        <w:rPr>
          <w:rFonts w:hint="default" w:ascii="Times New Roman" w:hAnsi="Times New Roman" w:cs="Times New Roman"/>
        </w:rPr>
        <w:t>12月31日，本部门共有车辆3辆，其中，副部（省）级及以上领导用车0辆、主要负责人用车0辆、机要通信用车0辆、应急保障用车3辆、执法执勤用车0辆，特种专业技术用车0辆，离退休干部用车0辆。单价100万元（含）以上专用设备0台（套）。</w:t>
      </w:r>
    </w:p>
    <w:p w14:paraId="37D4F8A2">
      <w:pPr>
        <w:pStyle w:val="4"/>
        <w:bidi w:val="0"/>
        <w:rPr>
          <w:rFonts w:hint="default" w:ascii="Times New Roman" w:hAnsi="Times New Roman" w:cs="Times New Roman"/>
        </w:rPr>
      </w:pPr>
      <w:r>
        <w:rPr>
          <w:rFonts w:hint="default" w:ascii="Times New Roman" w:hAnsi="Times New Roman" w:cs="Times New Roman"/>
        </w:rPr>
        <w:t>（四）政府采购支出情况说明</w:t>
      </w:r>
    </w:p>
    <w:p w14:paraId="4FB06F5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18.01万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18.01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rPr>
        <w:t>机关办公电脑、</w:t>
      </w:r>
      <w:r>
        <w:rPr>
          <w:rFonts w:hint="default" w:ascii="Times New Roman" w:hAnsi="Times New Roman" w:eastAsia="方正仿宋_GBK" w:cs="Times New Roman"/>
          <w:sz w:val="32"/>
          <w:szCs w:val="32"/>
          <w:shd w:val="clear" w:color="auto" w:fill="FFFFFF"/>
          <w:lang w:val="en-US" w:eastAsia="zh-CN"/>
        </w:rPr>
        <w:t>打印机、桌椅等</w:t>
      </w:r>
      <w:r>
        <w:rPr>
          <w:rFonts w:hint="default" w:ascii="Times New Roman" w:hAnsi="Times New Roman" w:cs="Times New Roman"/>
          <w:sz w:val="32"/>
          <w:szCs w:val="32"/>
          <w:shd w:val="clear" w:color="auto" w:fill="FFFFFF"/>
          <w:lang w:val="en-US" w:eastAsia="zh-CN"/>
        </w:rPr>
        <w:t>。</w:t>
      </w:r>
    </w:p>
    <w:p w14:paraId="746A87A2">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五、2024年度预算绩效管理情况说明</w:t>
      </w:r>
    </w:p>
    <w:p w14:paraId="61CA476A">
      <w:pPr>
        <w:pStyle w:val="4"/>
        <w:bidi w:val="0"/>
        <w:rPr>
          <w:rFonts w:hint="default" w:ascii="Times New Roman" w:hAnsi="Times New Roman" w:cs="Times New Roman"/>
        </w:rPr>
      </w:pPr>
      <w:r>
        <w:rPr>
          <w:rFonts w:hint="default" w:ascii="Times New Roman" w:hAnsi="Times New Roman" w:cs="Times New Roman"/>
        </w:rPr>
        <w:t>（一）预算绩效管理工作开展情况</w:t>
      </w:r>
    </w:p>
    <w:p w14:paraId="6B9125B3">
      <w:pPr>
        <w:bidi w:val="0"/>
        <w:rPr>
          <w:rFonts w:hint="default" w:ascii="Times New Roman" w:hAnsi="Times New Roman" w:cs="Times New Roman"/>
        </w:rPr>
      </w:pPr>
      <w:r>
        <w:rPr>
          <w:rFonts w:hint="default" w:ascii="Times New Roman" w:hAnsi="Times New Roman" w:eastAsia="方正仿宋_GBK" w:cs="Times New Roman"/>
          <w:kern w:val="0"/>
          <w:sz w:val="32"/>
          <w:szCs w:val="32"/>
          <w:shd w:val="clear" w:fill="FFFFFF"/>
        </w:rPr>
        <w:t>根据预算绩效管理要求，我单位</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779.9</w:t>
      </w:r>
      <w:r>
        <w:rPr>
          <w:rFonts w:hint="default" w:ascii="Times New Roman" w:hAnsi="Times New Roman" w:eastAsia="方正仿宋_GBK" w:cs="Times New Roman"/>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cs="Times New Roman"/>
        </w:rPr>
        <w:t>从自评结果来看，项目立项较为规范、绩效目标明确、预算编制合理，项目实施的总体情况较好，基本完成年初设立的绩效目标。</w:t>
      </w:r>
    </w:p>
    <w:p w14:paraId="7D5E958B">
      <w:pPr>
        <w:pStyle w:val="4"/>
        <w:bidi w:val="0"/>
        <w:rPr>
          <w:rFonts w:hint="default" w:ascii="Times New Roman" w:hAnsi="Times New Roman" w:cs="Times New Roman"/>
        </w:rPr>
      </w:pPr>
      <w:r>
        <w:rPr>
          <w:rFonts w:hint="default" w:ascii="Times New Roman" w:hAnsi="Times New Roman" w:cs="Times New Roman"/>
        </w:rPr>
        <w:t>（二）绩效自评结果</w:t>
      </w:r>
    </w:p>
    <w:p w14:paraId="70A79621">
      <w:pPr>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绩效目标</w:t>
      </w:r>
      <w:r>
        <w:rPr>
          <w:rFonts w:hint="default" w:ascii="Times New Roman" w:hAnsi="Times New Roman" w:cs="Times New Roman"/>
        </w:rPr>
        <w:t>自评表。</w:t>
      </w:r>
    </w:p>
    <w:p w14:paraId="16E5E9A9">
      <w:pPr>
        <w:bidi w:val="0"/>
        <w:rPr>
          <w:rFonts w:hint="default" w:ascii="Times New Roman" w:hAnsi="Times New Roman" w:cs="Times New Roman"/>
        </w:rPr>
      </w:pPr>
      <w:r>
        <w:rPr>
          <w:rFonts w:hint="default" w:ascii="Times New Roman" w:hAnsi="Times New Roman" w:cs="Times New Roman"/>
        </w:rPr>
        <w:t>（1）部门整体绩效自评表。</w:t>
      </w:r>
    </w:p>
    <w:p w14:paraId="5A3DC98D">
      <w:pPr>
        <w:bidi w:val="0"/>
        <w:rPr>
          <w:rFonts w:hint="default" w:ascii="Times New Roman" w:hAnsi="Times New Roman" w:cs="Times New Roman"/>
        </w:rPr>
      </w:pPr>
      <w:r>
        <w:rPr>
          <w:rFonts w:hint="default" w:ascii="Times New Roman" w:hAnsi="Times New Roman" w:cs="Times New Roman"/>
        </w:rPr>
        <w:t>详见附件</w:t>
      </w:r>
      <w:r>
        <w:rPr>
          <w:rFonts w:hint="default" w:ascii="Times New Roman" w:hAnsi="Times New Roman" w:cs="Times New Roman"/>
          <w:lang w:val="en-US" w:eastAsia="zh-CN"/>
        </w:rPr>
        <w:t>重庆市铜梁区白羊镇人民政府2024年度</w:t>
      </w:r>
      <w:r>
        <w:rPr>
          <w:rFonts w:hint="default" w:ascii="Times New Roman" w:hAnsi="Times New Roman" w:cs="Times New Roman"/>
        </w:rPr>
        <w:t>部门整体绩效自评表。</w:t>
      </w:r>
    </w:p>
    <w:p w14:paraId="763365CD">
      <w:pPr>
        <w:bidi w:val="0"/>
        <w:rPr>
          <w:rFonts w:hint="default" w:ascii="Times New Roman" w:hAnsi="Times New Roman" w:cs="Times New Roman"/>
        </w:rPr>
      </w:pPr>
      <w:r>
        <w:rPr>
          <w:rFonts w:hint="default" w:ascii="Times New Roman" w:hAnsi="Times New Roman" w:cs="Times New Roman"/>
        </w:rPr>
        <w:t>（2）项目绩效自评表。</w:t>
      </w:r>
    </w:p>
    <w:p w14:paraId="18F33A3D">
      <w:pPr>
        <w:bidi w:val="0"/>
        <w:rPr>
          <w:rFonts w:hint="default" w:ascii="Times New Roman" w:hAnsi="Times New Roman" w:cs="Times New Roman"/>
        </w:rPr>
      </w:pPr>
      <w:r>
        <w:rPr>
          <w:rFonts w:hint="default" w:ascii="Times New Roman" w:hAnsi="Times New Roman" w:cs="Times New Roman"/>
        </w:rPr>
        <w:t>详见各二级预算单位决算公开报告。</w:t>
      </w:r>
    </w:p>
    <w:p w14:paraId="5387C9AF">
      <w:pPr>
        <w:bidi w:val="0"/>
        <w:rPr>
          <w:rFonts w:hint="default" w:ascii="Times New Roman" w:hAnsi="Times New Roman" w:cs="Times New Roman"/>
        </w:rPr>
      </w:pPr>
      <w:r>
        <w:rPr>
          <w:rFonts w:hint="default" w:ascii="Times New Roman" w:hAnsi="Times New Roman" w:cs="Times New Roman"/>
        </w:rPr>
        <w:t>2.绩效自评报告或案例。</w:t>
      </w:r>
    </w:p>
    <w:p w14:paraId="6ACE22F6">
      <w:pPr>
        <w:bidi w:val="0"/>
        <w:rPr>
          <w:rFonts w:hint="default" w:ascii="Times New Roman" w:hAnsi="Times New Roman" w:cs="Times New Roman"/>
        </w:rPr>
      </w:pPr>
      <w:r>
        <w:rPr>
          <w:rFonts w:hint="default" w:ascii="Times New Roman" w:hAnsi="Times New Roman" w:cs="Times New Roman"/>
        </w:rPr>
        <w:t>详见各二级预算单位决算公开报告。</w:t>
      </w:r>
    </w:p>
    <w:p w14:paraId="0F9C3E6D">
      <w:pPr>
        <w:bidi w:val="0"/>
        <w:rPr>
          <w:rFonts w:hint="default" w:ascii="Times New Roman" w:hAnsi="Times New Roman" w:eastAsia="方正仿宋_GBK" w:cs="Times New Roman"/>
          <w:kern w:val="0"/>
          <w:szCs w:val="32"/>
          <w:shd w:val="clear" w:fill="FFFFFF"/>
        </w:rPr>
      </w:pPr>
      <w:r>
        <w:rPr>
          <w:rFonts w:hint="default" w:ascii="Times New Roman" w:hAnsi="Times New Roman" w:cs="Times New Roman"/>
        </w:rPr>
        <w:t>3.关于绩效自评结果的说明</w:t>
      </w:r>
      <w:r>
        <w:rPr>
          <w:rFonts w:hint="default" w:ascii="Times New Roman" w:hAnsi="Times New Roman" w:eastAsia="方正仿宋_GBK" w:cs="Times New Roman"/>
          <w:kern w:val="0"/>
          <w:szCs w:val="32"/>
          <w:shd w:val="clear" w:fill="FFFFFF"/>
        </w:rPr>
        <w:t>。</w:t>
      </w:r>
    </w:p>
    <w:p w14:paraId="4C1AF163">
      <w:pPr>
        <w:pStyle w:val="15"/>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29</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14:paraId="5BC66DE4">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（三）财政重点绩效评价情况</w:t>
      </w:r>
    </w:p>
    <w:p w14:paraId="28E1B4DA">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我单位无财政重点绩效评价项目。</w:t>
      </w:r>
    </w:p>
    <w:p w14:paraId="2493BEE3">
      <w:pPr>
        <w:pStyle w:val="3"/>
        <w:bidi w:val="0"/>
        <w:rPr>
          <w:rFonts w:hint="default" w:ascii="Times New Roman" w:hAnsi="Times New Roman" w:cs="Times New Roman"/>
        </w:rPr>
      </w:pPr>
      <w:r>
        <w:rPr>
          <w:rFonts w:hint="default" w:ascii="Times New Roman" w:hAnsi="Times New Roman" w:cs="Times New Roman"/>
        </w:rPr>
        <w:t>六、专业名词解释</w:t>
      </w:r>
    </w:p>
    <w:p w14:paraId="4AB9AFD5">
      <w:pPr>
        <w:bidi w:val="0"/>
        <w:rPr>
          <w:rFonts w:hint="default" w:ascii="Times New Roman" w:hAnsi="Times New Roman" w:cs="Times New Roman"/>
        </w:rPr>
      </w:pPr>
      <w:r>
        <w:rPr>
          <w:rFonts w:hint="default" w:ascii="Times New Roman" w:hAnsi="Times New Roman" w:cs="Times New Roman"/>
          <w:b/>
          <w:bCs/>
        </w:rPr>
        <w:t>（一）财政拨款收入</w:t>
      </w:r>
      <w:r>
        <w:rPr>
          <w:rFonts w:hint="default" w:ascii="Times New Roman" w:hAnsi="Times New Roman" w:cs="Times New Roman"/>
        </w:rPr>
        <w:t>：指本年度从本级财政单位取得的财政拨款，包括一般公共预算财政拨款和政府性基金预算财政拨款。</w:t>
      </w:r>
    </w:p>
    <w:p w14:paraId="730E7346">
      <w:pPr>
        <w:bidi w:val="0"/>
        <w:rPr>
          <w:rFonts w:hint="default" w:ascii="Times New Roman" w:hAnsi="Times New Roman" w:cs="Times New Roman"/>
        </w:rPr>
      </w:pPr>
      <w:r>
        <w:rPr>
          <w:rFonts w:hint="default" w:ascii="Times New Roman" w:hAnsi="Times New Roman" w:cs="Times New Roman"/>
          <w:b/>
          <w:bCs/>
        </w:rPr>
        <w:t>（二）年初结转和结余</w:t>
      </w:r>
      <w:r>
        <w:rPr>
          <w:rFonts w:hint="default" w:ascii="Times New Roman" w:hAnsi="Times New Roman" w:cs="Times New Roman"/>
        </w:rPr>
        <w:t>：指单位上年结转本年使用的基本支出结转、项目支出结转和结余、经营结余。</w:t>
      </w:r>
    </w:p>
    <w:p w14:paraId="6DA2A2DC">
      <w:pPr>
        <w:bidi w:val="0"/>
        <w:rPr>
          <w:rFonts w:hint="default" w:ascii="Times New Roman" w:hAnsi="Times New Roman" w:cs="Times New Roman"/>
        </w:rPr>
      </w:pPr>
      <w:r>
        <w:rPr>
          <w:rFonts w:hint="default" w:ascii="Times New Roman" w:hAnsi="Times New Roman" w:cs="Times New Roman"/>
          <w:b/>
          <w:bCs/>
        </w:rPr>
        <w:t>（三）年末结转和结余</w:t>
      </w:r>
      <w:r>
        <w:rPr>
          <w:rFonts w:hint="default" w:ascii="Times New Roman" w:hAnsi="Times New Roman" w:cs="Times New Roman"/>
        </w:rPr>
        <w:t>：指单位结转下年的基本支出结转、项目支出结转和结余、经营结余。</w:t>
      </w:r>
    </w:p>
    <w:p w14:paraId="317EA802">
      <w:pPr>
        <w:bidi w:val="0"/>
        <w:rPr>
          <w:rFonts w:hint="default" w:ascii="Times New Roman" w:hAnsi="Times New Roman" w:cs="Times New Roman"/>
        </w:rPr>
      </w:pPr>
      <w:r>
        <w:rPr>
          <w:rFonts w:hint="default" w:ascii="Times New Roman" w:hAnsi="Times New Roman" w:cs="Times New Roman"/>
          <w:b/>
          <w:bCs/>
        </w:rPr>
        <w:t>（四）基本支出：</w:t>
      </w:r>
      <w:r>
        <w:rPr>
          <w:rFonts w:hint="default" w:ascii="Times New Roman" w:hAnsi="Times New Roman" w:cs="Times New Roma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CAC33D">
      <w:pPr>
        <w:bidi w:val="0"/>
        <w:rPr>
          <w:rFonts w:hint="default" w:ascii="Times New Roman" w:hAnsi="Times New Roman" w:cs="Times New Roman"/>
        </w:rPr>
      </w:pPr>
      <w:r>
        <w:rPr>
          <w:rFonts w:hint="default" w:ascii="Times New Roman" w:hAnsi="Times New Roman" w:cs="Times New Roman"/>
          <w:b/>
          <w:bCs/>
        </w:rPr>
        <w:t>（五）项目支出：</w:t>
      </w:r>
      <w:r>
        <w:rPr>
          <w:rFonts w:hint="default" w:ascii="Times New Roman" w:hAnsi="Times New Roman" w:cs="Times New Roman"/>
        </w:rPr>
        <w:t>指在基本支出之外为完成特定行政任务和事业发展目标所发生的支出。</w:t>
      </w:r>
    </w:p>
    <w:p w14:paraId="7AF1F424">
      <w:pPr>
        <w:bidi w:val="0"/>
        <w:rPr>
          <w:rFonts w:hint="default" w:ascii="Times New Roman" w:hAnsi="Times New Roman" w:cs="Times New Roman"/>
        </w:rPr>
      </w:pPr>
      <w:r>
        <w:rPr>
          <w:rFonts w:hint="default" w:ascii="Times New Roman" w:hAnsi="Times New Roman" w:cs="Times New Roman"/>
          <w:b/>
          <w:bCs/>
        </w:rPr>
        <w:t>（六）“三公”经费</w:t>
      </w:r>
      <w:r>
        <w:rPr>
          <w:rFonts w:hint="default" w:ascii="Times New Roman" w:hAnsi="Times New Roman" w:cs="Times New Roma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71F908">
      <w:pPr>
        <w:bidi w:val="0"/>
        <w:rPr>
          <w:rFonts w:hint="default" w:ascii="Times New Roman" w:hAnsi="Times New Roman" w:cs="Times New Roman"/>
        </w:rPr>
      </w:pPr>
      <w:r>
        <w:rPr>
          <w:rFonts w:hint="default" w:ascii="Times New Roman" w:hAnsi="Times New Roman" w:cs="Times New Roman"/>
          <w:b/>
          <w:bCs/>
        </w:rPr>
        <w:t>（七）机关运行经费：</w:t>
      </w:r>
      <w:r>
        <w:rPr>
          <w:rFonts w:hint="default" w:ascii="Times New Roman" w:hAnsi="Times New Roman" w:cs="Times New Roma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D9E5BE">
      <w:pPr>
        <w:bidi w:val="0"/>
        <w:rPr>
          <w:rFonts w:hint="default" w:ascii="Times New Roman" w:hAnsi="Times New Roman" w:cs="Times New Roman"/>
        </w:rPr>
      </w:pPr>
      <w:r>
        <w:rPr>
          <w:rFonts w:hint="default" w:ascii="Times New Roman" w:hAnsi="Times New Roman" w:cs="Times New Roman"/>
          <w:b/>
          <w:bCs/>
        </w:rPr>
        <w:t>（八）工资福利支出（支出经济分类科目类级）：</w:t>
      </w:r>
      <w:r>
        <w:rPr>
          <w:rFonts w:hint="default" w:ascii="Times New Roman" w:hAnsi="Times New Roman" w:cs="Times New Roman"/>
        </w:rPr>
        <w:t>反映单位开支的在职职工和编制外长期聘用人员的各类劳动报酬，以及为上述人员缴纳的各项社会保险费等。</w:t>
      </w:r>
    </w:p>
    <w:p w14:paraId="664C047A">
      <w:pPr>
        <w:bidi w:val="0"/>
        <w:rPr>
          <w:rFonts w:hint="default" w:ascii="Times New Roman" w:hAnsi="Times New Roman" w:cs="Times New Roman"/>
        </w:rPr>
      </w:pPr>
      <w:r>
        <w:rPr>
          <w:rFonts w:hint="default" w:ascii="Times New Roman" w:hAnsi="Times New Roman" w:cs="Times New Roman"/>
          <w:b/>
          <w:bCs/>
        </w:rPr>
        <w:t>（九）商品和服务支出（支出经济分类科目类级）：</w:t>
      </w:r>
      <w:r>
        <w:rPr>
          <w:rFonts w:hint="default" w:ascii="Times New Roman" w:hAnsi="Times New Roman" w:cs="Times New Roman"/>
        </w:rPr>
        <w:t>反映单位购买商品和服务的支出（不包括用于购置固定资产的支出、战略性和应急储备支出）。</w:t>
      </w:r>
    </w:p>
    <w:p w14:paraId="3CA02945">
      <w:pPr>
        <w:bidi w:val="0"/>
        <w:rPr>
          <w:rFonts w:hint="default" w:ascii="Times New Roman" w:hAnsi="Times New Roman" w:cs="Times New Roman"/>
        </w:rPr>
      </w:pPr>
      <w:r>
        <w:rPr>
          <w:rFonts w:hint="default" w:ascii="Times New Roman" w:hAnsi="Times New Roman" w:cs="Times New Roman"/>
          <w:b/>
          <w:bCs/>
        </w:rPr>
        <w:t>（十）对个人和家庭的补助（支出经济分类科目类级）：</w:t>
      </w:r>
      <w:r>
        <w:rPr>
          <w:rFonts w:hint="default" w:ascii="Times New Roman" w:hAnsi="Times New Roman" w:cs="Times New Roman"/>
        </w:rPr>
        <w:t>反映用于对个人和家庭的补助支出。</w:t>
      </w:r>
    </w:p>
    <w:p w14:paraId="66753081">
      <w:pPr>
        <w:bidi w:val="0"/>
        <w:rPr>
          <w:rFonts w:hint="default" w:ascii="Times New Roman" w:hAnsi="Times New Roman" w:cs="Times New Roman"/>
        </w:rPr>
      </w:pPr>
      <w:r>
        <w:rPr>
          <w:rFonts w:hint="default" w:ascii="Times New Roman" w:hAnsi="Times New Roman" w:cs="Times New Roman"/>
          <w:b/>
          <w:bCs/>
        </w:rPr>
        <w:t>（十一）其他资本性支出（支出经济分类科目类级）：</w:t>
      </w:r>
      <w:r>
        <w:rPr>
          <w:rFonts w:hint="default" w:ascii="Times New Roman" w:hAnsi="Times New Roman" w:cs="Times New Roman"/>
        </w:rPr>
        <w:t>反映非各级发展与改革单位集中安排的用于购置固定资产、战略性和应急性储备、土地和无形资产，以及构建基础设施、大型修缮和财政支持企业更新改造所发生的支出</w:t>
      </w:r>
      <w:r>
        <w:rPr>
          <w:rFonts w:hint="default" w:ascii="Times New Roman" w:hAnsi="Times New Roman" w:eastAsia="方正仿宋_GBK" w:cs="Times New Roman"/>
          <w:kern w:val="2"/>
          <w:szCs w:val="32"/>
        </w:rPr>
        <w:t>。</w:t>
      </w:r>
    </w:p>
    <w:p w14:paraId="5661A9A0">
      <w:pPr>
        <w:pStyle w:val="3"/>
        <w:bidi w:val="0"/>
        <w:rPr>
          <w:rFonts w:hint="default" w:ascii="Times New Roman" w:hAnsi="Times New Roman" w:cs="Times New Roman"/>
        </w:rPr>
      </w:pPr>
      <w:r>
        <w:rPr>
          <w:rFonts w:hint="default" w:ascii="Times New Roman" w:hAnsi="Times New Roman" w:cs="Times New Roman"/>
        </w:rPr>
        <w:t>七、决算公开联系方式及信息反馈渠道</w:t>
      </w:r>
    </w:p>
    <w:p w14:paraId="1113A5F0">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412064F9">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宋体" w:cs="Times New Roman"/>
          <w:sz w:val="21"/>
          <w:szCs w:val="21"/>
        </w:rPr>
      </w:pPr>
      <w:r>
        <w:rPr>
          <w:rFonts w:hint="default" w:ascii="Times New Roman" w:hAnsi="Times New Roman" w:eastAsia="方正仿宋_GBK" w:cs="Times New Roman"/>
          <w:kern w:val="0"/>
          <w:sz w:val="32"/>
          <w:szCs w:val="32"/>
          <w:shd w:val="clear" w:fill="FFFFFF"/>
          <w:lang w:val="en-US" w:eastAsia="zh-CN"/>
        </w:rPr>
        <w:t>何欣</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45851201</w:t>
      </w:r>
    </w:p>
    <w:bookmarkEnd w:id="0"/>
    <w:sectPr>
      <w:headerReference r:id="rId5" w:type="default"/>
      <w:footerReference r:id="rId6" w:type="default"/>
      <w:pgSz w:w="11850" w:h="16783"/>
      <w:pgMar w:top="2098" w:right="1803" w:bottom="1984" w:left="1587" w:header="0" w:footer="283"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FA1B">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0C4E3E">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C0C4E3E">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CAE7E9">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2CAE7E9">
                    <w:pPr>
                      <w:pStyle w:val="5"/>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6B22">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784E58"/>
    <w:rsid w:val="2FE029D7"/>
    <w:rsid w:val="2FF06E00"/>
    <w:rsid w:val="315F0B22"/>
    <w:rsid w:val="31BE24D6"/>
    <w:rsid w:val="31D84415"/>
    <w:rsid w:val="32285F6F"/>
    <w:rsid w:val="32770556"/>
    <w:rsid w:val="329C0913"/>
    <w:rsid w:val="3337290D"/>
    <w:rsid w:val="33582F87"/>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3FC3F5C"/>
    <w:rsid w:val="541768A0"/>
    <w:rsid w:val="543B029D"/>
    <w:rsid w:val="54977029"/>
    <w:rsid w:val="554E5773"/>
    <w:rsid w:val="555A3CBC"/>
    <w:rsid w:val="55EF4EA6"/>
    <w:rsid w:val="56530F5D"/>
    <w:rsid w:val="56EE372E"/>
    <w:rsid w:val="5842572D"/>
    <w:rsid w:val="598A28E2"/>
    <w:rsid w:val="5C1336B7"/>
    <w:rsid w:val="5C263CE4"/>
    <w:rsid w:val="5C32280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026F12"/>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DD4053"/>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ascii="方正小标宋_GBK" w:hAnsi="方正小标宋_GBK" w:eastAsia="方正小标宋_GBK"/>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7621</Words>
  <Characters>8448</Characters>
  <Lines>161</Lines>
  <Paragraphs>45</Paragraphs>
  <TotalTime>4</TotalTime>
  <ScaleCrop>false</ScaleCrop>
  <LinksUpToDate>false</LinksUpToDate>
  <CharactersWithSpaces>8453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郑静</cp:lastModifiedBy>
  <dcterms:modified xsi:type="dcterms:W3CDTF">2025-10-27T15:23:47Z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y fmtid="{D5CDD505-2E9C-101B-9397-08002B2CF9AE}" pid="4" name="KSOTemplateDocerSaveRecord">
    <vt:lpwstr>eyJoZGlkIjoiOGRkYjliYWRhOGJlMDhjN2U4YmIzODMwNjU5Zjk2OGEiLCJ1c2VySWQiOiI0MzczMzg3NTQifQ==</vt:lpwstr>
  </property>
</Properties>
</file>