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DF67C">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重庆市铜梁区白羊镇退役军人服务站</w:t>
      </w:r>
    </w:p>
    <w:p w14:paraId="7D902375">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27FA7A25">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一、</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基本情况</w:t>
      </w:r>
    </w:p>
    <w:p w14:paraId="007D4F83">
      <w:pPr>
        <w:pStyle w:val="5"/>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420"/>
        <w:textAlignment w:val="auto"/>
        <w:rPr>
          <w:rFonts w:hint="default" w:ascii="Times New Roman" w:hAnsi="Times New Roman" w:eastAsia="方正楷体_GBK" w:cs="Times New Roman"/>
          <w:b w:val="0"/>
          <w:bCs/>
          <w:sz w:val="32"/>
          <w:szCs w:val="32"/>
        </w:rPr>
      </w:pPr>
      <w:r>
        <w:rPr>
          <w:rStyle w:val="8"/>
          <w:rFonts w:hint="default" w:ascii="Times New Roman" w:hAnsi="Times New Roman" w:eastAsia="方正楷体_GBK" w:cs="Times New Roman"/>
          <w:b w:val="0"/>
          <w:bCs/>
          <w:sz w:val="32"/>
          <w:szCs w:val="32"/>
          <w:shd w:val="clear" w:color="auto" w:fill="FFFFFF"/>
        </w:rPr>
        <w:t>（一）职能职责</w:t>
      </w:r>
    </w:p>
    <w:p w14:paraId="16A05476">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主要职责任务是做好退役军人关系转接、联络接待、困难帮扶、信息采集、情况反映、立功喜报、悬挂光荣牌和“八一”、春节等节日以及重大变故走访慰问等具体事务，搭建政策咨询、帮扶援助、沟通联系、学习交流等活动场所、完成主管部门交办的其他任务。</w:t>
      </w:r>
    </w:p>
    <w:p w14:paraId="59B0A3F2">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（二）机构设置</w:t>
      </w:r>
    </w:p>
    <w:p w14:paraId="5E4F207F">
      <w:pPr>
        <w:pStyle w:val="5"/>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重庆市铜梁区白羊镇退役军人服务站是重庆市铜梁区白羊镇人民政府下属事业单位，故我单位不存在内部机构设置。</w:t>
      </w:r>
    </w:p>
    <w:p w14:paraId="5757517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二、</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决算</w:t>
      </w:r>
      <w:r>
        <w:rPr>
          <w:rStyle w:val="8"/>
          <w:rFonts w:hint="default" w:ascii="Times New Roman" w:hAnsi="Times New Roman" w:eastAsia="方正黑体_GBK" w:cs="Times New Roman"/>
          <w:b w:val="0"/>
          <w:bCs/>
          <w:sz w:val="32"/>
          <w:szCs w:val="32"/>
          <w:shd w:val="clear" w:color="auto" w:fill="FFFFFF"/>
          <w:lang w:eastAsia="zh-CN"/>
        </w:rPr>
        <w:t>收支</w:t>
      </w:r>
      <w:r>
        <w:rPr>
          <w:rStyle w:val="8"/>
          <w:rFonts w:hint="default" w:ascii="Times New Roman" w:hAnsi="Times New Roman" w:eastAsia="方正黑体_GBK" w:cs="Times New Roman"/>
          <w:b w:val="0"/>
          <w:bCs/>
          <w:sz w:val="32"/>
          <w:szCs w:val="32"/>
          <w:shd w:val="clear" w:color="auto" w:fill="FFFFFF"/>
        </w:rPr>
        <w:t>情况说明</w:t>
      </w:r>
    </w:p>
    <w:p w14:paraId="49C6ECFE">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楷体" w:cs="Times New Roman"/>
          <w:b/>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（一）收入支出决算总体情况说明。</w:t>
      </w:r>
    </w:p>
    <w:p w14:paraId="416BC04B">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度收入总计42.30万元，支出总计</w:t>
      </w:r>
      <w:r>
        <w:rPr>
          <w:rFonts w:hint="default" w:ascii="Times New Roman" w:hAnsi="Times New Roman" w:eastAsia="方正仿宋_GBK" w:cs="Times New Roman"/>
          <w:sz w:val="32"/>
          <w:szCs w:val="32"/>
        </w:rPr>
        <w:t>42.30</w:t>
      </w:r>
      <w:r>
        <w:rPr>
          <w:rFonts w:hint="default" w:ascii="Times New Roman" w:hAnsi="Times New Roman" w:eastAsia="方正仿宋_GBK" w:cs="Times New Roman"/>
          <w:sz w:val="32"/>
          <w:szCs w:val="32"/>
          <w:shd w:val="clear" w:color="auto" w:fill="FFFFFF"/>
        </w:rPr>
        <w:t>万元。收、支与2023年度相比，增加42.30万元，增长100.0%，主要原因是</w:t>
      </w:r>
      <w:r>
        <w:rPr>
          <w:rFonts w:hint="default" w:ascii="Times New Roman" w:hAnsi="Times New Roman" w:eastAsia="方正仿宋_GBK" w:cs="Times New Roman"/>
          <w:sz w:val="32"/>
          <w:szCs w:val="32"/>
          <w:shd w:val="clear" w:color="auto" w:fill="FFFFFF"/>
          <w:lang w:val="en-US" w:eastAsia="zh-CN"/>
        </w:rPr>
        <w:t>2024年度我单位按财政局要求独编报，故我单位为新增单位，收、支较2023年度各增加</w:t>
      </w:r>
      <w:r>
        <w:rPr>
          <w:rFonts w:hint="default" w:ascii="Times New Roman" w:hAnsi="Times New Roman" w:eastAsia="方正仿宋_GBK" w:cs="Times New Roman"/>
          <w:sz w:val="32"/>
          <w:szCs w:val="32"/>
          <w:shd w:val="clear" w:color="auto" w:fill="FFFFFF"/>
        </w:rPr>
        <w:t>42.30</w:t>
      </w:r>
      <w:r>
        <w:rPr>
          <w:rFonts w:hint="default" w:ascii="Times New Roman" w:hAnsi="Times New Roman" w:eastAsia="方正仿宋_GBK" w:cs="Times New Roman"/>
          <w:sz w:val="32"/>
          <w:szCs w:val="32"/>
          <w:shd w:val="clear" w:color="auto" w:fill="FFFFFF"/>
          <w:lang w:val="en-US" w:eastAsia="zh-CN"/>
        </w:rPr>
        <w:t>万元。</w:t>
      </w:r>
    </w:p>
    <w:p w14:paraId="47C785C2">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度收入合计42.30万元，与2023年度相比，增加42.30万元，增长100.0%，主要原因是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收入较2023年增加</w:t>
      </w:r>
      <w:r>
        <w:rPr>
          <w:rFonts w:hint="default" w:ascii="Times New Roman" w:hAnsi="Times New Roman" w:eastAsia="方正仿宋_GBK" w:cs="Times New Roman"/>
          <w:sz w:val="32"/>
          <w:szCs w:val="32"/>
          <w:shd w:val="clear" w:color="auto" w:fill="FFFFFF"/>
        </w:rPr>
        <w:t>42.30</w:t>
      </w:r>
      <w:r>
        <w:rPr>
          <w:rFonts w:hint="default"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42.30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147E04F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42.30</w:t>
      </w:r>
      <w:r>
        <w:rPr>
          <w:rFonts w:hint="default" w:ascii="Times New Roman" w:hAnsi="Times New Roman" w:eastAsia="方正仿宋_GBK" w:cs="Times New Roman"/>
          <w:sz w:val="32"/>
          <w:szCs w:val="32"/>
          <w:shd w:val="clear" w:color="auto" w:fill="FFFFFF"/>
        </w:rPr>
        <w:t>万元，与2023年度相比，增加42.30万元，增长100.0%，主要原因是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支出较2023年增加</w:t>
      </w:r>
      <w:r>
        <w:rPr>
          <w:rFonts w:hint="default" w:ascii="Times New Roman" w:hAnsi="Times New Roman" w:eastAsia="方正仿宋_GBK" w:cs="Times New Roman"/>
          <w:sz w:val="32"/>
          <w:szCs w:val="32"/>
          <w:shd w:val="clear" w:color="auto" w:fill="FFFFFF"/>
        </w:rPr>
        <w:t>42.30</w:t>
      </w:r>
      <w:r>
        <w:rPr>
          <w:rFonts w:hint="default"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37.95</w:t>
      </w:r>
      <w:r>
        <w:rPr>
          <w:rFonts w:hint="default" w:ascii="Times New Roman" w:hAnsi="Times New Roman" w:eastAsia="方正仿宋_GBK" w:cs="Times New Roman"/>
          <w:sz w:val="32"/>
          <w:szCs w:val="32"/>
          <w:shd w:val="clear" w:color="auto" w:fill="FFFFFF"/>
        </w:rPr>
        <w:t>万元，占89.72%；项目支出</w:t>
      </w:r>
      <w:r>
        <w:rPr>
          <w:rFonts w:hint="default" w:ascii="Times New Roman" w:hAnsi="Times New Roman" w:eastAsia="方正仿宋_GBK" w:cs="Times New Roman"/>
          <w:sz w:val="32"/>
          <w:szCs w:val="32"/>
        </w:rPr>
        <w:t>4.35</w:t>
      </w:r>
      <w:r>
        <w:rPr>
          <w:rFonts w:hint="default" w:ascii="Times New Roman" w:hAnsi="Times New Roman" w:eastAsia="方正仿宋_GBK" w:cs="Times New Roman"/>
          <w:sz w:val="32"/>
          <w:szCs w:val="32"/>
          <w:shd w:val="clear" w:color="auto" w:fill="FFFFFF"/>
        </w:rPr>
        <w:t>万元，占10.28%；经营支出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7263F90">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0132F582">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（二）财政拨款收入支出决算总体情况说明</w:t>
      </w:r>
    </w:p>
    <w:p w14:paraId="34BD664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度财政拨款收、支总计42.30万元。与202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年相比，财政拨款收、支总计各增加42.30万元，增长100.0%。主要原因是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收、支较2023年各增加</w:t>
      </w:r>
      <w:r>
        <w:rPr>
          <w:rFonts w:hint="default" w:ascii="Times New Roman" w:hAnsi="Times New Roman" w:eastAsia="方正仿宋_GBK" w:cs="Times New Roman"/>
          <w:sz w:val="32"/>
          <w:szCs w:val="32"/>
          <w:shd w:val="clear" w:color="auto" w:fill="FFFFFF"/>
        </w:rPr>
        <w:t>42.30</w:t>
      </w:r>
      <w:r>
        <w:rPr>
          <w:rFonts w:hint="default" w:ascii="Times New Roman" w:hAnsi="Times New Roman" w:eastAsia="方正仿宋_GBK" w:cs="Times New Roman"/>
          <w:sz w:val="32"/>
          <w:szCs w:val="32"/>
          <w:shd w:val="clear" w:color="auto" w:fill="FFFFFF"/>
          <w:lang w:val="en-US" w:eastAsia="zh-CN" w:bidi="ar-SA"/>
        </w:rPr>
        <w:t>万元。</w:t>
      </w:r>
    </w:p>
    <w:p w14:paraId="4C3EADA7">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（三）一般公共预算财政拨款收入支出决算情况说明</w:t>
      </w:r>
    </w:p>
    <w:p w14:paraId="3FDFACE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42.30</w:t>
      </w:r>
      <w:r>
        <w:rPr>
          <w:rFonts w:hint="default" w:ascii="Times New Roman" w:hAnsi="Times New Roman" w:eastAsia="方正仿宋_GBK" w:cs="Times New Roman"/>
          <w:sz w:val="32"/>
          <w:szCs w:val="32"/>
          <w:shd w:val="clear" w:color="auto" w:fill="FFFFFF"/>
        </w:rPr>
        <w:t>万元，与2023年度相比，增加42.30万元，增长100.0%。主要原因是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收入较2023年增加</w:t>
      </w:r>
      <w:r>
        <w:rPr>
          <w:rFonts w:hint="default" w:ascii="Times New Roman" w:hAnsi="Times New Roman" w:eastAsia="方正仿宋_GBK" w:cs="Times New Roman"/>
          <w:sz w:val="32"/>
          <w:szCs w:val="32"/>
          <w:shd w:val="clear" w:color="auto" w:fill="FFFFFF"/>
        </w:rPr>
        <w:t>42.30</w:t>
      </w:r>
      <w:r>
        <w:rPr>
          <w:rFonts w:hint="default"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rPr>
        <w:t>较年初预算数减少16.13万元，下降27.6%。主要原因是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2024年度区财政局为优先保障“三保”等重点支出，对我单位部分非紧急、非刚性的项目支出进行了暂缓支出，我单位涉及事业单位绩效超高总量、乡村振兴工作经费等资金未全额拨付</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69BBB0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42.30</w:t>
      </w:r>
      <w:r>
        <w:rPr>
          <w:rFonts w:hint="default" w:ascii="Times New Roman" w:hAnsi="Times New Roman" w:eastAsia="方正仿宋_GBK" w:cs="Times New Roman"/>
          <w:sz w:val="32"/>
          <w:szCs w:val="32"/>
          <w:shd w:val="clear" w:color="auto" w:fill="FFFFFF"/>
        </w:rPr>
        <w:t>万元，与2023年度相比，增加42.30万元，增长100.0%。主要原因是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支出较2023年增加</w:t>
      </w:r>
      <w:r>
        <w:rPr>
          <w:rFonts w:hint="default" w:ascii="Times New Roman" w:hAnsi="Times New Roman" w:eastAsia="方正仿宋_GBK" w:cs="Times New Roman"/>
          <w:sz w:val="32"/>
          <w:szCs w:val="32"/>
          <w:shd w:val="clear" w:color="auto" w:fill="FFFFFF"/>
        </w:rPr>
        <w:t>42.30</w:t>
      </w:r>
      <w:r>
        <w:rPr>
          <w:rFonts w:hint="default"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rPr>
        <w:t>较年初预算数减少16.13万元，下降27.6%。主要原因是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2024年度区财政局为优先保障“三保”等重点支出，对我单位部分非紧急、非刚性的项目支出进行了暂缓支出，我单位涉及事业单位绩效超高总量、乡村振兴工作经费等资金未全额拨付</w:t>
      </w:r>
      <w:r>
        <w:rPr>
          <w:rFonts w:hint="default" w:ascii="Times New Roman" w:hAnsi="Times New Roman" w:eastAsia="方正仿宋_GBK" w:cs="Times New Roman"/>
          <w:sz w:val="32"/>
          <w:szCs w:val="32"/>
          <w:shd w:val="clear" w:color="auto" w:fill="FFFFFF"/>
        </w:rPr>
        <w:t>。</w:t>
      </w:r>
    </w:p>
    <w:p w14:paraId="3279445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6225DBBF">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413DC7FB">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34.42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81.36</w:t>
      </w:r>
      <w:r>
        <w:rPr>
          <w:rFonts w:hint="default" w:ascii="Times New Roman" w:hAnsi="Times New Roman" w:eastAsia="方正仿宋_GBK" w:cs="Times New Roman"/>
          <w:sz w:val="32"/>
          <w:szCs w:val="32"/>
          <w:shd w:val="clear" w:color="auto" w:fill="FFFFFF"/>
        </w:rPr>
        <w:t>%，较年初预算数减少9.81万元，下降22.2%，主要原因是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事业单位绩效超高总量、统发基本工资、未休假补贴等未全额拨付，最终形成2024年度决算支出低于年初预算</w:t>
      </w:r>
      <w:r>
        <w:rPr>
          <w:rFonts w:hint="default" w:ascii="Times New Roman" w:hAnsi="Times New Roman" w:eastAsia="方正仿宋_GBK" w:cs="Times New Roman"/>
          <w:sz w:val="32"/>
          <w:szCs w:val="32"/>
          <w:shd w:val="clear" w:color="auto" w:fill="FFFFFF"/>
        </w:rPr>
        <w:t>。</w:t>
      </w:r>
    </w:p>
    <w:p w14:paraId="65C818D1">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1.52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3.59</w:t>
      </w:r>
      <w:r>
        <w:rPr>
          <w:rFonts w:hint="default" w:ascii="Times New Roman" w:hAnsi="Times New Roman" w:eastAsia="方正仿宋_GBK" w:cs="Times New Roman"/>
          <w:sz w:val="32"/>
          <w:szCs w:val="32"/>
          <w:shd w:val="clear" w:color="auto" w:fill="FFFFFF"/>
        </w:rPr>
        <w:t>%，较年初预算数减少0.67万元，下降30.6%，主要原因是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在职公务员医疗补助缴费、职工基本医疗保险缴费等未全额拨付，最终形成2024年度决算支出低于年初预算</w:t>
      </w:r>
      <w:r>
        <w:rPr>
          <w:rFonts w:hint="default" w:ascii="Times New Roman" w:hAnsi="Times New Roman" w:eastAsia="方正仿宋_GBK" w:cs="Times New Roman"/>
          <w:sz w:val="32"/>
          <w:szCs w:val="32"/>
          <w:shd w:val="clear" w:color="auto" w:fill="FFFFFF"/>
        </w:rPr>
        <w:t>。</w:t>
      </w:r>
    </w:p>
    <w:p w14:paraId="0632A83A">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rPr>
        <w:t>4.35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10.28</w:t>
      </w:r>
      <w:r>
        <w:rPr>
          <w:rFonts w:hint="default" w:ascii="Times New Roman" w:hAnsi="Times New Roman" w:eastAsia="方正仿宋_GBK" w:cs="Times New Roman"/>
          <w:sz w:val="32"/>
          <w:szCs w:val="32"/>
          <w:shd w:val="clear" w:color="auto" w:fill="FFFFFF"/>
        </w:rPr>
        <w:t>%，较年初预算数减少5.65万元，下降56.5%，主要原因是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2024年度区财政局为优先保障“三保”等重点支出，对我单位部分非紧急、非刚性的项目支出进行了暂缓支出，我单位涉及乡村振兴工作经费等未全额拨付，最终形成2024年度决算支出低于年初预算</w:t>
      </w:r>
      <w:r>
        <w:rPr>
          <w:rFonts w:hint="default" w:ascii="Times New Roman" w:hAnsi="Times New Roman" w:eastAsia="方正仿宋_GBK" w:cs="Times New Roman"/>
          <w:sz w:val="32"/>
          <w:szCs w:val="32"/>
          <w:shd w:val="clear" w:color="auto" w:fill="FFFFFF"/>
        </w:rPr>
        <w:t>。</w:t>
      </w:r>
    </w:p>
    <w:p w14:paraId="7247D885">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住房保障支出2.02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4.77</w:t>
      </w:r>
      <w:r>
        <w:rPr>
          <w:rFonts w:hint="default" w:ascii="Times New Roman" w:hAnsi="Times New Roman" w:eastAsia="方正仿宋_GBK" w:cs="Times New Roman"/>
          <w:sz w:val="32"/>
          <w:szCs w:val="32"/>
          <w:shd w:val="clear" w:color="auto" w:fill="FFFFFF"/>
        </w:rPr>
        <w:t>%，较年初预算数无增减。</w:t>
      </w:r>
    </w:p>
    <w:p w14:paraId="22981A3F">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（四）一般公共预算财政拨款基本支出决算情况说明</w:t>
      </w:r>
    </w:p>
    <w:p w14:paraId="4398C1A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37.95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31.75</w:t>
      </w:r>
      <w:r>
        <w:rPr>
          <w:rFonts w:hint="default" w:ascii="Times New Roman" w:hAnsi="Times New Roman" w:eastAsia="方正仿宋_GBK" w:cs="Times New Roman"/>
          <w:sz w:val="32"/>
          <w:szCs w:val="32"/>
          <w:shd w:val="clear" w:color="auto" w:fill="FFFFFF"/>
        </w:rPr>
        <w:t>万元，与2023年度相比，增加31.75万元，增长100.0%，主要原因是</w:t>
      </w:r>
      <w:r>
        <w:rPr>
          <w:rFonts w:hint="default" w:ascii="Times New Roman" w:hAnsi="Times New Roman" w:eastAsia="方正仿宋_GBK" w:cs="Times New Roman"/>
          <w:sz w:val="32"/>
          <w:szCs w:val="32"/>
          <w:shd w:val="clear" w:color="auto" w:fill="FFFFFF"/>
          <w:lang w:eastAsia="zh-CN"/>
        </w:rPr>
        <w:t>以前年度我单位所有经费开支并入重庆市铜梁区</w:t>
      </w:r>
      <w:r>
        <w:rPr>
          <w:rFonts w:hint="default" w:ascii="Times New Roman" w:hAnsi="Times New Roman" w:eastAsia="方正仿宋_GBK" w:cs="Times New Roman"/>
          <w:sz w:val="32"/>
          <w:szCs w:val="32"/>
          <w:shd w:val="clear" w:color="auto" w:fill="FFFFFF"/>
          <w:lang w:val="en-US" w:eastAsia="zh-CN"/>
        </w:rPr>
        <w:t>白羊</w:t>
      </w:r>
      <w:r>
        <w:rPr>
          <w:rFonts w:hint="default" w:ascii="Times New Roman" w:hAnsi="Times New Roman" w:eastAsia="方正仿宋_GBK" w:cs="Times New Roman"/>
          <w:sz w:val="32"/>
          <w:szCs w:val="32"/>
          <w:shd w:val="clear" w:color="auto" w:fill="FFFFFF"/>
          <w:lang w:eastAsia="zh-CN"/>
        </w:rPr>
        <w:t>镇人民政府（本级）决算统一反映，未独立列示，</w:t>
      </w:r>
      <w:r>
        <w:rPr>
          <w:rFonts w:hint="default" w:ascii="Times New Roman" w:hAnsi="Times New Roman" w:eastAsia="方正仿宋_GBK" w:cs="Times New Roman"/>
          <w:sz w:val="32"/>
          <w:szCs w:val="32"/>
          <w:shd w:val="clear" w:color="auto" w:fill="FFFFFF"/>
          <w:lang w:val="en-US" w:eastAsia="zh-CN"/>
        </w:rPr>
        <w:t>2024年度我单位按照财政局相关要求单独编制决算，故本年决算数据全面反映我单位的开支明细，最终形成2024年度人员经费支出较2023年增加</w:t>
      </w:r>
      <w:r>
        <w:rPr>
          <w:rFonts w:hint="default" w:ascii="Times New Roman" w:hAnsi="Times New Roman" w:eastAsia="方正仿宋_GBK" w:cs="Times New Roman"/>
          <w:sz w:val="32"/>
          <w:szCs w:val="32"/>
          <w:shd w:val="clear" w:color="auto" w:fill="FFFFFF"/>
        </w:rPr>
        <w:t>31.75</w:t>
      </w:r>
      <w:r>
        <w:rPr>
          <w:rFonts w:hint="default" w:ascii="Times New Roman" w:hAnsi="Times New Roman" w:eastAsia="方正仿宋_GBK" w:cs="Times New Roman"/>
          <w:sz w:val="32"/>
          <w:szCs w:val="32"/>
          <w:shd w:val="clear" w:color="auto" w:fill="FFFFFF"/>
          <w:lang w:val="en-US" w:eastAsia="zh-CN"/>
        </w:rPr>
        <w:t>万元</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val="en-US" w:eastAsia="zh-CN"/>
        </w:rPr>
        <w:t>基本工资、津贴补贴、奖金、社会保障缴费、住房公积金等。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6.20</w:t>
      </w:r>
      <w:r>
        <w:rPr>
          <w:rFonts w:hint="default" w:ascii="Times New Roman" w:hAnsi="Times New Roman" w:eastAsia="方正仿宋_GBK" w:cs="Times New Roman"/>
          <w:sz w:val="32"/>
          <w:szCs w:val="32"/>
          <w:shd w:val="clear" w:color="auto" w:fill="FFFFFF"/>
        </w:rPr>
        <w:t>万元，与2023年度相比，增加6.20万元，增长100.0%，主要原因是</w:t>
      </w:r>
      <w:r>
        <w:rPr>
          <w:rFonts w:hint="default" w:ascii="Times New Roman" w:hAnsi="Times New Roman" w:eastAsia="方正仿宋_GBK" w:cs="Times New Roman"/>
          <w:sz w:val="32"/>
          <w:szCs w:val="32"/>
          <w:shd w:val="clear" w:color="auto" w:fill="FFFFFF"/>
          <w:lang w:val="en-US" w:eastAsia="zh-CN"/>
        </w:rPr>
        <w:t>2024年度我单位按照财政局相关要求单独编制决算，故本年决算数据全面反映我单位的开支明细，最终形成2024年度公用经费支出较2023年增加6.20万元</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val="en-US" w:eastAsia="zh-CN"/>
        </w:rPr>
        <w:t>办公费、水费、电费、邮电费、差旅费、维修（护）费等。</w:t>
      </w:r>
    </w:p>
    <w:p w14:paraId="6FD75144">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（五）政府性基金预算收支决算情况说明</w:t>
      </w:r>
    </w:p>
    <w:p w14:paraId="795BD00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14:paraId="6B5DD307">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lang w:val="en-US" w:eastAsia="zh-CN" w:bidi="ar-SA"/>
        </w:rPr>
        <w:t>（六）国有资本经营预算财政拨款支出决算情况说明</w:t>
      </w:r>
    </w:p>
    <w:p w14:paraId="48198BA2">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度无国有资本经营预算财政拨款支出。</w:t>
      </w:r>
    </w:p>
    <w:p w14:paraId="25DDFB5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三、</w:t>
      </w:r>
      <w:r>
        <w:rPr>
          <w:rStyle w:val="8"/>
          <w:rFonts w:hint="default" w:ascii="Times New Roman" w:hAnsi="Times New Roman" w:eastAsia="方正黑体_GBK" w:cs="Times New Roman"/>
          <w:b w:val="0"/>
          <w:bCs/>
          <w:sz w:val="32"/>
          <w:szCs w:val="32"/>
          <w:shd w:val="clear" w:color="auto" w:fill="FFFFFF"/>
          <w:lang w:eastAsia="zh-CN"/>
        </w:rPr>
        <w:t>财政拨款</w:t>
      </w:r>
      <w:r>
        <w:rPr>
          <w:rStyle w:val="8"/>
          <w:rFonts w:hint="default" w:ascii="Times New Roman" w:hAnsi="Times New Roman" w:eastAsia="方正黑体_GBK" w:cs="Times New Roman"/>
          <w:b w:val="0"/>
          <w:bCs/>
          <w:sz w:val="32"/>
          <w:szCs w:val="32"/>
          <w:shd w:val="clear" w:color="auto" w:fill="FFFFFF"/>
        </w:rPr>
        <w:t>“三公”经费情况说明</w:t>
      </w:r>
    </w:p>
    <w:p w14:paraId="3CD54A21">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rPr>
        <w:t xml:space="preserve"> </w:t>
      </w:r>
      <w:r>
        <w:rPr>
          <w:rStyle w:val="8"/>
          <w:rFonts w:hint="default" w:ascii="Times New Roman" w:hAnsi="Times New Roman" w:eastAsia="方正楷体_GBK" w:cs="Times New Roman"/>
          <w:b w:val="0"/>
          <w:bCs/>
          <w:sz w:val="32"/>
          <w:szCs w:val="32"/>
          <w:shd w:val="clear" w:color="auto" w:fill="FFFFFF"/>
          <w:lang w:val="en-US" w:eastAsia="zh-CN" w:bidi="ar-SA"/>
        </w:rPr>
        <w:t>（一）“三公”经费支出总体情况说明</w:t>
      </w:r>
    </w:p>
    <w:p w14:paraId="141D9D2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14:paraId="65208ADF">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（二）“三公”经费分项支出情况</w:t>
      </w:r>
    </w:p>
    <w:p w14:paraId="0F09059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14:paraId="3EAA40F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14:paraId="2B83D50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14:paraId="5BD283B0">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14:paraId="6E232F12">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（三）“三公”经费实物量情况</w:t>
      </w:r>
    </w:p>
    <w:p w14:paraId="1C0A776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222E537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四、其他需要说明的事项</w:t>
      </w:r>
    </w:p>
    <w:p w14:paraId="58839210">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 xml:space="preserve"> （一）财政拨款会议费和培训费情况说明</w:t>
      </w:r>
    </w:p>
    <w:p w14:paraId="53C1BC4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万元，与2023年度相比，无变化。</w:t>
      </w:r>
    </w:p>
    <w:p w14:paraId="6A3189FB">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（二）机关运行经费情况说明</w:t>
      </w:r>
    </w:p>
    <w:p w14:paraId="44120B2D">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sz w:val="32"/>
          <w:szCs w:val="32"/>
          <w:shd w:val="clear" w:color="auto" w:fill="FFFFFF"/>
          <w:lang w:eastAsia="zh-CN"/>
        </w:rPr>
        <w:t>。</w:t>
      </w:r>
    </w:p>
    <w:p w14:paraId="0C0EDBD4">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（三）国有资产占用情况说明</w:t>
      </w:r>
    </w:p>
    <w:p w14:paraId="11EF603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738EA9B0">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（四）政府采购支出情况说明</w:t>
      </w:r>
    </w:p>
    <w:p w14:paraId="5BBEC8A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w:t>
      </w:r>
    </w:p>
    <w:p w14:paraId="3DC3029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val="en-US" w:eastAsia="zh-CN" w:bidi="ar-SA"/>
        </w:rPr>
      </w:pPr>
      <w:r>
        <w:rPr>
          <w:rStyle w:val="8"/>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14:paraId="07BEE839">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（一）预算绩效管理工作开展情况</w:t>
      </w:r>
    </w:p>
    <w:p w14:paraId="7D73DBEB">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根据预算绩效管理要求，我单位对</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个项目开展了绩效自评，其中，以填报自评表形式开展自评</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项，涉及资金</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万元；以委托第三方出具报告的方式（如有）开展绩效评价</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项，涉及资金</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万元。</w:t>
      </w:r>
    </w:p>
    <w:p w14:paraId="627093F2">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（二）绩效自评结果</w:t>
      </w:r>
    </w:p>
    <w:p w14:paraId="7B4C5519">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1.项目绩效自评表。</w:t>
      </w:r>
    </w:p>
    <w:p w14:paraId="24C60931">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lang w:val="en-US" w:eastAsia="zh-CN"/>
        </w:rPr>
        <w:t>我单位无项目绩效评价</w:t>
      </w:r>
      <w:r>
        <w:rPr>
          <w:rFonts w:hint="default" w:ascii="Times New Roman" w:hAnsi="Times New Roman" w:eastAsia="方正仿宋_GBK" w:cs="Times New Roman"/>
          <w:kern w:val="0"/>
          <w:sz w:val="32"/>
          <w:szCs w:val="32"/>
          <w:shd w:val="clear" w:fill="FFFFFF"/>
        </w:rPr>
        <w:t>。</w:t>
      </w:r>
    </w:p>
    <w:p w14:paraId="3473E2C1">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2.项目绩效自评报告或案例。</w:t>
      </w:r>
    </w:p>
    <w:p w14:paraId="1459140F">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我单位未委托第三方开展绩效评价。</w:t>
      </w:r>
    </w:p>
    <w:p w14:paraId="7B0C5AA1">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3.关于绩效自评结果的说明。</w:t>
      </w:r>
    </w:p>
    <w:p w14:paraId="38B446A7">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我单位对</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项目进行绩效自评，其中</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个已完成年度绩效目标，</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个未完成年度绩效目标。</w:t>
      </w:r>
    </w:p>
    <w:p w14:paraId="2D6E67EB">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 xml:space="preserve">（三）财政重点绩效评价情况 </w:t>
      </w:r>
    </w:p>
    <w:p w14:paraId="6CE1CB19">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880" w:firstLineChars="275"/>
        <w:textAlignment w:val="auto"/>
        <w:rPr>
          <w:rFonts w:hint="default" w:ascii="Times New Roman" w:hAnsi="Times New Roman" w:eastAsia="方正仿宋_GBK" w:cs="Times New Roman"/>
          <w:kern w:val="0"/>
          <w:sz w:val="32"/>
          <w:szCs w:val="32"/>
          <w:shd w:val="clear" w:fill="FFFFFF"/>
          <w:lang w:val="en-US" w:eastAsia="zh-CN" w:bidi="ar"/>
        </w:rPr>
      </w:pPr>
      <w:r>
        <w:rPr>
          <w:rFonts w:hint="default" w:ascii="Times New Roman" w:hAnsi="Times New Roman" w:eastAsia="方正仿宋_GBK" w:cs="Times New Roman"/>
          <w:kern w:val="0"/>
          <w:sz w:val="32"/>
          <w:szCs w:val="32"/>
          <w:shd w:val="clear" w:fill="FFFFFF"/>
          <w:lang w:val="en-US" w:eastAsia="zh-CN" w:bidi="ar"/>
        </w:rPr>
        <w:t>我单位无财政重点绩效评价项目。</w:t>
      </w:r>
    </w:p>
    <w:p w14:paraId="116F1C77">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Style w:val="8"/>
          <w:rFonts w:hint="default" w:ascii="Times New Roman" w:hAnsi="Times New Roman" w:eastAsia="方正黑体_GBK" w:cs="Times New Roman"/>
          <w:b w:val="0"/>
          <w:bCs/>
          <w:sz w:val="32"/>
          <w:szCs w:val="32"/>
          <w:shd w:val="clear" w:color="auto" w:fill="FFFFFF"/>
          <w:lang w:val="en-US" w:eastAsia="zh-CN" w:bidi="ar-SA"/>
        </w:rPr>
      </w:pPr>
      <w:r>
        <w:rPr>
          <w:rStyle w:val="11"/>
          <w:rFonts w:hint="default" w:ascii="Times New Roman" w:hAnsi="Times New Roman" w:eastAsia="方正仿宋_GBK" w:cs="Times New Roman"/>
          <w:b/>
          <w:bCs/>
          <w:sz w:val="32"/>
          <w:szCs w:val="32"/>
          <w:shd w:val="clear" w:fill="FFFFFF"/>
        </w:rPr>
        <w:t xml:space="preserve"> </w:t>
      </w:r>
      <w:r>
        <w:rPr>
          <w:rStyle w:val="11"/>
          <w:rFonts w:hint="default" w:ascii="Times New Roman" w:hAnsi="Times New Roman" w:eastAsia="方正仿宋_GBK" w:cs="Times New Roman"/>
          <w:b/>
          <w:bCs/>
          <w:sz w:val="32"/>
          <w:szCs w:val="32"/>
          <w:shd w:val="clear" w:fill="FFFFFF"/>
          <w:lang w:val="en-US" w:eastAsia="zh-CN"/>
        </w:rPr>
        <w:t xml:space="preserve">  </w:t>
      </w:r>
      <w:r>
        <w:rPr>
          <w:rStyle w:val="8"/>
          <w:rFonts w:hint="default" w:ascii="Times New Roman" w:hAnsi="Times New Roman" w:eastAsia="方正黑体_GBK" w:cs="Times New Roman"/>
          <w:b w:val="0"/>
          <w:bCs/>
          <w:sz w:val="32"/>
          <w:szCs w:val="32"/>
          <w:shd w:val="clear" w:color="auto" w:fill="FFFFFF"/>
          <w:lang w:val="en-US" w:eastAsia="zh-CN" w:bidi="ar-SA"/>
        </w:rPr>
        <w:t xml:space="preserve"> 六、专业名词解释</w:t>
      </w:r>
    </w:p>
    <w:p w14:paraId="4B2A58A7">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340F38CA">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3F18E500">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3DD61453">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D90868B">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985D442">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61DCFC94">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62E45942">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2E160E45">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CFFDE74">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4CF19161">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6A9E1779">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85BDDBF">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23933A3">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26AF5F5D">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40FDD5E6">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02F23193">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B88E1BC">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val="en-US" w:eastAsia="zh-CN" w:bidi="ar-SA"/>
        </w:rPr>
      </w:pPr>
      <w:r>
        <w:rPr>
          <w:rStyle w:val="8"/>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14:paraId="54C9FFEC">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本单位决算公开信息反馈和联系方式：</w:t>
      </w:r>
    </w:p>
    <w:p w14:paraId="28A417C2">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kern w:val="0"/>
          <w:sz w:val="32"/>
          <w:szCs w:val="32"/>
          <w:shd w:val="clear" w:fill="FFFFFF"/>
          <w:lang w:eastAsia="zh-CN"/>
        </w:rPr>
        <w:t>何欣</w:t>
      </w:r>
      <w:r>
        <w:rPr>
          <w:rFonts w:hint="default" w:ascii="Times New Roman" w:hAnsi="Times New Roman" w:eastAsia="方正仿宋_GBK" w:cs="Times New Roman"/>
          <w:color w:val="auto"/>
          <w:kern w:val="0"/>
          <w:sz w:val="32"/>
          <w:szCs w:val="32"/>
          <w:shd w:val="clear" w:fill="FFFFFF"/>
        </w:rPr>
        <w:t>023-</w:t>
      </w:r>
      <w:r>
        <w:rPr>
          <w:rFonts w:hint="default" w:ascii="Times New Roman" w:hAnsi="Times New Roman" w:eastAsia="方正仿宋_GBK" w:cs="Times New Roman"/>
          <w:color w:val="auto"/>
          <w:kern w:val="0"/>
          <w:sz w:val="32"/>
          <w:szCs w:val="32"/>
          <w:shd w:val="clear" w:fill="FFFFFF"/>
          <w:lang w:val="en-US" w:eastAsia="zh-CN"/>
        </w:rPr>
        <w:t>45851201</w:t>
      </w:r>
    </w:p>
    <w:p w14:paraId="2B2DF631">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bCs/>
          <w:sz w:val="32"/>
          <w:szCs w:val="32"/>
          <w:shd w:val="clear" w:fill="FFFF00"/>
          <w:lang w:val="en-US" w:eastAsia="zh-CN"/>
        </w:rPr>
      </w:pPr>
    </w:p>
    <w:bookmarkEnd w:id="0"/>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698EE">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9808F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49808F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9CABAA4">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9CABAA4">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918D2">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172A27"/>
    <w:rsid w:val="00550ABE"/>
    <w:rsid w:val="007B419D"/>
    <w:rsid w:val="009B67B8"/>
    <w:rsid w:val="00B03CCD"/>
    <w:rsid w:val="00FE7556"/>
    <w:rsid w:val="01474EBF"/>
    <w:rsid w:val="01F3521E"/>
    <w:rsid w:val="03E3214F"/>
    <w:rsid w:val="04446191"/>
    <w:rsid w:val="044C50BA"/>
    <w:rsid w:val="06A2550B"/>
    <w:rsid w:val="06F80EE2"/>
    <w:rsid w:val="07001CCA"/>
    <w:rsid w:val="074D2A3E"/>
    <w:rsid w:val="075678DB"/>
    <w:rsid w:val="08051BCA"/>
    <w:rsid w:val="08887FC5"/>
    <w:rsid w:val="08B84F60"/>
    <w:rsid w:val="08BA052C"/>
    <w:rsid w:val="08DB07BA"/>
    <w:rsid w:val="098305D0"/>
    <w:rsid w:val="09B72B6E"/>
    <w:rsid w:val="0A3851D8"/>
    <w:rsid w:val="0A572B4D"/>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3F246E"/>
    <w:rsid w:val="1CE157EE"/>
    <w:rsid w:val="1D014A01"/>
    <w:rsid w:val="1D022362"/>
    <w:rsid w:val="1DD26311"/>
    <w:rsid w:val="1EC44B70"/>
    <w:rsid w:val="1EF67CA4"/>
    <w:rsid w:val="1F456723"/>
    <w:rsid w:val="1FCD26AF"/>
    <w:rsid w:val="20642787"/>
    <w:rsid w:val="21556F04"/>
    <w:rsid w:val="22403BD3"/>
    <w:rsid w:val="247851BC"/>
    <w:rsid w:val="24916252"/>
    <w:rsid w:val="24932670"/>
    <w:rsid w:val="24B92327"/>
    <w:rsid w:val="2533755C"/>
    <w:rsid w:val="26396DF4"/>
    <w:rsid w:val="270642A6"/>
    <w:rsid w:val="27167136"/>
    <w:rsid w:val="27B23302"/>
    <w:rsid w:val="285B74AA"/>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3732BA9"/>
    <w:rsid w:val="352930DB"/>
    <w:rsid w:val="35573069"/>
    <w:rsid w:val="358C217E"/>
    <w:rsid w:val="359F188C"/>
    <w:rsid w:val="35BE6AFB"/>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251411"/>
    <w:rsid w:val="40FD5440"/>
    <w:rsid w:val="411B6CE5"/>
    <w:rsid w:val="412070D7"/>
    <w:rsid w:val="41314E40"/>
    <w:rsid w:val="4142353C"/>
    <w:rsid w:val="415C674B"/>
    <w:rsid w:val="41BE3135"/>
    <w:rsid w:val="426C1EA8"/>
    <w:rsid w:val="42E86A87"/>
    <w:rsid w:val="43136432"/>
    <w:rsid w:val="43770A38"/>
    <w:rsid w:val="443A3B12"/>
    <w:rsid w:val="44A854C2"/>
    <w:rsid w:val="44DD597D"/>
    <w:rsid w:val="465B470D"/>
    <w:rsid w:val="469D6AD4"/>
    <w:rsid w:val="46FC41C7"/>
    <w:rsid w:val="47674801"/>
    <w:rsid w:val="48225EF7"/>
    <w:rsid w:val="4884619D"/>
    <w:rsid w:val="495C4A24"/>
    <w:rsid w:val="4AD70EE7"/>
    <w:rsid w:val="4B7951CB"/>
    <w:rsid w:val="4B7C315C"/>
    <w:rsid w:val="4BAB7F90"/>
    <w:rsid w:val="4BAE01F4"/>
    <w:rsid w:val="4DAC4ACA"/>
    <w:rsid w:val="4F186D58"/>
    <w:rsid w:val="50EC262C"/>
    <w:rsid w:val="522F6E0C"/>
    <w:rsid w:val="52463BA1"/>
    <w:rsid w:val="528C3333"/>
    <w:rsid w:val="53C0244D"/>
    <w:rsid w:val="53DD4D4E"/>
    <w:rsid w:val="53E578CE"/>
    <w:rsid w:val="543B029D"/>
    <w:rsid w:val="545D0246"/>
    <w:rsid w:val="554E5773"/>
    <w:rsid w:val="555A3CBC"/>
    <w:rsid w:val="56530F5D"/>
    <w:rsid w:val="5837224E"/>
    <w:rsid w:val="5842572D"/>
    <w:rsid w:val="5AE75037"/>
    <w:rsid w:val="5B58571C"/>
    <w:rsid w:val="5B8376C2"/>
    <w:rsid w:val="5B96133A"/>
    <w:rsid w:val="5C1336B7"/>
    <w:rsid w:val="5C151F57"/>
    <w:rsid w:val="5C263CE4"/>
    <w:rsid w:val="5C495DD3"/>
    <w:rsid w:val="5C5D2777"/>
    <w:rsid w:val="5CCA7065"/>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506D72"/>
    <w:rsid w:val="63A23897"/>
    <w:rsid w:val="63C25DC5"/>
    <w:rsid w:val="63C62057"/>
    <w:rsid w:val="63C73832"/>
    <w:rsid w:val="64FB113D"/>
    <w:rsid w:val="654E4D38"/>
    <w:rsid w:val="656152C6"/>
    <w:rsid w:val="6587477F"/>
    <w:rsid w:val="658C3A08"/>
    <w:rsid w:val="65C031CA"/>
    <w:rsid w:val="65CE6852"/>
    <w:rsid w:val="66246F63"/>
    <w:rsid w:val="66267C04"/>
    <w:rsid w:val="663F505A"/>
    <w:rsid w:val="665C1999"/>
    <w:rsid w:val="667F2393"/>
    <w:rsid w:val="66EE5541"/>
    <w:rsid w:val="68E64866"/>
    <w:rsid w:val="692172FD"/>
    <w:rsid w:val="6A3829EE"/>
    <w:rsid w:val="6B474EF5"/>
    <w:rsid w:val="6C560CAE"/>
    <w:rsid w:val="6D0615E4"/>
    <w:rsid w:val="6D903FF5"/>
    <w:rsid w:val="6DA955B8"/>
    <w:rsid w:val="6DE346AB"/>
    <w:rsid w:val="6F7F6A2D"/>
    <w:rsid w:val="6FB442D1"/>
    <w:rsid w:val="6FEF28E8"/>
    <w:rsid w:val="6FFB2E76"/>
    <w:rsid w:val="704368F9"/>
    <w:rsid w:val="70BF3836"/>
    <w:rsid w:val="71C34D91"/>
    <w:rsid w:val="71ED38AA"/>
    <w:rsid w:val="720229AA"/>
    <w:rsid w:val="72DB435C"/>
    <w:rsid w:val="72F86B4E"/>
    <w:rsid w:val="73DC2153"/>
    <w:rsid w:val="74D379E1"/>
    <w:rsid w:val="750837F0"/>
    <w:rsid w:val="764F62AB"/>
    <w:rsid w:val="765C45EC"/>
    <w:rsid w:val="768A7619"/>
    <w:rsid w:val="76E14979"/>
    <w:rsid w:val="77043E82"/>
    <w:rsid w:val="77EA362A"/>
    <w:rsid w:val="7875383E"/>
    <w:rsid w:val="793F7A76"/>
    <w:rsid w:val="796D60A4"/>
    <w:rsid w:val="79A031D5"/>
    <w:rsid w:val="7A1525F7"/>
    <w:rsid w:val="7A3E6CB6"/>
    <w:rsid w:val="7A680D2D"/>
    <w:rsid w:val="7B260559"/>
    <w:rsid w:val="7B420052"/>
    <w:rsid w:val="7BD06A28"/>
    <w:rsid w:val="7C1E4CD7"/>
    <w:rsid w:val="7C3A7C0B"/>
    <w:rsid w:val="7C5248E4"/>
    <w:rsid w:val="7C566698"/>
    <w:rsid w:val="7FA960B8"/>
    <w:rsid w:val="7FF33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4930</Words>
  <Characters>5485</Characters>
  <Lines>161</Lines>
  <Paragraphs>45</Paragraphs>
  <TotalTime>4</TotalTime>
  <ScaleCrop>false</ScaleCrop>
  <LinksUpToDate>false</LinksUpToDate>
  <CharactersWithSpaces>5496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郑静</cp:lastModifiedBy>
  <dcterms:modified xsi:type="dcterms:W3CDTF">2025-10-29T12:54:51Z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9EDAFD8FD9424A54844071572B3E9A06_13</vt:lpwstr>
  </property>
  <property fmtid="{D5CDD505-2E9C-101B-9397-08002B2CF9AE}" pid="4" name="KSOTemplateDocerSaveRecord">
    <vt:lpwstr>eyJoZGlkIjoiOGRkYjliYWRhOGJlMDhjN2U4YmIzODMwNjU5Zjk2OGEiLCJ1c2VySWQiOiI0MzczMzg3NTQifQ==</vt:lpwstr>
  </property>
</Properties>
</file>