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D9BEB">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重庆市铜梁区白羊镇乡村产业培育中心</w:t>
      </w:r>
    </w:p>
    <w:p w14:paraId="04AA3069">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7C54DE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5620003D">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（一）职能职责</w:t>
      </w:r>
    </w:p>
    <w:p w14:paraId="1880371A">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主要职责任务是承担产业规划、引进</w:t>
      </w:r>
      <w:r>
        <w:rPr>
          <w:rFonts w:hint="default" w:ascii="Times New Roman" w:hAnsi="Times New Roman" w:eastAsia="方正仿宋_GBK" w:cs="Times New Roman"/>
          <w:color w:val="auto"/>
          <w:sz w:val="32"/>
          <w:szCs w:val="32"/>
          <w:shd w:val="clear" w:color="auto" w:fill="FFFFFF"/>
        </w:rPr>
        <w:t>培育</w:t>
      </w:r>
      <w:r>
        <w:rPr>
          <w:rFonts w:hint="default" w:ascii="Times New Roman" w:hAnsi="Times New Roman" w:eastAsia="方正仿宋_GBK" w:cs="Times New Roman"/>
          <w:color w:val="auto"/>
          <w:sz w:val="32"/>
          <w:szCs w:val="32"/>
          <w:shd w:val="clear" w:color="auto" w:fill="FFFFFF"/>
        </w:rPr>
        <w:t>等工作，提振乡村经济发展，承担各类招商项目洽谈、推介活动等投资促进具体工作，承担扶贫开发等事务性工作，完成主管部门交办的其他任务。</w:t>
      </w:r>
    </w:p>
    <w:p w14:paraId="6B11A2F2">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机构设置</w:t>
      </w:r>
    </w:p>
    <w:p w14:paraId="7059238A">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重庆市铜梁区白羊镇乡村产业培育中心是重庆市铜梁区白羊镇人民政府下属事业单位，故我单位不存在内部机构设置。</w:t>
      </w:r>
    </w:p>
    <w:p w14:paraId="6984FF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3B4637A1">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2A634EE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度收入总计55.25万元，支出总计</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万元。收、支与2023年度相比，增加55.25万元，增长100.0%，主要原因是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2024年度我单位按财政局要求独编报，故我单位为新增单位，收、支较2023年度各增加55.25万元。</w:t>
      </w:r>
    </w:p>
    <w:p w14:paraId="7DFB7B1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度收入合计55.25万元，与2023年度相比，增加55.25万元，增长100.0%，主要原因是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lang w:val="en-US" w:eastAsia="zh-CN"/>
        </w:rPr>
        <w:t>55.25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AC0E5C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万元，与2023年度相比，增加55.25万元，增长100.0%，主要原因是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w:t>
      </w:r>
      <w:r>
        <w:rPr>
          <w:rFonts w:hint="default" w:ascii="Times New Roman" w:hAnsi="Times New Roman" w:eastAsia="方正仿宋_GBK" w:cs="Times New Roman"/>
          <w:sz w:val="32"/>
          <w:szCs w:val="32"/>
          <w:shd w:val="clear" w:color="auto" w:fill="FFFFFF"/>
          <w:lang w:eastAsia="zh-CN" w:bidi="ar-SA"/>
        </w:rPr>
        <w:t>单独</w:t>
      </w:r>
      <w:r>
        <w:rPr>
          <w:rFonts w:hint="default" w:ascii="Times New Roman" w:hAnsi="Times New Roman" w:eastAsia="方正仿宋_GBK" w:cs="Times New Roman"/>
          <w:sz w:val="32"/>
          <w:szCs w:val="32"/>
          <w:shd w:val="clear" w:color="auto" w:fill="FFFFFF"/>
          <w:lang w:val="en-US" w:eastAsia="zh-CN" w:bidi="ar-SA"/>
        </w:rPr>
        <w:t>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lang w:val="en-US" w:eastAsia="zh-CN"/>
        </w:rPr>
        <w:t>55.25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0FE601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54964B8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6C274C3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度财政拨款收、支总计55.25万元。与202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年相比，财政拨款收、支总计各增加55.25万元，增长100.0%。主要原因是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w:t>
      </w:r>
      <w:r>
        <w:rPr>
          <w:rFonts w:hint="default" w:ascii="Times New Roman" w:hAnsi="Times New Roman" w:eastAsia="方正仿宋_GBK" w:cs="Times New Roman"/>
          <w:sz w:val="32"/>
          <w:szCs w:val="32"/>
          <w:shd w:val="clear" w:color="auto" w:fill="FFFFFF"/>
          <w:lang w:eastAsia="zh-CN" w:bidi="ar-SA"/>
        </w:rPr>
        <w:t>单独</w:t>
      </w:r>
      <w:r>
        <w:rPr>
          <w:rFonts w:hint="default" w:ascii="Times New Roman" w:hAnsi="Times New Roman" w:eastAsia="方正仿宋_GBK" w:cs="Times New Roman"/>
          <w:sz w:val="32"/>
          <w:szCs w:val="32"/>
          <w:shd w:val="clear" w:color="auto" w:fill="FFFFFF"/>
          <w:lang w:val="en-US" w:eastAsia="zh-CN" w:bidi="ar-SA"/>
        </w:rPr>
        <w:t>列示，2024年度我单位按照财政局相关要求单独编制决算，故本年决算数据全面反映我单位的开支明细，最终形成2024年度收、支较2023年各增加</w:t>
      </w:r>
      <w:r>
        <w:rPr>
          <w:rFonts w:hint="default" w:ascii="Times New Roman" w:hAnsi="Times New Roman" w:eastAsia="方正仿宋_GBK" w:cs="Times New Roman"/>
          <w:sz w:val="32"/>
          <w:szCs w:val="32"/>
          <w:shd w:val="clear" w:color="auto" w:fill="FFFFFF"/>
          <w:lang w:val="en-US" w:eastAsia="zh-CN"/>
        </w:rPr>
        <w:t>55.25</w:t>
      </w:r>
      <w:r>
        <w:rPr>
          <w:rFonts w:hint="default" w:ascii="Times New Roman" w:hAnsi="Times New Roman" w:eastAsia="方正仿宋_GBK" w:cs="Times New Roman"/>
          <w:sz w:val="32"/>
          <w:szCs w:val="32"/>
          <w:shd w:val="clear" w:color="auto" w:fill="FFFFFF"/>
          <w:lang w:val="en-US" w:eastAsia="zh-CN" w:bidi="ar-SA"/>
        </w:rPr>
        <w:t>万元。</w:t>
      </w:r>
    </w:p>
    <w:p w14:paraId="265ABE7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7BF5CC0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万元，与2023年度相比，增加55.25万元，增长100.0%。主要原因是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w:t>
      </w:r>
      <w:r>
        <w:rPr>
          <w:rFonts w:hint="default" w:ascii="Times New Roman" w:hAnsi="Times New Roman" w:eastAsia="方正仿宋_GBK" w:cs="Times New Roman"/>
          <w:sz w:val="32"/>
          <w:szCs w:val="32"/>
          <w:shd w:val="clear" w:color="auto" w:fill="FFFFFF"/>
          <w:lang w:eastAsia="zh-CN" w:bidi="ar-SA"/>
        </w:rPr>
        <w:t>单独</w:t>
      </w:r>
      <w:r>
        <w:rPr>
          <w:rFonts w:hint="default" w:ascii="Times New Roman" w:hAnsi="Times New Roman" w:eastAsia="方正仿宋_GBK" w:cs="Times New Roman"/>
          <w:sz w:val="32"/>
          <w:szCs w:val="32"/>
          <w:shd w:val="clear" w:color="auto" w:fill="FFFFFF"/>
          <w:lang w:val="en-US" w:eastAsia="zh-CN" w:bidi="ar-SA"/>
        </w:rPr>
        <w:t>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lang w:val="en-US" w:eastAsia="zh-CN"/>
        </w:rPr>
        <w:t>55.25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较年初预算数减少3.19万元，下降5.5%。主要原因是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未休假补贴等资金未全额拨付，导致2024年度决算收入较年初预算数减少3.19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8679DC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万元，与2023年度相比，增加55.25万元，增长100.0%。主要原因是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w:t>
      </w:r>
      <w:r>
        <w:rPr>
          <w:rFonts w:hint="default" w:ascii="Times New Roman" w:hAnsi="Times New Roman" w:eastAsia="方正仿宋_GBK" w:cs="Times New Roman"/>
          <w:sz w:val="32"/>
          <w:szCs w:val="32"/>
          <w:shd w:val="clear" w:color="auto" w:fill="FFFFFF"/>
          <w:lang w:eastAsia="zh-CN" w:bidi="ar-SA"/>
        </w:rPr>
        <w:t>单独</w:t>
      </w:r>
      <w:r>
        <w:rPr>
          <w:rFonts w:hint="default" w:ascii="Times New Roman" w:hAnsi="Times New Roman" w:eastAsia="方正仿宋_GBK" w:cs="Times New Roman"/>
          <w:sz w:val="32"/>
          <w:szCs w:val="32"/>
          <w:shd w:val="clear" w:color="auto" w:fill="FFFFFF"/>
          <w:lang w:val="en-US" w:eastAsia="zh-CN" w:bidi="ar-SA"/>
        </w:rPr>
        <w:t>列示，2024年度我单位按照财政局相关要求单独编制决算，故本年决算数据全面反映我单位的开支明细，最终形成2024年度</w:t>
      </w:r>
      <w:r>
        <w:rPr>
          <w:rFonts w:hint="default" w:ascii="Times New Roman" w:hAnsi="Times New Roman" w:eastAsia="方正仿宋_GBK" w:cs="Times New Roman"/>
          <w:sz w:val="32"/>
          <w:szCs w:val="32"/>
          <w:shd w:val="clear" w:color="auto" w:fill="FFFFFF"/>
        </w:rPr>
        <w:t>一般公共预算财政拨款支出</w:t>
      </w:r>
      <w:r>
        <w:rPr>
          <w:rFonts w:hint="default" w:ascii="Times New Roman" w:hAnsi="Times New Roman" w:eastAsia="方正仿宋_GBK" w:cs="Times New Roman"/>
          <w:sz w:val="32"/>
          <w:szCs w:val="32"/>
          <w:shd w:val="clear" w:color="auto" w:fill="FFFFFF"/>
          <w:lang w:val="en-US" w:eastAsia="zh-CN" w:bidi="ar-SA"/>
        </w:rPr>
        <w:t>较2023年增加</w:t>
      </w:r>
      <w:r>
        <w:rPr>
          <w:rFonts w:hint="default" w:ascii="Times New Roman" w:hAnsi="Times New Roman" w:eastAsia="方正仿宋_GBK" w:cs="Times New Roman"/>
          <w:sz w:val="32"/>
          <w:szCs w:val="32"/>
          <w:shd w:val="clear" w:color="auto" w:fill="FFFFFF"/>
          <w:lang w:val="en-US" w:eastAsia="zh-CN"/>
        </w:rPr>
        <w:t>55.25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较年初预算数减少3.19万元，下降5.5%。主要原因是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未休假补贴等资金未全额拨付，导致2024年度决算收入较年初预算数减少3.19万元。</w:t>
      </w:r>
    </w:p>
    <w:p w14:paraId="137F375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C81AC8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E4B376E">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11.89</w:t>
      </w:r>
      <w:r>
        <w:rPr>
          <w:rFonts w:hint="default" w:ascii="Times New Roman" w:hAnsi="Times New Roman" w:eastAsia="方正仿宋_GBK" w:cs="Times New Roman"/>
          <w:sz w:val="32"/>
          <w:szCs w:val="32"/>
          <w:shd w:val="clear" w:color="auto" w:fill="FFFFFF"/>
        </w:rPr>
        <w:t>%，较年初预算数减少0.10万元，下降1.5%，主要原因是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2024年度区财政局为优先保障“三保”等重点支出，对我单位部分非紧急、非刚性的项目支出进行了暂缓支出，我单位涉及退休医保垫底资金、养老保险等未全额拨付，最终形成2024年度决算支出低于年初预算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2C5BCB5B">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2.58</w:t>
      </w:r>
      <w:r>
        <w:rPr>
          <w:rFonts w:hint="default" w:ascii="Times New Roman" w:hAnsi="Times New Roman" w:eastAsia="方正仿宋_GBK" w:cs="Times New Roman"/>
          <w:sz w:val="32"/>
          <w:szCs w:val="32"/>
          <w:shd w:val="clear" w:color="auto" w:fill="FFFFFF"/>
        </w:rPr>
        <w:t>%，较年初预算数减少0.51万元，下降26.4%，主要原因是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在职公务员医疗补助缴费、职工基本医疗保险缴费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0FEFC5D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45.48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82.31</w:t>
      </w:r>
      <w:r>
        <w:rPr>
          <w:rFonts w:hint="default" w:ascii="Times New Roman" w:hAnsi="Times New Roman" w:eastAsia="方正仿宋_GBK" w:cs="Times New Roman"/>
          <w:sz w:val="32"/>
          <w:szCs w:val="32"/>
          <w:shd w:val="clear" w:color="auto" w:fill="FFFFFF"/>
        </w:rPr>
        <w:t>%，较年初预算数减少2.58万元，下降5.4%，主要原因是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2024年度区财政局为优先保障“三保”等重点支出，对我单位部分非紧急、非刚性的项目支出进行了暂缓支出，我单位涉及乡村振兴工作经费、未休假补贴等未全额拨付，最终形成2024年度决算支出低于年初预算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6C2589CF">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3.22</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4946E95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3D96233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55.25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49.05</w:t>
      </w:r>
      <w:r>
        <w:rPr>
          <w:rFonts w:hint="default" w:ascii="Times New Roman" w:hAnsi="Times New Roman" w:eastAsia="方正仿宋_GBK" w:cs="Times New Roman"/>
          <w:sz w:val="32"/>
          <w:szCs w:val="32"/>
          <w:shd w:val="clear" w:color="auto" w:fill="FFFFFF"/>
        </w:rPr>
        <w:t>万元，与2023年度相比，增加49.05万元，增长100.0%，主要原因是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w:t>
      </w:r>
      <w:r>
        <w:rPr>
          <w:rFonts w:hint="default" w:ascii="Times New Roman" w:hAnsi="Times New Roman" w:eastAsia="方正仿宋_GBK" w:cs="Times New Roman"/>
          <w:sz w:val="32"/>
          <w:szCs w:val="32"/>
          <w:shd w:val="clear" w:color="auto" w:fill="FFFFFF"/>
          <w:lang w:eastAsia="zh-CN"/>
        </w:rPr>
        <w:t>单独</w:t>
      </w:r>
      <w:r>
        <w:rPr>
          <w:rFonts w:hint="default" w:ascii="Times New Roman" w:hAnsi="Times New Roman" w:eastAsia="方正仿宋_GBK" w:cs="Times New Roman"/>
          <w:sz w:val="32"/>
          <w:szCs w:val="32"/>
          <w:shd w:val="clear" w:color="auto" w:fill="FFFFFF"/>
          <w:lang w:eastAsia="zh-CN"/>
        </w:rPr>
        <w:t>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2024年度我单位按照财政局相关要求单独编制决算，故本年决算数据全面反映我单位的开支明细，最终形成2024年度人员经费较2023年增加49.05万元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6.20</w:t>
      </w:r>
      <w:r>
        <w:rPr>
          <w:rFonts w:hint="default" w:ascii="Times New Roman" w:hAnsi="Times New Roman" w:eastAsia="方正仿宋_GBK" w:cs="Times New Roman"/>
          <w:sz w:val="32"/>
          <w:szCs w:val="32"/>
          <w:shd w:val="clear" w:color="auto" w:fill="FFFFFF"/>
        </w:rPr>
        <w:t>万元，与2023年度相比，增加6.20万元，增长100.0%，主要原因是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w:t>
      </w:r>
      <w:r>
        <w:rPr>
          <w:rFonts w:hint="default" w:ascii="Times New Roman" w:hAnsi="Times New Roman" w:eastAsia="方正仿宋_GBK" w:cs="Times New Roman"/>
          <w:sz w:val="32"/>
          <w:szCs w:val="32"/>
          <w:shd w:val="clear" w:color="auto" w:fill="FFFFFF"/>
          <w:lang w:eastAsia="zh-CN"/>
        </w:rPr>
        <w:t>单独</w:t>
      </w:r>
      <w:r>
        <w:rPr>
          <w:rFonts w:hint="default" w:ascii="Times New Roman" w:hAnsi="Times New Roman" w:eastAsia="方正仿宋_GBK" w:cs="Times New Roman"/>
          <w:sz w:val="32"/>
          <w:szCs w:val="32"/>
          <w:shd w:val="clear" w:color="auto" w:fill="FFFFFF"/>
          <w:lang w:eastAsia="zh-CN"/>
        </w:rPr>
        <w:t>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2024年度我单位按照财政局相关要求单独编制决算，故本年决算数据全面反映我单位的开支明细，最终形成2024年度公用经费较2023年增加6.20万元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办公费、水费、电费、邮电费、差旅费、维修（护）费等。</w:t>
      </w:r>
    </w:p>
    <w:p w14:paraId="615D2E7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57C8977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14:paraId="6D1EC4A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66401B9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14:paraId="06A39E1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0D089DF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14:paraId="5D80A1F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32EA97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（二）“三公”经费分项支出情况</w:t>
      </w:r>
    </w:p>
    <w:p w14:paraId="138999E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49E42FE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1E184B7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215AAF6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4F28304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（三）“三公”经费实物量情况</w:t>
      </w:r>
    </w:p>
    <w:p w14:paraId="291F512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4C5D8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14:paraId="4DA33E1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 （一）财政拨款会议费和培训费情况说明</w:t>
      </w:r>
    </w:p>
    <w:p w14:paraId="4ACF431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55400E0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2D555C3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shd w:val="clear" w:color="auto" w:fill="FFFFFF"/>
          <w:lang w:eastAsia="zh-CN"/>
        </w:rPr>
        <w:t>。</w:t>
      </w:r>
    </w:p>
    <w:p w14:paraId="69E9A8F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2E75FD0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D35AA0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342238B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14:paraId="60506EB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1F0DE93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7172960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w:t>
      </w:r>
    </w:p>
    <w:p w14:paraId="382D017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（二）绩效自评结果</w:t>
      </w:r>
    </w:p>
    <w:p w14:paraId="6BACB4B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2BA0D5D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我单位无项目绩效评价</w:t>
      </w:r>
      <w:r>
        <w:rPr>
          <w:rFonts w:hint="default" w:ascii="Times New Roman" w:hAnsi="Times New Roman" w:eastAsia="方正仿宋_GBK" w:cs="Times New Roman"/>
          <w:kern w:val="0"/>
          <w:sz w:val="32"/>
          <w:szCs w:val="32"/>
          <w:shd w:val="clear" w:fill="FFFFFF"/>
        </w:rPr>
        <w:t>。</w:t>
      </w:r>
    </w:p>
    <w:p w14:paraId="51B76B4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783FFA1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p>
    <w:p w14:paraId="3ACEBCD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2E6B8A7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个未完成年度绩效目标。</w:t>
      </w:r>
    </w:p>
    <w:p w14:paraId="22F92F9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（三）财政重点绩效评价情况 </w:t>
      </w:r>
    </w:p>
    <w:p w14:paraId="7165084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14:paraId="19ACCD1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1D606C9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20FBE1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6056580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w:t>
      </w:r>
      <w:r>
        <w:rPr>
          <w:rFonts w:hint="default" w:ascii="Times New Roman" w:hAnsi="Times New Roman" w:eastAsia="方正仿宋_GBK" w:cs="Times New Roman"/>
          <w:kern w:val="0"/>
          <w:sz w:val="32"/>
          <w:szCs w:val="32"/>
          <w:shd w:val="clear" w:fill="FFFFFF"/>
        </w:rPr>
        <w:t>单独</w:t>
      </w:r>
      <w:r>
        <w:rPr>
          <w:rFonts w:hint="default" w:ascii="Times New Roman" w:hAnsi="Times New Roman" w:eastAsia="方正仿宋_GBK" w:cs="Times New Roman"/>
          <w:kern w:val="0"/>
          <w:sz w:val="32"/>
          <w:szCs w:val="32"/>
          <w:shd w:val="clear" w:fill="FFFFFF"/>
        </w:rPr>
        <w:t>核算经营活动取得的现金流入。</w:t>
      </w:r>
    </w:p>
    <w:p w14:paraId="12BF2E1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F6E126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38DE00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81BEC4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770880D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6AB8548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7A1949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D602E7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1209C0C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19F5F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44070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320DC0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1184FE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77B26F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81E441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val="0"/>
          <w:kern w:val="0"/>
          <w:sz w:val="32"/>
          <w:szCs w:val="32"/>
        </w:rPr>
      </w:pPr>
      <w:r>
        <w:rPr>
          <w:rStyle w:val="11"/>
          <w:rFonts w:hint="default" w:ascii="Times New Roman" w:hAnsi="Times New Roman" w:eastAsia="方正黑体_GBK" w:cs="Times New Roman"/>
          <w:b w:val="0"/>
          <w:bCs w:val="0"/>
          <w:sz w:val="32"/>
          <w:szCs w:val="32"/>
          <w:shd w:val="clear" w:fill="FFFFFF"/>
          <w:lang w:val="en-US" w:eastAsia="zh-CN"/>
        </w:rPr>
        <w:t>七、决算公开联系方式及信息反馈渠道</w:t>
      </w:r>
    </w:p>
    <w:p w14:paraId="2EC2843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414B68E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0B0D58D6">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1EC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B692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B692B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42A87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542A87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6CD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EB169"/>
    <w:multiLevelType w:val="singleLevel"/>
    <w:tmpl w:val="CE5EB1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BD6A88"/>
    <w:rsid w:val="11F03528"/>
    <w:rsid w:val="12C921C4"/>
    <w:rsid w:val="13850DCB"/>
    <w:rsid w:val="13871C70"/>
    <w:rsid w:val="13A71CB4"/>
    <w:rsid w:val="13AF1D43"/>
    <w:rsid w:val="13C643C6"/>
    <w:rsid w:val="13CE1647"/>
    <w:rsid w:val="141A11EA"/>
    <w:rsid w:val="14200702"/>
    <w:rsid w:val="148E377E"/>
    <w:rsid w:val="149C621B"/>
    <w:rsid w:val="1580711B"/>
    <w:rsid w:val="189B0D0B"/>
    <w:rsid w:val="18AE6106"/>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B925EF"/>
    <w:rsid w:val="315D199F"/>
    <w:rsid w:val="315F0B22"/>
    <w:rsid w:val="31D84415"/>
    <w:rsid w:val="32285F6F"/>
    <w:rsid w:val="32770556"/>
    <w:rsid w:val="329C0913"/>
    <w:rsid w:val="3337290D"/>
    <w:rsid w:val="352930DB"/>
    <w:rsid w:val="353F6F39"/>
    <w:rsid w:val="35573069"/>
    <w:rsid w:val="358C217E"/>
    <w:rsid w:val="359F188C"/>
    <w:rsid w:val="362D2433"/>
    <w:rsid w:val="36C9128A"/>
    <w:rsid w:val="37841E99"/>
    <w:rsid w:val="37BF1123"/>
    <w:rsid w:val="37F26E25"/>
    <w:rsid w:val="388B0004"/>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BF8357"/>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59D4C79"/>
    <w:rsid w:val="56530F5D"/>
    <w:rsid w:val="5842572D"/>
    <w:rsid w:val="58633D13"/>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F1724D"/>
    <w:rsid w:val="6B474EF5"/>
    <w:rsid w:val="6C560CAE"/>
    <w:rsid w:val="6D0615E4"/>
    <w:rsid w:val="6D903FF5"/>
    <w:rsid w:val="6DA955B8"/>
    <w:rsid w:val="6DE346AB"/>
    <w:rsid w:val="6F7F6A2D"/>
    <w:rsid w:val="6FB442D1"/>
    <w:rsid w:val="6FFB2E76"/>
    <w:rsid w:val="71C34D91"/>
    <w:rsid w:val="71ED38AA"/>
    <w:rsid w:val="720229AA"/>
    <w:rsid w:val="72DB435C"/>
    <w:rsid w:val="750837F0"/>
    <w:rsid w:val="758F5B71"/>
    <w:rsid w:val="764F62AB"/>
    <w:rsid w:val="765C45EC"/>
    <w:rsid w:val="768A7619"/>
    <w:rsid w:val="76E14979"/>
    <w:rsid w:val="77EA362A"/>
    <w:rsid w:val="782F1195"/>
    <w:rsid w:val="7875383E"/>
    <w:rsid w:val="796D60A4"/>
    <w:rsid w:val="79A031D5"/>
    <w:rsid w:val="7A1525F7"/>
    <w:rsid w:val="7A3E6CB6"/>
    <w:rsid w:val="7A680D2D"/>
    <w:rsid w:val="7B260559"/>
    <w:rsid w:val="7B420052"/>
    <w:rsid w:val="7B7785F3"/>
    <w:rsid w:val="7BD06A28"/>
    <w:rsid w:val="7C1E4CD7"/>
    <w:rsid w:val="7C3A7C0B"/>
    <w:rsid w:val="7C5248E4"/>
    <w:rsid w:val="7C566698"/>
    <w:rsid w:val="7EC10115"/>
    <w:rsid w:val="7FA960B8"/>
    <w:rsid w:val="DF0F2F7B"/>
    <w:rsid w:val="F6DF58AE"/>
    <w:rsid w:val="FDFB94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4957</Words>
  <Characters>5515</Characters>
  <Lines>161</Lines>
  <Paragraphs>45</Paragraphs>
  <TotalTime>0</TotalTime>
  <ScaleCrop>false</ScaleCrop>
  <LinksUpToDate>false</LinksUpToDate>
  <CharactersWithSpaces>5526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郑静</cp:lastModifiedBy>
  <dcterms:modified xsi:type="dcterms:W3CDTF">2025-10-29T12:56:58Z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