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0E239">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重庆市铜梁区白羊镇农业服务中心</w:t>
      </w:r>
    </w:p>
    <w:p w14:paraId="78FD0917">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6CC060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59089389">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71A7640A">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推广农业技术，促进农业发展。承担农技、农机、林业、畜牧、水利水保、水产等方面的重大技术推广、信息服务、资源保护、灾害防治等工作，承担农产品质量安全检测和监测等事务性工作，完成主管部门交办的其他任务。</w:t>
      </w:r>
    </w:p>
    <w:p w14:paraId="3336749C">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14:paraId="438568C2">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重庆市铜梁区白羊镇</w:t>
      </w:r>
      <w:r>
        <w:rPr>
          <w:rFonts w:hint="default" w:ascii="Times New Roman" w:hAnsi="Times New Roman" w:eastAsia="方正仿宋_GBK" w:cs="Times New Roman"/>
          <w:sz w:val="32"/>
          <w:szCs w:val="32"/>
          <w:lang w:val="zh-CN" w:eastAsia="zh-CN" w:bidi="ar-SA"/>
        </w:rPr>
        <w:t>农业服务中心</w:t>
      </w:r>
      <w:r>
        <w:rPr>
          <w:rFonts w:hint="default" w:ascii="Times New Roman" w:hAnsi="Times New Roman" w:eastAsia="方正仿宋_GBK" w:cs="Times New Roman"/>
          <w:sz w:val="32"/>
          <w:szCs w:val="32"/>
          <w:lang w:val="en-US" w:eastAsia="zh-CN" w:bidi="ar-SA"/>
        </w:rPr>
        <w:t>是重庆市铜梁区白羊镇人民政府下属事业单位，故我单位不存在内部机构设置。</w:t>
      </w:r>
    </w:p>
    <w:p w14:paraId="7698173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091A350A">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7E412E12">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度收入总计355.07万元，支出总计</w:t>
      </w:r>
      <w:r>
        <w:rPr>
          <w:rFonts w:hint="default" w:ascii="Times New Roman" w:hAnsi="Times New Roman" w:eastAsia="方正仿宋_GBK" w:cs="Times New Roman"/>
          <w:sz w:val="32"/>
          <w:szCs w:val="32"/>
        </w:rPr>
        <w:t>355.07</w:t>
      </w:r>
      <w:r>
        <w:rPr>
          <w:rFonts w:hint="default" w:ascii="Times New Roman" w:hAnsi="Times New Roman" w:eastAsia="方正仿宋_GBK" w:cs="Times New Roman"/>
          <w:sz w:val="32"/>
          <w:szCs w:val="32"/>
          <w:shd w:val="clear" w:color="auto" w:fill="FFFFFF"/>
        </w:rPr>
        <w:t>万元。收、支与2023年度相比，增加355.07万元，增长100.0%，主要原因是</w:t>
      </w:r>
      <w:r>
        <w:rPr>
          <w:rFonts w:hint="default" w:ascii="Times New Roman" w:hAnsi="Times New Roman" w:eastAsia="方正仿宋_GBK" w:cs="Times New Roman"/>
          <w:sz w:val="32"/>
          <w:szCs w:val="32"/>
          <w:shd w:val="clear" w:color="auto" w:fill="FFFFFF"/>
          <w:lang w:val="en-US" w:eastAsia="zh-CN"/>
        </w:rPr>
        <w:t>2024年度我单位按财政局要求单独编报，故我单位为新增单位，收、支较2023年度增加355.07万元。</w:t>
      </w:r>
    </w:p>
    <w:p w14:paraId="1AB1308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度收入合计355.07万元，与2023年度相比，增加355.07万元，增长100.0%，主要原因是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355.07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355.07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A2D8CE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355.07</w:t>
      </w:r>
      <w:r>
        <w:rPr>
          <w:rFonts w:hint="default" w:ascii="Times New Roman" w:hAnsi="Times New Roman" w:eastAsia="方正仿宋_GBK" w:cs="Times New Roman"/>
          <w:sz w:val="32"/>
          <w:szCs w:val="32"/>
          <w:shd w:val="clear" w:color="auto" w:fill="FFFFFF"/>
        </w:rPr>
        <w:t>万元，与2023年度相比，增加355.07万元，增长100.0%，主要原因是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355.07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351.27</w:t>
      </w:r>
      <w:r>
        <w:rPr>
          <w:rFonts w:hint="default" w:ascii="Times New Roman" w:hAnsi="Times New Roman" w:eastAsia="方正仿宋_GBK" w:cs="Times New Roman"/>
          <w:sz w:val="32"/>
          <w:szCs w:val="32"/>
          <w:shd w:val="clear" w:color="auto" w:fill="FFFFFF"/>
        </w:rPr>
        <w:t>万元，占98.93%；项目支出</w:t>
      </w:r>
      <w:r>
        <w:rPr>
          <w:rFonts w:hint="default" w:ascii="Times New Roman" w:hAnsi="Times New Roman" w:eastAsia="方正仿宋_GBK" w:cs="Times New Roman"/>
          <w:sz w:val="32"/>
          <w:szCs w:val="32"/>
        </w:rPr>
        <w:t>3.80</w:t>
      </w:r>
      <w:r>
        <w:rPr>
          <w:rFonts w:hint="default" w:ascii="Times New Roman" w:hAnsi="Times New Roman" w:eastAsia="方正仿宋_GBK" w:cs="Times New Roman"/>
          <w:sz w:val="32"/>
          <w:szCs w:val="32"/>
          <w:shd w:val="clear" w:color="auto" w:fill="FFFFFF"/>
        </w:rPr>
        <w:t>万元，占1.07%；经营支出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EEE731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573A747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319B644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度财政拨款收、支总计355.07万元。与202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年相比，财政拨款收、支总计各增加355.07万元，增长100.0%。主要原因是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支较2023年增加355.07万元。</w:t>
      </w:r>
    </w:p>
    <w:p w14:paraId="2CC8128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43D6CCF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355.07</w:t>
      </w:r>
      <w:r>
        <w:rPr>
          <w:rFonts w:hint="default" w:ascii="Times New Roman" w:hAnsi="Times New Roman" w:eastAsia="方正仿宋_GBK" w:cs="Times New Roman"/>
          <w:sz w:val="32"/>
          <w:szCs w:val="32"/>
          <w:shd w:val="clear" w:color="auto" w:fill="FFFFFF"/>
        </w:rPr>
        <w:t>万元，与2023年度相比，增加355.07万元，增长100.0%。主要原因是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355.07万元。</w:t>
      </w:r>
      <w:r>
        <w:rPr>
          <w:rFonts w:hint="default" w:ascii="Times New Roman" w:hAnsi="Times New Roman" w:eastAsia="方正仿宋_GBK" w:cs="Times New Roman"/>
          <w:sz w:val="32"/>
          <w:szCs w:val="32"/>
          <w:shd w:val="clear" w:color="auto" w:fill="FFFFFF"/>
        </w:rPr>
        <w:t>较年初预算数减少66.80万元，下降15.8%。主要原因是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2024年度区财政局为优先保障“三保”等重点支出，对我单位部分非紧急、非刚性的项目支出进行了暂缓支出，我单位涉及公用经费、部门项目支出等资金未全额拨付</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33C890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355.07</w:t>
      </w:r>
      <w:r>
        <w:rPr>
          <w:rFonts w:hint="default" w:ascii="Times New Roman" w:hAnsi="Times New Roman" w:eastAsia="方正仿宋_GBK" w:cs="Times New Roman"/>
          <w:sz w:val="32"/>
          <w:szCs w:val="32"/>
          <w:shd w:val="clear" w:color="auto" w:fill="FFFFFF"/>
        </w:rPr>
        <w:t>万元，与2023年度相比，增加355.07万元，增长100.0%。主要原因是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355.07万元。</w:t>
      </w:r>
      <w:r>
        <w:rPr>
          <w:rFonts w:hint="default" w:ascii="Times New Roman" w:hAnsi="Times New Roman" w:eastAsia="方正仿宋_GBK" w:cs="Times New Roman"/>
          <w:sz w:val="32"/>
          <w:szCs w:val="32"/>
          <w:shd w:val="clear" w:color="auto" w:fill="FFFFFF"/>
        </w:rPr>
        <w:t>较年初预算数减少66.80万元，下降15.8%。主要原因是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2024年度区财政局为优先保障“三保”等重点支出，对我单位部分非紧急、非刚性的项目支出进行了暂缓支出，我单位涉及公用经费、部门项目支出等资金未全额拨付</w:t>
      </w:r>
      <w:r>
        <w:rPr>
          <w:rFonts w:hint="default" w:ascii="Times New Roman" w:hAnsi="Times New Roman" w:eastAsia="方正仿宋_GBK" w:cs="Times New Roman"/>
          <w:sz w:val="32"/>
          <w:szCs w:val="32"/>
          <w:shd w:val="clear" w:color="auto" w:fill="FFFFFF"/>
        </w:rPr>
        <w:t>。</w:t>
      </w:r>
    </w:p>
    <w:p w14:paraId="100D20B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0C6AA23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67BA704">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63.40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17.86</w:t>
      </w:r>
      <w:r>
        <w:rPr>
          <w:rFonts w:hint="default" w:ascii="Times New Roman" w:hAnsi="Times New Roman" w:eastAsia="方正仿宋_GBK" w:cs="Times New Roman"/>
          <w:sz w:val="32"/>
          <w:szCs w:val="32"/>
          <w:shd w:val="clear" w:color="auto" w:fill="FFFFFF"/>
        </w:rPr>
        <w:t>%，较年初预算数增加5.35万元，增长9.2%，主要原因是</w:t>
      </w:r>
      <w:r>
        <w:rPr>
          <w:rFonts w:hint="default" w:ascii="Times New Roman" w:hAnsi="Times New Roman" w:eastAsia="方正仿宋_GBK" w:cs="Times New Roman"/>
          <w:sz w:val="32"/>
          <w:szCs w:val="32"/>
          <w:shd w:val="clear" w:color="auto" w:fill="FFFFFF"/>
          <w:lang w:val="en-US" w:eastAsia="zh-CN"/>
        </w:rPr>
        <w:t>2024年度我单位部分涉及职业年金、养老保险、退休一次性补贴支出增加，最终形成2024年度决算支出高于年初预算</w:t>
      </w:r>
      <w:r>
        <w:rPr>
          <w:rFonts w:hint="default" w:ascii="Times New Roman" w:hAnsi="Times New Roman" w:eastAsia="方正仿宋_GBK" w:cs="Times New Roman"/>
          <w:sz w:val="32"/>
          <w:szCs w:val="32"/>
          <w:shd w:val="clear" w:color="auto" w:fill="FFFFFF"/>
        </w:rPr>
        <w:t>。</w:t>
      </w:r>
    </w:p>
    <w:p w14:paraId="353A9B84">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12.19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3.43</w:t>
      </w:r>
      <w:r>
        <w:rPr>
          <w:rFonts w:hint="default" w:ascii="Times New Roman" w:hAnsi="Times New Roman" w:eastAsia="方正仿宋_GBK" w:cs="Times New Roman"/>
          <w:sz w:val="32"/>
          <w:szCs w:val="32"/>
          <w:shd w:val="clear" w:color="auto" w:fill="FFFFFF"/>
        </w:rPr>
        <w:t>%，较年初预算数减少4.09万元，下降25.1%，主要原因是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2024年度区财政局为优先保障“三保”等重点支出，对我单位部分非紧急、非刚性的项目支出进行了暂缓支出，最终形成2024年度决算支出低于年初预算</w:t>
      </w:r>
      <w:r>
        <w:rPr>
          <w:rFonts w:hint="default" w:ascii="Times New Roman" w:hAnsi="Times New Roman" w:eastAsia="方正仿宋_GBK" w:cs="Times New Roman"/>
          <w:sz w:val="32"/>
          <w:szCs w:val="32"/>
          <w:shd w:val="clear" w:color="auto" w:fill="FFFFFF"/>
        </w:rPr>
        <w:t>。</w:t>
      </w:r>
    </w:p>
    <w:p w14:paraId="729A7C5D">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264.44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74.48</w:t>
      </w:r>
      <w:r>
        <w:rPr>
          <w:rFonts w:hint="default" w:ascii="Times New Roman" w:hAnsi="Times New Roman" w:eastAsia="方正仿宋_GBK" w:cs="Times New Roman"/>
          <w:sz w:val="32"/>
          <w:szCs w:val="32"/>
          <w:shd w:val="clear" w:color="auto" w:fill="FFFFFF"/>
        </w:rPr>
        <w:t>%，较年初预算数减少68.06万元，下降20.5%，主要原因是</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未休假补贴、职工教育费、工会慰问等预算资金共计68.06万元，最终形成2024年度决算支出低于年初预算</w:t>
      </w:r>
      <w:r>
        <w:rPr>
          <w:rFonts w:hint="default" w:ascii="Times New Roman" w:hAnsi="Times New Roman" w:eastAsia="方正仿宋_GBK" w:cs="Times New Roman"/>
          <w:sz w:val="32"/>
          <w:szCs w:val="32"/>
          <w:shd w:val="clear" w:color="auto" w:fill="FFFFFF"/>
        </w:rPr>
        <w:t>。</w:t>
      </w:r>
    </w:p>
    <w:p w14:paraId="0B0B7A73">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住房保障支出15.03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4.23</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1492301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7E69EE8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351.27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302.45</w:t>
      </w:r>
      <w:r>
        <w:rPr>
          <w:rFonts w:hint="default" w:ascii="Times New Roman" w:hAnsi="Times New Roman" w:eastAsia="方正仿宋_GBK" w:cs="Times New Roman"/>
          <w:sz w:val="32"/>
          <w:szCs w:val="32"/>
          <w:shd w:val="clear" w:color="auto" w:fill="FFFFFF"/>
        </w:rPr>
        <w:t>万元，与2023年度相比，增加302.45万元，增长100.0%，主要原因是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2024年度我单位按照财政局相关要求单独编制决算，故本年决算数据全面反映我单位的开支明细，最终形成2024年度支出较2023年增加351.27万元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48.82</w:t>
      </w:r>
      <w:r>
        <w:rPr>
          <w:rFonts w:hint="default" w:ascii="Times New Roman" w:hAnsi="Times New Roman" w:eastAsia="方正仿宋_GBK" w:cs="Times New Roman"/>
          <w:sz w:val="32"/>
          <w:szCs w:val="32"/>
          <w:shd w:val="clear" w:color="auto" w:fill="FFFFFF"/>
        </w:rPr>
        <w:t>万元，与2023年度相比，增加48.82万元，增长100.0%，主要原因是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2024年度我单位按照财政局相关要求单独编制决算，故本年决算数据全面反映我单位的开支明细，最终形成2024年度支出较2023年增加48.82万元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办公费、水费、电费、邮电费、差旅费、维修（护）费等。</w:t>
      </w:r>
    </w:p>
    <w:p w14:paraId="218759B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17F9A66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770D67D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651BEEE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572C4B9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三、财政拨款“三公”经费情况说明</w:t>
      </w:r>
    </w:p>
    <w:p w14:paraId="39246EE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 （一）“三公”经费支出总体情况说明</w:t>
      </w:r>
    </w:p>
    <w:p w14:paraId="0556713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4DB7E5E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（二）“三公”经费分项支出情况</w:t>
      </w:r>
    </w:p>
    <w:p w14:paraId="7FC535B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0EE32E7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0D7A84B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288468E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1D75A82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（三）“三公”经费实物量情况</w:t>
      </w:r>
    </w:p>
    <w:p w14:paraId="1D5F17A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28E12A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14:paraId="5255E0D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 （一）财政拨款会议费和培训费情况说明</w:t>
      </w:r>
    </w:p>
    <w:p w14:paraId="35ACAF0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0.12</w:t>
      </w:r>
      <w:r>
        <w:rPr>
          <w:rFonts w:hint="default" w:ascii="Times New Roman" w:hAnsi="Times New Roman" w:eastAsia="方正仿宋_GBK" w:cs="Times New Roman"/>
          <w:sz w:val="32"/>
          <w:szCs w:val="32"/>
          <w:shd w:val="clear" w:color="auto" w:fill="FFFFFF"/>
        </w:rPr>
        <w:t>万元，与2023年度相比，增加0.12万元，增长100.0%，主要原因是</w:t>
      </w:r>
      <w:r>
        <w:rPr>
          <w:rFonts w:hint="default" w:ascii="Times New Roman" w:hAnsi="Times New Roman" w:eastAsia="方正仿宋_GBK" w:cs="Times New Roman"/>
          <w:sz w:val="32"/>
          <w:szCs w:val="32"/>
          <w:shd w:val="clear" w:color="auto" w:fill="FFFFFF"/>
          <w:lang w:val="en-US" w:eastAsia="zh-CN"/>
        </w:rPr>
        <w:t>我单位本年度参与培训人次增加。</w:t>
      </w:r>
    </w:p>
    <w:p w14:paraId="1C92CBE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7E78213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shd w:val="clear" w:color="auto" w:fill="FFFFFF"/>
          <w:lang w:eastAsia="zh-CN"/>
        </w:rPr>
        <w:t>。</w:t>
      </w:r>
    </w:p>
    <w:p w14:paraId="5F57555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7082F03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9750D6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6EBA93E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14:paraId="2463270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5BE989B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30AD688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3.80</w:t>
      </w:r>
      <w:r>
        <w:rPr>
          <w:rFonts w:hint="default" w:ascii="Times New Roman" w:hAnsi="Times New Roman" w:eastAsia="方正仿宋_GBK" w:cs="Times New Roman"/>
          <w:kern w:val="0"/>
          <w:sz w:val="32"/>
          <w:szCs w:val="32"/>
          <w:shd w:val="clear" w:fill="FFFFFF"/>
        </w:rPr>
        <w:t>万元；以委托第三方出具报告的方式（如有）开展绩效评价</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万元。</w:t>
      </w:r>
    </w:p>
    <w:p w14:paraId="37A713D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（二）绩效自评结果</w:t>
      </w:r>
    </w:p>
    <w:p w14:paraId="5B060BC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0B6963F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详见附件重庆市铜梁区白羊镇农业服务中心项目绩效自评表。</w:t>
      </w:r>
    </w:p>
    <w:p w14:paraId="6356DBD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7A30473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我单位未委托第三方开展绩效评价。</w:t>
      </w:r>
    </w:p>
    <w:p w14:paraId="5060467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14:paraId="441D7E5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14:paraId="4583171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（三）财政重点绩效评价情况 </w:t>
      </w:r>
    </w:p>
    <w:p w14:paraId="3BB3554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14:paraId="5A0ABBE7">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5A14CDE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174ED48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83A66D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1174F66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0C8F0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AC48D0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B81846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E03B33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6FCDA7B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12292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62B500F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761BC91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E2A35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0F486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B2F415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182FE02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51CE416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1E68A7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b w:val="0"/>
          <w:bCs/>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七、决算公开联系方式及信息反馈渠道</w:t>
      </w:r>
    </w:p>
    <w:p w14:paraId="11C1237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60D13CF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45851201</w:t>
      </w:r>
    </w:p>
    <w:p w14:paraId="71323DD1">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D43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306D2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306D2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32656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832656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6CD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2B4656C"/>
    <w:rsid w:val="031C69F7"/>
    <w:rsid w:val="03E3214F"/>
    <w:rsid w:val="04446191"/>
    <w:rsid w:val="044C50BA"/>
    <w:rsid w:val="05687CD1"/>
    <w:rsid w:val="06A2550B"/>
    <w:rsid w:val="06F80EE2"/>
    <w:rsid w:val="07001CCA"/>
    <w:rsid w:val="075678DB"/>
    <w:rsid w:val="07BA4850"/>
    <w:rsid w:val="08051BCA"/>
    <w:rsid w:val="08887FC5"/>
    <w:rsid w:val="08B84F60"/>
    <w:rsid w:val="08BA052C"/>
    <w:rsid w:val="08DB07BA"/>
    <w:rsid w:val="08F04D61"/>
    <w:rsid w:val="098305D0"/>
    <w:rsid w:val="09A3752A"/>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723837"/>
    <w:rsid w:val="13850DCB"/>
    <w:rsid w:val="13871C70"/>
    <w:rsid w:val="13A71CB4"/>
    <w:rsid w:val="13AF1D43"/>
    <w:rsid w:val="13C643C6"/>
    <w:rsid w:val="13CE1647"/>
    <w:rsid w:val="141A11EA"/>
    <w:rsid w:val="14200702"/>
    <w:rsid w:val="148E377E"/>
    <w:rsid w:val="1580711B"/>
    <w:rsid w:val="17363973"/>
    <w:rsid w:val="1836159F"/>
    <w:rsid w:val="18626E29"/>
    <w:rsid w:val="189B0D0B"/>
    <w:rsid w:val="194A1770"/>
    <w:rsid w:val="19917D9C"/>
    <w:rsid w:val="19B906A4"/>
    <w:rsid w:val="1A1F744B"/>
    <w:rsid w:val="1A4854EC"/>
    <w:rsid w:val="1B4512A0"/>
    <w:rsid w:val="1B6F15B6"/>
    <w:rsid w:val="1BAA2EDC"/>
    <w:rsid w:val="1BD43FD7"/>
    <w:rsid w:val="1CE157EE"/>
    <w:rsid w:val="1D014A01"/>
    <w:rsid w:val="1D022362"/>
    <w:rsid w:val="1DD26311"/>
    <w:rsid w:val="1EF67CA4"/>
    <w:rsid w:val="1F6919AE"/>
    <w:rsid w:val="1FCD26AF"/>
    <w:rsid w:val="20642787"/>
    <w:rsid w:val="21556F04"/>
    <w:rsid w:val="22403BD3"/>
    <w:rsid w:val="22E91B93"/>
    <w:rsid w:val="24932670"/>
    <w:rsid w:val="24B92327"/>
    <w:rsid w:val="2533755C"/>
    <w:rsid w:val="262F10D9"/>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D9D5B2D"/>
    <w:rsid w:val="2FE029D7"/>
    <w:rsid w:val="2FF06E00"/>
    <w:rsid w:val="315D199F"/>
    <w:rsid w:val="315F0B22"/>
    <w:rsid w:val="31D84415"/>
    <w:rsid w:val="32285F6F"/>
    <w:rsid w:val="32770556"/>
    <w:rsid w:val="329C0913"/>
    <w:rsid w:val="3337290D"/>
    <w:rsid w:val="352930DB"/>
    <w:rsid w:val="35573069"/>
    <w:rsid w:val="358C217E"/>
    <w:rsid w:val="359F188C"/>
    <w:rsid w:val="35A92A6E"/>
    <w:rsid w:val="362D2433"/>
    <w:rsid w:val="36C9128A"/>
    <w:rsid w:val="37841E99"/>
    <w:rsid w:val="37BF1123"/>
    <w:rsid w:val="37F26E25"/>
    <w:rsid w:val="38047A87"/>
    <w:rsid w:val="38BE4696"/>
    <w:rsid w:val="39166507"/>
    <w:rsid w:val="39B82A39"/>
    <w:rsid w:val="39F33306"/>
    <w:rsid w:val="3B1705E5"/>
    <w:rsid w:val="3B18334B"/>
    <w:rsid w:val="3B36794F"/>
    <w:rsid w:val="3B544954"/>
    <w:rsid w:val="3BBF6D9E"/>
    <w:rsid w:val="3BF014AD"/>
    <w:rsid w:val="3C6A5B02"/>
    <w:rsid w:val="3CF10976"/>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381006"/>
    <w:rsid w:val="426C1EA8"/>
    <w:rsid w:val="42E86A87"/>
    <w:rsid w:val="43136432"/>
    <w:rsid w:val="43770A38"/>
    <w:rsid w:val="443A3B12"/>
    <w:rsid w:val="44A854C2"/>
    <w:rsid w:val="44DD597D"/>
    <w:rsid w:val="45E14DC7"/>
    <w:rsid w:val="465B470D"/>
    <w:rsid w:val="469D6AD4"/>
    <w:rsid w:val="46FC41C7"/>
    <w:rsid w:val="47674801"/>
    <w:rsid w:val="48225EF7"/>
    <w:rsid w:val="495C4A24"/>
    <w:rsid w:val="4A6B1BCF"/>
    <w:rsid w:val="4AD70EE7"/>
    <w:rsid w:val="4B7951CB"/>
    <w:rsid w:val="4B7C315C"/>
    <w:rsid w:val="4BAB7F90"/>
    <w:rsid w:val="4D36393F"/>
    <w:rsid w:val="4DAC4ACA"/>
    <w:rsid w:val="4F186D58"/>
    <w:rsid w:val="50EC262C"/>
    <w:rsid w:val="51F430F2"/>
    <w:rsid w:val="522F6E0C"/>
    <w:rsid w:val="52463BA1"/>
    <w:rsid w:val="53C0244D"/>
    <w:rsid w:val="53DD4D4E"/>
    <w:rsid w:val="53E578CE"/>
    <w:rsid w:val="543B029D"/>
    <w:rsid w:val="545D0246"/>
    <w:rsid w:val="554E5773"/>
    <w:rsid w:val="555A3CBC"/>
    <w:rsid w:val="56530F5D"/>
    <w:rsid w:val="5842572D"/>
    <w:rsid w:val="58654AD3"/>
    <w:rsid w:val="58C13E3C"/>
    <w:rsid w:val="5AE75037"/>
    <w:rsid w:val="5B58571C"/>
    <w:rsid w:val="5B8376C2"/>
    <w:rsid w:val="5B96133A"/>
    <w:rsid w:val="5C1336B7"/>
    <w:rsid w:val="5C263CE4"/>
    <w:rsid w:val="5C5D2777"/>
    <w:rsid w:val="5D290C69"/>
    <w:rsid w:val="5D537F41"/>
    <w:rsid w:val="5ED4479A"/>
    <w:rsid w:val="5EFA176D"/>
    <w:rsid w:val="5F0247F9"/>
    <w:rsid w:val="5F2D4A41"/>
    <w:rsid w:val="5FEE0B7E"/>
    <w:rsid w:val="601C34ED"/>
    <w:rsid w:val="60A958A9"/>
    <w:rsid w:val="60D22ADB"/>
    <w:rsid w:val="61025A59"/>
    <w:rsid w:val="613D5BBC"/>
    <w:rsid w:val="61536C39"/>
    <w:rsid w:val="628230A6"/>
    <w:rsid w:val="62944DD7"/>
    <w:rsid w:val="62AB52B7"/>
    <w:rsid w:val="634D1435"/>
    <w:rsid w:val="63C25DC5"/>
    <w:rsid w:val="63C62057"/>
    <w:rsid w:val="63C73832"/>
    <w:rsid w:val="64FB113D"/>
    <w:rsid w:val="65382792"/>
    <w:rsid w:val="654E4D38"/>
    <w:rsid w:val="656152C6"/>
    <w:rsid w:val="6587477F"/>
    <w:rsid w:val="658C3A08"/>
    <w:rsid w:val="65C031CA"/>
    <w:rsid w:val="65CE6852"/>
    <w:rsid w:val="66267C04"/>
    <w:rsid w:val="663F505A"/>
    <w:rsid w:val="665C1999"/>
    <w:rsid w:val="667F2393"/>
    <w:rsid w:val="669929D9"/>
    <w:rsid w:val="66EE5541"/>
    <w:rsid w:val="68200C3D"/>
    <w:rsid w:val="692172FD"/>
    <w:rsid w:val="6A3829EE"/>
    <w:rsid w:val="6B474EF5"/>
    <w:rsid w:val="6C560CAE"/>
    <w:rsid w:val="6D0615E4"/>
    <w:rsid w:val="6D903FF5"/>
    <w:rsid w:val="6DA955B8"/>
    <w:rsid w:val="6DE346AB"/>
    <w:rsid w:val="6F7F6A2D"/>
    <w:rsid w:val="6FB442D1"/>
    <w:rsid w:val="6FFB2E76"/>
    <w:rsid w:val="708A7F56"/>
    <w:rsid w:val="71C34D91"/>
    <w:rsid w:val="71ED38AA"/>
    <w:rsid w:val="720229AA"/>
    <w:rsid w:val="72B34C45"/>
    <w:rsid w:val="72DB435C"/>
    <w:rsid w:val="750837F0"/>
    <w:rsid w:val="764F62AB"/>
    <w:rsid w:val="765C45EC"/>
    <w:rsid w:val="768A7619"/>
    <w:rsid w:val="76E14979"/>
    <w:rsid w:val="77296755"/>
    <w:rsid w:val="77613B11"/>
    <w:rsid w:val="77EA362A"/>
    <w:rsid w:val="7875383E"/>
    <w:rsid w:val="78BC7AFB"/>
    <w:rsid w:val="796D60A4"/>
    <w:rsid w:val="79A031D5"/>
    <w:rsid w:val="7A114271"/>
    <w:rsid w:val="7A1525F7"/>
    <w:rsid w:val="7A3E6CB6"/>
    <w:rsid w:val="7A680D2D"/>
    <w:rsid w:val="7B260559"/>
    <w:rsid w:val="7B420052"/>
    <w:rsid w:val="7BD06A28"/>
    <w:rsid w:val="7C1E4CD7"/>
    <w:rsid w:val="7C3A7C0B"/>
    <w:rsid w:val="7C5248E4"/>
    <w:rsid w:val="7C566698"/>
    <w:rsid w:val="7DE520D8"/>
    <w:rsid w:val="7FA960B8"/>
    <w:rsid w:val="DFFE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4875</Words>
  <Characters>5471</Characters>
  <Lines>161</Lines>
  <Paragraphs>45</Paragraphs>
  <TotalTime>0</TotalTime>
  <ScaleCrop>false</ScaleCrop>
  <LinksUpToDate>false</LinksUpToDate>
  <CharactersWithSpaces>5485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郑静</cp:lastModifiedBy>
  <dcterms:modified xsi:type="dcterms:W3CDTF">2025-10-29T13:02:39Z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