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重庆市铜梁区白羊镇人民政府（本级）</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主要职能职责：1.在区委、区政府的领导下，贯彻执行党和国家各项方针、政策、法律、法规；负责辖区内的地区性、群众性、公益性、社会性工作；2.负责精神文明建设工作，积极组织以提高市民素质为目的的活动，树立文明新风；3.做好辖区范围内的城市建设和管理、市容环境卫生、园林绿化、环境保护、市政等监督、管理、服务工作；4.负责辖区内的维护稳定工作及社会治安综合治理工作，依照有关政策规定做好外来人口的管理工作；5.指导和帮助</w:t>
      </w:r>
      <w:r>
        <w:rPr>
          <w:rFonts w:hint="default" w:ascii="Times New Roman" w:hAnsi="Times New Roman" w:eastAsia="方正仿宋_GBK" w:cs="Times New Roman"/>
          <w:b w:val="0"/>
          <w:kern w:val="2"/>
          <w:sz w:val="32"/>
          <w:szCs w:val="32"/>
          <w:lang w:eastAsia="zh-CN" w:bidi="ar-SA"/>
        </w:rPr>
        <w:t>村</w:t>
      </w:r>
      <w:r>
        <w:rPr>
          <w:rFonts w:hint="default" w:ascii="Times New Roman" w:hAnsi="Times New Roman" w:eastAsia="方正仿宋_GBK" w:cs="Times New Roman"/>
          <w:b w:val="0"/>
          <w:kern w:val="2"/>
          <w:sz w:val="32"/>
          <w:szCs w:val="32"/>
          <w:lang w:val="en-US" w:eastAsia="zh-CN" w:bidi="ar-SA"/>
        </w:rPr>
        <w:t>（</w:t>
      </w:r>
      <w:r>
        <w:rPr>
          <w:rFonts w:hint="default" w:ascii="Times New Roman" w:hAnsi="Times New Roman" w:eastAsia="方正仿宋_GBK" w:cs="Times New Roman"/>
          <w:b w:val="0"/>
          <w:kern w:val="2"/>
          <w:sz w:val="32"/>
          <w:szCs w:val="32"/>
          <w:lang w:eastAsia="zh-CN" w:bidi="ar-SA"/>
        </w:rPr>
        <w:t>居</w:t>
      </w:r>
      <w:r>
        <w:rPr>
          <w:rFonts w:hint="default" w:ascii="Times New Roman" w:hAnsi="Times New Roman" w:eastAsia="方正仿宋_GBK" w:cs="Times New Roman"/>
          <w:b w:val="0"/>
          <w:kern w:val="2"/>
          <w:sz w:val="32"/>
          <w:szCs w:val="32"/>
          <w:lang w:val="en-US" w:eastAsia="zh-CN" w:bidi="ar-SA"/>
        </w:rPr>
        <w:t>）民委员会搞好组织建设和制度建设，发挥</w:t>
      </w:r>
      <w:r>
        <w:rPr>
          <w:rFonts w:hint="default" w:ascii="Times New Roman" w:hAnsi="Times New Roman" w:eastAsia="方正仿宋_GBK" w:cs="Times New Roman"/>
          <w:b w:val="0"/>
          <w:kern w:val="2"/>
          <w:sz w:val="32"/>
          <w:szCs w:val="32"/>
          <w:lang w:eastAsia="zh-CN" w:bidi="ar-SA"/>
        </w:rPr>
        <w:t>村</w:t>
      </w:r>
      <w:r>
        <w:rPr>
          <w:rFonts w:hint="default" w:ascii="Times New Roman" w:hAnsi="Times New Roman" w:eastAsia="方正仿宋_GBK" w:cs="Times New Roman"/>
          <w:b w:val="0"/>
          <w:kern w:val="2"/>
          <w:sz w:val="32"/>
          <w:szCs w:val="32"/>
          <w:lang w:val="en-US" w:eastAsia="zh-CN" w:bidi="ar-SA"/>
        </w:rPr>
        <w:t>（</w:t>
      </w:r>
      <w:r>
        <w:rPr>
          <w:rFonts w:hint="default" w:ascii="Times New Roman" w:hAnsi="Times New Roman" w:eastAsia="方正仿宋_GBK" w:cs="Times New Roman"/>
          <w:b w:val="0"/>
          <w:kern w:val="2"/>
          <w:sz w:val="32"/>
          <w:szCs w:val="32"/>
          <w:lang w:eastAsia="zh-CN" w:bidi="ar-SA"/>
        </w:rPr>
        <w:t>居</w:t>
      </w:r>
      <w:r>
        <w:rPr>
          <w:rFonts w:hint="default" w:ascii="Times New Roman" w:hAnsi="Times New Roman" w:eastAsia="方正仿宋_GBK" w:cs="Times New Roman"/>
          <w:b w:val="0"/>
          <w:kern w:val="2"/>
          <w:sz w:val="32"/>
          <w:szCs w:val="32"/>
          <w:lang w:val="en-US" w:eastAsia="zh-CN" w:bidi="ar-SA"/>
        </w:rPr>
        <w:t xml:space="preserve">）民委员会的群众自治作用；6.配合有关部门做好防汛、防火、防震、抢险和救灾工作。 </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（二）机构设置</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1.基层治理综合指挥室。统筹负责一体化智治平台运行管理相关工作，承担基层治理指挥中心运行监测、分析研判、协同流转、应急指挥、督查考核等职责，负责综合协调、文件收发、政务公开、后勤管理、机要保密等工作。</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2.党的建设办公室。统筹负责党的政治建设、思想建设、组织建设、作风建设、纪律建设、制度建设和反腐败斗争、民主法治、意识形态、精神文明建设、统一战线、民宗侨台、群众团体、人大政协联络等领域工作。</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3.经济发展办公室。统筹负责经济发展、辖区规划建设、生态环境、农业农村、乡村振兴、财政管理、经济社会统计等领域工作。</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4.民生服务办公室。统筹负责民政、教育、文化、卫生健康、体育、劳动就业、残疾人事业、退役军人服务等领域工作，负责落实社会保险、社会救助、社会福利、优抚安置等社会保障政策。</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5.平安法治办公室。统筹负责平安综治、应急管理、安全生产综合监管、综合执法、信访稳定、防范和处理邪教、人民武装、社会治理等领域工作。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00"/>
        </w:rPr>
      </w:pPr>
      <w:r>
        <w:rPr>
          <w:rStyle w:val="8"/>
          <w:rFonts w:hint="default" w:ascii="Times New Roman" w:hAnsi="Times New Roman" w:eastAsia="方正黑体_GBK" w:cs="Times New Roman"/>
          <w:b w:val="0"/>
          <w:bCs/>
          <w:sz w:val="32"/>
          <w:szCs w:val="32"/>
          <w:shd w:val="clear" w:color="auto" w:fill="FFFFFF"/>
          <w:lang w:val="en-US" w:eastAsia="zh-CN" w:bidi="ar-SA"/>
        </w:rPr>
        <w:t>二、单位决算收支情况说明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楷体" w:cs="Times New Roman"/>
          <w:b/>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度收入总计2124.34万元，支出总计</w:t>
      </w:r>
      <w:r>
        <w:rPr>
          <w:rFonts w:hint="default" w:ascii="Times New Roman" w:hAnsi="Times New Roman" w:eastAsia="方正仿宋_GBK" w:cs="Times New Roman"/>
          <w:sz w:val="32"/>
          <w:szCs w:val="32"/>
        </w:rPr>
        <w:t>2124.34</w:t>
      </w:r>
      <w:r>
        <w:rPr>
          <w:rFonts w:hint="default" w:ascii="Times New Roman" w:hAnsi="Times New Roman" w:eastAsia="方正仿宋_GBK" w:cs="Times New Roman"/>
          <w:sz w:val="32"/>
          <w:szCs w:val="32"/>
          <w:shd w:val="clear" w:color="auto" w:fill="FFFFFF"/>
        </w:rPr>
        <w:t>万元。收、支与2023年度相比，减少955.32万元，下降31.0%，主要原因</w:t>
      </w:r>
      <w:r>
        <w:rPr>
          <w:rFonts w:hint="default" w:ascii="Times New Roman" w:hAnsi="Times New Roman" w:eastAsia="方正仿宋_GBK" w:cs="Times New Roman"/>
          <w:kern w:val="0"/>
          <w:sz w:val="32"/>
          <w:szCs w:val="32"/>
          <w:shd w:val="clear" w:color="auto" w:fill="FFFFFF"/>
          <w:lang w:val="en-US" w:eastAsia="zh-CN" w:bidi="ar-SA"/>
        </w:rPr>
        <w:t>是1</w:t>
      </w:r>
      <w:r>
        <w:rPr>
          <w:rFonts w:hint="default" w:ascii="Times New Roman" w:hAnsi="Times New Roman" w:eastAsia="方正仿宋_GBK" w:cs="Times New Roman"/>
          <w:kern w:val="0"/>
          <w:sz w:val="32"/>
          <w:szCs w:val="32"/>
          <w:shd w:val="clear" w:color="auto" w:fill="FFFFFF"/>
          <w:lang w:eastAsia="zh-CN" w:bidi="ar-SA"/>
        </w:rPr>
        <w:t>.</w:t>
      </w:r>
      <w:r>
        <w:rPr>
          <w:rFonts w:hint="default" w:ascii="Times New Roman" w:hAnsi="Times New Roman" w:eastAsia="方正仿宋_GBK" w:cs="Times New Roman"/>
          <w:kern w:val="0"/>
          <w:sz w:val="32"/>
          <w:szCs w:val="32"/>
          <w:shd w:val="clear" w:color="auto" w:fill="FFFFFF"/>
          <w:lang w:val="en-US" w:eastAsia="zh-CN" w:bidi="ar-SA"/>
        </w:rPr>
        <w:t>由于2024年按照财政局要求将原统计在机关本级的事业单位划分为7个账套单独核算，故财政拨款收入减少；2</w:t>
      </w:r>
      <w:r>
        <w:rPr>
          <w:rFonts w:hint="default" w:ascii="Times New Roman" w:hAnsi="Times New Roman" w:eastAsia="方正仿宋_GBK" w:cs="Times New Roman"/>
          <w:kern w:val="0"/>
          <w:sz w:val="32"/>
          <w:szCs w:val="32"/>
          <w:shd w:val="clear" w:color="auto" w:fill="FFFFFF"/>
          <w:lang w:eastAsia="zh-CN" w:bidi="ar-SA"/>
        </w:rPr>
        <w:t>.</w:t>
      </w:r>
      <w:r>
        <w:rPr>
          <w:rFonts w:hint="default" w:ascii="Times New Roman" w:hAnsi="Times New Roman" w:eastAsia="方正仿宋_GBK" w:cs="Times New Roman"/>
          <w:kern w:val="0"/>
          <w:sz w:val="32"/>
          <w:szCs w:val="32"/>
          <w:shd w:val="clear" w:color="auto" w:fill="FFFFFF"/>
          <w:lang w:val="en-US" w:eastAsia="zh-CN" w:bidi="ar-SA"/>
        </w:rPr>
        <w:t>由于财政资金紧张，部分预算资金未能全部收入，故本年收、支较上年度减少</w:t>
      </w:r>
      <w:r>
        <w:rPr>
          <w:rFonts w:hint="default" w:ascii="Times New Roman" w:hAnsi="Times New Roman" w:eastAsia="方正仿宋_GBK" w:cs="Times New Roman"/>
          <w:color w:val="000030"/>
          <w:kern w:val="2"/>
          <w:sz w:val="32"/>
          <w:szCs w:val="32"/>
          <w:lang w:val="en-US" w:eastAsia="zh-CN"/>
        </w:rPr>
        <w:t>955.32万元。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度收入合计2116.52万元，与2023年度相比，减少95</w:t>
      </w:r>
      <w:r>
        <w:rPr>
          <w:rFonts w:hint="default" w:ascii="Times New Roman" w:hAnsi="Times New Roman" w:eastAsia="方正仿宋_GBK" w:cs="Times New Roman"/>
          <w:kern w:val="0"/>
          <w:sz w:val="32"/>
          <w:szCs w:val="32"/>
          <w:shd w:val="clear" w:color="auto" w:fill="FFFFFF"/>
          <w:lang w:val="en-US" w:eastAsia="zh-CN" w:bidi="ar-SA"/>
        </w:rPr>
        <w:t>5.31万元，下降31.1%，主要原因是1.由于2024年按照财政局要求将原统计在机关本级的事业单位划分为7个账套单独核算，故财政拨款收入减少；2.由于财政资金紧张，部分预算资金未能全部收入，故本年收入较上年度减少955.31万元。其中：财政拨款收入2116.52万</w:t>
      </w:r>
      <w:r>
        <w:rPr>
          <w:rFonts w:hint="default" w:ascii="Times New Roman" w:hAnsi="Times New Roman" w:eastAsia="方正仿宋_GBK" w:cs="Times New Roman"/>
          <w:sz w:val="32"/>
          <w:szCs w:val="32"/>
          <w:shd w:val="clear" w:color="auto" w:fill="FFFFFF"/>
        </w:rPr>
        <w:t>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7.83</w:t>
      </w:r>
      <w:r>
        <w:rPr>
          <w:rFonts w:hint="default" w:ascii="Times New Roman" w:hAnsi="Times New Roman" w:eastAsia="方正仿宋_GBK" w:cs="Times New Roman"/>
          <w:sz w:val="32"/>
          <w:szCs w:val="32"/>
          <w:shd w:val="clear" w:color="auto" w:fill="FFFFFF"/>
        </w:rPr>
        <w:t>万元。</w:t>
      </w:r>
    </w:p>
    <w:p>
      <w:pPr>
        <w:pStyle w:val="13"/>
        <w:keepNext w:val="0"/>
        <w:keepLines w:val="0"/>
        <w:pageBreakBefore w:val="0"/>
        <w:widowControl/>
        <w:kinsoku/>
        <w:wordWrap/>
        <w:overflowPunct/>
        <w:topLinePunct w:val="0"/>
        <w:autoSpaceDN/>
        <w:bidi w:val="0"/>
        <w:adjustRightInd/>
        <w:spacing w:beforeAutospacing="0" w:afterAutospacing="0" w:line="560" w:lineRule="exact"/>
        <w:ind w:firstLine="643" w:firstLineChars="200"/>
        <w:jc w:val="left"/>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2116.52</w:t>
      </w:r>
      <w:r>
        <w:rPr>
          <w:rFonts w:hint="default" w:ascii="Times New Roman" w:hAnsi="Times New Roman" w:eastAsia="方正仿宋_GBK" w:cs="Times New Roman"/>
          <w:sz w:val="32"/>
          <w:szCs w:val="32"/>
          <w:shd w:val="clear" w:color="auto" w:fill="FFFFFF"/>
        </w:rPr>
        <w:t>万元，与2023年度相比</w:t>
      </w:r>
      <w:r>
        <w:rPr>
          <w:rFonts w:hint="default" w:ascii="Times New Roman" w:hAnsi="Times New Roman" w:eastAsia="方正仿宋_GBK" w:cs="Times New Roman"/>
          <w:kern w:val="0"/>
          <w:sz w:val="32"/>
          <w:szCs w:val="32"/>
          <w:shd w:val="clear" w:color="auto" w:fill="FFFFFF"/>
          <w:lang w:val="en-US" w:eastAsia="zh-CN" w:bidi="ar-SA"/>
        </w:rPr>
        <w:t>，减少955.31万元，下降31.1%，主要原因是1.由于2024年按照财政局要求将原统计在机关本级的事业单位划分为7个账套单独核算，故较上年度减少事业单位基本支出；2.由于财政资金紧张，部分预算资金未能全部支出，故本年支出总额较上年度减少955.31万元。其中：基本支出766.34万元，占36.21%；项目支出1350.18万元，占63.79</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7.83</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（二）财政拨款收入支出决算总体情况说明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度财政拨款收、支总计2124.34万元。与202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年相比，财政拨款收、支总计各减少955.32万元，下降31.0%。主要原因是</w:t>
      </w:r>
      <w:r>
        <w:rPr>
          <w:rFonts w:hint="default" w:ascii="Times New Roman" w:hAnsi="Times New Roman" w:eastAsia="方正仿宋_GBK" w:cs="Times New Roman"/>
          <w:sz w:val="32"/>
          <w:szCs w:val="32"/>
          <w:shd w:val="clear" w:color="auto" w:fill="FFFFFF"/>
          <w:lang w:val="en-US" w:eastAsia="zh-CN"/>
        </w:rPr>
        <w:t>1.由于2024年按照财政局要求将原统计在机关本级的事业单位划分为7个账套单独核算，故财政拨款收入减少；2.由于财政资金紧张，部分预算资金未能全部收入，故本年收入较上年度减少955.31万元。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1589.89</w:t>
      </w:r>
      <w:r>
        <w:rPr>
          <w:rFonts w:hint="default" w:ascii="Times New Roman" w:hAnsi="Times New Roman" w:eastAsia="方正仿宋_GBK" w:cs="Times New Roman"/>
          <w:sz w:val="32"/>
          <w:szCs w:val="32"/>
          <w:shd w:val="clear" w:color="auto" w:fill="FFFFFF"/>
        </w:rPr>
        <w:t>万元，与2023年度相比，减少1481.94万元，下降48.2%。主要原因是</w:t>
      </w:r>
      <w:r>
        <w:rPr>
          <w:rFonts w:hint="default" w:ascii="Times New Roman" w:hAnsi="Times New Roman" w:eastAsia="方正仿宋_GBK" w:cs="Times New Roman"/>
          <w:sz w:val="32"/>
          <w:szCs w:val="32"/>
          <w:shd w:val="clear" w:color="auto" w:fill="FFFFFF"/>
          <w:lang w:val="en-US" w:eastAsia="zh-CN"/>
        </w:rPr>
        <w:t>2024年按照财政局要求将原统计在机关本级的事业单位划分为7个账套单独核算，故财政拨款收入减少。</w:t>
      </w:r>
      <w:r>
        <w:rPr>
          <w:rFonts w:hint="default" w:ascii="Times New Roman" w:hAnsi="Times New Roman" w:eastAsia="方正仿宋_GBK" w:cs="Times New Roman"/>
          <w:sz w:val="32"/>
          <w:szCs w:val="32"/>
          <w:shd w:val="clear" w:color="auto" w:fill="FFFFFF"/>
        </w:rPr>
        <w:t>较年初预算数减少752.56万元，下降32.1%。主要原因</w:t>
      </w:r>
      <w:r>
        <w:rPr>
          <w:rFonts w:hint="default" w:ascii="Times New Roman" w:hAnsi="Times New Roman" w:eastAsia="方正仿宋_GBK" w:cs="Times New Roman"/>
          <w:sz w:val="32"/>
          <w:szCs w:val="32"/>
          <w:shd w:val="clear" w:color="auto" w:fill="FFFFFF"/>
          <w:lang w:val="en-US" w:eastAsia="zh-CN"/>
        </w:rPr>
        <w:t>是财政资金紧张，部分预算资金未能全部收入</w:t>
      </w:r>
      <w:r>
        <w:rPr>
          <w:rFonts w:hint="default" w:ascii="Times New Roman" w:hAnsi="Times New Roman" w:eastAsia="方正仿宋_GBK" w:cs="Times New Roman"/>
          <w:color w:val="000030"/>
          <w:kern w:val="2"/>
          <w:sz w:val="32"/>
          <w:szCs w:val="32"/>
          <w:lang w:val="en-US"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7.83</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000030"/>
          <w:kern w:val="2"/>
          <w:sz w:val="32"/>
          <w:szCs w:val="32"/>
          <w:lang w:val="en-US"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1589.89</w:t>
      </w:r>
      <w:r>
        <w:rPr>
          <w:rFonts w:hint="default" w:ascii="Times New Roman" w:hAnsi="Times New Roman" w:eastAsia="方正仿宋_GBK" w:cs="Times New Roman"/>
          <w:sz w:val="32"/>
          <w:szCs w:val="32"/>
          <w:shd w:val="clear" w:color="auto" w:fill="FFFFFF"/>
        </w:rPr>
        <w:t>万元，与2023年度相比，减少1481.94万元，下降48.2%。主要原因是</w:t>
      </w:r>
      <w:r>
        <w:rPr>
          <w:rFonts w:hint="default" w:ascii="Times New Roman" w:hAnsi="Times New Roman" w:eastAsia="方正仿宋_GBK" w:cs="Times New Roman"/>
          <w:sz w:val="32"/>
          <w:szCs w:val="32"/>
          <w:shd w:val="clear" w:color="auto" w:fill="FFFFFF"/>
          <w:lang w:val="en-US" w:eastAsia="zh-CN"/>
        </w:rPr>
        <w:t>2024年按照财政局要求将原统计在机关本级的事业单位划分为7个账套单独核算，故较上年度减少事业单位相关收入。</w:t>
      </w:r>
      <w:r>
        <w:rPr>
          <w:rFonts w:hint="default" w:ascii="Times New Roman" w:hAnsi="Times New Roman" w:eastAsia="方正仿宋_GBK" w:cs="Times New Roman"/>
          <w:sz w:val="32"/>
          <w:szCs w:val="32"/>
          <w:shd w:val="clear" w:color="auto" w:fill="FFFFFF"/>
        </w:rPr>
        <w:t>较年初预算数减少752.56万元，下降32.1%。主要原因是</w:t>
      </w:r>
      <w:r>
        <w:rPr>
          <w:rFonts w:hint="default" w:ascii="Times New Roman" w:hAnsi="Times New Roman" w:eastAsia="方正仿宋_GBK" w:cs="Times New Roman"/>
          <w:sz w:val="32"/>
          <w:szCs w:val="32"/>
          <w:shd w:val="clear" w:color="auto" w:fill="FFFFFF"/>
          <w:lang w:val="en-US" w:eastAsia="zh-CN"/>
        </w:rPr>
        <w:t>财政资金紧张，部分预算资金未能全部收入</w:t>
      </w:r>
      <w:r>
        <w:rPr>
          <w:rFonts w:hint="default" w:ascii="Times New Roman" w:hAnsi="Times New Roman" w:eastAsia="方正仿宋_GBK" w:cs="Times New Roman"/>
          <w:color w:val="000030"/>
          <w:kern w:val="2"/>
          <w:sz w:val="32"/>
          <w:szCs w:val="32"/>
          <w:lang w:val="en-US"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7.83</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569.37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35.81</w:t>
      </w:r>
      <w:r>
        <w:rPr>
          <w:rFonts w:hint="default" w:ascii="Times New Roman" w:hAnsi="Times New Roman" w:eastAsia="方正仿宋_GBK" w:cs="Times New Roman"/>
          <w:sz w:val="32"/>
          <w:szCs w:val="32"/>
          <w:shd w:val="clear" w:color="auto" w:fill="FFFFFF"/>
        </w:rPr>
        <w:t>%，较年初预算数减少56.70万元，下降9.1%，主要</w:t>
      </w:r>
      <w:r>
        <w:rPr>
          <w:rFonts w:hint="default" w:ascii="Times New Roman" w:hAnsi="Times New Roman" w:eastAsia="方正仿宋_GBK" w:cs="Times New Roman"/>
          <w:sz w:val="32"/>
          <w:szCs w:val="32"/>
          <w:shd w:val="clear" w:color="auto" w:fill="FFFFFF"/>
          <w:lang w:eastAsia="zh-CN"/>
        </w:rPr>
        <w:t>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人大经费、公用经费、车辆运行维护费、信访维稳等预算资金未能全额拨付，最终形成2024年度决算支出低于年初预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（2）国防支出</w:t>
      </w:r>
      <w:r>
        <w:rPr>
          <w:rFonts w:hint="default" w:ascii="Times New Roman" w:hAnsi="Times New Roman" w:eastAsia="方正仿宋_GBK" w:cs="Times New Roman"/>
          <w:sz w:val="32"/>
          <w:szCs w:val="32"/>
        </w:rPr>
        <w:t>1.86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0.12</w:t>
      </w:r>
      <w:r>
        <w:rPr>
          <w:rFonts w:hint="default" w:ascii="Times New Roman" w:hAnsi="Times New Roman" w:eastAsia="方正仿宋_GBK" w:cs="Times New Roman"/>
          <w:sz w:val="32"/>
          <w:szCs w:val="32"/>
          <w:shd w:val="clear" w:color="auto" w:fill="FFFFFF"/>
        </w:rPr>
        <w:t>%，较年初预算数减少2.14万元，下降53.5%，主要原因是民兵训练减少，相关办公用品已采购完成</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）文化旅游体育与传媒支出</w:t>
      </w:r>
      <w:r>
        <w:rPr>
          <w:rFonts w:hint="default" w:ascii="Times New Roman" w:hAnsi="Times New Roman" w:eastAsia="方正仿宋_GBK" w:cs="Times New Roman"/>
          <w:sz w:val="32"/>
          <w:szCs w:val="32"/>
        </w:rPr>
        <w:t>9.24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0.58</w:t>
      </w:r>
      <w:r>
        <w:rPr>
          <w:rFonts w:hint="default" w:ascii="Times New Roman" w:hAnsi="Times New Roman" w:eastAsia="方正仿宋_GBK" w:cs="Times New Roman"/>
          <w:sz w:val="32"/>
          <w:szCs w:val="32"/>
          <w:shd w:val="clear" w:color="auto" w:fill="FFFFFF"/>
        </w:rPr>
        <w:t>%，较年初预算数减少30.76万元，下降76.9%，主要原因是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491.18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30.89</w:t>
      </w:r>
      <w:r>
        <w:rPr>
          <w:rFonts w:hint="default" w:ascii="Times New Roman" w:hAnsi="Times New Roman" w:eastAsia="方正仿宋_GBK" w:cs="Times New Roman"/>
          <w:sz w:val="32"/>
          <w:szCs w:val="32"/>
          <w:shd w:val="clear" w:color="auto" w:fill="FFFFFF"/>
        </w:rPr>
        <w:t>%，较年初预算数减少478.50万元，下降49.4%，主要原因是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38.87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2.44</w:t>
      </w:r>
      <w:r>
        <w:rPr>
          <w:rFonts w:hint="default" w:ascii="Times New Roman" w:hAnsi="Times New Roman" w:eastAsia="方正仿宋_GBK" w:cs="Times New Roman"/>
          <w:sz w:val="32"/>
          <w:szCs w:val="32"/>
          <w:shd w:val="clear" w:color="auto" w:fill="FFFFFF"/>
        </w:rPr>
        <w:t>%，较年初预算数减少13.03万元，下降25.1%，主要原因精神病人医疗费减少</w:t>
      </w:r>
      <w:r>
        <w:rPr>
          <w:rFonts w:hint="default" w:ascii="Times New Roman" w:hAnsi="Times New Roman" w:eastAsia="方正仿宋_GBK" w:cs="Times New Roman"/>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rPr>
        <w:t>35.10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2.21</w:t>
      </w:r>
      <w:r>
        <w:rPr>
          <w:rFonts w:hint="default" w:ascii="Times New Roman" w:hAnsi="Times New Roman" w:eastAsia="方正仿宋_GBK" w:cs="Times New Roman"/>
          <w:sz w:val="32"/>
          <w:szCs w:val="32"/>
          <w:shd w:val="clear" w:color="auto" w:fill="FFFFFF"/>
        </w:rPr>
        <w:t>%，较年初预算数减少84.90万元，下降70.8%，主要原因是</w:t>
      </w:r>
      <w:r>
        <w:rPr>
          <w:rFonts w:hint="default" w:ascii="Times New Roman" w:hAnsi="Times New Roman" w:eastAsia="方正仿宋_GBK" w:cs="Times New Roman"/>
          <w:sz w:val="32"/>
          <w:szCs w:val="32"/>
          <w:shd w:val="clear" w:color="auto" w:fill="FFFFFF"/>
          <w:lang w:val="en-US" w:eastAsia="zh-CN" w:bidi="ar-SA"/>
        </w:rPr>
        <w:t>1.2024年度区财政局为优先保障“三保”等重点支出，对我单位部分非紧急、非刚性的项目支出进行了暂缓支出；2.按财政局要求将市政环卫经费由城乡社区支出调整至节能环保支出，最终形成2024年度决算支出低于年初预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344.67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21.68</w:t>
      </w:r>
      <w:r>
        <w:rPr>
          <w:rFonts w:hint="default" w:ascii="Times New Roman" w:hAnsi="Times New Roman" w:eastAsia="方正仿宋_GBK" w:cs="Times New Roman"/>
          <w:sz w:val="32"/>
          <w:szCs w:val="32"/>
          <w:shd w:val="clear" w:color="auto" w:fill="FFFFFF"/>
        </w:rPr>
        <w:t>%，较年初预算数减少99.33万元，下降22.4%，主要原因是</w:t>
      </w:r>
      <w:r>
        <w:rPr>
          <w:rFonts w:hint="default" w:ascii="Times New Roman" w:hAnsi="Times New Roman" w:eastAsia="方正仿宋_GBK" w:cs="Times New Roman"/>
          <w:sz w:val="32"/>
          <w:szCs w:val="32"/>
          <w:shd w:val="clear" w:color="auto" w:fill="FFFFFF"/>
          <w:lang w:val="en-US" w:eastAsia="zh-CN" w:bidi="ar-SA"/>
        </w:rPr>
        <w:t>2024年度区财政局为优先保障“三保”等重点支出，对我单位部分非紧急、非刚性的项目支出进行了暂缓支出，涉及我镇</w:t>
      </w:r>
      <w:r>
        <w:rPr>
          <w:rFonts w:hint="default" w:ascii="Times New Roman" w:hAnsi="Times New Roman" w:eastAsia="方正仿宋_GBK" w:cs="Times New Roman"/>
          <w:sz w:val="32"/>
          <w:szCs w:val="32"/>
          <w:shd w:val="clear" w:color="auto" w:fill="FFFFFF"/>
        </w:rPr>
        <w:t>抗旱救灾经费</w:t>
      </w:r>
      <w:r>
        <w:rPr>
          <w:rFonts w:hint="default" w:ascii="Times New Roman" w:hAnsi="Times New Roman" w:eastAsia="方正仿宋_GBK" w:cs="Times New Roman"/>
          <w:sz w:val="32"/>
          <w:szCs w:val="32"/>
          <w:shd w:val="clear" w:color="auto" w:fill="FFFFFF"/>
          <w:lang w:val="en-US" w:eastAsia="zh-CN"/>
        </w:rPr>
        <w:t>减少。</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）交通运输支出</w:t>
      </w:r>
      <w:r>
        <w:rPr>
          <w:rFonts w:hint="default" w:ascii="Times New Roman" w:hAnsi="Times New Roman" w:eastAsia="方正仿宋_GBK" w:cs="Times New Roman"/>
          <w:sz w:val="32"/>
          <w:szCs w:val="32"/>
        </w:rPr>
        <w:t>32.41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2.04</w:t>
      </w:r>
      <w:r>
        <w:rPr>
          <w:rFonts w:hint="default" w:ascii="Times New Roman" w:hAnsi="Times New Roman" w:eastAsia="方正仿宋_GBK" w:cs="Times New Roman"/>
          <w:sz w:val="32"/>
          <w:szCs w:val="32"/>
          <w:shd w:val="clear" w:color="auto" w:fill="FFFFFF"/>
        </w:rPr>
        <w:t>%，较年初预算数增加12.41万元，增长62.1%，主要原因是</w:t>
      </w:r>
      <w:r>
        <w:rPr>
          <w:rFonts w:hint="default" w:ascii="Times New Roman" w:hAnsi="Times New Roman" w:eastAsia="方正仿宋_GBK" w:cs="Times New Roman"/>
          <w:sz w:val="32"/>
          <w:szCs w:val="32"/>
          <w:lang w:val="en-US" w:eastAsia="zh-CN"/>
        </w:rPr>
        <w:t>2024年度拨付四好农村路资金增加。</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（9）</w:t>
      </w:r>
      <w:r>
        <w:rPr>
          <w:rFonts w:hint="default" w:ascii="Times New Roman" w:hAnsi="Times New Roman" w:eastAsia="方正仿宋_GBK" w:cs="Times New Roman"/>
          <w:sz w:val="32"/>
          <w:szCs w:val="32"/>
        </w:rPr>
        <w:t>住房保障支出46.80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2.94</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灾害防治及应急管理支出20.41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1.28</w:t>
      </w:r>
      <w:r>
        <w:rPr>
          <w:rFonts w:hint="default" w:ascii="Times New Roman" w:hAnsi="Times New Roman" w:eastAsia="方正仿宋_GBK" w:cs="Times New Roman"/>
          <w:sz w:val="32"/>
          <w:szCs w:val="32"/>
          <w:shd w:val="clear" w:color="auto" w:fill="FFFFFF"/>
        </w:rPr>
        <w:t>%，较年初预算数增加0.41万元，增长2.1%，主要原因是</w:t>
      </w:r>
      <w:r>
        <w:rPr>
          <w:rFonts w:hint="default" w:ascii="Times New Roman" w:hAnsi="Times New Roman" w:eastAsia="方正仿宋_GBK" w:cs="Times New Roman"/>
          <w:sz w:val="32"/>
          <w:szCs w:val="32"/>
          <w:shd w:val="clear" w:color="auto" w:fill="FFFFFF"/>
          <w:lang w:val="en-US" w:eastAsia="zh-CN"/>
        </w:rPr>
        <w:t>防汛抗旱专项资金增加14.13万元，应急管理经费减少13.73万元，最终形成2024年度决算支出较年初预算增加0.41万元。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766.34</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612.46</w:t>
      </w:r>
      <w:r>
        <w:rPr>
          <w:rFonts w:hint="default" w:ascii="Times New Roman" w:hAnsi="Times New Roman" w:eastAsia="方正仿宋_GBK" w:cs="Times New Roman"/>
          <w:sz w:val="32"/>
          <w:szCs w:val="32"/>
          <w:shd w:val="clear" w:color="auto" w:fill="FFFFFF"/>
        </w:rPr>
        <w:t>万元，与2023年度相比，减少609.59万元，下降49.9%，主要原因是</w:t>
      </w:r>
      <w:r>
        <w:rPr>
          <w:rFonts w:hint="default" w:ascii="Times New Roman" w:hAnsi="Times New Roman" w:eastAsia="方正仿宋_GBK" w:cs="Times New Roman"/>
          <w:sz w:val="32"/>
          <w:szCs w:val="32"/>
          <w:shd w:val="clear" w:color="auto" w:fill="FFFFFF"/>
          <w:lang w:val="en-US" w:eastAsia="zh-CN"/>
        </w:rPr>
        <w:t>2024年按照财政局要求将原统计在机关本级的事业单位划分为7个账套单独核算，故较上年度减少事业单位人员经费相关支出共计</w:t>
      </w:r>
      <w:r>
        <w:rPr>
          <w:rFonts w:hint="default" w:ascii="Times New Roman" w:hAnsi="Times New Roman" w:eastAsia="方正仿宋_GBK" w:cs="Times New Roman"/>
          <w:sz w:val="32"/>
          <w:szCs w:val="32"/>
          <w:shd w:val="clear" w:color="auto" w:fill="FFFFFF"/>
        </w:rPr>
        <w:t>609.59</w:t>
      </w:r>
      <w:r>
        <w:rPr>
          <w:rFonts w:hint="default" w:ascii="Times New Roman" w:hAnsi="Times New Roman" w:eastAsia="方正仿宋_GBK" w:cs="Times New Roman"/>
          <w:sz w:val="32"/>
          <w:szCs w:val="32"/>
          <w:shd w:val="clear" w:color="auto" w:fill="FFFFFF"/>
          <w:lang w:val="en-US" w:eastAsia="zh-CN"/>
        </w:rPr>
        <w:t>万元。人员经费用途主要包括基本工资、津贴补贴、奖金、社会保障缴费、住房公积金等。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153.88</w:t>
      </w:r>
      <w:r>
        <w:rPr>
          <w:rFonts w:hint="default" w:ascii="Times New Roman" w:hAnsi="Times New Roman" w:eastAsia="方正仿宋_GBK" w:cs="Times New Roman"/>
          <w:sz w:val="32"/>
          <w:szCs w:val="32"/>
          <w:shd w:val="clear" w:color="auto" w:fill="FFFFFF"/>
        </w:rPr>
        <w:t>万元，与2023年度相比，减少172.08万元，下降52.8%，主要原因是</w:t>
      </w:r>
      <w:r>
        <w:rPr>
          <w:rFonts w:hint="default" w:ascii="Times New Roman" w:hAnsi="Times New Roman" w:eastAsia="方正仿宋_GBK" w:cs="Times New Roman"/>
          <w:sz w:val="32"/>
          <w:szCs w:val="32"/>
          <w:shd w:val="clear" w:color="auto" w:fill="FFFFFF"/>
          <w:lang w:val="en-US" w:eastAsia="zh-CN"/>
        </w:rPr>
        <w:t>1.由于2024年按照财政局要求将原统计在机关本级的事业单位划分为7个账套单独核算，故较上年度减少事业单位公用经费相关支出；2.由于财政资金紧张，部分预算资金未能全部支出。公用经费用途主要包括办公费、水费、电费、邮电费、差旅费、维修（护）费等。</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526.63</w:t>
      </w:r>
      <w:r>
        <w:rPr>
          <w:rFonts w:hint="default" w:ascii="Times New Roman" w:hAnsi="Times New Roman" w:eastAsia="方正仿宋_GBK" w:cs="Times New Roman"/>
          <w:sz w:val="32"/>
          <w:szCs w:val="32"/>
          <w:shd w:val="clear" w:color="auto" w:fill="FFFFFF"/>
        </w:rPr>
        <w:t>万元，与2023年度相比，增加526.63万元，增长100.0%，主要原因是</w:t>
      </w:r>
      <w:r>
        <w:rPr>
          <w:rFonts w:hint="default" w:ascii="Times New Roman" w:hAnsi="Times New Roman" w:eastAsia="方正仿宋_GBK" w:cs="Times New Roman"/>
          <w:sz w:val="32"/>
          <w:szCs w:val="32"/>
          <w:shd w:val="clear" w:color="auto" w:fill="FFFFFF"/>
          <w:lang w:val="en-US" w:eastAsia="zh-CN"/>
        </w:rPr>
        <w:t>2024年我单位牵头修建铜梁区第十二特困供养设施（敬老院），涉及土地补偿款526.63万元，故2024年我单位</w:t>
      </w:r>
      <w:r>
        <w:rPr>
          <w:rFonts w:hint="default" w:ascii="Times New Roman" w:hAnsi="Times New Roman" w:eastAsia="方正仿宋_GBK" w:cs="Times New Roman"/>
          <w:sz w:val="32"/>
          <w:szCs w:val="32"/>
          <w:shd w:val="clear" w:color="auto" w:fill="FFFFFF"/>
        </w:rPr>
        <w:t>政府性基金预算财政拨款</w:t>
      </w:r>
      <w:r>
        <w:rPr>
          <w:rFonts w:hint="default" w:ascii="Times New Roman" w:hAnsi="Times New Roman" w:eastAsia="方正仿宋_GBK" w:cs="Times New Roman"/>
          <w:sz w:val="32"/>
          <w:szCs w:val="32"/>
          <w:shd w:val="clear" w:color="auto" w:fill="FFFFFF"/>
          <w:lang w:val="en-US" w:eastAsia="zh-CN"/>
        </w:rPr>
        <w:t>收入增加526.63万元。</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526.63</w:t>
      </w:r>
      <w:r>
        <w:rPr>
          <w:rFonts w:hint="default" w:ascii="Times New Roman" w:hAnsi="Times New Roman" w:eastAsia="方正仿宋_GBK" w:cs="Times New Roman"/>
          <w:sz w:val="32"/>
          <w:szCs w:val="32"/>
          <w:shd w:val="clear" w:color="auto" w:fill="FFFFFF"/>
        </w:rPr>
        <w:t>万元，与2023年度相比，增加526.63万元，增长100.0%，主要原因是</w:t>
      </w:r>
      <w:r>
        <w:rPr>
          <w:rFonts w:hint="default" w:ascii="Times New Roman" w:hAnsi="Times New Roman" w:eastAsia="方正仿宋_GBK" w:cs="Times New Roman"/>
          <w:sz w:val="32"/>
          <w:szCs w:val="32"/>
          <w:shd w:val="clear" w:color="auto" w:fill="FFFFFF"/>
          <w:lang w:val="en-US" w:eastAsia="zh-CN"/>
        </w:rPr>
        <w:t>2024年我单位牵头修建铜梁区第十二特困供养设施（敬老院），涉及土地补偿款526.63万元，故2024年我单位</w:t>
      </w:r>
      <w:r>
        <w:rPr>
          <w:rFonts w:hint="default" w:ascii="Times New Roman" w:hAnsi="Times New Roman" w:eastAsia="方正仿宋_GBK" w:cs="Times New Roman"/>
          <w:sz w:val="32"/>
          <w:szCs w:val="32"/>
          <w:shd w:val="clear" w:color="auto" w:fill="FFFFFF"/>
        </w:rPr>
        <w:t>政府性基金预算财政拨款</w:t>
      </w:r>
      <w:r>
        <w:rPr>
          <w:rFonts w:hint="default" w:ascii="Times New Roman" w:hAnsi="Times New Roman" w:eastAsia="方正仿宋_GBK" w:cs="Times New Roman"/>
          <w:sz w:val="32"/>
          <w:szCs w:val="32"/>
          <w:shd w:val="clear" w:color="auto" w:fill="FFFFFF"/>
          <w:lang w:val="en-US" w:eastAsia="zh-CN"/>
        </w:rPr>
        <w:t>支出增加526.63万元。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8"/>
          <w:rFonts w:hint="default" w:ascii="Times New Roman" w:hAnsi="Times New Roman" w:eastAsia="方正黑体_GBK" w:cs="Times New Roman"/>
          <w:b w:val="0"/>
          <w:bCs/>
          <w:sz w:val="32"/>
          <w:szCs w:val="32"/>
          <w:shd w:val="clear" w:color="auto" w:fill="FFFFFF"/>
          <w:lang w:val="en-US" w:eastAsia="zh-CN" w:bidi="ar-SA"/>
        </w:rPr>
        <w:t>三、财政拨款“三公”经费情况说明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 xml:space="preserve"> （一）“三公”经费支出总体情况说明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9.80</w:t>
      </w:r>
      <w:r>
        <w:rPr>
          <w:rFonts w:hint="default" w:ascii="Times New Roman" w:hAnsi="Times New Roman" w:eastAsia="方正仿宋_GBK" w:cs="Times New Roman"/>
          <w:sz w:val="32"/>
          <w:szCs w:val="32"/>
          <w:shd w:val="clear" w:color="auto" w:fill="FFFFFF"/>
        </w:rPr>
        <w:t>万元，较年初预算数无增减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较上年支出数减少0.92万元，下降8.6%，主要原因是</w:t>
      </w:r>
      <w:r>
        <w:rPr>
          <w:rFonts w:hint="default" w:ascii="Times New Roman" w:hAnsi="Times New Roman" w:eastAsia="方正仿宋_GBK" w:cs="Times New Roman"/>
          <w:kern w:val="2"/>
          <w:sz w:val="32"/>
          <w:szCs w:val="32"/>
        </w:rPr>
        <w:t>加强公务用车管理</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公务用车运行维护费</w:t>
      </w:r>
      <w:r>
        <w:rPr>
          <w:rFonts w:hint="default" w:ascii="Times New Roman" w:hAnsi="Times New Roman" w:eastAsia="方正仿宋_GBK" w:cs="Times New Roman"/>
          <w:kern w:val="2"/>
          <w:sz w:val="32"/>
          <w:szCs w:val="32"/>
          <w:lang w:val="en-US" w:eastAsia="zh-CN"/>
        </w:rPr>
        <w:t>减少。</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万元，费用支出较年初预算数无增减，主要原因是2024年度我单位无因公出国（境）支出，与上年度决算数持平。</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rPr>
        <w:t>本单位202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年度未发生</w:t>
      </w:r>
      <w:r>
        <w:rPr>
          <w:rFonts w:hint="default" w:ascii="Times New Roman" w:hAnsi="Times New Roman" w:eastAsia="方正仿宋_GBK" w:cs="Times New Roman"/>
          <w:sz w:val="32"/>
          <w:lang w:eastAsia="zh-CN"/>
        </w:rPr>
        <w:t>公务用车</w:t>
      </w:r>
      <w:r>
        <w:rPr>
          <w:rFonts w:hint="default" w:ascii="Times New Roman" w:hAnsi="Times New Roman" w:eastAsia="方正仿宋_GBK" w:cs="Times New Roman"/>
          <w:sz w:val="32"/>
        </w:rPr>
        <w:t>购置费，与上年度决算数持平。</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9.80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eastAsia="zh-CN"/>
        </w:rPr>
        <w:t>公务用车</w:t>
      </w:r>
      <w:r>
        <w:rPr>
          <w:rFonts w:hint="default" w:ascii="Times New Roman" w:hAnsi="Times New Roman" w:eastAsia="方正仿宋_GBK" w:cs="Times New Roman"/>
          <w:sz w:val="32"/>
          <w:szCs w:val="32"/>
          <w:shd w:val="clear" w:color="auto" w:fill="FFFFFF"/>
        </w:rPr>
        <w:t>燃料费、维修费、路桥费、保险费等。费用支出较年初预算数无增减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较上年支出数减少0.77万元，下降7.3%，主要原因是加强公务用车管理</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公务用车运行维护费减少。</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万元，费用支出较年初预算数无增减，较上年支出数减少0.15万元，下降100.0%，主要原因是</w:t>
      </w:r>
      <w:r>
        <w:rPr>
          <w:rFonts w:hint="default" w:ascii="Times New Roman" w:hAnsi="Times New Roman" w:eastAsia="方正仿宋_GBK" w:cs="Times New Roman"/>
          <w:sz w:val="32"/>
          <w:szCs w:val="32"/>
          <w:shd w:val="clear" w:color="auto" w:fill="FFFFFF"/>
          <w:lang w:val="en-US" w:eastAsia="zh-CN"/>
        </w:rPr>
        <w:t>本单位2024年度未开展公务接待工作。</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3.27</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8"/>
          <w:rFonts w:hint="default" w:ascii="Times New Roman" w:hAnsi="Times New Roman" w:eastAsia="方正黑体_GBK" w:cs="Times New Roman"/>
          <w:b w:val="0"/>
          <w:bCs/>
          <w:sz w:val="32"/>
          <w:szCs w:val="32"/>
          <w:shd w:val="clear" w:color="auto" w:fill="FFFFFF"/>
          <w:lang w:val="en-US" w:eastAsia="zh-CN" w:bidi="ar-SA"/>
        </w:rPr>
        <w:t>四、其他需要说明的事项</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 xml:space="preserve">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万元，与2023年度相比，减少2.53万元，下降100.0%，</w:t>
      </w:r>
      <w:r>
        <w:rPr>
          <w:rFonts w:hint="default" w:ascii="Times New Roman" w:hAnsi="Times New Roman" w:eastAsia="方正仿宋_GBK" w:cs="Times New Roman"/>
          <w:kern w:val="2"/>
          <w:sz w:val="32"/>
          <w:szCs w:val="32"/>
        </w:rPr>
        <w:t>主要原</w:t>
      </w:r>
      <w:r>
        <w:rPr>
          <w:rFonts w:hint="default" w:ascii="Times New Roman" w:hAnsi="Times New Roman" w:eastAsia="方正仿宋_GBK" w:cs="Times New Roman"/>
          <w:sz w:val="32"/>
          <w:szCs w:val="32"/>
          <w:shd w:val="clear" w:color="auto" w:fill="FFFFFF"/>
        </w:rPr>
        <w:t>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2024年度区财政局为优先保障“三保”等重点支出，对我单位部分非紧急、非刚性的项目支出进行了暂缓支出，我单位涉及人大经费等未能全额拨付</w:t>
      </w:r>
      <w:r>
        <w:rPr>
          <w:rFonts w:hint="default" w:ascii="Times New Roman" w:hAnsi="Times New Roman" w:eastAsia="方正仿宋_GBK" w:cs="Times New Roman"/>
          <w:sz w:val="32"/>
          <w:szCs w:val="32"/>
          <w:shd w:val="clear" w:color="auto" w:fill="FFFFFF"/>
        </w:rPr>
        <w:t>。本年度培训费支出0.53万元，与2023年度相比，增加0.37万元，增长231.3%，主要原因是</w:t>
      </w:r>
      <w:r>
        <w:rPr>
          <w:rFonts w:hint="default" w:ascii="Times New Roman" w:hAnsi="Times New Roman" w:eastAsia="方正仿宋_GBK" w:cs="Times New Roman"/>
          <w:sz w:val="32"/>
          <w:szCs w:val="32"/>
          <w:shd w:val="clear" w:color="auto" w:fill="FFFFFF"/>
          <w:lang w:val="en-US" w:eastAsia="zh-CN"/>
        </w:rPr>
        <w:t>我单位职工参与培训人次增加</w:t>
      </w:r>
      <w:r>
        <w:rPr>
          <w:rFonts w:hint="default" w:ascii="Times New Roman" w:hAnsi="Times New Roman" w:eastAsia="方正仿宋_GBK" w:cs="Times New Roman"/>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153.88</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kern w:val="2"/>
          <w:sz w:val="32"/>
          <w:szCs w:val="32"/>
        </w:rPr>
        <w:t>办公费、印刷费、手续费、水费、电费、邮电费、差旅费、维修（护）费</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sz w:val="32"/>
          <w:szCs w:val="32"/>
          <w:shd w:val="clear" w:color="auto" w:fill="FFFFFF"/>
        </w:rPr>
        <w:t>机关运行经费较上年支出数减少43.59万元，下降22.1%，主要原因是</w:t>
      </w:r>
      <w:bookmarkStart w:id="0" w:name="_GoBack"/>
      <w:bookmarkEnd w:id="0"/>
      <w:r>
        <w:rPr>
          <w:rFonts w:hint="default" w:ascii="Times New Roman" w:hAnsi="Times New Roman" w:eastAsia="方正仿宋_GBK" w:cs="Times New Roman"/>
          <w:kern w:val="2"/>
          <w:sz w:val="32"/>
          <w:szCs w:val="32"/>
        </w:rPr>
        <w:t>2024年按照财政局要求将原统计在机关本级的事业单位划分为7个账套单独核算，故较上年度减少事业单位相关支出</w:t>
      </w:r>
      <w:r>
        <w:rPr>
          <w:rFonts w:hint="default" w:ascii="Times New Roman" w:hAnsi="Times New Roman" w:eastAsia="方正仿宋_GBK" w:cs="Times New Roman"/>
          <w:kern w:val="2"/>
          <w:sz w:val="32"/>
          <w:szCs w:val="32"/>
          <w:lang w:val="en-US" w:eastAsia="zh-CN"/>
        </w:rPr>
        <w:t>减少</w:t>
      </w:r>
      <w:r>
        <w:rPr>
          <w:rFonts w:hint="default" w:ascii="Times New Roman" w:hAnsi="Times New Roman" w:eastAsia="方正仿宋_GBK" w:cs="Times New Roman"/>
          <w:kern w:val="2"/>
          <w:sz w:val="32"/>
          <w:szCs w:val="32"/>
          <w:lang w:eastAsia="zh-CN"/>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18.01</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18.01</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18.01万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18.01</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%。主要用于采购采购机关办公电脑、</w:t>
      </w:r>
      <w:r>
        <w:rPr>
          <w:rFonts w:hint="default" w:ascii="Times New Roman" w:hAnsi="Times New Roman" w:eastAsia="方正仿宋_GBK" w:cs="Times New Roman"/>
          <w:sz w:val="32"/>
          <w:szCs w:val="32"/>
          <w:shd w:val="clear" w:color="auto" w:fill="FFFFFF"/>
          <w:lang w:val="en-US" w:eastAsia="zh-CN"/>
        </w:rPr>
        <w:t>桌椅</w:t>
      </w:r>
      <w:r>
        <w:rPr>
          <w:rFonts w:hint="default" w:ascii="Times New Roman" w:hAnsi="Times New Roman" w:eastAsia="方正仿宋_GBK" w:cs="Times New Roman"/>
          <w:sz w:val="32"/>
          <w:szCs w:val="32"/>
          <w:shd w:val="clear" w:color="auto" w:fill="FFFFFF"/>
        </w:rPr>
        <w:t>等资产。</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8"/>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根据预算绩效管理要求，我单位2</w:t>
      </w:r>
      <w:r>
        <w:rPr>
          <w:rFonts w:hint="default" w:ascii="Times New Roman" w:hAnsi="Times New Roman" w:eastAsia="方正仿宋_GBK" w:cs="Times New Roman"/>
          <w:kern w:val="0"/>
          <w:sz w:val="32"/>
          <w:szCs w:val="32"/>
          <w:shd w:val="clear" w:fill="FFFFFF"/>
          <w:lang w:val="en-US" w:eastAsia="zh-CN"/>
        </w:rPr>
        <w:t>7</w:t>
      </w:r>
      <w:r>
        <w:rPr>
          <w:rFonts w:hint="default" w:ascii="Times New Roman" w:hAnsi="Times New Roman" w:eastAsia="方正仿宋_GBK" w:cs="Times New Roman"/>
          <w:kern w:val="0"/>
          <w:sz w:val="32"/>
          <w:szCs w:val="32"/>
          <w:shd w:val="clear" w:fill="FFFFFF"/>
        </w:rPr>
        <w:t>个项目开展了绩效自评，其中，以填报自评表形式开展自评2</w:t>
      </w:r>
      <w:r>
        <w:rPr>
          <w:rFonts w:hint="default" w:ascii="Times New Roman" w:hAnsi="Times New Roman" w:eastAsia="方正仿宋_GBK" w:cs="Times New Roman"/>
          <w:kern w:val="0"/>
          <w:sz w:val="32"/>
          <w:szCs w:val="32"/>
          <w:shd w:val="clear" w:fill="FFFFFF"/>
          <w:lang w:val="en-US" w:eastAsia="zh-CN"/>
        </w:rPr>
        <w:t>7</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val="en-US" w:eastAsia="zh-CN"/>
        </w:rPr>
        <w:t>771.75</w:t>
      </w:r>
      <w:r>
        <w:rPr>
          <w:rFonts w:hint="default" w:ascii="Times New Roman" w:hAnsi="Times New Roman" w:eastAsia="方正仿宋_GBK" w:cs="Times New Roman"/>
          <w:kern w:val="0"/>
          <w:sz w:val="32"/>
          <w:szCs w:val="32"/>
          <w:shd w:val="clear" w:fill="FFFFFF"/>
        </w:rPr>
        <w:t>万元；以委托第三方出具报告的方式开展绩效评价</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eastAsia="zh-CN"/>
        </w:rPr>
        <w:t>详</w:t>
      </w:r>
      <w:r>
        <w:rPr>
          <w:rFonts w:hint="default" w:ascii="Times New Roman" w:hAnsi="Times New Roman" w:eastAsia="方正仿宋_GBK" w:cs="Times New Roman"/>
          <w:kern w:val="0"/>
          <w:sz w:val="32"/>
          <w:szCs w:val="32"/>
          <w:shd w:val="clear" w:fill="FFFFFF"/>
        </w:rPr>
        <w:t>见附件</w:t>
      </w:r>
      <w:r>
        <w:rPr>
          <w:rFonts w:hint="default" w:ascii="Times New Roman" w:hAnsi="Times New Roman" w:eastAsia="方正仿宋_GBK" w:cs="Times New Roman"/>
          <w:kern w:val="0"/>
          <w:sz w:val="32"/>
          <w:szCs w:val="32"/>
          <w:shd w:val="clear" w:fill="FFFFFF"/>
          <w:lang w:val="en-US" w:eastAsia="zh-CN"/>
        </w:rPr>
        <w:t>重庆市铜梁区白羊镇人民政府（本级）2024年度项目绩效自评表</w:t>
      </w:r>
      <w:r>
        <w:rPr>
          <w:rFonts w:hint="default" w:ascii="Times New Roman" w:hAnsi="Times New Roman" w:eastAsia="方正仿宋_GBK" w:cs="Times New Roman"/>
          <w:kern w:val="0"/>
          <w:sz w:val="32"/>
          <w:szCs w:val="32"/>
          <w:shd w:val="clear"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我单位对2</w:t>
      </w:r>
      <w:r>
        <w:rPr>
          <w:rFonts w:hint="default" w:ascii="Times New Roman" w:hAnsi="Times New Roman" w:eastAsia="方正仿宋_GBK" w:cs="Times New Roman"/>
          <w:kern w:val="0"/>
          <w:sz w:val="32"/>
          <w:szCs w:val="32"/>
          <w:shd w:val="clear" w:fill="FFFFFF"/>
          <w:lang w:val="en-US" w:eastAsia="zh-CN"/>
        </w:rPr>
        <w:t>7</w:t>
      </w:r>
      <w:r>
        <w:rPr>
          <w:rFonts w:hint="default" w:ascii="Times New Roman" w:hAnsi="Times New Roman" w:eastAsia="方正仿宋_GBK" w:cs="Times New Roman"/>
          <w:kern w:val="0"/>
          <w:sz w:val="32"/>
          <w:szCs w:val="32"/>
          <w:shd w:val="clear" w:fill="FFFFFF"/>
        </w:rPr>
        <w:t>项目进行绩效自评，其中2</w:t>
      </w:r>
      <w:r>
        <w:rPr>
          <w:rFonts w:hint="default" w:ascii="Times New Roman" w:hAnsi="Times New Roman" w:eastAsia="方正仿宋_GBK" w:cs="Times New Roman"/>
          <w:kern w:val="0"/>
          <w:sz w:val="32"/>
          <w:szCs w:val="32"/>
          <w:shd w:val="clear" w:fill="FFFFFF"/>
          <w:lang w:val="en-US" w:eastAsia="zh-CN"/>
        </w:rPr>
        <w:t>7</w:t>
      </w:r>
      <w:r>
        <w:rPr>
          <w:rFonts w:hint="default" w:ascii="Times New Roman" w:hAnsi="Times New Roman" w:eastAsia="方正仿宋_GBK" w:cs="Times New Roman"/>
          <w:kern w:val="0"/>
          <w:sz w:val="32"/>
          <w:szCs w:val="32"/>
          <w:shd w:val="clear" w:fill="FFFFFF"/>
        </w:rPr>
        <w:t>个已完成年度绩效目标，</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个未完成年度绩效目标。</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lang w:val="en-US" w:eastAsia="zh-CN"/>
        </w:rPr>
      </w:pPr>
      <w:r>
        <w:rPr>
          <w:rStyle w:val="8"/>
          <w:rFonts w:hint="default" w:ascii="Times New Roman" w:hAnsi="Times New Roman" w:eastAsia="方正楷体_GBK" w:cs="Times New Roman"/>
          <w:b w:val="0"/>
          <w:bCs/>
          <w:sz w:val="32"/>
          <w:szCs w:val="32"/>
          <w:shd w:val="clear" w:color="auto" w:fill="FFFFFF"/>
          <w:lang w:val="en-US" w:eastAsia="zh-CN"/>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default" w:ascii="Times New Roman" w:hAnsi="Times New Roman" w:eastAsia="方正仿宋_GBK" w:cs="Times New Roman"/>
          <w:kern w:val="0"/>
          <w:sz w:val="32"/>
          <w:szCs w:val="32"/>
          <w:shd w:val="clear" w:fill="FFFFFF"/>
          <w:lang w:val="en-US" w:eastAsia="zh-CN" w:bidi="ar"/>
        </w:rPr>
      </w:pPr>
      <w:r>
        <w:rPr>
          <w:rFonts w:hint="default" w:ascii="Times New Roman" w:hAnsi="Times New Roman" w:eastAsia="方正仿宋_GBK" w:cs="Times New Roman"/>
          <w:kern w:val="0"/>
          <w:sz w:val="32"/>
          <w:szCs w:val="32"/>
          <w:shd w:val="clear" w:fill="FFFFFF"/>
          <w:lang w:val="en-US" w:eastAsia="zh-CN" w:bidi="ar"/>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方正黑体_GBK" w:cs="Times New Roman"/>
          <w:b w:val="0"/>
          <w:bCs/>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8"/>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eastAsia="zh-CN"/>
        </w:rPr>
        <w:t>何欣</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45851201</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22633"/>
    <w:rsid w:val="00550ABE"/>
    <w:rsid w:val="007B419D"/>
    <w:rsid w:val="009B67B8"/>
    <w:rsid w:val="00B03CCD"/>
    <w:rsid w:val="00FE7556"/>
    <w:rsid w:val="01474EBF"/>
    <w:rsid w:val="01F3521E"/>
    <w:rsid w:val="023A226A"/>
    <w:rsid w:val="02FC45A7"/>
    <w:rsid w:val="03101E00"/>
    <w:rsid w:val="03AC7CC6"/>
    <w:rsid w:val="03BB7608"/>
    <w:rsid w:val="03E3214F"/>
    <w:rsid w:val="04446191"/>
    <w:rsid w:val="044C50BA"/>
    <w:rsid w:val="06A2550B"/>
    <w:rsid w:val="06F80EE2"/>
    <w:rsid w:val="07001CCA"/>
    <w:rsid w:val="075678DB"/>
    <w:rsid w:val="077F3B24"/>
    <w:rsid w:val="08051BCA"/>
    <w:rsid w:val="08887FC5"/>
    <w:rsid w:val="08B84F60"/>
    <w:rsid w:val="08BA052C"/>
    <w:rsid w:val="08DB07BA"/>
    <w:rsid w:val="08F31FA8"/>
    <w:rsid w:val="098305D0"/>
    <w:rsid w:val="09B72B6E"/>
    <w:rsid w:val="0A3851D8"/>
    <w:rsid w:val="0A5C4B69"/>
    <w:rsid w:val="0AEC3BC7"/>
    <w:rsid w:val="0AF52007"/>
    <w:rsid w:val="0B6B7D1A"/>
    <w:rsid w:val="0B9335CE"/>
    <w:rsid w:val="0C7927C4"/>
    <w:rsid w:val="0C9B098C"/>
    <w:rsid w:val="0D11728C"/>
    <w:rsid w:val="0D673E11"/>
    <w:rsid w:val="0DB50EFE"/>
    <w:rsid w:val="0DB919EF"/>
    <w:rsid w:val="0DDA54E4"/>
    <w:rsid w:val="0E056A05"/>
    <w:rsid w:val="0E3A5F83"/>
    <w:rsid w:val="0ED84DF6"/>
    <w:rsid w:val="0F56503F"/>
    <w:rsid w:val="0F836721"/>
    <w:rsid w:val="103645A3"/>
    <w:rsid w:val="107B59E5"/>
    <w:rsid w:val="10F81754"/>
    <w:rsid w:val="11003CB0"/>
    <w:rsid w:val="111445C7"/>
    <w:rsid w:val="1158083A"/>
    <w:rsid w:val="115E640A"/>
    <w:rsid w:val="11F03528"/>
    <w:rsid w:val="12C921C4"/>
    <w:rsid w:val="13850DCB"/>
    <w:rsid w:val="13871C70"/>
    <w:rsid w:val="13A71CB4"/>
    <w:rsid w:val="13AF1D43"/>
    <w:rsid w:val="13C643C6"/>
    <w:rsid w:val="13CE1647"/>
    <w:rsid w:val="13F310AE"/>
    <w:rsid w:val="141A11EA"/>
    <w:rsid w:val="14200702"/>
    <w:rsid w:val="148E377E"/>
    <w:rsid w:val="14BE346A"/>
    <w:rsid w:val="1580711B"/>
    <w:rsid w:val="16547436"/>
    <w:rsid w:val="189B0D0B"/>
    <w:rsid w:val="18B21538"/>
    <w:rsid w:val="194A1770"/>
    <w:rsid w:val="19917D9C"/>
    <w:rsid w:val="19B906A4"/>
    <w:rsid w:val="1A0A3C2B"/>
    <w:rsid w:val="1A1F744B"/>
    <w:rsid w:val="1A4854EC"/>
    <w:rsid w:val="1A7016AA"/>
    <w:rsid w:val="1B245255"/>
    <w:rsid w:val="1B6F15B6"/>
    <w:rsid w:val="1BAA2EDC"/>
    <w:rsid w:val="1C03680B"/>
    <w:rsid w:val="1C737BD1"/>
    <w:rsid w:val="1CE157EE"/>
    <w:rsid w:val="1D014A01"/>
    <w:rsid w:val="1D022362"/>
    <w:rsid w:val="1DD26311"/>
    <w:rsid w:val="1EF67CA4"/>
    <w:rsid w:val="1F026649"/>
    <w:rsid w:val="1FCD26AF"/>
    <w:rsid w:val="20642787"/>
    <w:rsid w:val="21556F04"/>
    <w:rsid w:val="220A4192"/>
    <w:rsid w:val="22403BD3"/>
    <w:rsid w:val="23676ABE"/>
    <w:rsid w:val="24932670"/>
    <w:rsid w:val="24B54C16"/>
    <w:rsid w:val="24B92327"/>
    <w:rsid w:val="2533755C"/>
    <w:rsid w:val="26396DF4"/>
    <w:rsid w:val="26B56363"/>
    <w:rsid w:val="27003DB6"/>
    <w:rsid w:val="270642A6"/>
    <w:rsid w:val="27167136"/>
    <w:rsid w:val="273D1AD3"/>
    <w:rsid w:val="27B23302"/>
    <w:rsid w:val="28DE3997"/>
    <w:rsid w:val="29310A5F"/>
    <w:rsid w:val="29C37A35"/>
    <w:rsid w:val="29C95E09"/>
    <w:rsid w:val="2A041857"/>
    <w:rsid w:val="2A076083"/>
    <w:rsid w:val="2A73162E"/>
    <w:rsid w:val="2B167953"/>
    <w:rsid w:val="2B200583"/>
    <w:rsid w:val="2B8209DE"/>
    <w:rsid w:val="2BA32F62"/>
    <w:rsid w:val="2C161D32"/>
    <w:rsid w:val="2C2D3EC7"/>
    <w:rsid w:val="2C6762A3"/>
    <w:rsid w:val="2C782B85"/>
    <w:rsid w:val="2CE70878"/>
    <w:rsid w:val="2D8D2A49"/>
    <w:rsid w:val="2DA31D38"/>
    <w:rsid w:val="2E5A23CD"/>
    <w:rsid w:val="2F193BE0"/>
    <w:rsid w:val="2FE029D7"/>
    <w:rsid w:val="2FF06E00"/>
    <w:rsid w:val="315D199F"/>
    <w:rsid w:val="315F0B22"/>
    <w:rsid w:val="31D84415"/>
    <w:rsid w:val="32285F6F"/>
    <w:rsid w:val="32770556"/>
    <w:rsid w:val="329C0913"/>
    <w:rsid w:val="3337290D"/>
    <w:rsid w:val="343E5F1E"/>
    <w:rsid w:val="351E142A"/>
    <w:rsid w:val="352930DB"/>
    <w:rsid w:val="35573069"/>
    <w:rsid w:val="356A172C"/>
    <w:rsid w:val="357C3D9A"/>
    <w:rsid w:val="358C217E"/>
    <w:rsid w:val="359F188C"/>
    <w:rsid w:val="362D2433"/>
    <w:rsid w:val="368D6CE8"/>
    <w:rsid w:val="36AE1139"/>
    <w:rsid w:val="36C9128A"/>
    <w:rsid w:val="36DFCB24"/>
    <w:rsid w:val="371A4542"/>
    <w:rsid w:val="37841E99"/>
    <w:rsid w:val="37BF1123"/>
    <w:rsid w:val="37F26E25"/>
    <w:rsid w:val="386046B4"/>
    <w:rsid w:val="38BE4696"/>
    <w:rsid w:val="39166507"/>
    <w:rsid w:val="39B82A39"/>
    <w:rsid w:val="39F33306"/>
    <w:rsid w:val="3A897A34"/>
    <w:rsid w:val="3B1705E5"/>
    <w:rsid w:val="3B18334B"/>
    <w:rsid w:val="3B36794F"/>
    <w:rsid w:val="3B544954"/>
    <w:rsid w:val="3BBF6D9E"/>
    <w:rsid w:val="3BF014AD"/>
    <w:rsid w:val="3C1860D0"/>
    <w:rsid w:val="3C6A5B02"/>
    <w:rsid w:val="3D2757A1"/>
    <w:rsid w:val="3D321D80"/>
    <w:rsid w:val="3D3D4FC4"/>
    <w:rsid w:val="3D86277C"/>
    <w:rsid w:val="3DDF3AB1"/>
    <w:rsid w:val="3DE60B7E"/>
    <w:rsid w:val="3E1D0952"/>
    <w:rsid w:val="3E247234"/>
    <w:rsid w:val="3E42660A"/>
    <w:rsid w:val="3E7555B1"/>
    <w:rsid w:val="3EB67681"/>
    <w:rsid w:val="3F0527E5"/>
    <w:rsid w:val="3F16459E"/>
    <w:rsid w:val="3F3441A5"/>
    <w:rsid w:val="3F3617F2"/>
    <w:rsid w:val="3F3B19D7"/>
    <w:rsid w:val="3FB33DB6"/>
    <w:rsid w:val="3FDE15A7"/>
    <w:rsid w:val="4004000C"/>
    <w:rsid w:val="400800D6"/>
    <w:rsid w:val="400F7E90"/>
    <w:rsid w:val="40FD5440"/>
    <w:rsid w:val="411B6CE5"/>
    <w:rsid w:val="412070D7"/>
    <w:rsid w:val="41314E40"/>
    <w:rsid w:val="4142353C"/>
    <w:rsid w:val="415C674B"/>
    <w:rsid w:val="41CD40DC"/>
    <w:rsid w:val="426C1EA8"/>
    <w:rsid w:val="42E86A87"/>
    <w:rsid w:val="43136432"/>
    <w:rsid w:val="43770A38"/>
    <w:rsid w:val="443A3B12"/>
    <w:rsid w:val="44A854C2"/>
    <w:rsid w:val="44DD597D"/>
    <w:rsid w:val="45DD7344"/>
    <w:rsid w:val="45E142B7"/>
    <w:rsid w:val="465B295F"/>
    <w:rsid w:val="465B470D"/>
    <w:rsid w:val="469D6AD4"/>
    <w:rsid w:val="46FC41C7"/>
    <w:rsid w:val="47674801"/>
    <w:rsid w:val="480B44F2"/>
    <w:rsid w:val="48225EF7"/>
    <w:rsid w:val="49471BF2"/>
    <w:rsid w:val="495C4A24"/>
    <w:rsid w:val="4979358F"/>
    <w:rsid w:val="4AD70EE7"/>
    <w:rsid w:val="4B7951CB"/>
    <w:rsid w:val="4B7C315C"/>
    <w:rsid w:val="4BAB7F90"/>
    <w:rsid w:val="4D371A30"/>
    <w:rsid w:val="4DAC4ACA"/>
    <w:rsid w:val="4F186D58"/>
    <w:rsid w:val="4FFE4A87"/>
    <w:rsid w:val="505A7F81"/>
    <w:rsid w:val="50EC262C"/>
    <w:rsid w:val="51E47906"/>
    <w:rsid w:val="522F6E0C"/>
    <w:rsid w:val="52463BA1"/>
    <w:rsid w:val="52862B12"/>
    <w:rsid w:val="53C0244D"/>
    <w:rsid w:val="53DD4D4E"/>
    <w:rsid w:val="53E578CE"/>
    <w:rsid w:val="543B029D"/>
    <w:rsid w:val="545D0246"/>
    <w:rsid w:val="554E5773"/>
    <w:rsid w:val="555A3CBC"/>
    <w:rsid w:val="56530F5D"/>
    <w:rsid w:val="566B44F9"/>
    <w:rsid w:val="57255484"/>
    <w:rsid w:val="57792C45"/>
    <w:rsid w:val="5842572D"/>
    <w:rsid w:val="593002F5"/>
    <w:rsid w:val="5AE75037"/>
    <w:rsid w:val="5B277AA8"/>
    <w:rsid w:val="5B58571C"/>
    <w:rsid w:val="5B8376C2"/>
    <w:rsid w:val="5B96133A"/>
    <w:rsid w:val="5C1336B7"/>
    <w:rsid w:val="5C263CE4"/>
    <w:rsid w:val="5C5D2777"/>
    <w:rsid w:val="5CFA384C"/>
    <w:rsid w:val="5D290C69"/>
    <w:rsid w:val="5D537F41"/>
    <w:rsid w:val="5DCA5E9B"/>
    <w:rsid w:val="5EFA176D"/>
    <w:rsid w:val="5F0247F9"/>
    <w:rsid w:val="5F2D4A41"/>
    <w:rsid w:val="601C34ED"/>
    <w:rsid w:val="60554C43"/>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A717B2"/>
    <w:rsid w:val="65C031CA"/>
    <w:rsid w:val="65CE6852"/>
    <w:rsid w:val="65DFFAE2"/>
    <w:rsid w:val="66267C04"/>
    <w:rsid w:val="663F505A"/>
    <w:rsid w:val="66575852"/>
    <w:rsid w:val="665C1999"/>
    <w:rsid w:val="667F2393"/>
    <w:rsid w:val="66EE5541"/>
    <w:rsid w:val="692172FD"/>
    <w:rsid w:val="6A3829EE"/>
    <w:rsid w:val="6AAF6C52"/>
    <w:rsid w:val="6B474EF5"/>
    <w:rsid w:val="6B866773"/>
    <w:rsid w:val="6C560CAE"/>
    <w:rsid w:val="6D0615E4"/>
    <w:rsid w:val="6D903FF5"/>
    <w:rsid w:val="6DA955B8"/>
    <w:rsid w:val="6DE346AB"/>
    <w:rsid w:val="6F7F6A2D"/>
    <w:rsid w:val="6FB442D1"/>
    <w:rsid w:val="6FFB2E76"/>
    <w:rsid w:val="704648CE"/>
    <w:rsid w:val="71C34D91"/>
    <w:rsid w:val="71ED38AA"/>
    <w:rsid w:val="720229AA"/>
    <w:rsid w:val="72DB435C"/>
    <w:rsid w:val="73E84F83"/>
    <w:rsid w:val="74E55693"/>
    <w:rsid w:val="750837F0"/>
    <w:rsid w:val="75386BC2"/>
    <w:rsid w:val="75C5557C"/>
    <w:rsid w:val="764F62AB"/>
    <w:rsid w:val="765C45EC"/>
    <w:rsid w:val="768A7619"/>
    <w:rsid w:val="76E14979"/>
    <w:rsid w:val="77EA362A"/>
    <w:rsid w:val="7875383E"/>
    <w:rsid w:val="796D60A4"/>
    <w:rsid w:val="79A031D5"/>
    <w:rsid w:val="7A1525F7"/>
    <w:rsid w:val="7A3E6CB6"/>
    <w:rsid w:val="7A500573"/>
    <w:rsid w:val="7A680D2D"/>
    <w:rsid w:val="7B260559"/>
    <w:rsid w:val="7B420052"/>
    <w:rsid w:val="7BD06A28"/>
    <w:rsid w:val="7C1E4CD7"/>
    <w:rsid w:val="7C3A7C0B"/>
    <w:rsid w:val="7C5248E4"/>
    <w:rsid w:val="7C566698"/>
    <w:rsid w:val="7FA960B8"/>
    <w:rsid w:val="BE3DCBC8"/>
    <w:rsid w:val="EFFECAF8"/>
    <w:rsid w:val="FFA523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p0"/>
    <w:basedOn w:val="1"/>
    <w:qFormat/>
    <w:uiPriority w:val="0"/>
    <w:pPr>
      <w:widowControl/>
    </w:pPr>
    <w:rPr>
      <w:kern w:val="0"/>
      <w:szCs w:val="21"/>
    </w:rPr>
  </w:style>
  <w:style w:type="paragraph" w:customStyle="1" w:styleId="14">
    <w:name w:val="正文（缩进）"/>
    <w:basedOn w:val="1"/>
    <w:qFormat/>
    <w:uiPriority w:val="0"/>
    <w:pPr>
      <w:spacing w:line="594" w:lineRule="exact"/>
      <w:ind w:firstLine="482"/>
    </w:pPr>
    <w:rPr>
      <w:rFonts w:hint="default" w:ascii="Times New Roman" w:hAnsi="Times New Roman" w:eastAsia="方正仿宋_GBK"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6141</Words>
  <Characters>6965</Characters>
  <Lines>161</Lines>
  <Paragraphs>45</Paragraphs>
  <TotalTime>7</TotalTime>
  <ScaleCrop>false</ScaleCrop>
  <LinksUpToDate>false</LinksUpToDate>
  <CharactersWithSpaces>6977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半染</cp:lastModifiedBy>
  <dcterms:modified xsi:type="dcterms:W3CDTF">2025-10-29T09:31:08Z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y fmtid="{D5CDD505-2E9C-101B-9397-08002B2CF9AE}" pid="4" name="KSOTemplateDocerSaveRecord">
    <vt:lpwstr>eyJoZGlkIjoiOGRkYjliYWRhOGJlMDhjN2U4YmIzODMwNjU5Zjk2OGEiLCJ1c2VySWQiOiI0MzczMzg3NTQifQ==</vt:lpwstr>
  </property>
</Properties>
</file>