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59B1D">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重庆市铜梁区东城街道社区事务服务中心</w:t>
      </w:r>
    </w:p>
    <w:p w14:paraId="290575E5">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2024年度决算公开说明</w:t>
      </w:r>
    </w:p>
    <w:p w14:paraId="4CE7C76D">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黑体" w:cs="Times New Roman"/>
          <w:b w:val="0"/>
          <w:bCs w:val="0"/>
          <w:color w:val="auto"/>
          <w:sz w:val="32"/>
          <w:szCs w:val="32"/>
          <w:shd w:val="clear" w:color="auto" w:fill="auto"/>
        </w:rPr>
      </w:pPr>
    </w:p>
    <w:p w14:paraId="7797EEF2">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一、</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auto"/>
        </w:rPr>
        <w:t>基本情况</w:t>
      </w:r>
      <w:bookmarkStart w:id="0" w:name="_GoBack"/>
      <w:bookmarkEnd w:id="0"/>
    </w:p>
    <w:p w14:paraId="7FCC435F">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（一）职能职责</w:t>
      </w:r>
    </w:p>
    <w:p w14:paraId="574B5CB1">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重庆市铜梁区东城街道社区事务服务中心是为社区居民生产生活提供服务保障。主要职责任务是承担指导居委会的管理和办理社区服务，健全社区服务网络，完善社区服务体系，承担城乡社区服务业务培训、指导等具体工作，承担精神文明创建和志愿服务等工作，完成主管部门交办的其他任务。</w:t>
      </w:r>
    </w:p>
    <w:p w14:paraId="30DAEAAD">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（二）机构设置</w:t>
      </w:r>
    </w:p>
    <w:p w14:paraId="5019F1CE">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重庆市铜梁区东城街道社区事务服务中心无内设机构</w:t>
      </w:r>
      <w:r>
        <w:rPr>
          <w:rFonts w:hint="default" w:ascii="Times New Roman" w:hAnsi="Times New Roman" w:eastAsia="方正仿宋_GBK" w:cs="Times New Roman"/>
          <w:b w:val="0"/>
          <w:bCs w:val="0"/>
          <w:color w:val="auto"/>
          <w:sz w:val="32"/>
          <w:szCs w:val="32"/>
          <w:shd w:val="clear" w:color="auto" w:fill="auto"/>
          <w:lang w:eastAsia="zh-CN"/>
        </w:rPr>
        <w:t>及下级预算单位。</w:t>
      </w:r>
    </w:p>
    <w:p w14:paraId="24281A31">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二、</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auto"/>
        </w:rPr>
        <w:t>决算</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收支</w:t>
      </w:r>
      <w:r>
        <w:rPr>
          <w:rStyle w:val="8"/>
          <w:rFonts w:hint="default" w:ascii="Times New Roman" w:hAnsi="Times New Roman" w:eastAsia="方正黑体_GBK" w:cs="Times New Roman"/>
          <w:b w:val="0"/>
          <w:bCs w:val="0"/>
          <w:color w:val="auto"/>
          <w:sz w:val="32"/>
          <w:szCs w:val="32"/>
          <w:highlight w:val="none"/>
          <w:shd w:val="clear" w:color="auto" w:fill="auto"/>
        </w:rPr>
        <w:t>情况说明</w:t>
      </w:r>
    </w:p>
    <w:p w14:paraId="1E1AD1CE">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（一）收入支出决算总体情况说明。</w:t>
      </w:r>
    </w:p>
    <w:p w14:paraId="61A70547">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1.总体情况。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度收入总计98.69万元，支出总计</w:t>
      </w:r>
      <w:r>
        <w:rPr>
          <w:rFonts w:hint="default" w:ascii="Times New Roman" w:hAnsi="Times New Roman" w:eastAsia="方正仿宋_GBK" w:cs="Times New Roman"/>
          <w:b w:val="0"/>
          <w:bCs w:val="0"/>
          <w:color w:val="auto"/>
          <w:sz w:val="32"/>
          <w:szCs w:val="32"/>
          <w:shd w:val="clear" w:color="auto" w:fill="auto"/>
        </w:rPr>
        <w:t>98.69</w:t>
      </w:r>
      <w:r>
        <w:rPr>
          <w:rFonts w:hint="default" w:ascii="Times New Roman" w:hAnsi="Times New Roman" w:eastAsia="方正仿宋_GBK" w:cs="Times New Roman"/>
          <w:b w:val="0"/>
          <w:bCs w:val="0"/>
          <w:color w:val="auto"/>
          <w:sz w:val="32"/>
          <w:szCs w:val="32"/>
          <w:shd w:val="clear" w:color="auto" w:fill="auto"/>
        </w:rPr>
        <w:t>万元。收、支与2023年度相比，增加98.69万元，增长100.0%，主要原因是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p>
    <w:p w14:paraId="6B3F3F67">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2.收入情况。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度收入合计98.69万元，与2023年度相比，增加98.69万元，增长100.0%，主要原因是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其中：财政拨款收入</w:t>
      </w:r>
      <w:r>
        <w:rPr>
          <w:rFonts w:hint="default" w:ascii="Times New Roman" w:hAnsi="Times New Roman" w:eastAsia="方正仿宋_GBK" w:cs="Times New Roman"/>
          <w:b w:val="0"/>
          <w:bCs w:val="0"/>
          <w:color w:val="auto"/>
          <w:sz w:val="32"/>
          <w:szCs w:val="32"/>
          <w:shd w:val="clear" w:color="auto" w:fill="auto"/>
        </w:rPr>
        <w:t>98.69</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100.00</w:t>
      </w:r>
      <w:r>
        <w:rPr>
          <w:rFonts w:hint="default" w:ascii="Times New Roman" w:hAnsi="Times New Roman" w:eastAsia="方正仿宋_GBK" w:cs="Times New Roman"/>
          <w:b w:val="0"/>
          <w:bCs w:val="0"/>
          <w:color w:val="auto"/>
          <w:sz w:val="32"/>
          <w:szCs w:val="32"/>
          <w:shd w:val="clear" w:color="auto" w:fill="auto"/>
        </w:rPr>
        <w:t>%；事业收入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万元，占0.00%；经营收入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万元，占0.00%；其他收入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万元，占0.00%。此外，使用非财政拨款结余和专用结余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万元，年初结转和结余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339B0DDE">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3.支出情况。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度支出合计</w:t>
      </w:r>
      <w:r>
        <w:rPr>
          <w:rFonts w:hint="default" w:ascii="Times New Roman" w:hAnsi="Times New Roman" w:eastAsia="方正仿宋_GBK" w:cs="Times New Roman"/>
          <w:b w:val="0"/>
          <w:bCs w:val="0"/>
          <w:color w:val="auto"/>
          <w:sz w:val="32"/>
          <w:szCs w:val="32"/>
          <w:shd w:val="clear" w:color="auto" w:fill="auto"/>
        </w:rPr>
        <w:t>98.69</w:t>
      </w:r>
      <w:r>
        <w:rPr>
          <w:rFonts w:hint="default" w:ascii="Times New Roman" w:hAnsi="Times New Roman" w:eastAsia="方正仿宋_GBK" w:cs="Times New Roman"/>
          <w:b w:val="0"/>
          <w:bCs w:val="0"/>
          <w:color w:val="auto"/>
          <w:sz w:val="32"/>
          <w:szCs w:val="32"/>
          <w:shd w:val="clear" w:color="auto" w:fill="auto"/>
        </w:rPr>
        <w:t>万元，与2023年度相比，增加98.69万元，增长100.0%，主要原因是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其中：基本支出</w:t>
      </w:r>
      <w:r>
        <w:rPr>
          <w:rFonts w:hint="default" w:ascii="Times New Roman" w:hAnsi="Times New Roman" w:eastAsia="方正仿宋_GBK" w:cs="Times New Roman"/>
          <w:b w:val="0"/>
          <w:bCs w:val="0"/>
          <w:color w:val="auto"/>
          <w:sz w:val="32"/>
          <w:szCs w:val="32"/>
          <w:shd w:val="clear" w:color="auto" w:fill="auto"/>
        </w:rPr>
        <w:t>97.30</w:t>
      </w:r>
      <w:r>
        <w:rPr>
          <w:rFonts w:hint="default" w:ascii="Times New Roman" w:hAnsi="Times New Roman" w:eastAsia="方正仿宋_GBK" w:cs="Times New Roman"/>
          <w:b w:val="0"/>
          <w:bCs w:val="0"/>
          <w:color w:val="auto"/>
          <w:sz w:val="32"/>
          <w:szCs w:val="32"/>
          <w:shd w:val="clear" w:color="auto" w:fill="auto"/>
        </w:rPr>
        <w:t>万元，占98.59%；项目支出</w:t>
      </w:r>
      <w:r>
        <w:rPr>
          <w:rFonts w:hint="default" w:ascii="Times New Roman" w:hAnsi="Times New Roman" w:eastAsia="方正仿宋_GBK" w:cs="Times New Roman"/>
          <w:b w:val="0"/>
          <w:bCs w:val="0"/>
          <w:color w:val="auto"/>
          <w:sz w:val="32"/>
          <w:szCs w:val="32"/>
          <w:shd w:val="clear" w:color="auto" w:fill="auto"/>
        </w:rPr>
        <w:t>1.39</w:t>
      </w:r>
      <w:r>
        <w:rPr>
          <w:rFonts w:hint="default" w:ascii="Times New Roman" w:hAnsi="Times New Roman" w:eastAsia="方正仿宋_GBK" w:cs="Times New Roman"/>
          <w:b w:val="0"/>
          <w:bCs w:val="0"/>
          <w:color w:val="auto"/>
          <w:sz w:val="32"/>
          <w:szCs w:val="32"/>
          <w:shd w:val="clear" w:color="auto" w:fill="auto"/>
        </w:rPr>
        <w:t>万元，占1.41%；经营支出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万元，占0.00%。此外，结余分配</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55BBD1E0">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4.结转结余情况。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度年末结转和结余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根据财政局关于财政精细化管理相关要求，将原统计在机关本级的事业单位划分为7个账套单独核算，本单位上年度未单独核算，无结转和结余。</w:t>
      </w:r>
    </w:p>
    <w:p w14:paraId="58DB6372">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（二）财政拨款收入支出决算总体情况说明</w:t>
      </w:r>
    </w:p>
    <w:p w14:paraId="61ADB65D">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度财政拨款收、支总计98.69万元。与202</w:t>
      </w:r>
      <w:r>
        <w:rPr>
          <w:rFonts w:hint="default" w:ascii="Times New Roman" w:hAnsi="Times New Roman" w:eastAsia="方正仿宋_GBK" w:cs="Times New Roman"/>
          <w:b w:val="0"/>
          <w:bCs w:val="0"/>
          <w:color w:val="auto"/>
          <w:sz w:val="32"/>
          <w:szCs w:val="32"/>
          <w:shd w:val="clear" w:color="auto" w:fill="auto"/>
          <w:lang w:val="en-US" w:eastAsia="zh-CN"/>
        </w:rPr>
        <w:t>3</w:t>
      </w:r>
      <w:r>
        <w:rPr>
          <w:rFonts w:hint="default" w:ascii="Times New Roman" w:hAnsi="Times New Roman" w:eastAsia="方正仿宋_GBK" w:cs="Times New Roman"/>
          <w:b w:val="0"/>
          <w:bCs w:val="0"/>
          <w:color w:val="auto"/>
          <w:sz w:val="32"/>
          <w:szCs w:val="32"/>
          <w:shd w:val="clear" w:color="auto" w:fill="auto"/>
        </w:rPr>
        <w:t>年相比，财政拨款收、支总计各增加98.69万元，增长100.0%。主要原因是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p>
    <w:p w14:paraId="30EE8F7A">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（三）一般公共预算财政拨款收入支出决算情况说明</w:t>
      </w:r>
    </w:p>
    <w:p w14:paraId="4870E9CF">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1.收入情况。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度一般公共预算财政拨款收入</w:t>
      </w:r>
      <w:r>
        <w:rPr>
          <w:rFonts w:hint="default" w:ascii="Times New Roman" w:hAnsi="Times New Roman" w:eastAsia="方正仿宋_GBK" w:cs="Times New Roman"/>
          <w:b w:val="0"/>
          <w:bCs w:val="0"/>
          <w:color w:val="auto"/>
          <w:sz w:val="32"/>
          <w:szCs w:val="32"/>
          <w:shd w:val="clear" w:color="auto" w:fill="auto"/>
        </w:rPr>
        <w:t>98.69</w:t>
      </w:r>
      <w:r>
        <w:rPr>
          <w:rFonts w:hint="default" w:ascii="Times New Roman" w:hAnsi="Times New Roman" w:eastAsia="方正仿宋_GBK" w:cs="Times New Roman"/>
          <w:b w:val="0"/>
          <w:bCs w:val="0"/>
          <w:color w:val="auto"/>
          <w:sz w:val="32"/>
          <w:szCs w:val="32"/>
          <w:shd w:val="clear" w:color="auto" w:fill="auto"/>
        </w:rPr>
        <w:t>万元，与2023年度相比，增加98.69万元，增长100.0%。主要原因是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较年初预算数减少41.16万元，下降29.4%。主要原因是</w:t>
      </w:r>
      <w:r>
        <w:rPr>
          <w:rFonts w:hint="default" w:ascii="Times New Roman" w:hAnsi="Times New Roman" w:eastAsia="方正仿宋_GBK" w:cs="Times New Roman"/>
          <w:b w:val="0"/>
          <w:bCs w:val="0"/>
          <w:color w:val="auto"/>
          <w:sz w:val="32"/>
          <w:szCs w:val="32"/>
          <w:shd w:val="clear" w:color="auto" w:fill="auto"/>
        </w:rPr>
        <w:t>严控经费、厉行节俭，部分预算资金未能全部支出，基本支出减少</w:t>
      </w:r>
      <w:r>
        <w:rPr>
          <w:rFonts w:hint="default" w:ascii="Times New Roman" w:hAnsi="Times New Roman" w:eastAsia="方正仿宋_GBK" w:cs="Times New Roman"/>
          <w:b w:val="0"/>
          <w:bCs w:val="0"/>
          <w:color w:val="auto"/>
          <w:sz w:val="32"/>
          <w:szCs w:val="32"/>
          <w:shd w:val="clear" w:color="auto" w:fill="auto"/>
          <w:lang w:val="en-US" w:eastAsia="zh-CN"/>
        </w:rPr>
        <w:t>38.56</w:t>
      </w:r>
      <w:r>
        <w:rPr>
          <w:rFonts w:hint="default" w:ascii="Times New Roman" w:hAnsi="Times New Roman" w:eastAsia="方正仿宋_GBK" w:cs="Times New Roman"/>
          <w:b w:val="0"/>
          <w:bCs w:val="0"/>
          <w:color w:val="auto"/>
          <w:sz w:val="32"/>
          <w:szCs w:val="32"/>
          <w:shd w:val="clear" w:color="auto" w:fill="auto"/>
        </w:rPr>
        <w:t>万元，项目支出减少</w:t>
      </w:r>
      <w:r>
        <w:rPr>
          <w:rFonts w:hint="default" w:ascii="Times New Roman" w:hAnsi="Times New Roman" w:eastAsia="方正仿宋_GBK" w:cs="Times New Roman"/>
          <w:b w:val="0"/>
          <w:bCs w:val="0"/>
          <w:color w:val="auto"/>
          <w:sz w:val="32"/>
          <w:szCs w:val="32"/>
          <w:shd w:val="clear" w:color="auto" w:fill="auto"/>
          <w:lang w:val="en-US" w:eastAsia="zh-CN"/>
        </w:rPr>
        <w:t>2.61</w:t>
      </w:r>
      <w:r>
        <w:rPr>
          <w:rFonts w:hint="default" w:ascii="Times New Roman" w:hAnsi="Times New Roman" w:eastAsia="方正仿宋_GBK" w:cs="Times New Roman"/>
          <w:b w:val="0"/>
          <w:bCs w:val="0"/>
          <w:color w:val="auto"/>
          <w:sz w:val="32"/>
          <w:szCs w:val="32"/>
          <w:shd w:val="clear" w:color="auto" w:fill="auto"/>
        </w:rPr>
        <w:t>万元。</w:t>
      </w:r>
      <w:r>
        <w:rPr>
          <w:rFonts w:hint="default" w:ascii="Times New Roman" w:hAnsi="Times New Roman" w:eastAsia="方正仿宋_GBK" w:cs="Times New Roman"/>
          <w:b w:val="0"/>
          <w:bCs w:val="0"/>
          <w:color w:val="auto"/>
          <w:sz w:val="32"/>
          <w:szCs w:val="32"/>
          <w:shd w:val="clear" w:color="auto" w:fill="auto"/>
        </w:rPr>
        <w:t>此外，年初财政拨款结转和结余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24BC7864">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2.支出情况。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度一般公共预算财政拨款支出</w:t>
      </w:r>
      <w:r>
        <w:rPr>
          <w:rFonts w:hint="default" w:ascii="Times New Roman" w:hAnsi="Times New Roman" w:eastAsia="方正仿宋_GBK" w:cs="Times New Roman"/>
          <w:b w:val="0"/>
          <w:bCs w:val="0"/>
          <w:color w:val="auto"/>
          <w:sz w:val="32"/>
          <w:szCs w:val="32"/>
          <w:shd w:val="clear" w:color="auto" w:fill="auto"/>
        </w:rPr>
        <w:t>98.69</w:t>
      </w:r>
      <w:r>
        <w:rPr>
          <w:rFonts w:hint="default" w:ascii="Times New Roman" w:hAnsi="Times New Roman" w:eastAsia="方正仿宋_GBK" w:cs="Times New Roman"/>
          <w:b w:val="0"/>
          <w:bCs w:val="0"/>
          <w:color w:val="auto"/>
          <w:sz w:val="32"/>
          <w:szCs w:val="32"/>
          <w:shd w:val="clear" w:color="auto" w:fill="auto"/>
        </w:rPr>
        <w:t>万元，与2023年度相比，增加98.69万元，增长100.0%。主要原因是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较年初预算数减少41.16万元，下降29.4%。主要原因是</w:t>
      </w:r>
      <w:r>
        <w:rPr>
          <w:rFonts w:hint="default" w:ascii="Times New Roman" w:hAnsi="Times New Roman" w:eastAsia="方正仿宋_GBK" w:cs="Times New Roman"/>
          <w:b w:val="0"/>
          <w:bCs w:val="0"/>
          <w:color w:val="auto"/>
          <w:sz w:val="32"/>
          <w:szCs w:val="32"/>
          <w:shd w:val="clear" w:color="auto" w:fill="auto"/>
        </w:rPr>
        <w:t>严控经费、厉行节俭，部分预算资金未能全部支出，基本支出减少38.56万元，项目支出减少2.61万元。</w:t>
      </w:r>
    </w:p>
    <w:p w14:paraId="516DD2CC">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3.结转结余情况。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度年末一般公共预算财政拨款结转和结余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根据财政局关于财政精细化管理相关要求，将原统计在机关本级的事业单位划分为7个账套单独核算，本单位上年度未单独核算，无结转和结余。</w:t>
      </w:r>
    </w:p>
    <w:p w14:paraId="6DACB814">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cyan"/>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4.比较情况。</w:t>
      </w:r>
      <w:r>
        <w:rPr>
          <w:rFonts w:hint="default" w:ascii="Times New Roman" w:hAnsi="Times New Roman" w:eastAsia="方正仿宋_GBK" w:cs="Times New Roman"/>
          <w:b w:val="0"/>
          <w:bCs w:val="0"/>
          <w:color w:val="auto"/>
          <w:sz w:val="32"/>
          <w:szCs w:val="32"/>
          <w:shd w:val="clear" w:color="auto" w:fill="auto"/>
        </w:rPr>
        <w:t>本单位</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度一般公共预算财政拨款支出主要用于以下几个方面：</w:t>
      </w:r>
    </w:p>
    <w:p w14:paraId="1B78CE82">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1</w:t>
      </w:r>
      <w:r>
        <w:rPr>
          <w:rFonts w:hint="default" w:ascii="Times New Roman" w:hAnsi="Times New Roman" w:eastAsia="方正仿宋_GBK" w:cs="Times New Roman"/>
          <w:b w:val="0"/>
          <w:bCs w:val="0"/>
          <w:color w:val="auto"/>
          <w:sz w:val="32"/>
          <w:szCs w:val="32"/>
          <w:shd w:val="clear" w:color="auto" w:fill="auto"/>
        </w:rPr>
        <w:t>）社会保障与就业支出</w:t>
      </w:r>
      <w:r>
        <w:rPr>
          <w:rFonts w:hint="default" w:ascii="Times New Roman" w:hAnsi="Times New Roman" w:eastAsia="方正仿宋_GBK" w:cs="Times New Roman"/>
          <w:b w:val="0"/>
          <w:bCs w:val="0"/>
          <w:color w:val="auto"/>
          <w:sz w:val="32"/>
          <w:szCs w:val="32"/>
          <w:shd w:val="clear" w:color="auto" w:fill="auto"/>
        </w:rPr>
        <w:t>16.20</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16.41</w:t>
      </w:r>
      <w:r>
        <w:rPr>
          <w:rFonts w:hint="default" w:ascii="Times New Roman" w:hAnsi="Times New Roman" w:eastAsia="方正仿宋_GBK" w:cs="Times New Roman"/>
          <w:b w:val="0"/>
          <w:bCs w:val="0"/>
          <w:color w:val="auto"/>
          <w:sz w:val="32"/>
          <w:szCs w:val="32"/>
          <w:shd w:val="clear" w:color="auto" w:fill="auto"/>
        </w:rPr>
        <w:t>%，较年初预算数减少0.46万元，下降2.8%，主要原因是</w:t>
      </w:r>
      <w:r>
        <w:rPr>
          <w:rFonts w:hint="default" w:ascii="Times New Roman" w:hAnsi="Times New Roman" w:eastAsia="方正仿宋_GBK" w:cs="Times New Roman"/>
          <w:b w:val="0"/>
          <w:bCs w:val="0"/>
          <w:color w:val="auto"/>
          <w:sz w:val="32"/>
          <w:szCs w:val="32"/>
          <w:shd w:val="clear" w:color="auto" w:fill="auto"/>
        </w:rPr>
        <w:t>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rPr>
        <w:t>变动导致实际发生的社会保障与就业支出</w:t>
      </w:r>
      <w:r>
        <w:rPr>
          <w:rFonts w:hint="default" w:ascii="Times New Roman" w:hAnsi="Times New Roman" w:eastAsia="方正仿宋_GBK" w:cs="Times New Roman"/>
          <w:b w:val="0"/>
          <w:bCs w:val="0"/>
          <w:color w:val="auto"/>
          <w:sz w:val="32"/>
          <w:szCs w:val="32"/>
          <w:shd w:val="clear" w:color="auto" w:fill="auto"/>
          <w:lang w:val="en-US" w:eastAsia="zh-CN"/>
        </w:rPr>
        <w:t>减少</w:t>
      </w:r>
      <w:r>
        <w:rPr>
          <w:rFonts w:hint="default" w:ascii="Times New Roman" w:hAnsi="Times New Roman" w:eastAsia="方正仿宋_GBK" w:cs="Times New Roman"/>
          <w:b w:val="0"/>
          <w:bCs w:val="0"/>
          <w:color w:val="auto"/>
          <w:sz w:val="32"/>
          <w:szCs w:val="32"/>
          <w:shd w:val="clear" w:color="auto" w:fill="auto"/>
        </w:rPr>
        <w:t>。</w:t>
      </w:r>
    </w:p>
    <w:p w14:paraId="2FA9CA62">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2</w:t>
      </w:r>
      <w:r>
        <w:rPr>
          <w:rFonts w:hint="default" w:ascii="Times New Roman" w:hAnsi="Times New Roman" w:eastAsia="方正仿宋_GBK" w:cs="Times New Roman"/>
          <w:b w:val="0"/>
          <w:bCs w:val="0"/>
          <w:color w:val="auto"/>
          <w:sz w:val="32"/>
          <w:szCs w:val="32"/>
          <w:shd w:val="clear" w:color="auto" w:fill="auto"/>
        </w:rPr>
        <w:t>）卫生健康支出</w:t>
      </w:r>
      <w:r>
        <w:rPr>
          <w:rFonts w:hint="default" w:ascii="Times New Roman" w:hAnsi="Times New Roman" w:eastAsia="方正仿宋_GBK" w:cs="Times New Roman"/>
          <w:b w:val="0"/>
          <w:bCs w:val="0"/>
          <w:color w:val="auto"/>
          <w:sz w:val="32"/>
          <w:szCs w:val="32"/>
          <w:shd w:val="clear" w:color="auto" w:fill="auto"/>
        </w:rPr>
        <w:t>3.70</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3.75</w:t>
      </w:r>
      <w:r>
        <w:rPr>
          <w:rFonts w:hint="default" w:ascii="Times New Roman" w:hAnsi="Times New Roman" w:eastAsia="方正仿宋_GBK" w:cs="Times New Roman"/>
          <w:b w:val="0"/>
          <w:bCs w:val="0"/>
          <w:color w:val="auto"/>
          <w:sz w:val="32"/>
          <w:szCs w:val="32"/>
          <w:shd w:val="clear" w:color="auto" w:fill="auto"/>
        </w:rPr>
        <w:t>%，较年初预算数减少2.47万元，下降40.0%，主要原因是</w:t>
      </w:r>
      <w:r>
        <w:rPr>
          <w:rFonts w:hint="default" w:ascii="Times New Roman" w:hAnsi="Times New Roman" w:eastAsia="方正仿宋_GBK" w:cs="Times New Roman"/>
          <w:b w:val="0"/>
          <w:bCs w:val="0"/>
          <w:color w:val="auto"/>
          <w:sz w:val="32"/>
          <w:szCs w:val="32"/>
          <w:shd w:val="clear" w:color="auto" w:fill="auto"/>
        </w:rPr>
        <w:t>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rPr>
        <w:t>变动导致实际发生的卫生健康支出减少。</w:t>
      </w:r>
    </w:p>
    <w:p w14:paraId="17D1E5B3">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3</w:t>
      </w:r>
      <w:r>
        <w:rPr>
          <w:rFonts w:hint="default" w:ascii="Times New Roman" w:hAnsi="Times New Roman" w:eastAsia="方正仿宋_GBK" w:cs="Times New Roman"/>
          <w:b w:val="0"/>
          <w:bCs w:val="0"/>
          <w:color w:val="auto"/>
          <w:sz w:val="32"/>
          <w:szCs w:val="32"/>
          <w:shd w:val="clear" w:color="auto" w:fill="auto"/>
        </w:rPr>
        <w:t>）城乡社区支出</w:t>
      </w:r>
      <w:r>
        <w:rPr>
          <w:rFonts w:hint="default" w:ascii="Times New Roman" w:hAnsi="Times New Roman" w:eastAsia="方正仿宋_GBK" w:cs="Times New Roman"/>
          <w:b w:val="0"/>
          <w:bCs w:val="0"/>
          <w:color w:val="auto"/>
          <w:sz w:val="32"/>
          <w:szCs w:val="32"/>
          <w:shd w:val="clear" w:color="auto" w:fill="auto"/>
        </w:rPr>
        <w:t>74.36</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75.35</w:t>
      </w:r>
      <w:r>
        <w:rPr>
          <w:rFonts w:hint="default" w:ascii="Times New Roman" w:hAnsi="Times New Roman" w:eastAsia="方正仿宋_GBK" w:cs="Times New Roman"/>
          <w:b w:val="0"/>
          <w:bCs w:val="0"/>
          <w:color w:val="auto"/>
          <w:sz w:val="32"/>
          <w:szCs w:val="32"/>
          <w:shd w:val="clear" w:color="auto" w:fill="auto"/>
        </w:rPr>
        <w:t>%，较年初预算数减少37.22万元，下降33.4%，主要原因是</w:t>
      </w:r>
      <w:r>
        <w:rPr>
          <w:rFonts w:hint="default" w:ascii="Times New Roman" w:hAnsi="Times New Roman" w:eastAsia="方正仿宋_GBK" w:cs="Times New Roman"/>
          <w:b w:val="0"/>
          <w:bCs w:val="0"/>
          <w:color w:val="auto"/>
          <w:sz w:val="32"/>
          <w:szCs w:val="32"/>
          <w:shd w:val="clear" w:color="auto" w:fill="auto"/>
        </w:rPr>
        <w:t>其他城乡社区管理事务支出</w:t>
      </w:r>
      <w:r>
        <w:rPr>
          <w:rFonts w:hint="eastAsia" w:ascii="Times New Roman" w:hAnsi="Times New Roman" w:eastAsia="方正仿宋_GBK" w:cs="Times New Roman"/>
          <w:b w:val="0"/>
          <w:bCs w:val="0"/>
          <w:color w:val="auto"/>
          <w:sz w:val="32"/>
          <w:szCs w:val="32"/>
          <w:shd w:val="clear" w:color="auto" w:fill="auto"/>
          <w:lang w:eastAsia="zh-CN"/>
        </w:rPr>
        <w:t>项目</w:t>
      </w:r>
      <w:r>
        <w:rPr>
          <w:rFonts w:hint="default" w:ascii="Times New Roman" w:hAnsi="Times New Roman" w:eastAsia="方正仿宋_GBK" w:cs="Times New Roman"/>
          <w:b w:val="0"/>
          <w:bCs w:val="0"/>
          <w:color w:val="auto"/>
          <w:sz w:val="32"/>
          <w:szCs w:val="32"/>
          <w:shd w:val="clear" w:color="auto" w:fill="auto"/>
        </w:rPr>
        <w:t>减少</w:t>
      </w:r>
      <w:r>
        <w:rPr>
          <w:rFonts w:hint="eastAsia" w:ascii="Times New Roman" w:hAnsi="Times New Roman" w:eastAsia="方正仿宋_GBK" w:cs="Times New Roman"/>
          <w:b w:val="0"/>
          <w:bCs w:val="0"/>
          <w:color w:val="auto"/>
          <w:sz w:val="32"/>
          <w:szCs w:val="32"/>
          <w:shd w:val="clear" w:color="auto" w:fill="auto"/>
          <w:lang w:val="en-US" w:eastAsia="zh-CN"/>
        </w:rPr>
        <w:t>37.22万元，支出总额减少</w:t>
      </w:r>
      <w:r>
        <w:rPr>
          <w:rFonts w:hint="default" w:ascii="Times New Roman" w:hAnsi="Times New Roman" w:eastAsia="方正仿宋_GBK" w:cs="Times New Roman"/>
          <w:b w:val="0"/>
          <w:bCs w:val="0"/>
          <w:color w:val="auto"/>
          <w:sz w:val="32"/>
          <w:szCs w:val="32"/>
          <w:shd w:val="clear" w:color="auto" w:fill="auto"/>
        </w:rPr>
        <w:t>。</w:t>
      </w:r>
    </w:p>
    <w:p w14:paraId="7D45465B">
      <w:pPr>
        <w:widowControl/>
        <w:wordWrap/>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4</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住房保障支出4.44</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4.49</w:t>
      </w:r>
      <w:r>
        <w:rPr>
          <w:rFonts w:hint="default" w:ascii="Times New Roman" w:hAnsi="Times New Roman" w:eastAsia="方正仿宋_GBK" w:cs="Times New Roman"/>
          <w:b w:val="0"/>
          <w:bCs w:val="0"/>
          <w:color w:val="auto"/>
          <w:sz w:val="32"/>
          <w:szCs w:val="32"/>
          <w:shd w:val="clear" w:color="auto" w:fill="auto"/>
        </w:rPr>
        <w:t>%，较年初预算数减少1.00万元，下降18.4%，主要原因是</w:t>
      </w:r>
      <w:r>
        <w:rPr>
          <w:rFonts w:hint="default" w:ascii="Times New Roman" w:hAnsi="Times New Roman" w:eastAsia="方正仿宋_GBK" w:cs="Times New Roman"/>
          <w:b w:val="0"/>
          <w:bCs w:val="0"/>
          <w:color w:val="auto"/>
          <w:sz w:val="32"/>
          <w:szCs w:val="32"/>
          <w:shd w:val="clear" w:color="auto" w:fill="auto"/>
        </w:rPr>
        <w:t>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rPr>
        <w:t>变动导致实际发生的住房保障支出减少。</w:t>
      </w:r>
    </w:p>
    <w:p w14:paraId="2626B441">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（四）一般公共预算财政拨款基本支出决算情况说明</w:t>
      </w:r>
    </w:p>
    <w:p w14:paraId="4B3B6CE8">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 </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度一般公共财政拨款基本支出</w:t>
      </w:r>
      <w:r>
        <w:rPr>
          <w:rFonts w:hint="default" w:ascii="Times New Roman" w:hAnsi="Times New Roman" w:eastAsia="方正仿宋_GBK" w:cs="Times New Roman"/>
          <w:b w:val="0"/>
          <w:bCs w:val="0"/>
          <w:color w:val="auto"/>
          <w:sz w:val="32"/>
          <w:szCs w:val="32"/>
          <w:shd w:val="clear" w:color="auto" w:fill="auto"/>
        </w:rPr>
        <w:t>97.30</w:t>
      </w:r>
      <w:r>
        <w:rPr>
          <w:rFonts w:hint="default" w:ascii="Times New Roman" w:hAnsi="Times New Roman" w:eastAsia="方正仿宋_GBK" w:cs="Times New Roman"/>
          <w:b w:val="0"/>
          <w:bCs w:val="0"/>
          <w:color w:val="auto"/>
          <w:sz w:val="32"/>
          <w:szCs w:val="32"/>
          <w:shd w:val="clear" w:color="auto" w:fill="auto"/>
        </w:rPr>
        <w:t>万元。其中：人员经费</w:t>
      </w:r>
      <w:r>
        <w:rPr>
          <w:rFonts w:hint="default" w:ascii="Times New Roman" w:hAnsi="Times New Roman" w:eastAsia="方正仿宋_GBK" w:cs="Times New Roman"/>
          <w:b w:val="0"/>
          <w:bCs w:val="0"/>
          <w:color w:val="auto"/>
          <w:sz w:val="32"/>
          <w:szCs w:val="32"/>
          <w:shd w:val="clear" w:color="auto" w:fill="auto"/>
        </w:rPr>
        <w:t>82.29</w:t>
      </w:r>
      <w:r>
        <w:rPr>
          <w:rFonts w:hint="default" w:ascii="Times New Roman" w:hAnsi="Times New Roman" w:eastAsia="方正仿宋_GBK" w:cs="Times New Roman"/>
          <w:b w:val="0"/>
          <w:bCs w:val="0"/>
          <w:color w:val="auto"/>
          <w:sz w:val="32"/>
          <w:szCs w:val="32"/>
          <w:shd w:val="clear" w:color="auto" w:fill="auto"/>
        </w:rPr>
        <w:t>万元，与2023年度相比，增加82.29万元，增长100.0%，主要原因是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人员经费用途主要包括</w:t>
      </w:r>
      <w:r>
        <w:rPr>
          <w:rFonts w:hint="default" w:ascii="Times New Roman" w:hAnsi="Times New Roman" w:eastAsia="方正仿宋_GBK" w:cs="Times New Roman"/>
          <w:b w:val="0"/>
          <w:bCs w:val="0"/>
          <w:color w:val="auto"/>
          <w:sz w:val="32"/>
          <w:szCs w:val="32"/>
          <w:shd w:val="clear" w:color="auto" w:fill="auto"/>
        </w:rPr>
        <w:t>基本工资、津贴补贴、奖金、社会保障缴费、住房公积金、应休未休假报酬等。</w:t>
      </w:r>
      <w:r>
        <w:rPr>
          <w:rFonts w:hint="default" w:ascii="Times New Roman" w:hAnsi="Times New Roman" w:eastAsia="方正仿宋_GBK" w:cs="Times New Roman"/>
          <w:b w:val="0"/>
          <w:bCs w:val="0"/>
          <w:color w:val="auto"/>
          <w:sz w:val="32"/>
          <w:szCs w:val="32"/>
          <w:shd w:val="clear" w:color="auto" w:fill="auto"/>
        </w:rPr>
        <w:t>公用经费</w:t>
      </w:r>
      <w:r>
        <w:rPr>
          <w:rFonts w:hint="default" w:ascii="Times New Roman" w:hAnsi="Times New Roman" w:eastAsia="方正仿宋_GBK" w:cs="Times New Roman"/>
          <w:b w:val="0"/>
          <w:bCs w:val="0"/>
          <w:color w:val="auto"/>
          <w:sz w:val="32"/>
          <w:szCs w:val="32"/>
          <w:shd w:val="clear" w:color="auto" w:fill="auto"/>
        </w:rPr>
        <w:t>15.01</w:t>
      </w:r>
      <w:r>
        <w:rPr>
          <w:rFonts w:hint="default" w:ascii="Times New Roman" w:hAnsi="Times New Roman" w:eastAsia="方正仿宋_GBK" w:cs="Times New Roman"/>
          <w:b w:val="0"/>
          <w:bCs w:val="0"/>
          <w:color w:val="auto"/>
          <w:sz w:val="32"/>
          <w:szCs w:val="32"/>
          <w:shd w:val="clear" w:color="auto" w:fill="auto"/>
        </w:rPr>
        <w:t>万元，与2023年度相比，增加15.01万元，增长100.0%，主要原因是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公用经费用途主要包括</w:t>
      </w:r>
      <w:r>
        <w:rPr>
          <w:rFonts w:hint="default" w:ascii="Times New Roman" w:hAnsi="Times New Roman" w:eastAsia="方正仿宋_GBK" w:cs="Times New Roman"/>
          <w:b w:val="0"/>
          <w:bCs w:val="0"/>
          <w:color w:val="auto"/>
          <w:sz w:val="32"/>
          <w:szCs w:val="32"/>
          <w:shd w:val="clear" w:color="auto" w:fill="auto"/>
        </w:rPr>
        <w:t>办公费、印刷费、咨询费、手续费、水费、电费、邮电费、差旅费、维修（护）费、公务接待费、劳务费、工会经费、其他交通费等。</w:t>
      </w:r>
    </w:p>
    <w:p w14:paraId="095CDB7F">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（五）政府性基金预算收支决算情况说明</w:t>
      </w:r>
    </w:p>
    <w:p w14:paraId="2FD2BEE0">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度无政府性基金预算财政拨款收支。</w:t>
      </w:r>
    </w:p>
    <w:p w14:paraId="042D22AE">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（六）国有资本经营预算财政拨款支出决算情况说明</w:t>
      </w:r>
    </w:p>
    <w:p w14:paraId="00ACF942">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度无国有资本经营预算财政拨款支出。</w:t>
      </w:r>
    </w:p>
    <w:p w14:paraId="2C907863">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三、</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财政拨款</w:t>
      </w:r>
      <w:r>
        <w:rPr>
          <w:rStyle w:val="8"/>
          <w:rFonts w:hint="default" w:ascii="Times New Roman" w:hAnsi="Times New Roman" w:eastAsia="方正黑体_GBK" w:cs="Times New Roman"/>
          <w:b w:val="0"/>
          <w:bCs w:val="0"/>
          <w:color w:val="auto"/>
          <w:sz w:val="32"/>
          <w:szCs w:val="32"/>
          <w:highlight w:val="none"/>
          <w:shd w:val="clear" w:color="auto" w:fill="auto"/>
        </w:rPr>
        <w:t>“三公”经费情况说明</w:t>
      </w:r>
    </w:p>
    <w:p w14:paraId="7E0EC6D8">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（一）“三公”经费支出总体情况说明</w:t>
      </w:r>
    </w:p>
    <w:p w14:paraId="119B96A6">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2024年度“三公”经费支出共计0.00万元，费用支出较年初预算数无增减，较上年支出数无增减。</w:t>
      </w:r>
    </w:p>
    <w:p w14:paraId="1039C9D0">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（二）“三公”经费分项支出情况</w:t>
      </w:r>
    </w:p>
    <w:p w14:paraId="5C3BA2E3">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2024年度本单位因公出国（境）费用0.00万元，费用支出较年初预算数无增减，较上年支出数无增减。</w:t>
      </w:r>
    </w:p>
    <w:p w14:paraId="33FCA91E">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公务车购置费0.00万元，费用支出较年初预算数无增减，较上年支出数无增减。</w:t>
      </w:r>
    </w:p>
    <w:p w14:paraId="58D876E4">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公务车运行维护费0.00万元，费费用支出较年初预算数无增减，较上年支出数无增减。</w:t>
      </w:r>
    </w:p>
    <w:p w14:paraId="7C370E3E">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公务接待费0.00万元，费用支出较年初预算数无增减，较上年支出数无增减。</w:t>
      </w:r>
    </w:p>
    <w:p w14:paraId="5A1DCC95">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（三）“三公”经费实物量情况</w:t>
      </w:r>
    </w:p>
    <w:p w14:paraId="2B4EC687">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 </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度本单位因公出国（境）共计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个团组，</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人；公务用车购置</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辆，公务车保有量为</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辆；国内公务接待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人，其中：国内外事接待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人；国（境）外公务接待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本单位人均接待费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元，车均购置费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万元，车均维护费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万元。</w:t>
      </w:r>
    </w:p>
    <w:p w14:paraId="27C4BEFF">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四、其他需要说明的事项</w:t>
      </w:r>
    </w:p>
    <w:p w14:paraId="0ED858EF">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（一）财政拨款会议费和培训费情况说明</w:t>
      </w:r>
    </w:p>
    <w:p w14:paraId="62422595">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本年度会议费支出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严控经费，厉行节约，未发生会议费支出。</w:t>
      </w:r>
      <w:r>
        <w:rPr>
          <w:rFonts w:hint="default" w:ascii="Times New Roman" w:hAnsi="Times New Roman" w:eastAsia="方正仿宋_GBK" w:cs="Times New Roman"/>
          <w:b w:val="0"/>
          <w:bCs w:val="0"/>
          <w:color w:val="auto"/>
          <w:sz w:val="32"/>
          <w:szCs w:val="32"/>
          <w:shd w:val="clear" w:color="auto" w:fill="auto"/>
        </w:rPr>
        <w:t>本年度培训费支出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万元，与2023年度相比，无变化，主要原因是</w:t>
      </w:r>
      <w:r>
        <w:rPr>
          <w:rFonts w:hint="default" w:ascii="Times New Roman" w:hAnsi="Times New Roman" w:eastAsia="方正仿宋_GBK" w:cs="Times New Roman"/>
          <w:b w:val="0"/>
          <w:bCs w:val="0"/>
          <w:color w:val="auto"/>
          <w:sz w:val="32"/>
          <w:szCs w:val="32"/>
          <w:shd w:val="clear" w:color="auto" w:fill="auto"/>
        </w:rPr>
        <w:t>严控经费，厉行节约，未发生</w:t>
      </w:r>
      <w:r>
        <w:rPr>
          <w:rFonts w:hint="default" w:ascii="Times New Roman" w:hAnsi="Times New Roman" w:eastAsia="方正仿宋_GBK" w:cs="Times New Roman"/>
          <w:b w:val="0"/>
          <w:bCs w:val="0"/>
          <w:color w:val="auto"/>
          <w:sz w:val="32"/>
          <w:szCs w:val="32"/>
          <w:shd w:val="clear" w:color="auto" w:fill="auto"/>
          <w:lang w:eastAsia="zh-CN"/>
        </w:rPr>
        <w:t>培训费</w:t>
      </w:r>
      <w:r>
        <w:rPr>
          <w:rFonts w:hint="default" w:ascii="Times New Roman" w:hAnsi="Times New Roman" w:eastAsia="方正仿宋_GBK" w:cs="Times New Roman"/>
          <w:b w:val="0"/>
          <w:bCs w:val="0"/>
          <w:color w:val="auto"/>
          <w:sz w:val="32"/>
          <w:szCs w:val="32"/>
          <w:shd w:val="clear" w:color="auto" w:fill="auto"/>
        </w:rPr>
        <w:t>支出。</w:t>
      </w:r>
    </w:p>
    <w:p w14:paraId="6B1FD65A">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（二）机关运行经费情况说明</w:t>
      </w:r>
    </w:p>
    <w:p w14:paraId="2549764D">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按照部门决算列报口径，我单位不在机关运行经费统计范围之内。</w:t>
      </w:r>
    </w:p>
    <w:p w14:paraId="09A8E6B8">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（三）国有资产占用情况说明</w:t>
      </w:r>
    </w:p>
    <w:p w14:paraId="214AA130">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截至</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12月31日，本单位共有车辆</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辆，其中，副部（省）级及以上领导用车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辆、主要负责人用车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辆、机要通信用车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辆、应急保障用车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辆、执法执勤用车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辆，特种专业技术用车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辆，离退休干部用车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辆。单价100万元（含）以上专用设备</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台（套）。</w:t>
      </w:r>
    </w:p>
    <w:p w14:paraId="028D2D54">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（四）政府采购支出情况说明</w:t>
      </w:r>
    </w:p>
    <w:p w14:paraId="7B416D25">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度我单位未发生政府采购事项，无相关经费支出。</w:t>
      </w:r>
    </w:p>
    <w:p w14:paraId="1D738C16">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五、2024年度预算绩效管理情况说明</w:t>
      </w:r>
    </w:p>
    <w:p w14:paraId="506DA5A4">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（一）预算绩效管理工作开展情况</w:t>
      </w:r>
    </w:p>
    <w:p w14:paraId="24304CF4">
      <w:pPr>
        <w:pStyle w:val="10"/>
        <w:widowControl/>
        <w:wordWrap/>
        <w:autoSpaceDE w:val="0"/>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根据预算绩效管理要求，我单位对</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个项目开展了绩效自评，其中，以填报自评表形式开展自评</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项，涉及资金</w:t>
      </w:r>
      <w:r>
        <w:rPr>
          <w:rFonts w:hint="default" w:ascii="Times New Roman" w:hAnsi="Times New Roman" w:eastAsia="方正仿宋_GBK" w:cs="Times New Roman"/>
          <w:b w:val="0"/>
          <w:bCs w:val="0"/>
          <w:color w:val="auto"/>
          <w:kern w:val="0"/>
          <w:sz w:val="32"/>
          <w:szCs w:val="32"/>
          <w:shd w:val="clear" w:color="auto" w:fill="auto"/>
          <w:lang w:val="en-US" w:eastAsia="zh-CN"/>
        </w:rPr>
        <w:t>1.39</w:t>
      </w:r>
      <w:r>
        <w:rPr>
          <w:rFonts w:hint="default" w:ascii="Times New Roman" w:hAnsi="Times New Roman" w:eastAsia="方正仿宋_GBK" w:cs="Times New Roman"/>
          <w:b w:val="0"/>
          <w:bCs w:val="0"/>
          <w:color w:val="auto"/>
          <w:kern w:val="0"/>
          <w:sz w:val="32"/>
          <w:szCs w:val="32"/>
          <w:shd w:val="clear" w:color="auto" w:fill="auto"/>
        </w:rPr>
        <w:t>万元。</w:t>
      </w:r>
    </w:p>
    <w:p w14:paraId="66F1CAF1">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（二）绩效自评结果</w:t>
      </w:r>
    </w:p>
    <w:p w14:paraId="33C09D16">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1.项目绩效自评表。</w:t>
      </w:r>
    </w:p>
    <w:p w14:paraId="39F2BC2A">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详见附件。</w:t>
      </w:r>
    </w:p>
    <w:p w14:paraId="36D4DA9F">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2.项目绩效自评报告或案例。</w:t>
      </w:r>
    </w:p>
    <w:p w14:paraId="7897DE43">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我单位未委托第三方开展绩效评价</w:t>
      </w:r>
      <w:r>
        <w:rPr>
          <w:rFonts w:hint="default" w:ascii="Times New Roman" w:hAnsi="Times New Roman" w:eastAsia="方正仿宋_GBK" w:cs="Times New Roman"/>
          <w:b w:val="0"/>
          <w:bCs w:val="0"/>
          <w:color w:val="auto"/>
          <w:kern w:val="0"/>
          <w:sz w:val="32"/>
          <w:szCs w:val="32"/>
          <w:shd w:val="clear" w:color="auto" w:fill="auto"/>
        </w:rPr>
        <w:t>。</w:t>
      </w:r>
    </w:p>
    <w:p w14:paraId="5FFFC26C">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3.关于绩效自评结果的说明。</w:t>
      </w:r>
    </w:p>
    <w:p w14:paraId="66618B0B">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我单位对</w:t>
      </w:r>
      <w:r>
        <w:rPr>
          <w:rFonts w:hint="default" w:ascii="Times New Roman" w:hAnsi="Times New Roman" w:eastAsia="方正仿宋_GBK" w:cs="Times New Roman"/>
          <w:b w:val="0"/>
          <w:bCs w:val="0"/>
          <w:color w:val="auto"/>
          <w:kern w:val="0"/>
          <w:sz w:val="32"/>
          <w:szCs w:val="32"/>
          <w:shd w:val="clear" w:color="auto" w:fill="auto"/>
          <w:lang w:val="en-US" w:eastAsia="zh-CN"/>
        </w:rPr>
        <w:t>1个</w:t>
      </w:r>
      <w:r>
        <w:rPr>
          <w:rFonts w:hint="default" w:ascii="Times New Roman" w:hAnsi="Times New Roman" w:eastAsia="方正仿宋_GBK" w:cs="Times New Roman"/>
          <w:b w:val="0"/>
          <w:bCs w:val="0"/>
          <w:color w:val="auto"/>
          <w:kern w:val="0"/>
          <w:sz w:val="32"/>
          <w:szCs w:val="32"/>
          <w:shd w:val="clear" w:color="auto" w:fill="auto"/>
        </w:rPr>
        <w:t>项目进行绩效自评，其中</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个已完成年度绩效目标，</w:t>
      </w:r>
      <w:r>
        <w:rPr>
          <w:rFonts w:hint="default" w:ascii="Times New Roman" w:hAnsi="Times New Roman" w:eastAsia="方正仿宋_GBK" w:cs="Times New Roman"/>
          <w:b w:val="0"/>
          <w:bCs w:val="0"/>
          <w:color w:val="auto"/>
          <w:kern w:val="0"/>
          <w:sz w:val="32"/>
          <w:szCs w:val="32"/>
          <w:shd w:val="clear" w:color="auto" w:fill="auto"/>
          <w:lang w:val="en-US" w:eastAsia="zh-CN"/>
        </w:rPr>
        <w:t>0</w:t>
      </w:r>
      <w:r>
        <w:rPr>
          <w:rFonts w:hint="default" w:ascii="Times New Roman" w:hAnsi="Times New Roman" w:eastAsia="方正仿宋_GBK" w:cs="Times New Roman"/>
          <w:b w:val="0"/>
          <w:bCs w:val="0"/>
          <w:color w:val="auto"/>
          <w:kern w:val="0"/>
          <w:sz w:val="32"/>
          <w:szCs w:val="32"/>
          <w:shd w:val="clear" w:color="auto" w:fill="auto"/>
        </w:rPr>
        <w:t>个未完成年度绩效目标。</w:t>
      </w:r>
    </w:p>
    <w:p w14:paraId="12179E8A">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lang w:val="en-US" w:eastAsia="zh-CN"/>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rPr>
        <w:t>（三）财政重点绩效评价情况</w:t>
      </w:r>
    </w:p>
    <w:p w14:paraId="5B2D87DB">
      <w:pPr>
        <w:pStyle w:val="10"/>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val="en-US" w:eastAsia="zh-CN"/>
        </w:rPr>
        <w:t>我单位无财政重点绩效评价项目。</w:t>
      </w:r>
    </w:p>
    <w:p w14:paraId="454A1015">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六、专业名词解释</w:t>
      </w:r>
    </w:p>
    <w:p w14:paraId="7C1C9E44">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（一）财政拨款收入：</w:t>
      </w:r>
      <w:r>
        <w:rPr>
          <w:rFonts w:hint="default" w:ascii="Times New Roman" w:hAnsi="Times New Roman" w:eastAsia="方正仿宋_GBK" w:cs="Times New Roman"/>
          <w:b w:val="0"/>
          <w:bCs w:val="0"/>
          <w:color w:val="auto"/>
          <w:kern w:val="0"/>
          <w:sz w:val="32"/>
          <w:szCs w:val="32"/>
          <w:shd w:val="clear" w:color="auto" w:fill="auto"/>
        </w:rPr>
        <w:t>指本年度从本级财政部门取得的财政拨款，包括一般公共预算财政拨款和政府性基金预算财政拨款。</w:t>
      </w:r>
    </w:p>
    <w:p w14:paraId="0336366A">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（二）事业收入：</w:t>
      </w:r>
      <w:r>
        <w:rPr>
          <w:rFonts w:hint="default" w:ascii="Times New Roman" w:hAnsi="Times New Roman" w:eastAsia="方正仿宋_GBK" w:cs="Times New Roman"/>
          <w:b w:val="0"/>
          <w:bCs w:val="0"/>
          <w:color w:val="auto"/>
          <w:kern w:val="0"/>
          <w:sz w:val="32"/>
          <w:szCs w:val="32"/>
          <w:shd w:val="clear" w:color="auto" w:fill="auto"/>
        </w:rPr>
        <w:t>指事业单位开展专业业务活动及其辅助活动取得的现金流入；事业单位收到的财政专户实际核拨的教育收费等资金在此反映。</w:t>
      </w:r>
    </w:p>
    <w:p w14:paraId="7F299079">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（三）经营收入：</w:t>
      </w:r>
      <w:r>
        <w:rPr>
          <w:rFonts w:hint="default" w:ascii="Times New Roman" w:hAnsi="Times New Roman" w:eastAsia="方正仿宋_GBK" w:cs="Times New Roman"/>
          <w:b w:val="0"/>
          <w:bCs w:val="0"/>
          <w:color w:val="auto"/>
          <w:kern w:val="0"/>
          <w:sz w:val="32"/>
          <w:szCs w:val="32"/>
          <w:shd w:val="clear" w:color="auto" w:fill="auto"/>
        </w:rPr>
        <w:t>指事业单位在专业业务活动及其辅助活动之外开展非独立核算经营活动取得的现金流入。</w:t>
      </w:r>
    </w:p>
    <w:p w14:paraId="29F1495D">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（四）其他收入：</w:t>
      </w:r>
      <w:r>
        <w:rPr>
          <w:rFonts w:hint="default" w:ascii="Times New Roman" w:hAnsi="Times New Roman" w:eastAsia="方正仿宋_GBK" w:cs="Times New Roman"/>
          <w:b w:val="0"/>
          <w:bCs w:val="0"/>
          <w:color w:val="auto"/>
          <w:kern w:val="0"/>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4C42475">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（五）使用非财政拨款结余：</w:t>
      </w:r>
      <w:r>
        <w:rPr>
          <w:rFonts w:hint="default" w:ascii="Times New Roman" w:hAnsi="Times New Roman" w:eastAsia="方正仿宋_GBK" w:cs="Times New Roman"/>
          <w:b w:val="0"/>
          <w:bCs w:val="0"/>
          <w:color w:val="auto"/>
          <w:kern w:val="0"/>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14:paraId="41B9941C">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（六）年初结转和结余：</w:t>
      </w:r>
      <w:r>
        <w:rPr>
          <w:rFonts w:hint="default" w:ascii="Times New Roman" w:hAnsi="Times New Roman" w:eastAsia="方正仿宋_GBK" w:cs="Times New Roman"/>
          <w:b w:val="0"/>
          <w:bCs w:val="0"/>
          <w:color w:val="auto"/>
          <w:kern w:val="0"/>
          <w:sz w:val="32"/>
          <w:szCs w:val="32"/>
          <w:shd w:val="clear" w:color="auto" w:fill="auto"/>
        </w:rPr>
        <w:t>指单位上年结转本年使用的基本支出结转、项目支出结转和结余、经营结余。</w:t>
      </w:r>
    </w:p>
    <w:p w14:paraId="1DE4E186">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（七）结余分配：</w:t>
      </w:r>
      <w:r>
        <w:rPr>
          <w:rFonts w:hint="default" w:ascii="Times New Roman" w:hAnsi="Times New Roman" w:eastAsia="方正仿宋_GBK" w:cs="Times New Roman"/>
          <w:b w:val="0"/>
          <w:bCs w:val="0"/>
          <w:color w:val="auto"/>
          <w:kern w:val="0"/>
          <w:sz w:val="32"/>
          <w:szCs w:val="32"/>
          <w:shd w:val="clear" w:color="auto" w:fill="auto"/>
        </w:rPr>
        <w:t>指单位按照国家有关规定，缴纳所得税、提取专用基金、转入非财政拨款结余等当年结余的分配情况。</w:t>
      </w:r>
    </w:p>
    <w:p w14:paraId="7C793668">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（八）年末结转和结余：</w:t>
      </w:r>
      <w:r>
        <w:rPr>
          <w:rFonts w:hint="default" w:ascii="Times New Roman" w:hAnsi="Times New Roman" w:eastAsia="方正仿宋_GBK" w:cs="Times New Roman"/>
          <w:b w:val="0"/>
          <w:bCs w:val="0"/>
          <w:color w:val="auto"/>
          <w:kern w:val="0"/>
          <w:sz w:val="32"/>
          <w:szCs w:val="32"/>
          <w:shd w:val="clear" w:color="auto" w:fill="auto"/>
        </w:rPr>
        <w:t>指单位结转下年的基本支出结转、项目支出结转和结余、经营结余。</w:t>
      </w:r>
    </w:p>
    <w:p w14:paraId="162D20D5">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（九）基本支出：</w:t>
      </w:r>
      <w:r>
        <w:rPr>
          <w:rFonts w:hint="default" w:ascii="Times New Roman" w:hAnsi="Times New Roman" w:eastAsia="方正仿宋_GBK" w:cs="Times New Roman"/>
          <w:b w:val="0"/>
          <w:bCs w:val="0"/>
          <w:color w:val="auto"/>
          <w:kern w:val="0"/>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3D237A5">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（十）项目支出：</w:t>
      </w:r>
      <w:r>
        <w:rPr>
          <w:rFonts w:hint="default" w:ascii="Times New Roman" w:hAnsi="Times New Roman" w:eastAsia="方正仿宋_GBK" w:cs="Times New Roman"/>
          <w:b w:val="0"/>
          <w:bCs w:val="0"/>
          <w:color w:val="auto"/>
          <w:kern w:val="0"/>
          <w:sz w:val="32"/>
          <w:szCs w:val="32"/>
          <w:shd w:val="clear" w:color="auto" w:fill="auto"/>
        </w:rPr>
        <w:t>指在基本支出之外为完成特定行政任务和事业发展目标所发生的支出。</w:t>
      </w:r>
    </w:p>
    <w:p w14:paraId="72D6DB2A">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（十一）经营支出：</w:t>
      </w:r>
      <w:r>
        <w:rPr>
          <w:rFonts w:hint="default" w:ascii="Times New Roman" w:hAnsi="Times New Roman" w:eastAsia="方正仿宋_GBK" w:cs="Times New Roman"/>
          <w:b w:val="0"/>
          <w:bCs w:val="0"/>
          <w:color w:val="auto"/>
          <w:kern w:val="0"/>
          <w:sz w:val="32"/>
          <w:szCs w:val="32"/>
          <w:shd w:val="clear" w:color="auto" w:fill="auto"/>
        </w:rPr>
        <w:t>指事业单位在专业业务活动及其辅助活动之外开展非独立核算经营活动发生的支出。</w:t>
      </w:r>
    </w:p>
    <w:p w14:paraId="47DF780D">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（十二）“三公”经费：</w:t>
      </w:r>
      <w:r>
        <w:rPr>
          <w:rFonts w:hint="default" w:ascii="Times New Roman" w:hAnsi="Times New Roman" w:eastAsia="方正仿宋_GBK" w:cs="Times New Roman"/>
          <w:b w:val="0"/>
          <w:bCs w:val="0"/>
          <w:color w:val="auto"/>
          <w:kern w:val="0"/>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B841AFC">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（十三）机关运行经费：</w:t>
      </w:r>
      <w:r>
        <w:rPr>
          <w:rFonts w:hint="default" w:ascii="Times New Roman" w:hAnsi="Times New Roman" w:eastAsia="方正仿宋_GBK" w:cs="Times New Roman"/>
          <w:b w:val="0"/>
          <w:bCs w:val="0"/>
          <w:color w:val="auto"/>
          <w:kern w:val="0"/>
          <w:sz w:val="32"/>
          <w:szCs w:val="32"/>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1332507">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（十四）工资福利支出（支出经济分类科目类级）：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反映单位开支的在职职工和编制外长期聘用人员的各类劳动报酬，以及为上述人员缴纳的各项社会保险费等。</w:t>
      </w:r>
    </w:p>
    <w:p w14:paraId="7F2E8282">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（十五）商品和服务支出（支出经济分类科目类级）：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反映单位购买商品和服务的支出（不包括用于购置固定资产的支出、战略性和应急储备支出）。</w:t>
      </w:r>
    </w:p>
    <w:p w14:paraId="57F4B11F">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（十六）对个人和家庭的补助（支出经济分类科目类级）：</w:t>
      </w:r>
      <w:r>
        <w:rPr>
          <w:rFonts w:hint="default" w:ascii="Times New Roman" w:hAnsi="Times New Roman" w:eastAsia="方正仿宋_GBK" w:cs="Times New Roman"/>
          <w:b w:val="0"/>
          <w:bCs w:val="0"/>
          <w:color w:val="auto"/>
          <w:kern w:val="0"/>
          <w:sz w:val="32"/>
          <w:szCs w:val="32"/>
          <w:shd w:val="clear" w:color="auto" w:fill="auto"/>
        </w:rPr>
        <w:t>反映用于对个人和家庭的补助支出。</w:t>
      </w:r>
    </w:p>
    <w:p w14:paraId="33D9242F">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（十七）其他资本性支出（支出经济分类科目类级）：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反映非各级发展与改革部门集中安排的用于购置固定资产、战略性和应急性储备、土地和无形资产，以及构建基础设施、大型修缮和财政支持企业更新改造所发生的支出。</w:t>
      </w:r>
    </w:p>
    <w:p w14:paraId="2D4F07DE">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七、决算公开联系方式及信息反馈渠道</w:t>
      </w:r>
    </w:p>
    <w:p w14:paraId="6DE05F22">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本单位决算公开信息反馈和联系方式：</w:t>
      </w:r>
    </w:p>
    <w:p w14:paraId="2C4E8E1F">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Style w:val="12"/>
          <w:rFonts w:hint="default" w:ascii="Times New Roman" w:hAnsi="Times New Roman" w:eastAsia="方正仿宋_GBK" w:cs="Times New Roman"/>
          <w:b w:val="0"/>
          <w:bCs w:val="0"/>
          <w:color w:val="auto"/>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eastAsia="zh-CN"/>
        </w:rPr>
        <w:t>联系人：</w:t>
      </w:r>
      <w:r>
        <w:rPr>
          <w:rFonts w:hint="eastAsia" w:ascii="Times New Roman" w:hAnsi="Times New Roman" w:eastAsia="方正仿宋_GBK" w:cs="Times New Roman"/>
          <w:b w:val="0"/>
          <w:bCs w:val="0"/>
          <w:color w:val="auto"/>
          <w:kern w:val="0"/>
          <w:sz w:val="32"/>
          <w:szCs w:val="32"/>
          <w:shd w:val="clear" w:color="auto" w:fill="auto"/>
          <w:lang w:val="en-US" w:eastAsia="zh-CN"/>
        </w:rPr>
        <w:t>王宇铮</w:t>
      </w:r>
      <w:r>
        <w:rPr>
          <w:rFonts w:hint="default" w:ascii="Times New Roman" w:hAnsi="Times New Roman" w:eastAsia="方正仿宋_GBK" w:cs="Times New Roman"/>
          <w:b w:val="0"/>
          <w:bCs w:val="0"/>
          <w:color w:val="auto"/>
          <w:kern w:val="0"/>
          <w:sz w:val="32"/>
          <w:szCs w:val="32"/>
          <w:shd w:val="clear" w:color="auto" w:fill="auto"/>
          <w:lang w:val="en-US" w:eastAsia="zh-CN"/>
        </w:rPr>
        <w:t xml:space="preserve"> 联系方式：</w:t>
      </w:r>
      <w:r>
        <w:rPr>
          <w:rFonts w:hint="default" w:ascii="Times New Roman" w:hAnsi="Times New Roman" w:eastAsia="方正仿宋_GBK" w:cs="Times New Roman"/>
          <w:b w:val="0"/>
          <w:bCs w:val="0"/>
          <w:color w:val="auto"/>
          <w:kern w:val="0"/>
          <w:sz w:val="32"/>
          <w:szCs w:val="32"/>
          <w:shd w:val="clear" w:color="auto" w:fill="auto"/>
        </w:rPr>
        <w:t>023-4587083</w:t>
      </w:r>
      <w:r>
        <w:rPr>
          <w:rFonts w:hint="eastAsia" w:ascii="Times New Roman" w:hAnsi="Times New Roman" w:eastAsia="方正仿宋_GBK" w:cs="Times New Roman"/>
          <w:b w:val="0"/>
          <w:bCs w:val="0"/>
          <w:color w:val="auto"/>
          <w:kern w:val="0"/>
          <w:sz w:val="32"/>
          <w:szCs w:val="32"/>
          <w:shd w:val="clear" w:color="auto" w:fill="auto"/>
          <w:lang w:val="en-US" w:eastAsia="zh-CN"/>
        </w:rPr>
        <w:t>7</w:t>
      </w:r>
    </w:p>
    <w:sectPr>
      <w:headerReference r:id="rId3" w:type="default"/>
      <w:footerReference r:id="rId4" w:type="default"/>
      <w:pgSz w:w="11850" w:h="16783"/>
      <w:pgMar w:top="2098" w:right="1474" w:bottom="1984" w:left="1587" w:header="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F829">
    <w:pPr>
      <w:pStyle w:val="2"/>
      <w:jc w:val="both"/>
      <w:rPr>
        <w:rFonts w:hint="default"/>
      </w:rPr>
    </w:pPr>
    <w:r>
      <w:rPr>
        <w:rFonts w:hint="eastAsia" w:ascii="宋体" w:hAnsi="宋体" w:eastAsia="宋体" w:cs="Times New Roman"/>
        <w:sz w:val="18"/>
        <w:szCs w:val="18"/>
        <w:lang w:val="en-US" w:eastAsia="zh-CN" w:bidi="ar-SA"/>
      </w:rPr>
      <w:pict>
        <v:rect id="文本框 127" o:spid="_x0000_s2049" o:spt="1" style="position:absolute;left:0pt;margin-top:0pt;height:144pt;width:144pt;mso-position-horizontal:outside;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14:paraId="643E3382">
                <w:pPr>
                  <w:pStyle w:val="2"/>
                  <w:rPr>
                    <w:rFonts w:hint="eastAsia" w:eastAsia="宋体"/>
                    <w:lang w:eastAsia="zh-CN"/>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p>
            </w:txbxContent>
          </v:textbox>
        </v:rect>
      </w:pict>
    </w:r>
    <w:r>
      <w:rPr>
        <w:rFonts w:hint="eastAsia" w:ascii="宋体" w:hAnsi="宋体" w:eastAsia="宋体" w:cs="Times New Roman"/>
        <w:sz w:val="18"/>
        <w:szCs w:val="18"/>
        <w:lang w:val="en-US" w:eastAsia="zh-CN" w:bidi="ar-SA"/>
      </w:rPr>
      <w:pict>
        <v:rect id="文本框 126" o:spid="_x0000_s2050"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14:paraId="6BE257E0">
                <w:pPr>
                  <w:pStyle w:val="2"/>
                  <w:jc w:val="both"/>
                  <w:rPr>
                    <w:rFonts w:hint="default" w:cs="宋体"/>
                  </w:rPr>
                </w:pPr>
                <w:r>
                  <w:rPr>
                    <w:rFonts w:cs="宋体"/>
                  </w:rPr>
                  <w:t>—27.1—</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B77F1">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U4MjljZjY2ODA5MDdmYTFlNjdkNzliNmEzN2M4ZDMifQ=="/>
  </w:docVars>
  <w:rsids>
    <w:rsidRoot w:val="00B03CCD"/>
    <w:rsid w:val="00550ABE"/>
    <w:rsid w:val="007B419D"/>
    <w:rsid w:val="00987BD2"/>
    <w:rsid w:val="009B67B8"/>
    <w:rsid w:val="00B03CCD"/>
    <w:rsid w:val="00FE7556"/>
    <w:rsid w:val="01474EBF"/>
    <w:rsid w:val="01F3521E"/>
    <w:rsid w:val="03E3214F"/>
    <w:rsid w:val="04446191"/>
    <w:rsid w:val="044C50BA"/>
    <w:rsid w:val="04C602E0"/>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BD33CF6"/>
    <w:rsid w:val="0C7927C4"/>
    <w:rsid w:val="0C9B098C"/>
    <w:rsid w:val="0D11728C"/>
    <w:rsid w:val="0D673E11"/>
    <w:rsid w:val="0DB50EFE"/>
    <w:rsid w:val="0DDA54E4"/>
    <w:rsid w:val="0E3A5F83"/>
    <w:rsid w:val="0F836721"/>
    <w:rsid w:val="103645A3"/>
    <w:rsid w:val="107B59E5"/>
    <w:rsid w:val="11003CB0"/>
    <w:rsid w:val="111445C7"/>
    <w:rsid w:val="1158083A"/>
    <w:rsid w:val="11BD75AA"/>
    <w:rsid w:val="11F03528"/>
    <w:rsid w:val="12C921C4"/>
    <w:rsid w:val="13173E84"/>
    <w:rsid w:val="13850DCB"/>
    <w:rsid w:val="13871C70"/>
    <w:rsid w:val="13A71CB4"/>
    <w:rsid w:val="13AF1D43"/>
    <w:rsid w:val="13C643C6"/>
    <w:rsid w:val="13CE1647"/>
    <w:rsid w:val="13D77899"/>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D32220"/>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77797C"/>
    <w:rsid w:val="36C9128A"/>
    <w:rsid w:val="37841E99"/>
    <w:rsid w:val="37BF1123"/>
    <w:rsid w:val="37F26E25"/>
    <w:rsid w:val="38BE4696"/>
    <w:rsid w:val="39166507"/>
    <w:rsid w:val="39B20C35"/>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946C7F"/>
    <w:rsid w:val="40FD5440"/>
    <w:rsid w:val="411B6CE5"/>
    <w:rsid w:val="412070D7"/>
    <w:rsid w:val="41314E40"/>
    <w:rsid w:val="4142353C"/>
    <w:rsid w:val="415C674B"/>
    <w:rsid w:val="416A59DD"/>
    <w:rsid w:val="421D0D04"/>
    <w:rsid w:val="426C1EA8"/>
    <w:rsid w:val="42E86A87"/>
    <w:rsid w:val="43136432"/>
    <w:rsid w:val="43770A38"/>
    <w:rsid w:val="443A3B12"/>
    <w:rsid w:val="44A854C2"/>
    <w:rsid w:val="44DD597D"/>
    <w:rsid w:val="465B470D"/>
    <w:rsid w:val="469D6AD4"/>
    <w:rsid w:val="46FC41C7"/>
    <w:rsid w:val="47674801"/>
    <w:rsid w:val="481E41DD"/>
    <w:rsid w:val="48225EF7"/>
    <w:rsid w:val="495C4A24"/>
    <w:rsid w:val="4AD70EE7"/>
    <w:rsid w:val="4B7951CB"/>
    <w:rsid w:val="4B7C315C"/>
    <w:rsid w:val="4BAB7F90"/>
    <w:rsid w:val="4DAC4ACA"/>
    <w:rsid w:val="4F186D58"/>
    <w:rsid w:val="50EC262C"/>
    <w:rsid w:val="522F6E0C"/>
    <w:rsid w:val="52463BA1"/>
    <w:rsid w:val="52EC7319"/>
    <w:rsid w:val="53C0244D"/>
    <w:rsid w:val="53DD4D4E"/>
    <w:rsid w:val="53E578CE"/>
    <w:rsid w:val="543B029D"/>
    <w:rsid w:val="544519E1"/>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1F2767"/>
    <w:rsid w:val="613D5BBC"/>
    <w:rsid w:val="614B7B86"/>
    <w:rsid w:val="61536C39"/>
    <w:rsid w:val="61790877"/>
    <w:rsid w:val="628230A6"/>
    <w:rsid w:val="62944DD7"/>
    <w:rsid w:val="62AB52B7"/>
    <w:rsid w:val="634D1435"/>
    <w:rsid w:val="63C25DC5"/>
    <w:rsid w:val="63C62057"/>
    <w:rsid w:val="63C73832"/>
    <w:rsid w:val="64FB113D"/>
    <w:rsid w:val="654E4D38"/>
    <w:rsid w:val="656152C6"/>
    <w:rsid w:val="6587477F"/>
    <w:rsid w:val="658C3A08"/>
    <w:rsid w:val="65C031CA"/>
    <w:rsid w:val="65CE6852"/>
    <w:rsid w:val="65DF3FAF"/>
    <w:rsid w:val="66267C04"/>
    <w:rsid w:val="663F505A"/>
    <w:rsid w:val="665C1999"/>
    <w:rsid w:val="667F2393"/>
    <w:rsid w:val="66EE5541"/>
    <w:rsid w:val="692172FD"/>
    <w:rsid w:val="6A3829EE"/>
    <w:rsid w:val="6B1B2511"/>
    <w:rsid w:val="6B474EF5"/>
    <w:rsid w:val="6C560CAE"/>
    <w:rsid w:val="6D0615E4"/>
    <w:rsid w:val="6D903FF5"/>
    <w:rsid w:val="6DA955B8"/>
    <w:rsid w:val="6DE346AB"/>
    <w:rsid w:val="6F7F6A2D"/>
    <w:rsid w:val="6FB442D1"/>
    <w:rsid w:val="6FFB2E76"/>
    <w:rsid w:val="71A86F83"/>
    <w:rsid w:val="71C34D91"/>
    <w:rsid w:val="71ED38AA"/>
    <w:rsid w:val="720229AA"/>
    <w:rsid w:val="72DB435C"/>
    <w:rsid w:val="750837F0"/>
    <w:rsid w:val="764F62AB"/>
    <w:rsid w:val="765C45EC"/>
    <w:rsid w:val="768A7619"/>
    <w:rsid w:val="76E14979"/>
    <w:rsid w:val="77EA362A"/>
    <w:rsid w:val="785B251F"/>
    <w:rsid w:val="7875383E"/>
    <w:rsid w:val="796D60A4"/>
    <w:rsid w:val="79A031D5"/>
    <w:rsid w:val="7A1525F7"/>
    <w:rsid w:val="7A342E0A"/>
    <w:rsid w:val="7A3E6CB6"/>
    <w:rsid w:val="7A680D2D"/>
    <w:rsid w:val="7B260559"/>
    <w:rsid w:val="7B420052"/>
    <w:rsid w:val="7BD06A28"/>
    <w:rsid w:val="7C1E4CD7"/>
    <w:rsid w:val="7C314E4E"/>
    <w:rsid w:val="7C3A7C0B"/>
    <w:rsid w:val="7C5248E4"/>
    <w:rsid w:val="7C566698"/>
    <w:rsid w:val="7FA960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List Paragraph"/>
    <w:basedOn w:val="1"/>
    <w:qFormat/>
    <w:uiPriority w:val="99"/>
    <w:pPr>
      <w:widowControl/>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rPr>
  </w:style>
  <w:style w:type="character" w:customStyle="1" w:styleId="12">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4561</Words>
  <Characters>5009</Characters>
  <Lines>161</Lines>
  <Paragraphs>45</Paragraphs>
  <TotalTime>0</TotalTime>
  <ScaleCrop>false</ScaleCrop>
  <LinksUpToDate>false</LinksUpToDate>
  <CharactersWithSpaces>5012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2025-10-17T01:49:41Z</dcterms:modified>
  <dc:title>重庆市铜梁区东城街道社区事务服务中心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9EDAFD8FD9424A54844071572B3E9A06_13</vt:lpwstr>
  </property>
  <property fmtid="{D5CDD505-2E9C-101B-9397-08002B2CF9AE}" pid="4" name="KSOTemplateDocerSaveRecord">
    <vt:lpwstr>eyJoZGlkIjoiN2VjMTAxYzFlMzI0ODY0OTRlNWExZmY1YWM3N2VhYmIiLCJ1c2VySWQiOiI0MDMyMTQzNjAifQ==</vt:lpwstr>
  </property>
</Properties>
</file>