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5C1BE">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highlight w:val="none"/>
        </w:rPr>
      </w:pPr>
      <w:r>
        <w:rPr>
          <w:rFonts w:hint="default" w:ascii="Times New Roman" w:hAnsi="Times New Roman" w:eastAsia="方正小标宋_GBK" w:cs="Times New Roman"/>
          <w:b w:val="0"/>
          <w:bCs w:val="0"/>
          <w:color w:val="auto"/>
          <w:sz w:val="44"/>
          <w:szCs w:val="44"/>
          <w:highlight w:val="none"/>
        </w:rPr>
        <w:t>重庆市铜梁区东城街道产业培育中心</w:t>
      </w:r>
    </w:p>
    <w:p w14:paraId="6785FA31">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2024年度决算公开说明</w:t>
      </w:r>
    </w:p>
    <w:p w14:paraId="4881D564">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highlight w:val="none"/>
          <w:shd w:val="clear" w:color="auto" w:fill="FFFFFF"/>
        </w:rPr>
      </w:pPr>
    </w:p>
    <w:p w14:paraId="1BB7BB8C">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FFFFFF"/>
        </w:rPr>
      </w:pPr>
      <w:r>
        <w:rPr>
          <w:rStyle w:val="8"/>
          <w:rFonts w:hint="default" w:ascii="Times New Roman" w:hAnsi="Times New Roman" w:eastAsia="方正黑体_GBK" w:cs="Times New Roman"/>
          <w:b w:val="0"/>
          <w:bCs w:val="0"/>
          <w:color w:val="auto"/>
          <w:sz w:val="32"/>
          <w:szCs w:val="32"/>
          <w:highlight w:val="none"/>
          <w:shd w:val="clear" w:color="auto" w:fill="FFFFFF"/>
        </w:rPr>
        <w:t>一、</w:t>
      </w:r>
      <w:r>
        <w:rPr>
          <w:rStyle w:val="8"/>
          <w:rFonts w:hint="default" w:ascii="Times New Roman" w:hAnsi="Times New Roman" w:eastAsia="方正黑体_GBK" w:cs="Times New Roman"/>
          <w:b w:val="0"/>
          <w:bCs w:val="0"/>
          <w:color w:val="auto"/>
          <w:sz w:val="32"/>
          <w:szCs w:val="32"/>
          <w:highlight w:val="none"/>
          <w:shd w:val="clear" w:color="auto" w:fill="FFFFFF"/>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FFFFFF"/>
        </w:rPr>
        <w:t>基本情况</w:t>
      </w:r>
    </w:p>
    <w:p w14:paraId="14EB9F27">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（一）职能职责</w:t>
      </w:r>
    </w:p>
    <w:p w14:paraId="273BA3EF">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重庆市铜梁区东城街道产业培育中心主要承担产业规划、引进培育等工作；承担各类招商项目洽谈、推介活动等投资促进具体工作；承担乡村振兴、农村经营管理、经济社会统计、巩固脱贫攻坚等事务性工作，承担农技、农机、林业、畜牧、水利水保、水产等方面的重大技术推广、信息服务、资源保护、灾害防治等工作，承担农产品质量安全检测和监测等事务性工作，承担动植物疫病防控事务性工作；完成主管部门交办的其他任务。</w:t>
      </w:r>
    </w:p>
    <w:p w14:paraId="1F088216">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（二）机构设置</w:t>
      </w:r>
    </w:p>
    <w:p w14:paraId="42BFB54C">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重庆市铜梁区东城街道产业培育中心无内设机构</w:t>
      </w:r>
      <w:r>
        <w:rPr>
          <w:rFonts w:hint="default" w:ascii="Times New Roman" w:hAnsi="Times New Roman" w:eastAsia="方正仿宋_GBK" w:cs="Times New Roman"/>
          <w:b w:val="0"/>
          <w:bCs w:val="0"/>
          <w:color w:val="auto"/>
          <w:sz w:val="32"/>
          <w:szCs w:val="32"/>
          <w:highlight w:val="none"/>
          <w:shd w:val="clear" w:color="auto" w:fill="FFFFFF"/>
          <w:lang w:eastAsia="zh-CN"/>
        </w:rPr>
        <w:t>及</w:t>
      </w:r>
      <w:r>
        <w:rPr>
          <w:rFonts w:hint="default" w:ascii="Times New Roman" w:hAnsi="Times New Roman" w:eastAsia="方正仿宋_GBK" w:cs="Times New Roman"/>
          <w:b w:val="0"/>
          <w:bCs w:val="0"/>
          <w:color w:val="auto"/>
          <w:sz w:val="32"/>
          <w:szCs w:val="32"/>
          <w:highlight w:val="none"/>
          <w:shd w:val="clear" w:color="auto" w:fill="FFFFFF"/>
        </w:rPr>
        <w:t>下级预算单位</w:t>
      </w:r>
      <w:r>
        <w:rPr>
          <w:rFonts w:hint="default" w:ascii="Times New Roman" w:hAnsi="Times New Roman" w:eastAsia="方正仿宋_GBK" w:cs="Times New Roman"/>
          <w:b w:val="0"/>
          <w:bCs w:val="0"/>
          <w:color w:val="auto"/>
          <w:sz w:val="32"/>
          <w:szCs w:val="32"/>
          <w:highlight w:val="none"/>
          <w:shd w:val="clear" w:color="auto" w:fill="FFFFFF"/>
          <w:lang w:eastAsia="zh-CN"/>
        </w:rPr>
        <w:t>。</w:t>
      </w:r>
    </w:p>
    <w:p w14:paraId="05DA7C25">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FFFFFF"/>
        </w:rPr>
      </w:pPr>
      <w:r>
        <w:rPr>
          <w:rStyle w:val="8"/>
          <w:rFonts w:hint="default" w:ascii="Times New Roman" w:hAnsi="Times New Roman" w:eastAsia="方正黑体_GBK" w:cs="Times New Roman"/>
          <w:b w:val="0"/>
          <w:bCs w:val="0"/>
          <w:color w:val="auto"/>
          <w:sz w:val="32"/>
          <w:szCs w:val="32"/>
          <w:highlight w:val="none"/>
          <w:shd w:val="clear" w:color="auto" w:fill="FFFFFF"/>
        </w:rPr>
        <w:t>二、</w:t>
      </w:r>
      <w:r>
        <w:rPr>
          <w:rStyle w:val="8"/>
          <w:rFonts w:hint="default" w:ascii="Times New Roman" w:hAnsi="Times New Roman" w:eastAsia="方正黑体_GBK" w:cs="Times New Roman"/>
          <w:b w:val="0"/>
          <w:bCs w:val="0"/>
          <w:color w:val="auto"/>
          <w:sz w:val="32"/>
          <w:szCs w:val="32"/>
          <w:highlight w:val="none"/>
          <w:shd w:val="clear" w:color="auto" w:fill="FFFFFF"/>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FFFFFF"/>
        </w:rPr>
        <w:t>决算</w:t>
      </w:r>
      <w:r>
        <w:rPr>
          <w:rStyle w:val="8"/>
          <w:rFonts w:hint="default" w:ascii="Times New Roman" w:hAnsi="Times New Roman" w:eastAsia="方正黑体_GBK" w:cs="Times New Roman"/>
          <w:b w:val="0"/>
          <w:bCs w:val="0"/>
          <w:color w:val="auto"/>
          <w:sz w:val="32"/>
          <w:szCs w:val="32"/>
          <w:highlight w:val="none"/>
          <w:shd w:val="clear" w:color="auto" w:fill="FFFFFF"/>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FFFFFF"/>
        </w:rPr>
        <w:t>情况说明</w:t>
      </w:r>
    </w:p>
    <w:p w14:paraId="08D03573">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（一）收入支出决算总体情况说明。</w:t>
      </w:r>
    </w:p>
    <w:p w14:paraId="235E5BFE">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highlight w:val="none"/>
        </w:rPr>
      </w:pPr>
      <w:r>
        <w:rPr>
          <w:rStyle w:val="8"/>
          <w:rFonts w:hint="default" w:ascii="Times New Roman" w:hAnsi="Times New Roman" w:eastAsia="方正仿宋_GBK" w:cs="Times New Roman"/>
          <w:b w:val="0"/>
          <w:bCs w:val="0"/>
          <w:color w:val="auto"/>
          <w:sz w:val="32"/>
          <w:szCs w:val="32"/>
          <w:highlight w:val="none"/>
          <w:shd w:val="clear" w:color="auto" w:fill="FFFFFF"/>
        </w:rPr>
        <w:t>1.总体情况。</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度收入总计647.62万元，支出总计</w:t>
      </w:r>
      <w:r>
        <w:rPr>
          <w:rFonts w:hint="default" w:ascii="Times New Roman" w:hAnsi="Times New Roman" w:eastAsia="方正仿宋_GBK" w:cs="Times New Roman"/>
          <w:b w:val="0"/>
          <w:bCs w:val="0"/>
          <w:color w:val="auto"/>
          <w:sz w:val="32"/>
          <w:szCs w:val="32"/>
          <w:highlight w:val="none"/>
        </w:rPr>
        <w:t>647.62</w:t>
      </w:r>
      <w:r>
        <w:rPr>
          <w:rFonts w:hint="default" w:ascii="Times New Roman" w:hAnsi="Times New Roman" w:eastAsia="方正仿宋_GBK" w:cs="Times New Roman"/>
          <w:b w:val="0"/>
          <w:bCs w:val="0"/>
          <w:color w:val="auto"/>
          <w:sz w:val="32"/>
          <w:szCs w:val="32"/>
          <w:highlight w:val="none"/>
          <w:shd w:val="clear" w:color="auto" w:fill="FFFFFF"/>
        </w:rPr>
        <w:t>万元。收、支与2023年度相比，增加647.62万元，增长100.0%，主要原因是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将原统计在机关本级的事业单位划分为7个账套单独核算，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本单位</w:t>
      </w:r>
      <w:r>
        <w:rPr>
          <w:rFonts w:hint="default" w:ascii="Times New Roman" w:hAnsi="Times New Roman" w:eastAsia="方正仿宋_GBK" w:cs="Times New Roman"/>
          <w:b w:val="0"/>
          <w:bCs w:val="0"/>
          <w:color w:val="auto"/>
          <w:sz w:val="32"/>
          <w:szCs w:val="32"/>
          <w:highlight w:val="none"/>
          <w:shd w:val="clear" w:color="auto" w:fill="FFFFFF"/>
        </w:rPr>
        <w:t>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，故较上一年度增长</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w:t>
      </w:r>
    </w:p>
    <w:p w14:paraId="2429B3C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Style w:val="8"/>
          <w:rFonts w:hint="default" w:ascii="Times New Roman" w:hAnsi="Times New Roman" w:eastAsia="方正仿宋_GBK" w:cs="Times New Roman"/>
          <w:b w:val="0"/>
          <w:bCs w:val="0"/>
          <w:color w:val="auto"/>
          <w:sz w:val="32"/>
          <w:szCs w:val="32"/>
          <w:highlight w:val="none"/>
          <w:shd w:val="clear" w:color="auto" w:fill="FFFFFF"/>
        </w:rPr>
        <w:t>2.收入情况。</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度收入合计647.62万元，与2023年度相比，增加647.62万元，增长100.0%，主要原因是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将原统计在机关本级的事业单位划分为7个账套单独核算，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本单位</w:t>
      </w:r>
      <w:r>
        <w:rPr>
          <w:rFonts w:hint="default" w:ascii="Times New Roman" w:hAnsi="Times New Roman" w:eastAsia="方正仿宋_GBK" w:cs="Times New Roman"/>
          <w:b w:val="0"/>
          <w:bCs w:val="0"/>
          <w:color w:val="auto"/>
          <w:sz w:val="32"/>
          <w:szCs w:val="32"/>
          <w:highlight w:val="none"/>
          <w:shd w:val="clear" w:color="auto" w:fill="FFFFFF"/>
        </w:rPr>
        <w:t>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，故较上一年度增长</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其中：财政拨款收入</w:t>
      </w:r>
      <w:r>
        <w:rPr>
          <w:rFonts w:hint="default" w:ascii="Times New Roman" w:hAnsi="Times New Roman" w:eastAsia="方正仿宋_GBK" w:cs="Times New Roman"/>
          <w:b w:val="0"/>
          <w:bCs w:val="0"/>
          <w:color w:val="auto"/>
          <w:sz w:val="32"/>
          <w:szCs w:val="32"/>
          <w:highlight w:val="none"/>
        </w:rPr>
        <w:t>647.62</w:t>
      </w:r>
      <w:r>
        <w:rPr>
          <w:rFonts w:hint="default" w:ascii="Times New Roman" w:hAnsi="Times New Roman" w:eastAsia="方正仿宋_GBK" w:cs="Times New Roman"/>
          <w:b w:val="0"/>
          <w:bCs w:val="0"/>
          <w:color w:val="auto"/>
          <w:sz w:val="32"/>
          <w:szCs w:val="32"/>
          <w:highlight w:val="none"/>
          <w:shd w:val="clear" w:color="auto" w:fill="FFFFFF"/>
        </w:rPr>
        <w:t>万元，占</w:t>
      </w:r>
      <w:r>
        <w:rPr>
          <w:rFonts w:hint="default" w:ascii="Times New Roman" w:hAnsi="Times New Roman" w:eastAsia="方正仿宋_GBK" w:cs="Times New Roman"/>
          <w:b w:val="0"/>
          <w:bCs w:val="0"/>
          <w:color w:val="auto"/>
          <w:sz w:val="32"/>
          <w:szCs w:val="32"/>
          <w:highlight w:val="none"/>
        </w:rPr>
        <w:t>100.00</w:t>
      </w:r>
      <w:r>
        <w:rPr>
          <w:rFonts w:hint="default" w:ascii="Times New Roman" w:hAnsi="Times New Roman" w:eastAsia="方正仿宋_GBK" w:cs="Times New Roman"/>
          <w:b w:val="0"/>
          <w:bCs w:val="0"/>
          <w:color w:val="auto"/>
          <w:sz w:val="32"/>
          <w:szCs w:val="32"/>
          <w:highlight w:val="none"/>
          <w:shd w:val="clear" w:color="auto" w:fill="FFFFFF"/>
        </w:rPr>
        <w:t>%；事业收入</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万元，占0.00%；经营收入</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万元，占0.00%；其他收入</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万元，占0.00%。此外，使用非财政拨款结余和专用结余</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万元，年初结转和结余</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w:t>
      </w:r>
    </w:p>
    <w:p w14:paraId="2B0BA983">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Style w:val="8"/>
          <w:rFonts w:hint="default" w:ascii="Times New Roman" w:hAnsi="Times New Roman" w:eastAsia="方正仿宋_GBK" w:cs="Times New Roman"/>
          <w:b w:val="0"/>
          <w:bCs w:val="0"/>
          <w:color w:val="auto"/>
          <w:sz w:val="32"/>
          <w:szCs w:val="32"/>
          <w:highlight w:val="none"/>
          <w:shd w:val="clear" w:color="auto" w:fill="FFFFFF"/>
        </w:rPr>
        <w:t>3.支出情况。</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度支出合计</w:t>
      </w:r>
      <w:r>
        <w:rPr>
          <w:rFonts w:hint="default" w:ascii="Times New Roman" w:hAnsi="Times New Roman" w:eastAsia="方正仿宋_GBK" w:cs="Times New Roman"/>
          <w:b w:val="0"/>
          <w:bCs w:val="0"/>
          <w:color w:val="auto"/>
          <w:sz w:val="32"/>
          <w:szCs w:val="32"/>
          <w:highlight w:val="none"/>
        </w:rPr>
        <w:t>647.62</w:t>
      </w:r>
      <w:r>
        <w:rPr>
          <w:rFonts w:hint="default" w:ascii="Times New Roman" w:hAnsi="Times New Roman" w:eastAsia="方正仿宋_GBK" w:cs="Times New Roman"/>
          <w:b w:val="0"/>
          <w:bCs w:val="0"/>
          <w:color w:val="auto"/>
          <w:sz w:val="32"/>
          <w:szCs w:val="32"/>
          <w:highlight w:val="none"/>
          <w:shd w:val="clear" w:color="auto" w:fill="FFFFFF"/>
        </w:rPr>
        <w:t>万元，与2023年度相比，增加647.62万元，增长100.0%，主要原因是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highlight w:val="none"/>
          <w:shd w:val="clear" w:color="auto" w:fill="FFFFFF"/>
        </w:rPr>
        <w:t>其中：基本支出</w:t>
      </w:r>
      <w:r>
        <w:rPr>
          <w:rFonts w:hint="default" w:ascii="Times New Roman" w:hAnsi="Times New Roman" w:eastAsia="方正仿宋_GBK" w:cs="Times New Roman"/>
          <w:b w:val="0"/>
          <w:bCs w:val="0"/>
          <w:color w:val="auto"/>
          <w:sz w:val="32"/>
          <w:szCs w:val="32"/>
          <w:highlight w:val="none"/>
        </w:rPr>
        <w:t>637.82</w:t>
      </w:r>
      <w:r>
        <w:rPr>
          <w:rFonts w:hint="default" w:ascii="Times New Roman" w:hAnsi="Times New Roman" w:eastAsia="方正仿宋_GBK" w:cs="Times New Roman"/>
          <w:b w:val="0"/>
          <w:bCs w:val="0"/>
          <w:color w:val="auto"/>
          <w:sz w:val="32"/>
          <w:szCs w:val="32"/>
          <w:highlight w:val="none"/>
          <w:shd w:val="clear" w:color="auto" w:fill="FFFFFF"/>
        </w:rPr>
        <w:t>万元，占98.49%；项目支出</w:t>
      </w:r>
      <w:r>
        <w:rPr>
          <w:rFonts w:hint="default" w:ascii="Times New Roman" w:hAnsi="Times New Roman" w:eastAsia="方正仿宋_GBK" w:cs="Times New Roman"/>
          <w:b w:val="0"/>
          <w:bCs w:val="0"/>
          <w:color w:val="auto"/>
          <w:sz w:val="32"/>
          <w:szCs w:val="32"/>
          <w:highlight w:val="none"/>
        </w:rPr>
        <w:t>9.80</w:t>
      </w:r>
      <w:r>
        <w:rPr>
          <w:rFonts w:hint="default" w:ascii="Times New Roman" w:hAnsi="Times New Roman" w:eastAsia="方正仿宋_GBK" w:cs="Times New Roman"/>
          <w:b w:val="0"/>
          <w:bCs w:val="0"/>
          <w:color w:val="auto"/>
          <w:sz w:val="32"/>
          <w:szCs w:val="32"/>
          <w:highlight w:val="none"/>
          <w:shd w:val="clear" w:color="auto" w:fill="FFFFFF"/>
        </w:rPr>
        <w:t>万元，占1.51%；经营支出</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万元，占0.00%。此外，结余分配</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w:t>
      </w:r>
    </w:p>
    <w:p w14:paraId="4F0B07C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Style w:val="8"/>
          <w:rFonts w:hint="default" w:ascii="Times New Roman" w:hAnsi="Times New Roman" w:eastAsia="方正仿宋_GBK" w:cs="Times New Roman"/>
          <w:b w:val="0"/>
          <w:bCs w:val="0"/>
          <w:color w:val="auto"/>
          <w:sz w:val="32"/>
          <w:szCs w:val="32"/>
          <w:highlight w:val="none"/>
          <w:shd w:val="clear" w:color="auto" w:fill="FFFFFF"/>
        </w:rPr>
        <w:t>4.结转结余情况。</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度年末结转和结余</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根据财政局关于财政精细化管理相关要求，将原统计在机关本级的事业单位划分为7个账套单独核算，本单位上年度未单独核算，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无结转和结余</w:t>
      </w:r>
      <w:r>
        <w:rPr>
          <w:rFonts w:hint="default" w:ascii="Times New Roman" w:hAnsi="Times New Roman" w:eastAsia="方正仿宋_GBK" w:cs="Times New Roman"/>
          <w:b w:val="0"/>
          <w:bCs w:val="0"/>
          <w:color w:val="auto"/>
          <w:sz w:val="32"/>
          <w:szCs w:val="32"/>
          <w:highlight w:val="none"/>
          <w:shd w:val="clear" w:color="auto" w:fill="FFFFFF"/>
        </w:rPr>
        <w:t>。</w:t>
      </w:r>
    </w:p>
    <w:p w14:paraId="2BD15D2C">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（二）财政拨款收入支出决算总体情况说明</w:t>
      </w:r>
    </w:p>
    <w:p w14:paraId="3C19F99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度财政拨款收、支总计647.62万元。与202</w:t>
      </w:r>
      <w:r>
        <w:rPr>
          <w:rFonts w:hint="default" w:ascii="Times New Roman" w:hAnsi="Times New Roman" w:eastAsia="方正仿宋_GBK" w:cs="Times New Roman"/>
          <w:b w:val="0"/>
          <w:bCs w:val="0"/>
          <w:color w:val="auto"/>
          <w:sz w:val="32"/>
          <w:szCs w:val="32"/>
          <w:highlight w:val="none"/>
          <w:shd w:val="clear" w:color="auto" w:fill="FFFFFF"/>
          <w:lang w:val="en-US" w:eastAsia="zh-CN"/>
        </w:rPr>
        <w:t>3</w:t>
      </w:r>
      <w:r>
        <w:rPr>
          <w:rFonts w:hint="default" w:ascii="Times New Roman" w:hAnsi="Times New Roman" w:eastAsia="方正仿宋_GBK" w:cs="Times New Roman"/>
          <w:b w:val="0"/>
          <w:bCs w:val="0"/>
          <w:color w:val="auto"/>
          <w:sz w:val="32"/>
          <w:szCs w:val="32"/>
          <w:highlight w:val="none"/>
          <w:shd w:val="clear" w:color="auto" w:fill="FFFFFF"/>
        </w:rPr>
        <w:t>年相比，财政拨款收、支总计各增加647.62万元，增长100.0%。主要原因是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将原统计在机关本级的事业单位划分为7个账套单独核算，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本单位</w:t>
      </w:r>
      <w:r>
        <w:rPr>
          <w:rFonts w:hint="default" w:ascii="Times New Roman" w:hAnsi="Times New Roman" w:eastAsia="方正仿宋_GBK" w:cs="Times New Roman"/>
          <w:b w:val="0"/>
          <w:bCs w:val="0"/>
          <w:color w:val="auto"/>
          <w:sz w:val="32"/>
          <w:szCs w:val="32"/>
          <w:highlight w:val="none"/>
          <w:shd w:val="clear" w:color="auto" w:fill="FFFFFF"/>
        </w:rPr>
        <w:t>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，故较上一年度增长</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w:t>
      </w:r>
    </w:p>
    <w:p w14:paraId="293E4645">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（三）一般公共预算财政拨款收入支出决算情况说明</w:t>
      </w:r>
    </w:p>
    <w:p w14:paraId="3D25D4BC">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Style w:val="8"/>
          <w:rFonts w:hint="default" w:ascii="Times New Roman" w:hAnsi="Times New Roman" w:eastAsia="方正仿宋_GBK" w:cs="Times New Roman"/>
          <w:b w:val="0"/>
          <w:bCs w:val="0"/>
          <w:color w:val="auto"/>
          <w:sz w:val="32"/>
          <w:szCs w:val="32"/>
          <w:highlight w:val="none"/>
          <w:shd w:val="clear" w:color="auto" w:fill="FFFFFF"/>
        </w:rPr>
        <w:t>1.收入情况。</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度一般公共预算财政拨款收入</w:t>
      </w:r>
      <w:r>
        <w:rPr>
          <w:rFonts w:hint="default" w:ascii="Times New Roman" w:hAnsi="Times New Roman" w:eastAsia="方正仿宋_GBK" w:cs="Times New Roman"/>
          <w:b w:val="0"/>
          <w:bCs w:val="0"/>
          <w:color w:val="auto"/>
          <w:sz w:val="32"/>
          <w:szCs w:val="32"/>
          <w:highlight w:val="none"/>
        </w:rPr>
        <w:t>647.62</w:t>
      </w:r>
      <w:r>
        <w:rPr>
          <w:rFonts w:hint="default" w:ascii="Times New Roman" w:hAnsi="Times New Roman" w:eastAsia="方正仿宋_GBK" w:cs="Times New Roman"/>
          <w:b w:val="0"/>
          <w:bCs w:val="0"/>
          <w:color w:val="auto"/>
          <w:sz w:val="32"/>
          <w:szCs w:val="32"/>
          <w:highlight w:val="none"/>
          <w:shd w:val="clear" w:color="auto" w:fill="FFFFFF"/>
        </w:rPr>
        <w:t>万元，与2023年度相比，增加647.62万元，增长100.0%。主要原因是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将原统计在机关本级的事业单位划分为7个账套单独核算，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本单位</w:t>
      </w:r>
      <w:r>
        <w:rPr>
          <w:rFonts w:hint="default" w:ascii="Times New Roman" w:hAnsi="Times New Roman" w:eastAsia="方正仿宋_GBK" w:cs="Times New Roman"/>
          <w:b w:val="0"/>
          <w:bCs w:val="0"/>
          <w:color w:val="auto"/>
          <w:sz w:val="32"/>
          <w:szCs w:val="32"/>
          <w:highlight w:val="none"/>
          <w:shd w:val="clear" w:color="auto" w:fill="FFFFFF"/>
        </w:rPr>
        <w:t>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，故较上一年度增长</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较年初预算数减少140.31万元，下降17.8%。主要原因是</w:t>
      </w:r>
      <w:r>
        <w:rPr>
          <w:rFonts w:hint="default" w:ascii="Times New Roman" w:hAnsi="Times New Roman" w:eastAsia="方正仿宋_GBK" w:cs="Times New Roman"/>
          <w:b w:val="0"/>
          <w:bCs w:val="0"/>
          <w:color w:val="auto"/>
          <w:sz w:val="32"/>
          <w:szCs w:val="32"/>
          <w:highlight w:val="none"/>
          <w:shd w:val="clear" w:color="auto" w:fill="FFFFFF"/>
        </w:rPr>
        <w:t>严控经费</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厉行节俭</w:t>
      </w:r>
      <w:r>
        <w:rPr>
          <w:rFonts w:hint="default" w:ascii="Times New Roman" w:hAnsi="Times New Roman" w:eastAsia="方正仿宋_GBK" w:cs="Times New Roman"/>
          <w:b w:val="0"/>
          <w:bCs w:val="0"/>
          <w:color w:val="auto"/>
          <w:sz w:val="32"/>
          <w:szCs w:val="32"/>
          <w:highlight w:val="none"/>
          <w:shd w:val="clear" w:color="auto" w:fill="FFFFFF"/>
          <w:lang w:eastAsia="zh-CN"/>
        </w:rPr>
        <w:t>，部分预算资金未能全部支出，基本支出减少</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100.11万元，</w:t>
      </w:r>
      <w:r>
        <w:rPr>
          <w:rFonts w:hint="default" w:ascii="Times New Roman" w:hAnsi="Times New Roman" w:eastAsia="方正仿宋_GBK" w:cs="Times New Roman"/>
          <w:b w:val="0"/>
          <w:bCs w:val="0"/>
          <w:color w:val="auto"/>
          <w:sz w:val="32"/>
          <w:szCs w:val="32"/>
          <w:highlight w:val="none"/>
          <w:shd w:val="clear" w:color="auto" w:fill="FFFFFF"/>
          <w:lang w:eastAsia="zh-CN"/>
        </w:rPr>
        <w:t>项目支出减少40</w:t>
      </w:r>
      <w:r>
        <w:rPr>
          <w:rFonts w:hint="default" w:ascii="Times New Roman" w:hAnsi="Times New Roman" w:eastAsia="方正仿宋_GBK" w:cs="Times New Roman"/>
          <w:b w:val="0"/>
          <w:bCs w:val="0"/>
          <w:color w:val="auto"/>
          <w:sz w:val="32"/>
          <w:szCs w:val="32"/>
          <w:highlight w:val="none"/>
          <w:shd w:val="clear" w:color="auto" w:fill="FFFFFF"/>
          <w:lang w:val="en-US" w:eastAsia="zh-CN"/>
        </w:rPr>
        <w:t>.</w:t>
      </w:r>
      <w:r>
        <w:rPr>
          <w:rFonts w:hint="default" w:ascii="Times New Roman" w:hAnsi="Times New Roman" w:eastAsia="方正仿宋_GBK" w:cs="Times New Roman"/>
          <w:b w:val="0"/>
          <w:bCs w:val="0"/>
          <w:color w:val="auto"/>
          <w:sz w:val="32"/>
          <w:szCs w:val="32"/>
          <w:highlight w:val="none"/>
          <w:shd w:val="clear" w:color="auto" w:fill="FFFFFF"/>
          <w:lang w:eastAsia="zh-CN"/>
        </w:rPr>
        <w:t>20万元</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此外，年初财政拨款结转和结余</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w:t>
      </w:r>
    </w:p>
    <w:p w14:paraId="4D4B30D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Style w:val="8"/>
          <w:rFonts w:hint="default" w:ascii="Times New Roman" w:hAnsi="Times New Roman" w:eastAsia="方正仿宋_GBK" w:cs="Times New Roman"/>
          <w:b w:val="0"/>
          <w:bCs w:val="0"/>
          <w:color w:val="auto"/>
          <w:sz w:val="32"/>
          <w:szCs w:val="32"/>
          <w:highlight w:val="none"/>
          <w:shd w:val="clear" w:color="auto" w:fill="FFFFFF"/>
        </w:rPr>
        <w:t>2.支出情况。</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度一般公共预算财政拨款支出</w:t>
      </w:r>
      <w:r>
        <w:rPr>
          <w:rFonts w:hint="default" w:ascii="Times New Roman" w:hAnsi="Times New Roman" w:eastAsia="方正仿宋_GBK" w:cs="Times New Roman"/>
          <w:b w:val="0"/>
          <w:bCs w:val="0"/>
          <w:color w:val="auto"/>
          <w:sz w:val="32"/>
          <w:szCs w:val="32"/>
          <w:highlight w:val="none"/>
        </w:rPr>
        <w:t>647.62</w:t>
      </w:r>
      <w:r>
        <w:rPr>
          <w:rFonts w:hint="default" w:ascii="Times New Roman" w:hAnsi="Times New Roman" w:eastAsia="方正仿宋_GBK" w:cs="Times New Roman"/>
          <w:b w:val="0"/>
          <w:bCs w:val="0"/>
          <w:color w:val="auto"/>
          <w:sz w:val="32"/>
          <w:szCs w:val="32"/>
          <w:highlight w:val="none"/>
          <w:shd w:val="clear" w:color="auto" w:fill="FFFFFF"/>
        </w:rPr>
        <w:t>万元，与2023年度相比，增加647.62万元，增长100.0%。主要原因是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将原统计在机关本级的事业单位划分为7个账套单独核算，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本单位</w:t>
      </w:r>
      <w:r>
        <w:rPr>
          <w:rFonts w:hint="default" w:ascii="Times New Roman" w:hAnsi="Times New Roman" w:eastAsia="方正仿宋_GBK" w:cs="Times New Roman"/>
          <w:b w:val="0"/>
          <w:bCs w:val="0"/>
          <w:color w:val="auto"/>
          <w:sz w:val="32"/>
          <w:szCs w:val="32"/>
          <w:highlight w:val="none"/>
          <w:shd w:val="clear" w:color="auto" w:fill="FFFFFF"/>
        </w:rPr>
        <w:t>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，故较上一年度增长</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较年初预算数减少140.31万元，下降17.8%。主要原因是</w:t>
      </w:r>
      <w:r>
        <w:rPr>
          <w:rFonts w:hint="default" w:ascii="Times New Roman" w:hAnsi="Times New Roman" w:eastAsia="方正仿宋_GBK" w:cs="Times New Roman"/>
          <w:b w:val="0"/>
          <w:bCs w:val="0"/>
          <w:color w:val="auto"/>
          <w:sz w:val="32"/>
          <w:szCs w:val="32"/>
          <w:highlight w:val="none"/>
          <w:shd w:val="clear" w:color="auto" w:fill="FFFFFF"/>
        </w:rPr>
        <w:t>严控经费</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厉行节俭</w:t>
      </w:r>
      <w:r>
        <w:rPr>
          <w:rFonts w:hint="default" w:ascii="Times New Roman" w:hAnsi="Times New Roman" w:eastAsia="方正仿宋_GBK" w:cs="Times New Roman"/>
          <w:b w:val="0"/>
          <w:bCs w:val="0"/>
          <w:color w:val="auto"/>
          <w:sz w:val="32"/>
          <w:szCs w:val="32"/>
          <w:highlight w:val="none"/>
          <w:shd w:val="clear" w:color="auto" w:fill="FFFFFF"/>
          <w:lang w:eastAsia="zh-CN"/>
        </w:rPr>
        <w:t>，部分预算资金未能全部支出，基本支出减少</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100.11万元，</w:t>
      </w:r>
      <w:r>
        <w:rPr>
          <w:rFonts w:hint="default" w:ascii="Times New Roman" w:hAnsi="Times New Roman" w:eastAsia="方正仿宋_GBK" w:cs="Times New Roman"/>
          <w:b w:val="0"/>
          <w:bCs w:val="0"/>
          <w:color w:val="auto"/>
          <w:sz w:val="32"/>
          <w:szCs w:val="32"/>
          <w:highlight w:val="none"/>
          <w:shd w:val="clear" w:color="auto" w:fill="FFFFFF"/>
          <w:lang w:eastAsia="zh-CN"/>
        </w:rPr>
        <w:t>项目支出减少40</w:t>
      </w:r>
      <w:r>
        <w:rPr>
          <w:rFonts w:hint="default" w:ascii="Times New Roman" w:hAnsi="Times New Roman" w:eastAsia="方正仿宋_GBK" w:cs="Times New Roman"/>
          <w:b w:val="0"/>
          <w:bCs w:val="0"/>
          <w:color w:val="auto"/>
          <w:sz w:val="32"/>
          <w:szCs w:val="32"/>
          <w:highlight w:val="none"/>
          <w:shd w:val="clear" w:color="auto" w:fill="FFFFFF"/>
          <w:lang w:val="en-US" w:eastAsia="zh-CN"/>
        </w:rPr>
        <w:t>.</w:t>
      </w:r>
      <w:r>
        <w:rPr>
          <w:rFonts w:hint="default" w:ascii="Times New Roman" w:hAnsi="Times New Roman" w:eastAsia="方正仿宋_GBK" w:cs="Times New Roman"/>
          <w:b w:val="0"/>
          <w:bCs w:val="0"/>
          <w:color w:val="auto"/>
          <w:sz w:val="32"/>
          <w:szCs w:val="32"/>
          <w:highlight w:val="none"/>
          <w:shd w:val="clear" w:color="auto" w:fill="FFFFFF"/>
          <w:lang w:eastAsia="zh-CN"/>
        </w:rPr>
        <w:t>20万元</w:t>
      </w:r>
      <w:r>
        <w:rPr>
          <w:rFonts w:hint="default" w:ascii="Times New Roman" w:hAnsi="Times New Roman" w:eastAsia="方正仿宋_GBK" w:cs="Times New Roman"/>
          <w:b w:val="0"/>
          <w:bCs w:val="0"/>
          <w:color w:val="auto"/>
          <w:sz w:val="32"/>
          <w:szCs w:val="32"/>
          <w:highlight w:val="none"/>
          <w:shd w:val="clear" w:color="auto" w:fill="FFFFFF"/>
        </w:rPr>
        <w:t>。</w:t>
      </w:r>
    </w:p>
    <w:p w14:paraId="37405151">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Style w:val="8"/>
          <w:rFonts w:hint="default" w:ascii="Times New Roman" w:hAnsi="Times New Roman" w:eastAsia="方正仿宋_GBK" w:cs="Times New Roman"/>
          <w:b w:val="0"/>
          <w:bCs w:val="0"/>
          <w:color w:val="auto"/>
          <w:sz w:val="32"/>
          <w:szCs w:val="32"/>
          <w:highlight w:val="none"/>
          <w:shd w:val="clear" w:color="auto" w:fill="FFFFFF"/>
        </w:rPr>
        <w:t>3.结转结余情况。</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度年末一般公共预算财政拨款结转和结余</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根据财政局关于财政精细化管理相关要求，将原统计在机关本级的事业单位划分为7个账套单独核算，本单位上年度未单独核算，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无结转和结余</w:t>
      </w:r>
      <w:r>
        <w:rPr>
          <w:rFonts w:hint="default" w:ascii="Times New Roman" w:hAnsi="Times New Roman" w:eastAsia="方正仿宋_GBK" w:cs="Times New Roman"/>
          <w:b w:val="0"/>
          <w:bCs w:val="0"/>
          <w:color w:val="auto"/>
          <w:sz w:val="32"/>
          <w:szCs w:val="32"/>
          <w:highlight w:val="none"/>
          <w:shd w:val="clear" w:color="auto" w:fill="FFFFFF"/>
        </w:rPr>
        <w:t>。</w:t>
      </w:r>
    </w:p>
    <w:p w14:paraId="704317EC">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Style w:val="8"/>
          <w:rFonts w:hint="default" w:ascii="Times New Roman" w:hAnsi="Times New Roman" w:eastAsia="方正仿宋_GBK" w:cs="Times New Roman"/>
          <w:b w:val="0"/>
          <w:bCs w:val="0"/>
          <w:color w:val="auto"/>
          <w:sz w:val="32"/>
          <w:szCs w:val="32"/>
          <w:highlight w:val="none"/>
          <w:shd w:val="clear" w:color="auto" w:fill="FFFFFF"/>
        </w:rPr>
        <w:t>4.比较情况。</w:t>
      </w:r>
      <w:r>
        <w:rPr>
          <w:rFonts w:hint="default" w:ascii="Times New Roman" w:hAnsi="Times New Roman" w:eastAsia="方正仿宋_GBK" w:cs="Times New Roman"/>
          <w:b w:val="0"/>
          <w:bCs w:val="0"/>
          <w:color w:val="auto"/>
          <w:sz w:val="32"/>
          <w:szCs w:val="32"/>
          <w:highlight w:val="none"/>
          <w:shd w:val="clear" w:color="auto" w:fill="FFFFFF"/>
        </w:rPr>
        <w:t>本单位</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度一般公共预算财政拨款支出主要用于以下几个方面：</w:t>
      </w:r>
    </w:p>
    <w:p w14:paraId="6543E26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1</w:t>
      </w:r>
      <w:r>
        <w:rPr>
          <w:rFonts w:hint="default" w:ascii="Times New Roman" w:hAnsi="Times New Roman" w:eastAsia="方正仿宋_GBK" w:cs="Times New Roman"/>
          <w:b w:val="0"/>
          <w:bCs w:val="0"/>
          <w:color w:val="auto"/>
          <w:sz w:val="32"/>
          <w:szCs w:val="32"/>
          <w:highlight w:val="none"/>
          <w:shd w:val="clear" w:color="auto" w:fill="FFFFFF"/>
        </w:rPr>
        <w:t>）社会保障与就业支出</w:t>
      </w:r>
      <w:r>
        <w:rPr>
          <w:rFonts w:hint="default" w:ascii="Times New Roman" w:hAnsi="Times New Roman" w:eastAsia="方正仿宋_GBK" w:cs="Times New Roman"/>
          <w:b w:val="0"/>
          <w:bCs w:val="0"/>
          <w:color w:val="auto"/>
          <w:sz w:val="32"/>
          <w:szCs w:val="32"/>
          <w:highlight w:val="none"/>
        </w:rPr>
        <w:t>118.42</w:t>
      </w:r>
      <w:r>
        <w:rPr>
          <w:rFonts w:hint="default" w:ascii="Times New Roman" w:hAnsi="Times New Roman" w:eastAsia="方正仿宋_GBK" w:cs="Times New Roman"/>
          <w:b w:val="0"/>
          <w:bCs w:val="0"/>
          <w:color w:val="auto"/>
          <w:sz w:val="32"/>
          <w:szCs w:val="32"/>
          <w:highlight w:val="none"/>
          <w:shd w:val="clear" w:color="auto" w:fill="FFFFFF"/>
        </w:rPr>
        <w:t>万元，占</w:t>
      </w:r>
      <w:r>
        <w:rPr>
          <w:rFonts w:hint="default" w:ascii="Times New Roman" w:hAnsi="Times New Roman" w:eastAsia="方正仿宋_GBK" w:cs="Times New Roman"/>
          <w:b w:val="0"/>
          <w:bCs w:val="0"/>
          <w:color w:val="auto"/>
          <w:sz w:val="32"/>
          <w:szCs w:val="32"/>
          <w:highlight w:val="none"/>
        </w:rPr>
        <w:t>18.29</w:t>
      </w:r>
      <w:r>
        <w:rPr>
          <w:rFonts w:hint="default" w:ascii="Times New Roman" w:hAnsi="Times New Roman" w:eastAsia="方正仿宋_GBK" w:cs="Times New Roman"/>
          <w:b w:val="0"/>
          <w:bCs w:val="0"/>
          <w:color w:val="auto"/>
          <w:sz w:val="32"/>
          <w:szCs w:val="32"/>
          <w:highlight w:val="none"/>
          <w:shd w:val="clear" w:color="auto" w:fill="FFFFFF"/>
        </w:rPr>
        <w:t>%，较年初预算数增加0.27万元，增长0.2%，主要原因是</w:t>
      </w:r>
      <w:r>
        <w:rPr>
          <w:rFonts w:hint="default" w:ascii="Times New Roman" w:hAnsi="Times New Roman" w:eastAsia="方正仿宋_GBK" w:cs="Times New Roman"/>
          <w:b w:val="0"/>
          <w:bCs w:val="0"/>
          <w:color w:val="auto"/>
          <w:sz w:val="32"/>
          <w:szCs w:val="32"/>
          <w:highlight w:val="none"/>
          <w:shd w:val="clear" w:color="auto" w:fill="FFFFFF"/>
          <w:lang w:eastAsia="zh-CN"/>
        </w:rPr>
        <w:t>人员</w:t>
      </w:r>
      <w:r>
        <w:rPr>
          <w:rFonts w:hint="eastAsia" w:ascii="Times New Roman" w:hAnsi="Times New Roman" w:eastAsia="方正仿宋_GBK" w:cs="Times New Roman"/>
          <w:b w:val="0"/>
          <w:bCs w:val="0"/>
          <w:color w:val="auto"/>
          <w:sz w:val="32"/>
          <w:szCs w:val="32"/>
          <w:highlight w:val="none"/>
          <w:shd w:val="clear" w:color="auto" w:fill="FFFFFF"/>
          <w:lang w:eastAsia="zh-CN"/>
        </w:rPr>
        <w:t>增减</w:t>
      </w:r>
      <w:r>
        <w:rPr>
          <w:rFonts w:hint="default" w:ascii="Times New Roman" w:hAnsi="Times New Roman" w:eastAsia="方正仿宋_GBK" w:cs="Times New Roman"/>
          <w:b w:val="0"/>
          <w:bCs w:val="0"/>
          <w:color w:val="auto"/>
          <w:sz w:val="32"/>
          <w:szCs w:val="32"/>
          <w:highlight w:val="none"/>
          <w:shd w:val="clear" w:color="auto" w:fill="FFFFFF"/>
          <w:lang w:eastAsia="zh-CN"/>
        </w:rPr>
        <w:t>变动导致实际发生的</w:t>
      </w:r>
      <w:r>
        <w:rPr>
          <w:rFonts w:hint="default" w:ascii="Times New Roman" w:hAnsi="Times New Roman" w:eastAsia="方正仿宋_GBK" w:cs="Times New Roman"/>
          <w:b w:val="0"/>
          <w:bCs w:val="0"/>
          <w:color w:val="auto"/>
          <w:sz w:val="32"/>
          <w:szCs w:val="32"/>
          <w:highlight w:val="none"/>
          <w:shd w:val="clear" w:color="auto" w:fill="FFFFFF"/>
        </w:rPr>
        <w:t>社会保障与就业支出</w:t>
      </w:r>
      <w:r>
        <w:rPr>
          <w:rFonts w:hint="default" w:ascii="Times New Roman" w:hAnsi="Times New Roman" w:eastAsia="方正仿宋_GBK" w:cs="Times New Roman"/>
          <w:b w:val="0"/>
          <w:bCs w:val="0"/>
          <w:color w:val="auto"/>
          <w:sz w:val="32"/>
          <w:szCs w:val="32"/>
          <w:highlight w:val="none"/>
          <w:shd w:val="clear" w:color="auto" w:fill="FFFFFF"/>
          <w:lang w:eastAsia="zh-CN"/>
        </w:rPr>
        <w:t>增加</w:t>
      </w:r>
      <w:r>
        <w:rPr>
          <w:rFonts w:hint="default" w:ascii="Times New Roman" w:hAnsi="Times New Roman" w:eastAsia="方正仿宋_GBK" w:cs="Times New Roman"/>
          <w:b w:val="0"/>
          <w:bCs w:val="0"/>
          <w:color w:val="auto"/>
          <w:sz w:val="32"/>
          <w:szCs w:val="32"/>
          <w:highlight w:val="none"/>
          <w:shd w:val="clear" w:color="auto" w:fill="FFFFFF"/>
        </w:rPr>
        <w:t>。</w:t>
      </w:r>
    </w:p>
    <w:p w14:paraId="1B982A62">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2</w:t>
      </w:r>
      <w:r>
        <w:rPr>
          <w:rFonts w:hint="default" w:ascii="Times New Roman" w:hAnsi="Times New Roman" w:eastAsia="方正仿宋_GBK" w:cs="Times New Roman"/>
          <w:b w:val="0"/>
          <w:bCs w:val="0"/>
          <w:color w:val="auto"/>
          <w:sz w:val="32"/>
          <w:szCs w:val="32"/>
          <w:highlight w:val="none"/>
          <w:shd w:val="clear" w:color="auto" w:fill="FFFFFF"/>
        </w:rPr>
        <w:t>）卫生健康支出</w:t>
      </w:r>
      <w:r>
        <w:rPr>
          <w:rFonts w:hint="default" w:ascii="Times New Roman" w:hAnsi="Times New Roman" w:eastAsia="方正仿宋_GBK" w:cs="Times New Roman"/>
          <w:b w:val="0"/>
          <w:bCs w:val="0"/>
          <w:color w:val="auto"/>
          <w:sz w:val="32"/>
          <w:szCs w:val="32"/>
          <w:highlight w:val="none"/>
        </w:rPr>
        <w:t>21.09</w:t>
      </w:r>
      <w:r>
        <w:rPr>
          <w:rFonts w:hint="default" w:ascii="Times New Roman" w:hAnsi="Times New Roman" w:eastAsia="方正仿宋_GBK" w:cs="Times New Roman"/>
          <w:b w:val="0"/>
          <w:bCs w:val="0"/>
          <w:color w:val="auto"/>
          <w:sz w:val="32"/>
          <w:szCs w:val="32"/>
          <w:highlight w:val="none"/>
          <w:shd w:val="clear" w:color="auto" w:fill="FFFFFF"/>
        </w:rPr>
        <w:t>万元，占</w:t>
      </w:r>
      <w:r>
        <w:rPr>
          <w:rFonts w:hint="default" w:ascii="Times New Roman" w:hAnsi="Times New Roman" w:eastAsia="方正仿宋_GBK" w:cs="Times New Roman"/>
          <w:b w:val="0"/>
          <w:bCs w:val="0"/>
          <w:color w:val="auto"/>
          <w:sz w:val="32"/>
          <w:szCs w:val="32"/>
          <w:highlight w:val="none"/>
        </w:rPr>
        <w:t>3.26</w:t>
      </w:r>
      <w:r>
        <w:rPr>
          <w:rFonts w:hint="default" w:ascii="Times New Roman" w:hAnsi="Times New Roman" w:eastAsia="方正仿宋_GBK" w:cs="Times New Roman"/>
          <w:b w:val="0"/>
          <w:bCs w:val="0"/>
          <w:color w:val="auto"/>
          <w:sz w:val="32"/>
          <w:szCs w:val="32"/>
          <w:highlight w:val="none"/>
          <w:shd w:val="clear" w:color="auto" w:fill="FFFFFF"/>
        </w:rPr>
        <w:t>%，较年初预算数减少14.56万元，下降40.8%，主要原因是</w:t>
      </w:r>
      <w:r>
        <w:rPr>
          <w:rFonts w:hint="default" w:ascii="Times New Roman" w:hAnsi="Times New Roman" w:eastAsia="方正仿宋_GBK" w:cs="Times New Roman"/>
          <w:b w:val="0"/>
          <w:bCs w:val="0"/>
          <w:color w:val="auto"/>
          <w:sz w:val="32"/>
          <w:szCs w:val="32"/>
          <w:highlight w:val="none"/>
          <w:shd w:val="clear" w:color="auto" w:fill="FFFFFF"/>
          <w:lang w:eastAsia="zh-CN"/>
        </w:rPr>
        <w:t>其他行政事业单位医疗支出</w:t>
      </w:r>
      <w:r>
        <w:rPr>
          <w:rFonts w:hint="eastAsia" w:ascii="Times New Roman" w:hAnsi="Times New Roman" w:eastAsia="方正仿宋_GBK" w:cs="Times New Roman"/>
          <w:b w:val="0"/>
          <w:bCs w:val="0"/>
          <w:color w:val="auto"/>
          <w:sz w:val="32"/>
          <w:szCs w:val="32"/>
          <w:highlight w:val="none"/>
          <w:shd w:val="clear" w:color="auto" w:fill="FFFFFF"/>
          <w:lang w:eastAsia="zh-CN"/>
        </w:rPr>
        <w:t>项目减少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12.7万元，且</w:t>
      </w:r>
      <w:r>
        <w:rPr>
          <w:rFonts w:hint="default" w:ascii="Times New Roman" w:hAnsi="Times New Roman" w:eastAsia="方正仿宋_GBK" w:cs="Times New Roman"/>
          <w:b w:val="0"/>
          <w:bCs w:val="0"/>
          <w:color w:val="auto"/>
          <w:sz w:val="32"/>
          <w:szCs w:val="32"/>
          <w:highlight w:val="none"/>
          <w:shd w:val="clear" w:color="auto" w:fill="FFFFFF"/>
          <w:lang w:eastAsia="zh-CN"/>
        </w:rPr>
        <w:t>人员</w:t>
      </w:r>
      <w:r>
        <w:rPr>
          <w:rFonts w:hint="eastAsia" w:ascii="Times New Roman" w:hAnsi="Times New Roman" w:eastAsia="方正仿宋_GBK" w:cs="Times New Roman"/>
          <w:b w:val="0"/>
          <w:bCs w:val="0"/>
          <w:color w:val="auto"/>
          <w:sz w:val="32"/>
          <w:szCs w:val="32"/>
          <w:highlight w:val="none"/>
          <w:shd w:val="clear" w:color="auto" w:fill="FFFFFF"/>
          <w:lang w:eastAsia="zh-CN"/>
        </w:rPr>
        <w:t>增减</w:t>
      </w:r>
      <w:r>
        <w:rPr>
          <w:rFonts w:hint="default" w:ascii="Times New Roman" w:hAnsi="Times New Roman" w:eastAsia="方正仿宋_GBK" w:cs="Times New Roman"/>
          <w:b w:val="0"/>
          <w:bCs w:val="0"/>
          <w:color w:val="auto"/>
          <w:sz w:val="32"/>
          <w:szCs w:val="32"/>
          <w:highlight w:val="none"/>
          <w:shd w:val="clear" w:color="auto" w:fill="FFFFFF"/>
          <w:lang w:eastAsia="zh-CN"/>
        </w:rPr>
        <w:t>变动导致实际发生的卫生健康支出减少</w:t>
      </w:r>
      <w:r>
        <w:rPr>
          <w:rFonts w:hint="default" w:ascii="Times New Roman" w:hAnsi="Times New Roman" w:eastAsia="方正仿宋_GBK" w:cs="Times New Roman"/>
          <w:b w:val="0"/>
          <w:bCs w:val="0"/>
          <w:color w:val="auto"/>
          <w:sz w:val="32"/>
          <w:szCs w:val="32"/>
          <w:highlight w:val="none"/>
          <w:shd w:val="clear" w:color="auto" w:fill="FFFFFF"/>
        </w:rPr>
        <w:t>。</w:t>
      </w:r>
    </w:p>
    <w:p w14:paraId="6BE6E66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lang w:eastAsia="zh-CN"/>
        </w:rPr>
      </w:pP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3</w:t>
      </w:r>
      <w:r>
        <w:rPr>
          <w:rFonts w:hint="default" w:ascii="Times New Roman" w:hAnsi="Times New Roman" w:eastAsia="方正仿宋_GBK" w:cs="Times New Roman"/>
          <w:b w:val="0"/>
          <w:bCs w:val="0"/>
          <w:color w:val="auto"/>
          <w:sz w:val="32"/>
          <w:szCs w:val="32"/>
          <w:highlight w:val="none"/>
          <w:shd w:val="clear" w:color="auto" w:fill="FFFFFF"/>
        </w:rPr>
        <w:t>）农林水支出</w:t>
      </w:r>
      <w:r>
        <w:rPr>
          <w:rFonts w:hint="default" w:ascii="Times New Roman" w:hAnsi="Times New Roman" w:eastAsia="方正仿宋_GBK" w:cs="Times New Roman"/>
          <w:b w:val="0"/>
          <w:bCs w:val="0"/>
          <w:color w:val="auto"/>
          <w:sz w:val="32"/>
          <w:szCs w:val="32"/>
          <w:highlight w:val="none"/>
        </w:rPr>
        <w:t>482.81</w:t>
      </w:r>
      <w:r>
        <w:rPr>
          <w:rFonts w:hint="default" w:ascii="Times New Roman" w:hAnsi="Times New Roman" w:eastAsia="方正仿宋_GBK" w:cs="Times New Roman"/>
          <w:b w:val="0"/>
          <w:bCs w:val="0"/>
          <w:color w:val="auto"/>
          <w:sz w:val="32"/>
          <w:szCs w:val="32"/>
          <w:highlight w:val="none"/>
          <w:shd w:val="clear" w:color="auto" w:fill="FFFFFF"/>
        </w:rPr>
        <w:t>万元，占</w:t>
      </w:r>
      <w:r>
        <w:rPr>
          <w:rFonts w:hint="default" w:ascii="Times New Roman" w:hAnsi="Times New Roman" w:eastAsia="方正仿宋_GBK" w:cs="Times New Roman"/>
          <w:b w:val="0"/>
          <w:bCs w:val="0"/>
          <w:color w:val="auto"/>
          <w:sz w:val="32"/>
          <w:szCs w:val="32"/>
          <w:highlight w:val="none"/>
        </w:rPr>
        <w:t>74.55</w:t>
      </w:r>
      <w:r>
        <w:rPr>
          <w:rFonts w:hint="default" w:ascii="Times New Roman" w:hAnsi="Times New Roman" w:eastAsia="方正仿宋_GBK" w:cs="Times New Roman"/>
          <w:b w:val="0"/>
          <w:bCs w:val="0"/>
          <w:color w:val="auto"/>
          <w:sz w:val="32"/>
          <w:szCs w:val="32"/>
          <w:highlight w:val="none"/>
          <w:shd w:val="clear" w:color="auto" w:fill="FFFFFF"/>
        </w:rPr>
        <w:t>%，较年初预算数减少123.37万元，下降20.4%，主要原因是</w:t>
      </w:r>
      <w:r>
        <w:rPr>
          <w:rFonts w:hint="eastAsia" w:ascii="Times New Roman" w:hAnsi="Times New Roman" w:eastAsia="方正仿宋_GBK" w:cs="Times New Roman"/>
          <w:b w:val="0"/>
          <w:bCs w:val="0"/>
          <w:color w:val="auto"/>
          <w:sz w:val="32"/>
          <w:szCs w:val="32"/>
          <w:highlight w:val="none"/>
          <w:shd w:val="clear" w:color="auto" w:fill="FFFFFF"/>
          <w:lang w:eastAsia="zh-CN"/>
        </w:rPr>
        <w:t>事业运行</w:t>
      </w:r>
      <w:r>
        <w:rPr>
          <w:rFonts w:hint="default" w:ascii="Times New Roman" w:hAnsi="Times New Roman" w:eastAsia="方正仿宋_GBK" w:cs="Times New Roman"/>
          <w:b w:val="0"/>
          <w:bCs w:val="0"/>
          <w:color w:val="auto"/>
          <w:sz w:val="32"/>
          <w:szCs w:val="32"/>
          <w:highlight w:val="none"/>
          <w:shd w:val="clear" w:color="auto" w:fill="FFFFFF"/>
          <w:lang w:eastAsia="zh-CN"/>
        </w:rPr>
        <w:t>项目</w:t>
      </w:r>
      <w:r>
        <w:rPr>
          <w:rFonts w:hint="eastAsia" w:ascii="Times New Roman" w:hAnsi="Times New Roman" w:eastAsia="方正仿宋_GBK" w:cs="Times New Roman"/>
          <w:b w:val="0"/>
          <w:bCs w:val="0"/>
          <w:color w:val="auto"/>
          <w:sz w:val="32"/>
          <w:szCs w:val="32"/>
          <w:highlight w:val="none"/>
          <w:shd w:val="clear" w:color="auto" w:fill="FFFFFF"/>
          <w:lang w:eastAsia="zh-CN"/>
        </w:rPr>
        <w:t>减少</w:t>
      </w:r>
      <w:r>
        <w:rPr>
          <w:rFonts w:hint="eastAsia" w:ascii="Times New Roman" w:hAnsi="Times New Roman" w:eastAsia="方正仿宋_GBK" w:cs="Times New Roman"/>
          <w:b w:val="0"/>
          <w:bCs w:val="0"/>
          <w:color w:val="auto"/>
          <w:sz w:val="32"/>
          <w:szCs w:val="32"/>
          <w:highlight w:val="none"/>
          <w:shd w:val="clear" w:color="auto" w:fill="FFFFFF"/>
          <w:lang w:val="en-US" w:eastAsia="zh-CN"/>
        </w:rPr>
        <w:t>83.17万元，其他农业农村支出项目减少40.2万元，支出总额</w:t>
      </w:r>
      <w:r>
        <w:rPr>
          <w:rFonts w:hint="default" w:ascii="Times New Roman" w:hAnsi="Times New Roman" w:eastAsia="方正仿宋_GBK" w:cs="Times New Roman"/>
          <w:b w:val="0"/>
          <w:bCs w:val="0"/>
          <w:color w:val="auto"/>
          <w:sz w:val="32"/>
          <w:szCs w:val="32"/>
          <w:highlight w:val="none"/>
          <w:shd w:val="clear" w:color="auto" w:fill="FFFFFF"/>
          <w:lang w:eastAsia="zh-CN"/>
        </w:rPr>
        <w:t>减少。</w:t>
      </w:r>
    </w:p>
    <w:p w14:paraId="6490D44A">
      <w:pPr>
        <w:widowControl/>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4</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rPr>
        <w:t>住房保障支出25.29</w:t>
      </w:r>
      <w:r>
        <w:rPr>
          <w:rFonts w:hint="default" w:ascii="Times New Roman" w:hAnsi="Times New Roman" w:eastAsia="方正仿宋_GBK" w:cs="Times New Roman"/>
          <w:b w:val="0"/>
          <w:bCs w:val="0"/>
          <w:color w:val="auto"/>
          <w:sz w:val="32"/>
          <w:szCs w:val="32"/>
          <w:highlight w:val="none"/>
          <w:shd w:val="clear" w:color="auto" w:fill="FFFFFF"/>
        </w:rPr>
        <w:t>万元，占</w:t>
      </w:r>
      <w:r>
        <w:rPr>
          <w:rFonts w:hint="default" w:ascii="Times New Roman" w:hAnsi="Times New Roman" w:eastAsia="方正仿宋_GBK" w:cs="Times New Roman"/>
          <w:b w:val="0"/>
          <w:bCs w:val="0"/>
          <w:color w:val="auto"/>
          <w:sz w:val="32"/>
          <w:szCs w:val="32"/>
          <w:highlight w:val="none"/>
        </w:rPr>
        <w:t>3.91</w:t>
      </w:r>
      <w:r>
        <w:rPr>
          <w:rFonts w:hint="default" w:ascii="Times New Roman" w:hAnsi="Times New Roman" w:eastAsia="方正仿宋_GBK" w:cs="Times New Roman"/>
          <w:b w:val="0"/>
          <w:bCs w:val="0"/>
          <w:color w:val="auto"/>
          <w:sz w:val="32"/>
          <w:szCs w:val="32"/>
          <w:highlight w:val="none"/>
          <w:shd w:val="clear" w:color="auto" w:fill="FFFFFF"/>
        </w:rPr>
        <w:t>%，较年初预算数减少2.66万元，下降9.5%，主要原因是</w:t>
      </w:r>
      <w:r>
        <w:rPr>
          <w:rFonts w:hint="default" w:ascii="Times New Roman" w:hAnsi="Times New Roman" w:eastAsia="方正仿宋_GBK" w:cs="Times New Roman"/>
          <w:b w:val="0"/>
          <w:bCs w:val="0"/>
          <w:color w:val="auto"/>
          <w:sz w:val="32"/>
          <w:szCs w:val="32"/>
          <w:highlight w:val="none"/>
          <w:shd w:val="clear" w:color="auto" w:fill="FFFFFF"/>
        </w:rPr>
        <w:t>人员</w:t>
      </w:r>
      <w:r>
        <w:rPr>
          <w:rFonts w:hint="eastAsia" w:ascii="Times New Roman" w:hAnsi="Times New Roman" w:eastAsia="方正仿宋_GBK" w:cs="Times New Roman"/>
          <w:b w:val="0"/>
          <w:bCs w:val="0"/>
          <w:color w:val="auto"/>
          <w:sz w:val="32"/>
          <w:szCs w:val="32"/>
          <w:highlight w:val="none"/>
          <w:shd w:val="clear" w:color="auto" w:fill="FFFFFF"/>
          <w:lang w:eastAsia="zh-CN"/>
        </w:rPr>
        <w:t>增减</w:t>
      </w:r>
      <w:r>
        <w:rPr>
          <w:rFonts w:hint="default" w:ascii="Times New Roman" w:hAnsi="Times New Roman" w:eastAsia="方正仿宋_GBK" w:cs="Times New Roman"/>
          <w:b w:val="0"/>
          <w:bCs w:val="0"/>
          <w:color w:val="auto"/>
          <w:sz w:val="32"/>
          <w:szCs w:val="32"/>
          <w:highlight w:val="none"/>
          <w:shd w:val="clear" w:color="auto" w:fill="FFFFFF"/>
        </w:rPr>
        <w:t>变动导致实际发生的住房</w:t>
      </w:r>
      <w:r>
        <w:rPr>
          <w:rFonts w:hint="default" w:ascii="Times New Roman" w:hAnsi="Times New Roman" w:eastAsia="方正仿宋_GBK" w:cs="Times New Roman"/>
          <w:b w:val="0"/>
          <w:bCs w:val="0"/>
          <w:color w:val="auto"/>
          <w:sz w:val="32"/>
          <w:szCs w:val="32"/>
          <w:highlight w:val="none"/>
          <w:shd w:val="clear" w:color="auto" w:fill="FFFFFF"/>
          <w:lang w:eastAsia="zh-CN"/>
        </w:rPr>
        <w:t>保障支出</w:t>
      </w:r>
      <w:r>
        <w:rPr>
          <w:rFonts w:hint="default" w:ascii="Times New Roman" w:hAnsi="Times New Roman" w:eastAsia="方正仿宋_GBK" w:cs="Times New Roman"/>
          <w:b w:val="0"/>
          <w:bCs w:val="0"/>
          <w:color w:val="auto"/>
          <w:sz w:val="32"/>
          <w:szCs w:val="32"/>
          <w:highlight w:val="none"/>
          <w:shd w:val="clear" w:color="auto" w:fill="FFFFFF"/>
        </w:rPr>
        <w:t>减少。</w:t>
      </w:r>
    </w:p>
    <w:p w14:paraId="1B0985E9">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（四）一般公共预算财政拨款基本支出决算情况说明</w:t>
      </w:r>
    </w:p>
    <w:p w14:paraId="5735137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rPr>
        <w:t> </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度一般公共财政拨款基本支出</w:t>
      </w:r>
      <w:r>
        <w:rPr>
          <w:rFonts w:hint="default" w:ascii="Times New Roman" w:hAnsi="Times New Roman" w:eastAsia="方正仿宋_GBK" w:cs="Times New Roman"/>
          <w:b w:val="0"/>
          <w:bCs w:val="0"/>
          <w:color w:val="auto"/>
          <w:sz w:val="32"/>
          <w:szCs w:val="32"/>
          <w:highlight w:val="none"/>
        </w:rPr>
        <w:t>637.82</w:t>
      </w:r>
      <w:r>
        <w:rPr>
          <w:rFonts w:hint="default" w:ascii="Times New Roman" w:hAnsi="Times New Roman" w:eastAsia="方正仿宋_GBK" w:cs="Times New Roman"/>
          <w:b w:val="0"/>
          <w:bCs w:val="0"/>
          <w:color w:val="auto"/>
          <w:sz w:val="32"/>
          <w:szCs w:val="32"/>
          <w:highlight w:val="none"/>
          <w:shd w:val="clear" w:color="auto" w:fill="FFFFFF"/>
        </w:rPr>
        <w:t>万元。其中：人员经费</w:t>
      </w:r>
      <w:r>
        <w:rPr>
          <w:rFonts w:hint="default" w:ascii="Times New Roman" w:hAnsi="Times New Roman" w:eastAsia="方正仿宋_GBK" w:cs="Times New Roman"/>
          <w:b w:val="0"/>
          <w:bCs w:val="0"/>
          <w:color w:val="auto"/>
          <w:sz w:val="32"/>
          <w:szCs w:val="32"/>
          <w:highlight w:val="none"/>
        </w:rPr>
        <w:t>547.66</w:t>
      </w:r>
      <w:r>
        <w:rPr>
          <w:rFonts w:hint="default" w:ascii="Times New Roman" w:hAnsi="Times New Roman" w:eastAsia="方正仿宋_GBK" w:cs="Times New Roman"/>
          <w:b w:val="0"/>
          <w:bCs w:val="0"/>
          <w:color w:val="auto"/>
          <w:sz w:val="32"/>
          <w:szCs w:val="32"/>
          <w:highlight w:val="none"/>
          <w:shd w:val="clear" w:color="auto" w:fill="FFFFFF"/>
        </w:rPr>
        <w:t>万元，与2023年度相比，增加547.66万元，增长100.0%，主要原因是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将原统计在机关本级的事业单位划分为7个账套单独核算，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本单位</w:t>
      </w:r>
      <w:r>
        <w:rPr>
          <w:rFonts w:hint="default" w:ascii="Times New Roman" w:hAnsi="Times New Roman" w:eastAsia="方正仿宋_GBK" w:cs="Times New Roman"/>
          <w:b w:val="0"/>
          <w:bCs w:val="0"/>
          <w:color w:val="auto"/>
          <w:sz w:val="32"/>
          <w:szCs w:val="32"/>
          <w:highlight w:val="none"/>
          <w:shd w:val="clear" w:color="auto" w:fill="FFFFFF"/>
        </w:rPr>
        <w:t>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，故较上一年度增长</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人员经费用途主要包括</w:t>
      </w:r>
      <w:r>
        <w:rPr>
          <w:rFonts w:hint="default" w:ascii="Times New Roman" w:hAnsi="Times New Roman" w:eastAsia="方正仿宋_GBK" w:cs="Times New Roman"/>
          <w:b w:val="0"/>
          <w:bCs w:val="0"/>
          <w:color w:val="auto"/>
          <w:sz w:val="32"/>
          <w:szCs w:val="32"/>
          <w:highlight w:val="none"/>
          <w:shd w:val="clear" w:color="auto" w:fill="FFFFFF"/>
        </w:rPr>
        <w:t>基本工资、津贴补贴、奖金、社会保障缴费、住房公积金、应休未休假报酬等。</w:t>
      </w:r>
      <w:r>
        <w:rPr>
          <w:rFonts w:hint="default" w:ascii="Times New Roman" w:hAnsi="Times New Roman" w:eastAsia="方正仿宋_GBK" w:cs="Times New Roman"/>
          <w:b w:val="0"/>
          <w:bCs w:val="0"/>
          <w:color w:val="auto"/>
          <w:sz w:val="32"/>
          <w:szCs w:val="32"/>
          <w:highlight w:val="none"/>
          <w:shd w:val="clear" w:color="auto" w:fill="FFFFFF"/>
        </w:rPr>
        <w:t>公用经费</w:t>
      </w:r>
      <w:r>
        <w:rPr>
          <w:rFonts w:hint="default" w:ascii="Times New Roman" w:hAnsi="Times New Roman" w:eastAsia="方正仿宋_GBK" w:cs="Times New Roman"/>
          <w:b w:val="0"/>
          <w:bCs w:val="0"/>
          <w:color w:val="auto"/>
          <w:sz w:val="32"/>
          <w:szCs w:val="32"/>
          <w:highlight w:val="none"/>
        </w:rPr>
        <w:t>90.16</w:t>
      </w:r>
      <w:r>
        <w:rPr>
          <w:rFonts w:hint="default" w:ascii="Times New Roman" w:hAnsi="Times New Roman" w:eastAsia="方正仿宋_GBK" w:cs="Times New Roman"/>
          <w:b w:val="0"/>
          <w:bCs w:val="0"/>
          <w:color w:val="auto"/>
          <w:sz w:val="32"/>
          <w:szCs w:val="32"/>
          <w:highlight w:val="none"/>
          <w:shd w:val="clear" w:color="auto" w:fill="FFFFFF"/>
        </w:rPr>
        <w:t>万元，与2023年度相比，增加90.16万元，增长100.0%，主要原因是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将原统计在机关本级的事业单位划分为7个账套单独核算，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本单位</w:t>
      </w:r>
      <w:r>
        <w:rPr>
          <w:rFonts w:hint="default" w:ascii="Times New Roman" w:hAnsi="Times New Roman" w:eastAsia="方正仿宋_GBK" w:cs="Times New Roman"/>
          <w:b w:val="0"/>
          <w:bCs w:val="0"/>
          <w:color w:val="auto"/>
          <w:sz w:val="32"/>
          <w:szCs w:val="32"/>
          <w:highlight w:val="none"/>
          <w:shd w:val="clear" w:color="auto" w:fill="FFFFFF"/>
        </w:rPr>
        <w:t>上年度未单独核算</w:t>
      </w:r>
      <w:r>
        <w:rPr>
          <w:rFonts w:hint="default" w:ascii="Times New Roman" w:hAnsi="Times New Roman" w:eastAsia="方正仿宋_GBK" w:cs="Times New Roman"/>
          <w:b w:val="0"/>
          <w:bCs w:val="0"/>
          <w:color w:val="auto"/>
          <w:sz w:val="32"/>
          <w:szCs w:val="32"/>
          <w:highlight w:val="none"/>
          <w:shd w:val="clear" w:color="auto" w:fill="FFFFFF"/>
          <w:lang w:eastAsia="zh-CN"/>
        </w:rPr>
        <w:t>，故较上一年度增长</w:t>
      </w:r>
      <w:r>
        <w:rPr>
          <w:rFonts w:hint="default" w:ascii="Times New Roman" w:hAnsi="Times New Roman" w:eastAsia="方正仿宋_GBK" w:cs="Times New Roman"/>
          <w:b w:val="0"/>
          <w:bCs w:val="0"/>
          <w:color w:val="auto"/>
          <w:sz w:val="32"/>
          <w:szCs w:val="32"/>
          <w:highlight w:val="none"/>
          <w:shd w:val="clear" w:color="auto" w:fill="FFFFFF"/>
          <w:lang w:val="en-US" w:eastAsia="zh-CN"/>
        </w:rPr>
        <w:t>100%</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公用经费用途主要包括</w:t>
      </w:r>
      <w:r>
        <w:rPr>
          <w:rFonts w:hint="default" w:ascii="Times New Roman" w:hAnsi="Times New Roman" w:eastAsia="方正仿宋_GBK" w:cs="Times New Roman"/>
          <w:b w:val="0"/>
          <w:bCs w:val="0"/>
          <w:color w:val="auto"/>
          <w:sz w:val="32"/>
          <w:szCs w:val="32"/>
          <w:highlight w:val="none"/>
          <w:shd w:val="clear" w:color="auto" w:fill="FFFFFF"/>
        </w:rPr>
        <w:t>办公费、印刷费、咨询费、手续费、水费、电费、邮电费、差旅费、维修（护）费、公务接待费、劳务费、工会经费、其他交通费等。</w:t>
      </w:r>
    </w:p>
    <w:p w14:paraId="4D3F1247">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（五）政府性基金预算收支决算情况说明</w:t>
      </w:r>
      <w:bookmarkStart w:id="0" w:name="_GoBack"/>
      <w:bookmarkEnd w:id="0"/>
    </w:p>
    <w:p w14:paraId="4509F604">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本单位</w:t>
      </w:r>
      <w:r>
        <w:rPr>
          <w:rStyle w:val="8"/>
          <w:rFonts w:hint="default" w:ascii="Times New Roman" w:hAnsi="Times New Roman" w:eastAsia="方正仿宋_GBK" w:cs="Times New Roman"/>
          <w:b w:val="0"/>
          <w:bCs w:val="0"/>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val="0"/>
          <w:color w:val="auto"/>
          <w:sz w:val="32"/>
          <w:szCs w:val="32"/>
          <w:highlight w:val="none"/>
          <w:shd w:val="clear" w:color="auto" w:fill="auto"/>
        </w:rPr>
        <w:t>度无政府性基金预算财政拨款收支。</w:t>
      </w:r>
    </w:p>
    <w:p w14:paraId="769E96AB">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（六）国有资本经营预算财政拨款支出决算情况说明</w:t>
      </w:r>
    </w:p>
    <w:p w14:paraId="5A00B0C6">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本单位</w:t>
      </w:r>
      <w:r>
        <w:rPr>
          <w:rStyle w:val="8"/>
          <w:rFonts w:hint="default" w:ascii="Times New Roman" w:hAnsi="Times New Roman" w:eastAsia="方正仿宋_GBK" w:cs="Times New Roman"/>
          <w:b w:val="0"/>
          <w:bCs w:val="0"/>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val="0"/>
          <w:color w:val="auto"/>
          <w:sz w:val="32"/>
          <w:szCs w:val="32"/>
          <w:highlight w:val="none"/>
          <w:shd w:val="clear" w:color="auto" w:fill="auto"/>
        </w:rPr>
        <w:t>度无国有资本经营预算财政拨款支出。</w:t>
      </w:r>
    </w:p>
    <w:p w14:paraId="2307D387">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FFFFFF"/>
        </w:rPr>
      </w:pPr>
      <w:r>
        <w:rPr>
          <w:rStyle w:val="8"/>
          <w:rFonts w:hint="default" w:ascii="Times New Roman" w:hAnsi="Times New Roman" w:eastAsia="方正黑体_GBK" w:cs="Times New Roman"/>
          <w:b w:val="0"/>
          <w:bCs w:val="0"/>
          <w:color w:val="auto"/>
          <w:sz w:val="32"/>
          <w:szCs w:val="32"/>
          <w:highlight w:val="none"/>
          <w:shd w:val="clear" w:color="auto" w:fill="FFFFFF"/>
        </w:rPr>
        <w:t>三、</w:t>
      </w:r>
      <w:r>
        <w:rPr>
          <w:rStyle w:val="8"/>
          <w:rFonts w:hint="default" w:ascii="Times New Roman" w:hAnsi="Times New Roman" w:eastAsia="方正黑体_GBK" w:cs="Times New Roman"/>
          <w:b w:val="0"/>
          <w:bCs w:val="0"/>
          <w:color w:val="auto"/>
          <w:sz w:val="32"/>
          <w:szCs w:val="32"/>
          <w:highlight w:val="none"/>
          <w:shd w:val="clear" w:color="auto" w:fill="FFFFFF"/>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FFFFFF"/>
        </w:rPr>
        <w:t>“三公”经费情况说明</w:t>
      </w:r>
    </w:p>
    <w:p w14:paraId="1710AF4C">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（一）“三公”经费支出总体情况说明</w:t>
      </w:r>
    </w:p>
    <w:p w14:paraId="7D12B9D2">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度“三公”经费支出共计</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万元，费用支出较年初预算数无增减</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较上年支出数无增减。</w:t>
      </w:r>
    </w:p>
    <w:p w14:paraId="3C7A7917">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（二）“三公”经费分项支出情况</w:t>
      </w:r>
    </w:p>
    <w:p w14:paraId="1AD7848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度本单位因公出国（境）费用</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万元，费用支出较年初预算数无增减</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较上年支出数无增减。</w:t>
      </w:r>
    </w:p>
    <w:p w14:paraId="3298F76B">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rPr>
        <w:t>公务车购置费</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万元，费用支出较年初预算数无增减</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较上年支出数无增减。</w:t>
      </w:r>
    </w:p>
    <w:p w14:paraId="320EC783">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rPr>
        <w:t>公务车运行维护费</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w:t>
      </w:r>
      <w:r>
        <w:rPr>
          <w:rFonts w:hint="default" w:ascii="Times New Roman" w:hAnsi="Times New Roman" w:eastAsia="方正仿宋_GBK" w:cs="Times New Roman"/>
          <w:b w:val="0"/>
          <w:bCs w:val="0"/>
          <w:color w:val="auto"/>
          <w:sz w:val="32"/>
          <w:szCs w:val="32"/>
          <w:highlight w:val="none"/>
          <w:shd w:val="clear" w:color="auto" w:fill="FFFFFF"/>
          <w:lang w:eastAsia="zh-CN"/>
        </w:rPr>
        <w:t>费</w:t>
      </w:r>
      <w:r>
        <w:rPr>
          <w:rFonts w:hint="default" w:ascii="Times New Roman" w:hAnsi="Times New Roman" w:eastAsia="方正仿宋_GBK" w:cs="Times New Roman"/>
          <w:b w:val="0"/>
          <w:bCs w:val="0"/>
          <w:color w:val="auto"/>
          <w:sz w:val="32"/>
          <w:szCs w:val="32"/>
          <w:highlight w:val="none"/>
          <w:shd w:val="clear" w:color="auto" w:fill="FFFFFF"/>
        </w:rPr>
        <w:t>费用支出较年初预算数无增减</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较上年支出数无增减。</w:t>
      </w:r>
    </w:p>
    <w:p w14:paraId="2342DF0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rPr>
        <w:t>公务接待费</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万元，费用支出较年初预算数无增减</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rPr>
        <w:t>较上年支出数无增减。</w:t>
      </w:r>
    </w:p>
    <w:p w14:paraId="7D57E9A3">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（三）“三公”经费实物量情况</w:t>
      </w:r>
    </w:p>
    <w:p w14:paraId="7E5773D7">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rPr>
        <w:t> </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度本单位因公出国（境）共计</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个团组，</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人；公务用车购置</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辆，公务车保有量为</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辆；国内公务接待</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批次</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人，其中：国内外事接待</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批次，</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人；国（境）外公务接待</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批次，</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人。</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本单位人均接待费</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元，车均购置费</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万元，车均维护费</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万元。</w:t>
      </w:r>
    </w:p>
    <w:p w14:paraId="7076848D">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FFFFFF"/>
        </w:rPr>
      </w:pPr>
      <w:r>
        <w:rPr>
          <w:rStyle w:val="8"/>
          <w:rFonts w:hint="default" w:ascii="Times New Roman" w:hAnsi="Times New Roman" w:eastAsia="方正黑体_GBK" w:cs="Times New Roman"/>
          <w:b w:val="0"/>
          <w:bCs w:val="0"/>
          <w:color w:val="auto"/>
          <w:sz w:val="32"/>
          <w:szCs w:val="32"/>
          <w:highlight w:val="none"/>
          <w:shd w:val="clear" w:color="auto" w:fill="FFFFFF"/>
        </w:rPr>
        <w:t>四、其他需要说明的事项</w:t>
      </w:r>
    </w:p>
    <w:p w14:paraId="30A52063">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（一）财政拨款会议费和培训费情况说明</w:t>
      </w:r>
    </w:p>
    <w:p w14:paraId="4CD5D8E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rPr>
        <w:t>本年度会议费支出</w:t>
      </w:r>
      <w:r>
        <w:rPr>
          <w:rFonts w:hint="default" w:ascii="Times New Roman" w:hAnsi="Times New Roman" w:eastAsia="方正仿宋_GBK" w:cs="Times New Roman"/>
          <w:b w:val="0"/>
          <w:bCs w:val="0"/>
          <w:color w:val="auto"/>
          <w:sz w:val="32"/>
          <w:szCs w:val="32"/>
          <w:highlight w:val="none"/>
        </w:rPr>
        <w:t>0.00</w:t>
      </w:r>
      <w:r>
        <w:rPr>
          <w:rFonts w:hint="default" w:ascii="Times New Roman" w:hAnsi="Times New Roman" w:eastAsia="方正仿宋_GBK" w:cs="Times New Roman"/>
          <w:b w:val="0"/>
          <w:bCs w:val="0"/>
          <w:color w:val="auto"/>
          <w:sz w:val="32"/>
          <w:szCs w:val="32"/>
          <w:highlight w:val="none"/>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highlight w:val="none"/>
          <w:shd w:val="clear" w:color="auto" w:fill="FFFFFF"/>
        </w:rPr>
        <w:t>严控经费，厉行节约，未发生</w:t>
      </w:r>
      <w:r>
        <w:rPr>
          <w:rFonts w:hint="default" w:ascii="Times New Roman" w:hAnsi="Times New Roman" w:eastAsia="方正仿宋_GBK" w:cs="Times New Roman"/>
          <w:b w:val="0"/>
          <w:bCs w:val="0"/>
          <w:color w:val="auto"/>
          <w:sz w:val="32"/>
          <w:szCs w:val="32"/>
          <w:highlight w:val="none"/>
          <w:shd w:val="clear" w:color="auto" w:fill="FFFFFF"/>
          <w:lang w:eastAsia="zh-CN"/>
        </w:rPr>
        <w:t>会议费</w:t>
      </w:r>
      <w:r>
        <w:rPr>
          <w:rFonts w:hint="default" w:ascii="Times New Roman" w:hAnsi="Times New Roman" w:eastAsia="方正仿宋_GBK" w:cs="Times New Roman"/>
          <w:b w:val="0"/>
          <w:bCs w:val="0"/>
          <w:color w:val="auto"/>
          <w:sz w:val="32"/>
          <w:szCs w:val="32"/>
          <w:highlight w:val="none"/>
          <w:shd w:val="clear" w:color="auto" w:fill="FFFFFF"/>
        </w:rPr>
        <w:t>支出</w:t>
      </w:r>
      <w:r>
        <w:rPr>
          <w:rFonts w:hint="default" w:ascii="Times New Roman" w:hAnsi="Times New Roman" w:eastAsia="方正仿宋_GBK" w:cs="Times New Roman"/>
          <w:b w:val="0"/>
          <w:bCs w:val="0"/>
          <w:color w:val="auto"/>
          <w:sz w:val="32"/>
          <w:szCs w:val="32"/>
          <w:highlight w:val="none"/>
          <w:shd w:val="clear" w:color="auto" w:fill="FFFFFF"/>
        </w:rPr>
        <w:t>。本年度培训费支出</w:t>
      </w:r>
      <w:r>
        <w:rPr>
          <w:rFonts w:hint="default" w:ascii="Times New Roman" w:hAnsi="Times New Roman" w:eastAsia="方正仿宋_GBK" w:cs="Times New Roman"/>
          <w:b w:val="0"/>
          <w:bCs w:val="0"/>
          <w:color w:val="auto"/>
          <w:sz w:val="32"/>
          <w:szCs w:val="32"/>
          <w:highlight w:val="none"/>
        </w:rPr>
        <w:t>1.14</w:t>
      </w:r>
      <w:r>
        <w:rPr>
          <w:rFonts w:hint="default" w:ascii="Times New Roman" w:hAnsi="Times New Roman" w:eastAsia="方正仿宋_GBK" w:cs="Times New Roman"/>
          <w:b w:val="0"/>
          <w:bCs w:val="0"/>
          <w:color w:val="auto"/>
          <w:sz w:val="32"/>
          <w:szCs w:val="32"/>
          <w:highlight w:val="none"/>
          <w:shd w:val="clear" w:color="auto" w:fill="FFFFFF"/>
        </w:rPr>
        <w:t>万元，与2023年度相比，增加1.14万元，增长100.0%，主要原因是</w:t>
      </w:r>
      <w:r>
        <w:rPr>
          <w:rFonts w:hint="default" w:ascii="Times New Roman" w:hAnsi="Times New Roman" w:eastAsia="方正仿宋_GBK" w:cs="Times New Roman"/>
          <w:b w:val="0"/>
          <w:bCs w:val="0"/>
          <w:color w:val="auto"/>
          <w:sz w:val="32"/>
          <w:szCs w:val="32"/>
          <w:highlight w:val="none"/>
          <w:shd w:val="clear" w:color="auto" w:fill="FFFFFF"/>
        </w:rPr>
        <w:t>根据财政局关于财政精细化管理相关要求，将原统计在机关本级的事业单位划分为7个账套单独核算，本单位上年度未单独核算，故较上一年度增长100%。</w:t>
      </w:r>
    </w:p>
    <w:p w14:paraId="2C27A479">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（二）机关运行经费情况说明</w:t>
      </w:r>
    </w:p>
    <w:p w14:paraId="1AC0ADA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按照部门决算列报口径，我单位不在机关运行经费统计范围之内。</w:t>
      </w:r>
    </w:p>
    <w:p w14:paraId="648F2F35">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（三）国有资产占用情况说明</w:t>
      </w:r>
    </w:p>
    <w:p w14:paraId="588931C1">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shd w:val="clear" w:color="auto" w:fill="FFFFFF"/>
        </w:rPr>
        <w:t>截至</w:t>
      </w: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12月31日，本单位共有车辆</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辆，其中，副部（省）级及以上领导用车</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辆、主要负责人用车</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辆、机要通信用车</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辆、应急保障用车</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辆、执法执勤用车</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辆，特种专业技术用车</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辆，离退休干部用车</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辆。单价100万元（含）以上专用设备</w:t>
      </w:r>
      <w:r>
        <w:rPr>
          <w:rFonts w:hint="default" w:ascii="Times New Roman" w:hAnsi="Times New Roman" w:eastAsia="方正仿宋_GBK" w:cs="Times New Roman"/>
          <w:b w:val="0"/>
          <w:bCs w:val="0"/>
          <w:color w:val="auto"/>
          <w:sz w:val="32"/>
          <w:szCs w:val="32"/>
          <w:highlight w:val="none"/>
        </w:rPr>
        <w:t>0</w:t>
      </w:r>
      <w:r>
        <w:rPr>
          <w:rFonts w:hint="default" w:ascii="Times New Roman" w:hAnsi="Times New Roman" w:eastAsia="方正仿宋_GBK" w:cs="Times New Roman"/>
          <w:b w:val="0"/>
          <w:bCs w:val="0"/>
          <w:color w:val="auto"/>
          <w:sz w:val="32"/>
          <w:szCs w:val="32"/>
          <w:highlight w:val="none"/>
          <w:shd w:val="clear" w:color="auto" w:fill="FFFFFF"/>
        </w:rPr>
        <w:t>台（套）。</w:t>
      </w:r>
    </w:p>
    <w:p w14:paraId="78CC33EA">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（四）政府采购支出情况说明</w:t>
      </w:r>
    </w:p>
    <w:p w14:paraId="57BAA3B3">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lang w:eastAsia="zh-CN"/>
        </w:rPr>
        <w:t>2024年</w:t>
      </w:r>
      <w:r>
        <w:rPr>
          <w:rFonts w:hint="default" w:ascii="Times New Roman" w:hAnsi="Times New Roman" w:eastAsia="方正仿宋_GBK" w:cs="Times New Roman"/>
          <w:b w:val="0"/>
          <w:bCs w:val="0"/>
          <w:color w:val="auto"/>
          <w:sz w:val="32"/>
          <w:szCs w:val="32"/>
          <w:highlight w:val="none"/>
          <w:shd w:val="clear" w:color="auto" w:fill="FFFFFF"/>
        </w:rPr>
        <w:t>度我单位未发生政府采购事项，无相关经费支出。</w:t>
      </w:r>
    </w:p>
    <w:p w14:paraId="615D8ACB">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FFFFFF"/>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FFFFFF"/>
          <w:lang w:val="en-US" w:eastAsia="zh-CN"/>
        </w:rPr>
        <w:t>五、2024年度预算绩效管理情况说明</w:t>
      </w:r>
    </w:p>
    <w:p w14:paraId="279C3C6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（一）预算绩效管理工作开展情况</w:t>
      </w:r>
    </w:p>
    <w:p w14:paraId="308D462C">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highlight w:val="none"/>
          <w:shd w:val="clear" w:color="040000" w:fill="FFFFFF"/>
        </w:rPr>
      </w:pPr>
      <w:r>
        <w:rPr>
          <w:rFonts w:hint="default" w:ascii="Times New Roman" w:hAnsi="Times New Roman" w:eastAsia="方正仿宋_GBK" w:cs="Times New Roman"/>
          <w:b w:val="0"/>
          <w:bCs w:val="0"/>
          <w:color w:val="auto"/>
          <w:kern w:val="0"/>
          <w:sz w:val="32"/>
          <w:szCs w:val="32"/>
          <w:highlight w:val="none"/>
          <w:shd w:val="clear" w:color="040000" w:fill="FFFFFF"/>
        </w:rPr>
        <w:t>根据预算绩效管理要求，我单位对</w:t>
      </w:r>
      <w:r>
        <w:rPr>
          <w:rFonts w:hint="default" w:ascii="Times New Roman" w:hAnsi="Times New Roman" w:eastAsia="方正仿宋_GBK" w:cs="Times New Roman"/>
          <w:b w:val="0"/>
          <w:bCs w:val="0"/>
          <w:color w:val="auto"/>
          <w:kern w:val="0"/>
          <w:sz w:val="32"/>
          <w:szCs w:val="32"/>
          <w:highlight w:val="none"/>
          <w:shd w:val="clear" w:color="040000" w:fill="FFFFFF"/>
          <w:lang w:val="en-US" w:eastAsia="zh-CN"/>
        </w:rPr>
        <w:t>1</w:t>
      </w:r>
      <w:r>
        <w:rPr>
          <w:rFonts w:hint="default" w:ascii="Times New Roman" w:hAnsi="Times New Roman" w:eastAsia="方正仿宋_GBK" w:cs="Times New Roman"/>
          <w:b w:val="0"/>
          <w:bCs w:val="0"/>
          <w:color w:val="auto"/>
          <w:kern w:val="0"/>
          <w:sz w:val="32"/>
          <w:szCs w:val="32"/>
          <w:highlight w:val="none"/>
          <w:shd w:val="clear" w:color="040000" w:fill="FFFFFF"/>
        </w:rPr>
        <w:t>个项目开展了绩效自评，其中，以填报自评表形式开展自评</w:t>
      </w:r>
      <w:r>
        <w:rPr>
          <w:rFonts w:hint="default" w:ascii="Times New Roman" w:hAnsi="Times New Roman" w:eastAsia="方正仿宋_GBK" w:cs="Times New Roman"/>
          <w:b w:val="0"/>
          <w:bCs w:val="0"/>
          <w:color w:val="auto"/>
          <w:kern w:val="0"/>
          <w:sz w:val="32"/>
          <w:szCs w:val="32"/>
          <w:highlight w:val="none"/>
          <w:shd w:val="clear" w:color="040000" w:fill="FFFFFF"/>
          <w:lang w:val="en-US" w:eastAsia="zh-CN"/>
        </w:rPr>
        <w:t>1</w:t>
      </w:r>
      <w:r>
        <w:rPr>
          <w:rFonts w:hint="default" w:ascii="Times New Roman" w:hAnsi="Times New Roman" w:eastAsia="方正仿宋_GBK" w:cs="Times New Roman"/>
          <w:b w:val="0"/>
          <w:bCs w:val="0"/>
          <w:color w:val="auto"/>
          <w:kern w:val="0"/>
          <w:sz w:val="32"/>
          <w:szCs w:val="32"/>
          <w:highlight w:val="none"/>
          <w:shd w:val="clear" w:color="040000" w:fill="FFFFFF"/>
        </w:rPr>
        <w:t>项，涉及资金</w:t>
      </w:r>
      <w:r>
        <w:rPr>
          <w:rFonts w:hint="default" w:ascii="Times New Roman" w:hAnsi="Times New Roman" w:eastAsia="方正仿宋_GBK" w:cs="Times New Roman"/>
          <w:b w:val="0"/>
          <w:bCs w:val="0"/>
          <w:color w:val="auto"/>
          <w:kern w:val="0"/>
          <w:sz w:val="32"/>
          <w:szCs w:val="32"/>
          <w:highlight w:val="none"/>
          <w:shd w:val="clear" w:color="040000" w:fill="FFFFFF"/>
          <w:lang w:val="en-US" w:eastAsia="zh-CN"/>
        </w:rPr>
        <w:t>10.47</w:t>
      </w:r>
      <w:r>
        <w:rPr>
          <w:rFonts w:hint="default" w:ascii="Times New Roman" w:hAnsi="Times New Roman" w:eastAsia="方正仿宋_GBK" w:cs="Times New Roman"/>
          <w:b w:val="0"/>
          <w:bCs w:val="0"/>
          <w:color w:val="auto"/>
          <w:kern w:val="0"/>
          <w:sz w:val="32"/>
          <w:szCs w:val="32"/>
          <w:highlight w:val="none"/>
          <w:shd w:val="clear" w:color="040000" w:fill="FFFFFF"/>
        </w:rPr>
        <w:t>万元。</w:t>
      </w:r>
    </w:p>
    <w:p w14:paraId="7C800F1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（二）绩效自评结果</w:t>
      </w:r>
    </w:p>
    <w:p w14:paraId="6D2419FB">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040000" w:fill="FFFFFF"/>
        </w:rPr>
      </w:pPr>
      <w:r>
        <w:rPr>
          <w:rFonts w:hint="default" w:ascii="Times New Roman" w:hAnsi="Times New Roman" w:eastAsia="方正仿宋_GBK" w:cs="Times New Roman"/>
          <w:b w:val="0"/>
          <w:bCs w:val="0"/>
          <w:color w:val="auto"/>
          <w:kern w:val="0"/>
          <w:sz w:val="32"/>
          <w:szCs w:val="32"/>
          <w:highlight w:val="none"/>
          <w:shd w:val="clear" w:color="040000" w:fill="FFFFFF"/>
        </w:rPr>
        <w:t>1.项目绩效自评表。</w:t>
      </w:r>
    </w:p>
    <w:p w14:paraId="68B2DB53">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040000" w:fill="FFFFFF"/>
        </w:rPr>
      </w:pPr>
      <w:r>
        <w:rPr>
          <w:rFonts w:hint="default" w:ascii="Times New Roman" w:hAnsi="Times New Roman" w:eastAsia="方正仿宋_GBK" w:cs="Times New Roman"/>
          <w:b w:val="0"/>
          <w:bCs w:val="0"/>
          <w:color w:val="auto"/>
          <w:kern w:val="0"/>
          <w:sz w:val="32"/>
          <w:szCs w:val="32"/>
          <w:highlight w:val="none"/>
          <w:shd w:val="clear" w:color="040000" w:fill="FFFFFF"/>
        </w:rPr>
        <w:t>详见附件。</w:t>
      </w:r>
    </w:p>
    <w:p w14:paraId="1321DAB5">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040000" w:fill="FFFFFF"/>
        </w:rPr>
      </w:pPr>
      <w:r>
        <w:rPr>
          <w:rFonts w:hint="default" w:ascii="Times New Roman" w:hAnsi="Times New Roman" w:eastAsia="方正仿宋_GBK" w:cs="Times New Roman"/>
          <w:b w:val="0"/>
          <w:bCs w:val="0"/>
          <w:color w:val="auto"/>
          <w:kern w:val="0"/>
          <w:sz w:val="32"/>
          <w:szCs w:val="32"/>
          <w:highlight w:val="none"/>
          <w:shd w:val="clear" w:color="040000" w:fill="FFFFFF"/>
        </w:rPr>
        <w:t>2.项目绩效自评报告或案例。</w:t>
      </w:r>
    </w:p>
    <w:p w14:paraId="1D49B952">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040000" w:fill="FFFFFF"/>
        </w:rPr>
      </w:pPr>
      <w:r>
        <w:rPr>
          <w:rFonts w:hint="default" w:ascii="Times New Roman" w:hAnsi="Times New Roman" w:eastAsia="方正仿宋_GBK" w:cs="Times New Roman"/>
          <w:b w:val="0"/>
          <w:bCs w:val="0"/>
          <w:color w:val="auto"/>
          <w:kern w:val="0"/>
          <w:sz w:val="32"/>
          <w:szCs w:val="32"/>
          <w:highlight w:val="none"/>
          <w:shd w:val="clear" w:color="060000" w:fill="FFFFFF"/>
        </w:rPr>
        <w:t>我单位未委托第三方开展绩效评价</w:t>
      </w:r>
      <w:r>
        <w:rPr>
          <w:rFonts w:hint="default" w:ascii="Times New Roman" w:hAnsi="Times New Roman" w:eastAsia="方正仿宋_GBK" w:cs="Times New Roman"/>
          <w:b w:val="0"/>
          <w:bCs w:val="0"/>
          <w:color w:val="auto"/>
          <w:kern w:val="0"/>
          <w:sz w:val="32"/>
          <w:szCs w:val="32"/>
          <w:highlight w:val="none"/>
          <w:shd w:val="clear" w:color="040000" w:fill="FFFFFF"/>
        </w:rPr>
        <w:t>。</w:t>
      </w:r>
    </w:p>
    <w:p w14:paraId="5F46855B">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040000" w:fill="FFFFFF"/>
        </w:rPr>
      </w:pPr>
      <w:r>
        <w:rPr>
          <w:rFonts w:hint="default" w:ascii="Times New Roman" w:hAnsi="Times New Roman" w:eastAsia="方正仿宋_GBK" w:cs="Times New Roman"/>
          <w:b w:val="0"/>
          <w:bCs w:val="0"/>
          <w:color w:val="auto"/>
          <w:kern w:val="0"/>
          <w:sz w:val="32"/>
          <w:szCs w:val="32"/>
          <w:highlight w:val="none"/>
          <w:shd w:val="clear" w:color="040000" w:fill="FFFFFF"/>
        </w:rPr>
        <w:t>3.关于绩效自评结果的说明。</w:t>
      </w:r>
    </w:p>
    <w:p w14:paraId="0A19B57A">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040000" w:fill="FFFFFF"/>
        </w:rPr>
      </w:pPr>
      <w:r>
        <w:rPr>
          <w:rFonts w:hint="default" w:ascii="Times New Roman" w:hAnsi="Times New Roman" w:eastAsia="方正仿宋_GBK" w:cs="Times New Roman"/>
          <w:b w:val="0"/>
          <w:bCs w:val="0"/>
          <w:color w:val="auto"/>
          <w:kern w:val="0"/>
          <w:sz w:val="32"/>
          <w:szCs w:val="32"/>
          <w:highlight w:val="none"/>
          <w:shd w:val="clear" w:color="040000" w:fill="FFFFFF"/>
        </w:rPr>
        <w:t>我单位对</w:t>
      </w:r>
      <w:r>
        <w:rPr>
          <w:rFonts w:hint="default" w:ascii="Times New Roman" w:hAnsi="Times New Roman" w:eastAsia="方正仿宋_GBK" w:cs="Times New Roman"/>
          <w:b w:val="0"/>
          <w:bCs w:val="0"/>
          <w:color w:val="auto"/>
          <w:kern w:val="0"/>
          <w:sz w:val="32"/>
          <w:szCs w:val="32"/>
          <w:highlight w:val="none"/>
          <w:shd w:val="clear" w:color="040000" w:fill="FFFFFF"/>
          <w:lang w:val="en-US" w:eastAsia="zh-CN"/>
        </w:rPr>
        <w:t>1个</w:t>
      </w:r>
      <w:r>
        <w:rPr>
          <w:rFonts w:hint="default" w:ascii="Times New Roman" w:hAnsi="Times New Roman" w:eastAsia="方正仿宋_GBK" w:cs="Times New Roman"/>
          <w:b w:val="0"/>
          <w:bCs w:val="0"/>
          <w:color w:val="auto"/>
          <w:kern w:val="0"/>
          <w:sz w:val="32"/>
          <w:szCs w:val="32"/>
          <w:highlight w:val="none"/>
          <w:shd w:val="clear" w:color="040000" w:fill="FFFFFF"/>
        </w:rPr>
        <w:t>项目进行绩效自评，其中</w:t>
      </w:r>
      <w:r>
        <w:rPr>
          <w:rFonts w:hint="default" w:ascii="Times New Roman" w:hAnsi="Times New Roman" w:eastAsia="方正仿宋_GBK" w:cs="Times New Roman"/>
          <w:b w:val="0"/>
          <w:bCs w:val="0"/>
          <w:color w:val="auto"/>
          <w:kern w:val="0"/>
          <w:sz w:val="32"/>
          <w:szCs w:val="32"/>
          <w:highlight w:val="none"/>
          <w:shd w:val="clear" w:color="040000" w:fill="FFFFFF"/>
          <w:lang w:val="en-US" w:eastAsia="zh-CN"/>
        </w:rPr>
        <w:t>1</w:t>
      </w:r>
      <w:r>
        <w:rPr>
          <w:rFonts w:hint="default" w:ascii="Times New Roman" w:hAnsi="Times New Roman" w:eastAsia="方正仿宋_GBK" w:cs="Times New Roman"/>
          <w:b w:val="0"/>
          <w:bCs w:val="0"/>
          <w:color w:val="auto"/>
          <w:kern w:val="0"/>
          <w:sz w:val="32"/>
          <w:szCs w:val="32"/>
          <w:highlight w:val="none"/>
          <w:shd w:val="clear" w:color="040000" w:fill="FFFFFF"/>
        </w:rPr>
        <w:t>个已完成年度绩效目标，</w:t>
      </w:r>
      <w:r>
        <w:rPr>
          <w:rFonts w:hint="default" w:ascii="Times New Roman" w:hAnsi="Times New Roman" w:eastAsia="方正仿宋_GBK" w:cs="Times New Roman"/>
          <w:b w:val="0"/>
          <w:bCs w:val="0"/>
          <w:color w:val="auto"/>
          <w:kern w:val="0"/>
          <w:sz w:val="32"/>
          <w:szCs w:val="32"/>
          <w:highlight w:val="none"/>
          <w:shd w:val="clear" w:color="040000" w:fill="FFFFFF"/>
          <w:lang w:val="en-US" w:eastAsia="zh-CN"/>
        </w:rPr>
        <w:t>0</w:t>
      </w:r>
      <w:r>
        <w:rPr>
          <w:rFonts w:hint="default" w:ascii="Times New Roman" w:hAnsi="Times New Roman" w:eastAsia="方正仿宋_GBK" w:cs="Times New Roman"/>
          <w:b w:val="0"/>
          <w:bCs w:val="0"/>
          <w:color w:val="auto"/>
          <w:kern w:val="0"/>
          <w:sz w:val="32"/>
          <w:szCs w:val="32"/>
          <w:highlight w:val="none"/>
          <w:shd w:val="clear" w:color="040000" w:fill="FFFFFF"/>
        </w:rPr>
        <w:t>个未完成年度绩效目标。</w:t>
      </w:r>
    </w:p>
    <w:p w14:paraId="1D3AA90F">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kern w:val="0"/>
          <w:sz w:val="32"/>
          <w:szCs w:val="32"/>
          <w:highlight w:val="none"/>
          <w:shd w:val="clear" w:color="auto" w:fill="FFFFFF"/>
          <w:lang w:val="en-US" w:eastAsia="zh-CN" w:bidi="ar-SA"/>
        </w:rPr>
        <w:t>（三）财政重点绩效评价情况</w:t>
      </w:r>
    </w:p>
    <w:p w14:paraId="6CF06123">
      <w:pPr>
        <w:pStyle w:val="10"/>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040000" w:fill="FFFFFF"/>
          <w:lang w:val="en-US" w:eastAsia="zh-CN"/>
        </w:rPr>
      </w:pPr>
      <w:r>
        <w:rPr>
          <w:rFonts w:hint="default" w:ascii="Times New Roman" w:hAnsi="Times New Roman" w:eastAsia="方正仿宋_GBK" w:cs="Times New Roman"/>
          <w:b w:val="0"/>
          <w:bCs w:val="0"/>
          <w:color w:val="auto"/>
          <w:kern w:val="0"/>
          <w:sz w:val="32"/>
          <w:szCs w:val="32"/>
          <w:highlight w:val="none"/>
          <w:shd w:val="clear" w:color="060000" w:fill="FFFFFF"/>
          <w:lang w:val="en-US" w:eastAsia="zh-CN"/>
        </w:rPr>
        <w:t>我单位无财政重点绩效评价项目。</w:t>
      </w:r>
    </w:p>
    <w:p w14:paraId="070C2D0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FFFFFF"/>
        </w:rPr>
      </w:pPr>
      <w:r>
        <w:rPr>
          <w:rStyle w:val="8"/>
          <w:rFonts w:hint="default" w:ascii="Times New Roman" w:hAnsi="Times New Roman" w:eastAsia="方正黑体_GBK" w:cs="Times New Roman"/>
          <w:b w:val="0"/>
          <w:bCs w:val="0"/>
          <w:color w:val="auto"/>
          <w:sz w:val="32"/>
          <w:szCs w:val="32"/>
          <w:highlight w:val="none"/>
          <w:shd w:val="clear" w:color="auto" w:fill="FFFFFF"/>
          <w:lang w:val="en-US" w:eastAsia="zh-CN"/>
        </w:rPr>
        <w:t>六、专业名词解释</w:t>
      </w:r>
    </w:p>
    <w:p w14:paraId="788F83F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（一）财政拨款收入：</w:t>
      </w:r>
      <w:r>
        <w:rPr>
          <w:rFonts w:hint="default" w:ascii="Times New Roman" w:hAnsi="Times New Roman" w:eastAsia="方正仿宋_GBK" w:cs="Times New Roman"/>
          <w:b w:val="0"/>
          <w:bCs w:val="0"/>
          <w:color w:val="auto"/>
          <w:kern w:val="0"/>
          <w:sz w:val="32"/>
          <w:szCs w:val="32"/>
          <w:highlight w:val="none"/>
          <w:shd w:val="clear" w:color="040000" w:fill="FFFFFF"/>
        </w:rPr>
        <w:t>指本年度从本级财政部门取得的财政拨款，包括一般公共预算财政拨款和政府性基金预算财政拨</w:t>
      </w:r>
      <w:r>
        <w:rPr>
          <w:rFonts w:hint="default" w:ascii="Times New Roman" w:hAnsi="Times New Roman" w:eastAsia="方正仿宋_GBK" w:cs="Times New Roman"/>
          <w:b w:val="0"/>
          <w:bCs w:val="0"/>
          <w:color w:val="auto"/>
          <w:kern w:val="0"/>
          <w:sz w:val="32"/>
          <w:szCs w:val="32"/>
          <w:highlight w:val="none"/>
          <w:shd w:val="clear" w:color="040000" w:fill="FFFFFF"/>
          <w:lang w:val="en-US" w:eastAsia="zh-CN"/>
        </w:rPr>
        <w:t>款。</w:t>
      </w:r>
    </w:p>
    <w:p w14:paraId="16018D3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（二）事业收入：</w:t>
      </w:r>
      <w:r>
        <w:rPr>
          <w:rFonts w:hint="default" w:ascii="Times New Roman" w:hAnsi="Times New Roman" w:eastAsia="方正仿宋_GBK" w:cs="Times New Roman"/>
          <w:b w:val="0"/>
          <w:bCs w:val="0"/>
          <w:color w:val="auto"/>
          <w:kern w:val="0"/>
          <w:sz w:val="32"/>
          <w:szCs w:val="32"/>
          <w:highlight w:val="none"/>
          <w:shd w:val="clear" w:color="040000" w:fill="FFFFFF"/>
        </w:rPr>
        <w:t>指事业单位开展专业业务活动及其辅助活动取得的现金流入；事业单位收到的财政专户实际核拨的教育收费等资金在此反映。</w:t>
      </w:r>
    </w:p>
    <w:p w14:paraId="2E10AE07">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（三）经营收入：</w:t>
      </w:r>
      <w:r>
        <w:rPr>
          <w:rFonts w:hint="default" w:ascii="Times New Roman" w:hAnsi="Times New Roman" w:eastAsia="方正仿宋_GBK" w:cs="Times New Roman"/>
          <w:b w:val="0"/>
          <w:bCs w:val="0"/>
          <w:color w:val="auto"/>
          <w:kern w:val="0"/>
          <w:sz w:val="32"/>
          <w:szCs w:val="32"/>
          <w:highlight w:val="none"/>
          <w:shd w:val="clear" w:color="040000" w:fill="FFFFFF"/>
        </w:rPr>
        <w:t>指事业单位在专业业务活动及其辅助活动之外开展非独立核算经营活动取得的现金流入。</w:t>
      </w:r>
    </w:p>
    <w:p w14:paraId="0A1D4A63">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（四）其他收入：</w:t>
      </w:r>
      <w:r>
        <w:rPr>
          <w:rFonts w:hint="default" w:ascii="Times New Roman" w:hAnsi="Times New Roman" w:eastAsia="方正仿宋_GBK" w:cs="Times New Roman"/>
          <w:b w:val="0"/>
          <w:bCs w:val="0"/>
          <w:color w:val="auto"/>
          <w:kern w:val="0"/>
          <w:sz w:val="32"/>
          <w:szCs w:val="32"/>
          <w:highlight w:val="none"/>
          <w:shd w:val="clear" w:color="040000"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8334B4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b w:val="0"/>
          <w:bCs w:val="0"/>
          <w:color w:val="auto"/>
          <w:kern w:val="0"/>
          <w:sz w:val="32"/>
          <w:szCs w:val="32"/>
          <w:highlight w:val="none"/>
          <w:shd w:val="clear" w:color="040000" w:fill="FFFFFF"/>
        </w:rPr>
        <w:t>指单位在当年的“财政拨款收入”、“事业收入”、“经营收入”、“其他收入”等不足以安排当年支出的情况下，使用以前年度积累的非财政拨款结余弥补本年度收支缺口的资金。</w:t>
      </w:r>
    </w:p>
    <w:p w14:paraId="303419A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（六）年初结转和结余：</w:t>
      </w:r>
      <w:r>
        <w:rPr>
          <w:rFonts w:hint="default" w:ascii="Times New Roman" w:hAnsi="Times New Roman" w:eastAsia="方正仿宋_GBK" w:cs="Times New Roman"/>
          <w:b w:val="0"/>
          <w:bCs w:val="0"/>
          <w:color w:val="auto"/>
          <w:kern w:val="0"/>
          <w:sz w:val="32"/>
          <w:szCs w:val="32"/>
          <w:highlight w:val="none"/>
          <w:shd w:val="clear" w:color="040000" w:fill="FFFFFF"/>
        </w:rPr>
        <w:t>指单位上年结转本年使用的基本支出结转、项目支出结转和结余、经营结余。</w:t>
      </w:r>
    </w:p>
    <w:p w14:paraId="2CEC3347">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（七）结余分配：</w:t>
      </w:r>
      <w:r>
        <w:rPr>
          <w:rFonts w:hint="default" w:ascii="Times New Roman" w:hAnsi="Times New Roman" w:eastAsia="方正仿宋_GBK" w:cs="Times New Roman"/>
          <w:b w:val="0"/>
          <w:bCs w:val="0"/>
          <w:color w:val="auto"/>
          <w:kern w:val="0"/>
          <w:sz w:val="32"/>
          <w:szCs w:val="32"/>
          <w:highlight w:val="none"/>
          <w:shd w:val="clear" w:color="040000" w:fill="FFFFFF"/>
        </w:rPr>
        <w:t>指单位按照国家有关规定，缴纳所得税、提取专用基金、转入非财政拨款结余等当年结余的分配情况。</w:t>
      </w:r>
    </w:p>
    <w:p w14:paraId="4F1B6862">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（八）年末结转和结余：</w:t>
      </w:r>
      <w:r>
        <w:rPr>
          <w:rFonts w:hint="default" w:ascii="Times New Roman" w:hAnsi="Times New Roman" w:eastAsia="方正仿宋_GBK" w:cs="Times New Roman"/>
          <w:b w:val="0"/>
          <w:bCs w:val="0"/>
          <w:color w:val="auto"/>
          <w:kern w:val="0"/>
          <w:sz w:val="32"/>
          <w:szCs w:val="32"/>
          <w:highlight w:val="none"/>
          <w:shd w:val="clear" w:color="040000" w:fill="FFFFFF"/>
        </w:rPr>
        <w:t>指单位结转下年的基本支出结转、项目支出结转和结余、经营结余。</w:t>
      </w:r>
    </w:p>
    <w:p w14:paraId="0C572DD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（九）基本支出：</w:t>
      </w:r>
      <w:r>
        <w:rPr>
          <w:rFonts w:hint="default" w:ascii="Times New Roman" w:hAnsi="Times New Roman" w:eastAsia="方正仿宋_GBK" w:cs="Times New Roman"/>
          <w:b w:val="0"/>
          <w:bCs w:val="0"/>
          <w:color w:val="auto"/>
          <w:kern w:val="0"/>
          <w:sz w:val="32"/>
          <w:szCs w:val="32"/>
          <w:highlight w:val="none"/>
          <w:shd w:val="clear" w:color="040000"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7C570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（十）项目支出：</w:t>
      </w:r>
      <w:r>
        <w:rPr>
          <w:rFonts w:hint="default" w:ascii="Times New Roman" w:hAnsi="Times New Roman" w:eastAsia="方正仿宋_GBK" w:cs="Times New Roman"/>
          <w:b w:val="0"/>
          <w:bCs w:val="0"/>
          <w:color w:val="auto"/>
          <w:kern w:val="0"/>
          <w:sz w:val="32"/>
          <w:szCs w:val="32"/>
          <w:highlight w:val="none"/>
          <w:shd w:val="clear" w:color="040000" w:fill="FFFFFF"/>
        </w:rPr>
        <w:t>指在基本支出之外为完成特定行政任务和事业发展目标所发生的支出。</w:t>
      </w:r>
    </w:p>
    <w:p w14:paraId="2E07E0DE">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（十一）经营支出：</w:t>
      </w:r>
      <w:r>
        <w:rPr>
          <w:rFonts w:hint="default" w:ascii="Times New Roman" w:hAnsi="Times New Roman" w:eastAsia="方正仿宋_GBK" w:cs="Times New Roman"/>
          <w:b w:val="0"/>
          <w:bCs w:val="0"/>
          <w:color w:val="auto"/>
          <w:kern w:val="0"/>
          <w:sz w:val="32"/>
          <w:szCs w:val="32"/>
          <w:highlight w:val="none"/>
          <w:shd w:val="clear" w:color="040000" w:fill="FFFFFF"/>
        </w:rPr>
        <w:t>指事业单位在专业业务活动及其辅助活动之外开展非独立核算经营活动发生的支出。</w:t>
      </w:r>
    </w:p>
    <w:p w14:paraId="2DD786F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（十二）“三公”经费：</w:t>
      </w:r>
      <w:r>
        <w:rPr>
          <w:rFonts w:hint="default" w:ascii="Times New Roman" w:hAnsi="Times New Roman" w:eastAsia="方正仿宋_GBK" w:cs="Times New Roman"/>
          <w:b w:val="0"/>
          <w:bCs w:val="0"/>
          <w:color w:val="auto"/>
          <w:kern w:val="0"/>
          <w:sz w:val="32"/>
          <w:szCs w:val="32"/>
          <w:highlight w:val="none"/>
          <w:shd w:val="clear" w:color="040000"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EA43EA">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（十三）机关运行经费：</w:t>
      </w:r>
      <w:r>
        <w:rPr>
          <w:rFonts w:hint="default" w:ascii="Times New Roman" w:hAnsi="Times New Roman" w:eastAsia="方正仿宋_GBK" w:cs="Times New Roman"/>
          <w:b w:val="0"/>
          <w:bCs w:val="0"/>
          <w:color w:val="auto"/>
          <w:kern w:val="0"/>
          <w:sz w:val="32"/>
          <w:szCs w:val="32"/>
          <w:highlight w:val="none"/>
          <w:shd w:val="clear" w:color="040000"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144D7B0">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highlight w:val="none"/>
          <w:shd w:val="clear" w:color="040000" w:fill="FFFFFF"/>
        </w:rPr>
        <w:t>反映单位开支的在职职工和编制外长期聘用人员的各类劳动报酬，以及为上述人员缴纳的各项社会保险费等。</w:t>
      </w:r>
    </w:p>
    <w:p w14:paraId="1B1E5605">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highlight w:val="none"/>
          <w:shd w:val="clear" w:color="040000" w:fill="FFFFFF"/>
        </w:rPr>
        <w:t>反映单位购买商品和服务的支出（不包括用于购置固定资产的支出、战略性和应急储备支出）。</w:t>
      </w:r>
    </w:p>
    <w:p w14:paraId="694AA240">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highlight w:val="none"/>
          <w:shd w:val="clear" w:color="040000" w:fill="FFFFFF"/>
        </w:rPr>
        <w:t>反映用于对个人和家庭的补助支出。</w:t>
      </w:r>
    </w:p>
    <w:p w14:paraId="637CF919">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Style w:val="8"/>
          <w:rFonts w:hint="default" w:ascii="Times New Roman" w:hAnsi="Times New Roman" w:eastAsia="方正楷体_GBK" w:cs="Times New Roman"/>
          <w:b w:val="0"/>
          <w:bCs w:val="0"/>
          <w:color w:val="auto"/>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highlight w:val="none"/>
          <w:shd w:val="clear" w:color="040000" w:fill="FFFFFF"/>
        </w:rPr>
        <w:t>反映非各级发展与改革部门集中安排的用于购置固定资产、战略性和应急性储备、土地和无形资产，以及构建基础设施、大型修缮和财政支持企业更新改造所发生的支出。</w:t>
      </w:r>
    </w:p>
    <w:p w14:paraId="068C3AFE">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FFFFFF"/>
        </w:rPr>
      </w:pPr>
      <w:r>
        <w:rPr>
          <w:rStyle w:val="8"/>
          <w:rFonts w:hint="default" w:ascii="Times New Roman" w:hAnsi="Times New Roman" w:eastAsia="方正黑体_GBK" w:cs="Times New Roman"/>
          <w:b w:val="0"/>
          <w:bCs w:val="0"/>
          <w:color w:val="auto"/>
          <w:sz w:val="32"/>
          <w:szCs w:val="32"/>
          <w:highlight w:val="none"/>
          <w:shd w:val="clear" w:color="auto" w:fill="FFFFFF"/>
          <w:lang w:val="en-US" w:eastAsia="zh-CN"/>
        </w:rPr>
        <w:t>七、决算公开联系方式及信息反馈渠道</w:t>
      </w:r>
    </w:p>
    <w:p w14:paraId="52B3D074">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rPr>
      </w:pPr>
      <w:r>
        <w:rPr>
          <w:rFonts w:hint="default" w:ascii="Times New Roman" w:hAnsi="Times New Roman" w:eastAsia="方正仿宋_GBK" w:cs="Times New Roman"/>
          <w:b w:val="0"/>
          <w:bCs w:val="0"/>
          <w:color w:val="auto"/>
          <w:kern w:val="0"/>
          <w:sz w:val="32"/>
          <w:szCs w:val="32"/>
          <w:highlight w:val="none"/>
          <w:shd w:val="clear" w:color="040000" w:fill="FFFFFF"/>
        </w:rPr>
        <w:t>本单位决算公开信息反馈和联系方式：</w:t>
      </w:r>
    </w:p>
    <w:p w14:paraId="5802D881">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12"/>
          <w:rFonts w:hint="default" w:ascii="Times New Roman" w:hAnsi="Times New Roman" w:eastAsia="方正仿宋_GBK" w:cs="Times New Roman"/>
          <w:b w:val="0"/>
          <w:bCs w:val="0"/>
          <w:color w:val="auto"/>
          <w:sz w:val="32"/>
          <w:szCs w:val="32"/>
          <w:highlight w:val="none"/>
          <w:shd w:val="clear" w:color="060000" w:fill="FFFF00"/>
          <w:lang w:val="en-US" w:eastAsia="zh-CN"/>
        </w:rPr>
      </w:pPr>
      <w:r>
        <w:rPr>
          <w:rFonts w:hint="default" w:ascii="Times New Roman" w:hAnsi="Times New Roman" w:eastAsia="方正仿宋_GBK" w:cs="Times New Roman"/>
          <w:b w:val="0"/>
          <w:bCs w:val="0"/>
          <w:color w:val="auto"/>
          <w:kern w:val="0"/>
          <w:sz w:val="32"/>
          <w:szCs w:val="32"/>
          <w:highlight w:val="none"/>
          <w:shd w:val="clear" w:color="050000" w:fill="FFFFFF"/>
          <w:lang w:eastAsia="zh-CN"/>
        </w:rPr>
        <w:t>联系人：</w:t>
      </w:r>
      <w:r>
        <w:rPr>
          <w:rFonts w:hint="eastAsia" w:ascii="Times New Roman" w:hAnsi="Times New Roman" w:eastAsia="方正仿宋_GBK" w:cs="Times New Roman"/>
          <w:b w:val="0"/>
          <w:bCs w:val="0"/>
          <w:color w:val="auto"/>
          <w:kern w:val="0"/>
          <w:sz w:val="32"/>
          <w:szCs w:val="32"/>
          <w:highlight w:val="none"/>
          <w:shd w:val="clear" w:color="050000" w:fill="FFFFFF"/>
          <w:lang w:val="en-US" w:eastAsia="zh-CN"/>
        </w:rPr>
        <w:t>王宇铮</w:t>
      </w:r>
      <w:r>
        <w:rPr>
          <w:rFonts w:hint="default" w:ascii="Times New Roman" w:hAnsi="Times New Roman" w:eastAsia="方正仿宋_GBK" w:cs="Times New Roman"/>
          <w:b w:val="0"/>
          <w:bCs w:val="0"/>
          <w:color w:val="auto"/>
          <w:kern w:val="0"/>
          <w:sz w:val="32"/>
          <w:szCs w:val="32"/>
          <w:highlight w:val="none"/>
          <w:shd w:val="clear" w:color="050000" w:fill="FFFFFF"/>
          <w:lang w:val="en-US" w:eastAsia="zh-CN"/>
        </w:rPr>
        <w:t xml:space="preserve"> 联系方式：</w:t>
      </w:r>
      <w:r>
        <w:rPr>
          <w:rFonts w:hint="default" w:ascii="Times New Roman" w:hAnsi="Times New Roman" w:eastAsia="方正仿宋_GBK" w:cs="Times New Roman"/>
          <w:b w:val="0"/>
          <w:bCs w:val="0"/>
          <w:color w:val="auto"/>
          <w:kern w:val="0"/>
          <w:sz w:val="32"/>
          <w:szCs w:val="32"/>
          <w:highlight w:val="none"/>
          <w:shd w:val="clear" w:color="050000" w:fill="FFFFFF"/>
        </w:rPr>
        <w:t>023-4587083</w:t>
      </w:r>
      <w:r>
        <w:rPr>
          <w:rFonts w:hint="eastAsia" w:ascii="Times New Roman" w:hAnsi="Times New Roman" w:eastAsia="方正仿宋_GBK" w:cs="Times New Roman"/>
          <w:b w:val="0"/>
          <w:bCs w:val="0"/>
          <w:color w:val="auto"/>
          <w:kern w:val="0"/>
          <w:sz w:val="32"/>
          <w:szCs w:val="32"/>
          <w:highlight w:val="none"/>
          <w:shd w:val="clear" w:color="050000" w:fill="FFFFFF"/>
          <w:lang w:val="en-US" w:eastAsia="zh-CN"/>
        </w:rPr>
        <w:t>7</w:t>
      </w:r>
    </w:p>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A14F">
    <w:pPr>
      <w:pStyle w:val="2"/>
      <w:jc w:val="both"/>
      <w:rPr>
        <w:rFonts w:hint="default"/>
      </w:rPr>
    </w:pPr>
    <w:r>
      <w:rPr>
        <w:rFonts w:hint="eastAsia" w:ascii="宋体" w:hAnsi="宋体" w:eastAsia="宋体" w:cs="Times New Roman"/>
        <w:sz w:val="18"/>
        <w:szCs w:val="18"/>
        <w:lang w:val="en-US" w:eastAsia="zh-CN" w:bidi="ar-SA"/>
      </w:rPr>
      <w:pict>
        <v:rect id="文本框 127"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38EBBF32">
                <w:pPr>
                  <w:pStyle w:val="2"/>
                  <w:rPr>
                    <w:rFonts w:hint="eastAsia" w:eastAsia="宋体"/>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2050"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3BFA3C45">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D90B">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3F4674"/>
    <w:rsid w:val="00550ABE"/>
    <w:rsid w:val="007B419D"/>
    <w:rsid w:val="009B67B8"/>
    <w:rsid w:val="00B03CCD"/>
    <w:rsid w:val="00FE7556"/>
    <w:rsid w:val="01474EBF"/>
    <w:rsid w:val="01F3521E"/>
    <w:rsid w:val="029A22D5"/>
    <w:rsid w:val="037576B9"/>
    <w:rsid w:val="03E3214F"/>
    <w:rsid w:val="04182746"/>
    <w:rsid w:val="04446191"/>
    <w:rsid w:val="044C50BA"/>
    <w:rsid w:val="065E4A58"/>
    <w:rsid w:val="06A2550B"/>
    <w:rsid w:val="06F80EE2"/>
    <w:rsid w:val="07001CCA"/>
    <w:rsid w:val="075678DB"/>
    <w:rsid w:val="08051BCA"/>
    <w:rsid w:val="08887FC5"/>
    <w:rsid w:val="08B84F60"/>
    <w:rsid w:val="08BA052C"/>
    <w:rsid w:val="08DB07BA"/>
    <w:rsid w:val="098305D0"/>
    <w:rsid w:val="09B72B6E"/>
    <w:rsid w:val="0A3851D8"/>
    <w:rsid w:val="0A5C4B69"/>
    <w:rsid w:val="0AEC3BC7"/>
    <w:rsid w:val="0B752658"/>
    <w:rsid w:val="0B9335CE"/>
    <w:rsid w:val="0C7927C4"/>
    <w:rsid w:val="0C9B098C"/>
    <w:rsid w:val="0D11728C"/>
    <w:rsid w:val="0D673E11"/>
    <w:rsid w:val="0DB50EFE"/>
    <w:rsid w:val="0DDA54E4"/>
    <w:rsid w:val="0E3A5F83"/>
    <w:rsid w:val="0F836721"/>
    <w:rsid w:val="103645A3"/>
    <w:rsid w:val="107B59E5"/>
    <w:rsid w:val="11003CB0"/>
    <w:rsid w:val="111445C7"/>
    <w:rsid w:val="1158083A"/>
    <w:rsid w:val="11CB0A95"/>
    <w:rsid w:val="11F03528"/>
    <w:rsid w:val="12C921C4"/>
    <w:rsid w:val="13191A65"/>
    <w:rsid w:val="13850DCB"/>
    <w:rsid w:val="13871C70"/>
    <w:rsid w:val="13A71CB4"/>
    <w:rsid w:val="13AF1D43"/>
    <w:rsid w:val="13C643C6"/>
    <w:rsid w:val="13CE1647"/>
    <w:rsid w:val="141A11EA"/>
    <w:rsid w:val="14200702"/>
    <w:rsid w:val="148E377E"/>
    <w:rsid w:val="15491CF9"/>
    <w:rsid w:val="1580711B"/>
    <w:rsid w:val="17313342"/>
    <w:rsid w:val="17CF079E"/>
    <w:rsid w:val="189B0D0B"/>
    <w:rsid w:val="194A1770"/>
    <w:rsid w:val="19917D9C"/>
    <w:rsid w:val="19B906A4"/>
    <w:rsid w:val="1A1F744B"/>
    <w:rsid w:val="1A4854EC"/>
    <w:rsid w:val="1B6F15B6"/>
    <w:rsid w:val="1BAA2EDC"/>
    <w:rsid w:val="1C101718"/>
    <w:rsid w:val="1CE157EE"/>
    <w:rsid w:val="1D014A01"/>
    <w:rsid w:val="1D022362"/>
    <w:rsid w:val="1DD26311"/>
    <w:rsid w:val="1EA64BD4"/>
    <w:rsid w:val="1EF67CA4"/>
    <w:rsid w:val="1FCD26AF"/>
    <w:rsid w:val="20642787"/>
    <w:rsid w:val="21556F04"/>
    <w:rsid w:val="22403BD3"/>
    <w:rsid w:val="23F070D7"/>
    <w:rsid w:val="24932670"/>
    <w:rsid w:val="24B92327"/>
    <w:rsid w:val="2533755C"/>
    <w:rsid w:val="26396DF4"/>
    <w:rsid w:val="270642A6"/>
    <w:rsid w:val="27167136"/>
    <w:rsid w:val="27B23302"/>
    <w:rsid w:val="28FD484F"/>
    <w:rsid w:val="29310A5F"/>
    <w:rsid w:val="29C37A35"/>
    <w:rsid w:val="29C95E09"/>
    <w:rsid w:val="29F36810"/>
    <w:rsid w:val="2A076083"/>
    <w:rsid w:val="2A73162E"/>
    <w:rsid w:val="2B167953"/>
    <w:rsid w:val="2B200583"/>
    <w:rsid w:val="2B8209DE"/>
    <w:rsid w:val="2BA04E22"/>
    <w:rsid w:val="2C161D32"/>
    <w:rsid w:val="2C2D3EC7"/>
    <w:rsid w:val="2C6762A3"/>
    <w:rsid w:val="2D8D2A49"/>
    <w:rsid w:val="2FE029D7"/>
    <w:rsid w:val="2FF06E00"/>
    <w:rsid w:val="2FFE314D"/>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0DB7"/>
    <w:rsid w:val="39166507"/>
    <w:rsid w:val="39A1679C"/>
    <w:rsid w:val="39B82A39"/>
    <w:rsid w:val="39F33306"/>
    <w:rsid w:val="3B1705E5"/>
    <w:rsid w:val="3B18334B"/>
    <w:rsid w:val="3B36794F"/>
    <w:rsid w:val="3B544954"/>
    <w:rsid w:val="3BBF6D9E"/>
    <w:rsid w:val="3BF014AD"/>
    <w:rsid w:val="3C6A5B02"/>
    <w:rsid w:val="3D2757A1"/>
    <w:rsid w:val="3D390582"/>
    <w:rsid w:val="3D3D4FC4"/>
    <w:rsid w:val="3DDF3AB1"/>
    <w:rsid w:val="3DE60B7E"/>
    <w:rsid w:val="3E1D0952"/>
    <w:rsid w:val="3E247234"/>
    <w:rsid w:val="3E42660A"/>
    <w:rsid w:val="3E7555B1"/>
    <w:rsid w:val="3F0527E5"/>
    <w:rsid w:val="3F16459E"/>
    <w:rsid w:val="3F3617F2"/>
    <w:rsid w:val="3F4263D8"/>
    <w:rsid w:val="3FDE15A7"/>
    <w:rsid w:val="4004000C"/>
    <w:rsid w:val="40FD5440"/>
    <w:rsid w:val="411B6CE5"/>
    <w:rsid w:val="412070D7"/>
    <w:rsid w:val="41314E40"/>
    <w:rsid w:val="4142353C"/>
    <w:rsid w:val="415C674B"/>
    <w:rsid w:val="426C1EA8"/>
    <w:rsid w:val="42E86A87"/>
    <w:rsid w:val="43136432"/>
    <w:rsid w:val="43770A38"/>
    <w:rsid w:val="443A3B12"/>
    <w:rsid w:val="447211D8"/>
    <w:rsid w:val="44A854C2"/>
    <w:rsid w:val="44DD597D"/>
    <w:rsid w:val="465B470D"/>
    <w:rsid w:val="469D6AD4"/>
    <w:rsid w:val="46FC41C7"/>
    <w:rsid w:val="47674801"/>
    <w:rsid w:val="48225EF7"/>
    <w:rsid w:val="495C4A24"/>
    <w:rsid w:val="4AD70EE7"/>
    <w:rsid w:val="4B7951CB"/>
    <w:rsid w:val="4B7C315C"/>
    <w:rsid w:val="4BAB7F90"/>
    <w:rsid w:val="4D5E7B03"/>
    <w:rsid w:val="4DAC4ACA"/>
    <w:rsid w:val="4F186D58"/>
    <w:rsid w:val="500B7261"/>
    <w:rsid w:val="50EC262C"/>
    <w:rsid w:val="522F6E0C"/>
    <w:rsid w:val="52463BA1"/>
    <w:rsid w:val="53C0244D"/>
    <w:rsid w:val="53DD4D4E"/>
    <w:rsid w:val="53E578CE"/>
    <w:rsid w:val="543B029D"/>
    <w:rsid w:val="545D0246"/>
    <w:rsid w:val="554E5773"/>
    <w:rsid w:val="555A3CBC"/>
    <w:rsid w:val="56530F5D"/>
    <w:rsid w:val="56AB2D7B"/>
    <w:rsid w:val="5842572D"/>
    <w:rsid w:val="58840844"/>
    <w:rsid w:val="5AE445F7"/>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1A66E25"/>
    <w:rsid w:val="628230A6"/>
    <w:rsid w:val="62944DD7"/>
    <w:rsid w:val="62AB52B7"/>
    <w:rsid w:val="634D1435"/>
    <w:rsid w:val="63C25DC5"/>
    <w:rsid w:val="63C62057"/>
    <w:rsid w:val="63C73832"/>
    <w:rsid w:val="64FB113D"/>
    <w:rsid w:val="654E4D38"/>
    <w:rsid w:val="656152C6"/>
    <w:rsid w:val="6587477F"/>
    <w:rsid w:val="658C3A08"/>
    <w:rsid w:val="65C031CA"/>
    <w:rsid w:val="65CE6852"/>
    <w:rsid w:val="65FD6DE2"/>
    <w:rsid w:val="66267C04"/>
    <w:rsid w:val="663F505A"/>
    <w:rsid w:val="665C1999"/>
    <w:rsid w:val="667F2393"/>
    <w:rsid w:val="66EE5541"/>
    <w:rsid w:val="67413BF6"/>
    <w:rsid w:val="692172FD"/>
    <w:rsid w:val="6A3829EE"/>
    <w:rsid w:val="6B474EF5"/>
    <w:rsid w:val="6C444C2E"/>
    <w:rsid w:val="6C560CAE"/>
    <w:rsid w:val="6D0615E4"/>
    <w:rsid w:val="6D903FF5"/>
    <w:rsid w:val="6DA955B8"/>
    <w:rsid w:val="6DE346AB"/>
    <w:rsid w:val="6EF51F98"/>
    <w:rsid w:val="6F7F6A2D"/>
    <w:rsid w:val="6FB442D1"/>
    <w:rsid w:val="6FFB2E76"/>
    <w:rsid w:val="71C34D91"/>
    <w:rsid w:val="71ED38AA"/>
    <w:rsid w:val="720229AA"/>
    <w:rsid w:val="72DB435C"/>
    <w:rsid w:val="737F240C"/>
    <w:rsid w:val="750837F0"/>
    <w:rsid w:val="764F62AB"/>
    <w:rsid w:val="765C45EC"/>
    <w:rsid w:val="768A7619"/>
    <w:rsid w:val="76E14979"/>
    <w:rsid w:val="776B3C7C"/>
    <w:rsid w:val="777E1FB8"/>
    <w:rsid w:val="77EA362A"/>
    <w:rsid w:val="7875383E"/>
    <w:rsid w:val="796D60A4"/>
    <w:rsid w:val="79A031D5"/>
    <w:rsid w:val="7A1525F7"/>
    <w:rsid w:val="7A1F5AA9"/>
    <w:rsid w:val="7A3E6CB6"/>
    <w:rsid w:val="7A4A0831"/>
    <w:rsid w:val="7A680D2D"/>
    <w:rsid w:val="7B260559"/>
    <w:rsid w:val="7B420052"/>
    <w:rsid w:val="7BD06A28"/>
    <w:rsid w:val="7C1E4CD7"/>
    <w:rsid w:val="7C3A7C0B"/>
    <w:rsid w:val="7C5248E4"/>
    <w:rsid w:val="7C566698"/>
    <w:rsid w:val="7DB165C4"/>
    <w:rsid w:val="7FA9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4701</Words>
  <Characters>5196</Characters>
  <Lines>161</Lines>
  <Paragraphs>45</Paragraphs>
  <TotalTime>0</TotalTime>
  <ScaleCrop>false</ScaleCrop>
  <LinksUpToDate>false</LinksUpToDate>
  <CharactersWithSpaces>5199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2025-10-17T01:48:36Z</dcterms:modified>
  <dc:title>重庆市铜梁区东城街道产业培育中心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9EDAFD8FD9424A54844071572B3E9A06_13</vt:lpwstr>
  </property>
  <property fmtid="{D5CDD505-2E9C-101B-9397-08002B2CF9AE}" pid="4" name="KSOTemplateDocerSaveRecord">
    <vt:lpwstr>eyJoZGlkIjoiN2VjMTAxYzFlMzI0ODY0OTRlNWExZmY1YWM3N2VhYmIiLCJ1c2VySWQiOiI0MDMyMTQzNjAifQ==</vt:lpwstr>
  </property>
</Properties>
</file>