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重庆市铜梁区东城街道退役军人服务站</w:t>
      </w:r>
    </w:p>
    <w:p>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重庆市铜梁区东城街道退役军人服务站是为退役军人服务提供保障。主要职责任务是做好退役军人关系转接、联络接待、</w:t>
      </w:r>
      <w:r>
        <w:rPr>
          <w:rFonts w:hint="eastAsia" w:ascii="Times New Roman" w:hAnsi="Times New Roman" w:eastAsia="方正仿宋_GBK" w:cs="Times New Roman"/>
          <w:b w:val="0"/>
          <w:bCs w:val="0"/>
          <w:color w:val="auto"/>
          <w:sz w:val="32"/>
          <w:szCs w:val="32"/>
          <w:shd w:val="clear" w:color="auto" w:fill="auto"/>
          <w:lang w:val="en-US" w:eastAsia="zh-CN"/>
        </w:rPr>
        <w:t>困难</w:t>
      </w:r>
      <w:bookmarkStart w:id="0" w:name="_GoBack"/>
      <w:bookmarkEnd w:id="0"/>
      <w:r>
        <w:rPr>
          <w:rFonts w:hint="default" w:ascii="Times New Roman" w:hAnsi="Times New Roman" w:eastAsia="方正仿宋_GBK" w:cs="Times New Roman"/>
          <w:b w:val="0"/>
          <w:bCs w:val="0"/>
          <w:color w:val="auto"/>
          <w:sz w:val="32"/>
          <w:szCs w:val="32"/>
          <w:shd w:val="clear" w:color="auto" w:fill="auto"/>
        </w:rPr>
        <w:t>帮扶、信息采集、情况反映、立功喜报、悬挂光荣牌和“八一”、春节等节日以及重大变故走访慰问等具体事务，搭建政策咨询、帮扶援助、沟通联系、学习交流等活动场所，完成主管部门交办的其他任务。</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重庆市铜梁区东城街道退役军人服务站无内设机构</w:t>
      </w:r>
      <w:r>
        <w:rPr>
          <w:rFonts w:hint="default" w:ascii="Times New Roman" w:hAnsi="Times New Roman" w:eastAsia="方正仿宋_GBK" w:cs="Times New Roman"/>
          <w:b w:val="0"/>
          <w:bCs w:val="0"/>
          <w:color w:val="auto"/>
          <w:sz w:val="32"/>
          <w:szCs w:val="32"/>
          <w:shd w:val="clear" w:color="auto" w:fill="auto"/>
          <w:lang w:eastAsia="zh-CN"/>
        </w:rPr>
        <w:t>及下级预算单位</w:t>
      </w:r>
      <w:r>
        <w:rPr>
          <w:rFonts w:hint="default" w:ascii="Times New Roman" w:hAnsi="Times New Roman" w:eastAsia="方正仿宋_GBK" w:cs="Times New Roman"/>
          <w:b w:val="0"/>
          <w:bCs w:val="0"/>
          <w:color w:val="auto"/>
          <w:sz w:val="32"/>
          <w:szCs w:val="32"/>
          <w:shd w:val="clear" w:color="auto" w:fill="auto"/>
        </w:rPr>
        <w:t>。</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76.06万元，支出总计76.06万元。收、支与2023年度相比，增加76.06万元，增长100.0%，主要原因是根据财政局关于财政精细化管理相关要求，将原统计在机关本级的事业单位划分为7个账套单独核算，本单位上年度未单独核算，故较上一年度增长100%。</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76.06万元，与2023年度相比，增加76.06万元，增长100.0%，主要原因是根据财政局关于财政精细化管理相关要求，将原统计在机关本级的事业单位划分为7个账套单独核算，本单位上年度未单独核算，故较上一年度增长100%。其中：财政拨款收入76.06万元，占100.00%；事业收入0.00万元，占0.00%；经营收入0.00万元，占0.00%；其他收入0.00万元，占0.00%。此外，使用非财政拨款结余和专用结余0.00万元，年初结转和结余0.00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76.06万元，与2023年度相比，增加76.06万元，增长100.0%，主要原因是根据财政局关于财政精细化管理相关要求，将原统计在机关本级的事业单位划分为7个账套单独核算，本单位上年度未单独核算，故较上一年度增长100%。其中：基本支出75.22万元，占98.89%；项目支出0.84万元，占1.11%；经营支出0.00万元，占0.00%。此外，结余分配0.00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度年末结转和结余0.00万元，与2023年度相比，无增减，主要原因是根据财政局关于财政精细化管理相关要求，将原统计在机关本级的事业单位划分为7个账套单独核算，本单位上年度未单独核算，无结转和结余。</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度财政拨款收、支总计76.06万元。与202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增加76.06万元，增长100.0%。主要原因是根据财政局关于财政精细化管理相关要求，将原统计在机关本级的事业单位划分为7个账套单独核算，本单位上年度未单独核算，故较上一年度增长100%。</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76.06万元，与2023年度相比，增加76.06万元，增长100.0%。主要原因是根据财政局关于财政精细化管理相关要求，将原统计在机关本级的事业单位划分为7个账套单独核算，本单位上年度未单独核算，故较上一年度增长100%。较年初预算数减少25.10万元，下降24.8%。主要原因是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20.94</w:t>
      </w:r>
      <w:r>
        <w:rPr>
          <w:rFonts w:hint="default" w:ascii="Times New Roman" w:hAnsi="Times New Roman" w:eastAsia="方正仿宋_GBK" w:cs="Times New Roman"/>
          <w:b w:val="0"/>
          <w:bCs w:val="0"/>
          <w:color w:val="auto"/>
          <w:sz w:val="32"/>
          <w:szCs w:val="32"/>
          <w:shd w:val="clear" w:color="auto" w:fill="auto"/>
        </w:rPr>
        <w:t>万元，项目支出减少</w:t>
      </w:r>
      <w:r>
        <w:rPr>
          <w:rFonts w:hint="default" w:ascii="Times New Roman" w:hAnsi="Times New Roman" w:eastAsia="方正仿宋_GBK" w:cs="Times New Roman"/>
          <w:b w:val="0"/>
          <w:bCs w:val="0"/>
          <w:color w:val="auto"/>
          <w:sz w:val="32"/>
          <w:szCs w:val="32"/>
          <w:shd w:val="clear" w:color="auto" w:fill="auto"/>
          <w:lang w:val="en-US" w:eastAsia="zh-CN"/>
        </w:rPr>
        <w:t>4.16</w:t>
      </w:r>
      <w:r>
        <w:rPr>
          <w:rFonts w:hint="default" w:ascii="Times New Roman" w:hAnsi="Times New Roman" w:eastAsia="方正仿宋_GBK" w:cs="Times New Roman"/>
          <w:b w:val="0"/>
          <w:bCs w:val="0"/>
          <w:color w:val="auto"/>
          <w:sz w:val="32"/>
          <w:szCs w:val="32"/>
          <w:shd w:val="clear" w:color="auto" w:fill="auto"/>
        </w:rPr>
        <w:t>万元。此外，年初财政拨款结转和结余0.00万元。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76.06万元，与2023年度相比，增加76.06万元，增长100.0%。主要原因是根据财政局关于财政精细化管理相关要求，将原统计在机关本级的事业单位划分为7个账套单独核算，本单位上年度未单独核算，故较上一年度增长100%。较年初预算数减少25.10万元，下降24.8%。主要原因是严控经费、厉行节俭，部分预算资金未能全部支出，基本支出减少20.94万元，项目支出减少4.16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0.00万元，与2023年度相比，无增减，主要原因是根据财政局关于财政精细化管理相关要求，将原统计在机关本级的事业单位划分为7个账套单独核算，本单位上年度未单独核算，无结转和结余。</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1</w:t>
      </w:r>
      <w:r>
        <w:rPr>
          <w:rFonts w:hint="default" w:ascii="Times New Roman" w:hAnsi="Times New Roman" w:eastAsia="方正仿宋_GBK" w:cs="Times New Roman"/>
          <w:b w:val="0"/>
          <w:bCs w:val="0"/>
          <w:color w:val="auto"/>
          <w:sz w:val="32"/>
          <w:szCs w:val="32"/>
          <w:shd w:val="clear" w:color="auto" w:fill="auto"/>
        </w:rPr>
        <w:t>）社会保障与就业支出69.82万元，占91.79%，较年初预算数减少23.49万元，下降25.2%，主要原因是退役军人管理事务</w:t>
      </w:r>
      <w:r>
        <w:rPr>
          <w:rFonts w:hint="eastAsia" w:ascii="Times New Roman" w:hAnsi="Times New Roman" w:eastAsia="方正仿宋_GBK" w:cs="Times New Roman"/>
          <w:b w:val="0"/>
          <w:bCs w:val="0"/>
          <w:color w:val="auto"/>
          <w:sz w:val="32"/>
          <w:szCs w:val="32"/>
          <w:shd w:val="clear" w:color="auto" w:fill="auto"/>
          <w:lang w:eastAsia="zh-CN"/>
        </w:rPr>
        <w:t>项目支出减少</w:t>
      </w:r>
      <w:r>
        <w:rPr>
          <w:rFonts w:hint="eastAsia" w:ascii="Times New Roman" w:hAnsi="Times New Roman" w:eastAsia="方正仿宋_GBK" w:cs="Times New Roman"/>
          <w:b w:val="0"/>
          <w:bCs w:val="0"/>
          <w:color w:val="auto"/>
          <w:sz w:val="32"/>
          <w:szCs w:val="32"/>
          <w:shd w:val="clear" w:color="auto" w:fill="auto"/>
          <w:lang w:val="en-US" w:eastAsia="zh-CN"/>
        </w:rPr>
        <w:t>22.75万元，支出总额</w:t>
      </w:r>
      <w:r>
        <w:rPr>
          <w:rFonts w:hint="default" w:ascii="Times New Roman" w:hAnsi="Times New Roman" w:eastAsia="方正仿宋_GBK" w:cs="Times New Roman"/>
          <w:b w:val="0"/>
          <w:bCs w:val="0"/>
          <w:color w:val="auto"/>
          <w:sz w:val="32"/>
          <w:szCs w:val="32"/>
          <w:shd w:val="clear" w:color="auto" w:fill="auto"/>
        </w:rPr>
        <w:t>减少。</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）卫生健康支出2.83万元，占3.72%，较年初预算数减少1.25万元，下降30.6%，主要原因是人员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变动导致实际发生的卫生健康支出减少。</w:t>
      </w:r>
    </w:p>
    <w:p>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）住房保障支出3.41万元，占4.49%，较年初预算数减少0.35万元，下降9.3%，主要原因是人员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变动导致实际发生的住房保障支出减少。</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75.22万元。其中：人员经费64.13万元，与2023年度相比，增加64.13万元，增长100.0%，主要原因是根据财政局关于财政精细化管理相关要求，将原统计在机关本级的事业单位划分为7个账套单独核算，本单位上年度未单独核算，故较上一年度增长100%。人员经费用途主要包括基本工资、津贴补贴、奖金、社会保障缴费、住房公积金、应休未休假报酬等。公用经费11.09万元，与2023年度相比，增加11.09万元，增长100.0%，主要原因是根据财政局关于财政精细化管理相关要求，将原统计在机关本级的事业单位划分为7个账套单独核算，本单位上年度未单独核算，故较上一年度增长100%。公用经费用途主要包括办公费、印刷费、咨询费、手续费、水费、电费、邮电费、差旅费、维修（护）费、公务接待费、劳务费、工会经费、其他交通费等。</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2024年度“三公”经费支出共计0.00万元，费用支出较年初预算数无增减，较上年支出数无增减。</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2024年度本单位因公出国（境）费用0.00万元，费用支出较年初预算数无增减，较上年支出数无增减。</w:t>
      </w:r>
    </w:p>
    <w:p>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公务车购置费0.00万元，费用支出较年初预算数无增减，较上年支出数无增减。</w:t>
      </w:r>
    </w:p>
    <w:p>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公务车运行维护费0.00万元，费费用支出较年初预算数无增减，较上年支出数无增减。</w:t>
      </w:r>
    </w:p>
    <w:p>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公务接待费0.00万元，费用支出较年初预算数无增减，较上年支出数无增减。</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本单位人均接待费0元，车均购置费0万元，车均维护费0万元。</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（一）财政拨款会议费和培训费情况说明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0.00万元，与2023年度相比，无增减，主要原因是严控经费，厉行节约，未发生会议费支出。本年度培训费支出0.10万元，与2023年度相比，增加0.10万元，增长100.0%，主要原因是根据财政局关于财政精细化管理相关要求，将原统计在机关本级的事业单位划分为7个账套单独核算，本单位上年度未单独核算，故较上一年度增长100%。</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按照部门决算列报口径，我单位不在机关运行经费统计范围之内。</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度我单位未发生政府采购事项，无相关经费支出。</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项，涉及资金</w:t>
      </w:r>
      <w:r>
        <w:rPr>
          <w:rFonts w:hint="default" w:ascii="Times New Roman" w:hAnsi="Times New Roman" w:eastAsia="方正仿宋_GBK" w:cs="Times New Roman"/>
          <w:b w:val="0"/>
          <w:bCs w:val="0"/>
          <w:color w:val="auto"/>
          <w:kern w:val="0"/>
          <w:sz w:val="32"/>
          <w:szCs w:val="32"/>
          <w:shd w:val="clear" w:color="auto" w:fill="auto"/>
          <w:lang w:val="en-US" w:eastAsia="zh-CN"/>
        </w:rPr>
        <w:t>0.84</w:t>
      </w:r>
      <w:r>
        <w:rPr>
          <w:rFonts w:hint="default" w:ascii="Times New Roman" w:hAnsi="Times New Roman" w:eastAsia="方正仿宋_GBK" w:cs="Times New Roman"/>
          <w:b w:val="0"/>
          <w:bCs w:val="0"/>
          <w:color w:val="auto"/>
          <w:kern w:val="0"/>
          <w:sz w:val="32"/>
          <w:szCs w:val="32"/>
          <w:shd w:val="clear" w:color="auto" w:fill="auto"/>
        </w:rPr>
        <w:t>万元。</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eastAsia" w:ascii="宋体" w:hAnsi="宋体" w:eastAsia="宋体" w:cs="Times New Roman"/>
        <w:sz w:val="18"/>
        <w:szCs w:val="18"/>
        <w:lang w:val="en-US" w:eastAsia="zh-CN" w:bidi="ar-SA"/>
      </w:rPr>
      <w:pict>
        <v:rect id="文本框 127" o:spid="_x0000_s4097"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sz w:val="28"/>
                    <w:szCs w:val="28"/>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4098"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B67B8"/>
    <w:rsid w:val="00B03CCD"/>
    <w:rsid w:val="00FE7556"/>
    <w:rsid w:val="01474EBF"/>
    <w:rsid w:val="01F3521E"/>
    <w:rsid w:val="03E3214F"/>
    <w:rsid w:val="04446191"/>
    <w:rsid w:val="044C50BA"/>
    <w:rsid w:val="04F546B3"/>
    <w:rsid w:val="05E50738"/>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25009"/>
    <w:rsid w:val="107B59E5"/>
    <w:rsid w:val="11003CB0"/>
    <w:rsid w:val="111445C7"/>
    <w:rsid w:val="1158083A"/>
    <w:rsid w:val="11F03528"/>
    <w:rsid w:val="12C921C4"/>
    <w:rsid w:val="12E00606"/>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9B3980"/>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526E44"/>
    <w:rsid w:val="2C6762A3"/>
    <w:rsid w:val="2D8D2A49"/>
    <w:rsid w:val="2FE029D7"/>
    <w:rsid w:val="2FF06E00"/>
    <w:rsid w:val="315D199F"/>
    <w:rsid w:val="315F0B22"/>
    <w:rsid w:val="31D84415"/>
    <w:rsid w:val="32285F6F"/>
    <w:rsid w:val="32770556"/>
    <w:rsid w:val="329C0913"/>
    <w:rsid w:val="3337290D"/>
    <w:rsid w:val="34DA52F0"/>
    <w:rsid w:val="352930DB"/>
    <w:rsid w:val="35573069"/>
    <w:rsid w:val="35635123"/>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9B6B1A"/>
    <w:rsid w:val="44A854C2"/>
    <w:rsid w:val="44DD597D"/>
    <w:rsid w:val="45E87E40"/>
    <w:rsid w:val="465B470D"/>
    <w:rsid w:val="469D6AD4"/>
    <w:rsid w:val="46FC41C7"/>
    <w:rsid w:val="47674801"/>
    <w:rsid w:val="48225EF7"/>
    <w:rsid w:val="495C4A24"/>
    <w:rsid w:val="4AD70EE7"/>
    <w:rsid w:val="4B7951CB"/>
    <w:rsid w:val="4B7C315C"/>
    <w:rsid w:val="4BAB7F90"/>
    <w:rsid w:val="4DAC4ACA"/>
    <w:rsid w:val="4F186D58"/>
    <w:rsid w:val="50AB3567"/>
    <w:rsid w:val="50EC262C"/>
    <w:rsid w:val="522F6E0C"/>
    <w:rsid w:val="52463BA1"/>
    <w:rsid w:val="53A000C2"/>
    <w:rsid w:val="53C0244D"/>
    <w:rsid w:val="53DD4D4E"/>
    <w:rsid w:val="53E578CE"/>
    <w:rsid w:val="543B029D"/>
    <w:rsid w:val="545D0246"/>
    <w:rsid w:val="554E5773"/>
    <w:rsid w:val="555A3CBC"/>
    <w:rsid w:val="56530F5D"/>
    <w:rsid w:val="571F1E22"/>
    <w:rsid w:val="5842572D"/>
    <w:rsid w:val="5AE75037"/>
    <w:rsid w:val="5AFE5DE4"/>
    <w:rsid w:val="5B58571C"/>
    <w:rsid w:val="5B8376C2"/>
    <w:rsid w:val="5B96133A"/>
    <w:rsid w:val="5C1336B7"/>
    <w:rsid w:val="5C263CE4"/>
    <w:rsid w:val="5C5D2777"/>
    <w:rsid w:val="5D290C69"/>
    <w:rsid w:val="5D537F41"/>
    <w:rsid w:val="5D80134F"/>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697041"/>
    <w:rsid w:val="72DB435C"/>
    <w:rsid w:val="750837F0"/>
    <w:rsid w:val="752062B5"/>
    <w:rsid w:val="75A80163"/>
    <w:rsid w:val="764F62AB"/>
    <w:rsid w:val="765C45EC"/>
    <w:rsid w:val="768A7619"/>
    <w:rsid w:val="76E14979"/>
    <w:rsid w:val="77EA362A"/>
    <w:rsid w:val="7875383E"/>
    <w:rsid w:val="79020CC0"/>
    <w:rsid w:val="79630533"/>
    <w:rsid w:val="796D60A4"/>
    <w:rsid w:val="79A031D5"/>
    <w:rsid w:val="7A1525F7"/>
    <w:rsid w:val="7A3E6CB6"/>
    <w:rsid w:val="7A680D2D"/>
    <w:rsid w:val="7AF6674C"/>
    <w:rsid w:val="7B260559"/>
    <w:rsid w:val="7B420052"/>
    <w:rsid w:val="7B9C495B"/>
    <w:rsid w:val="7BD06A28"/>
    <w:rsid w:val="7C1E4CD7"/>
    <w:rsid w:val="7C3A7C0B"/>
    <w:rsid w:val="7C5248E4"/>
    <w:rsid w:val="7C566698"/>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4565</Words>
  <Characters>5008</Characters>
  <Lines>161</Lines>
  <Paragraphs>45</Paragraphs>
  <TotalTime>0</TotalTime>
  <ScaleCrop>false</ScaleCrop>
  <LinksUpToDate>false</LinksUpToDate>
  <CharactersWithSpaces>5011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2025-11-07T03:13:20Z</dcterms:modified>
  <dc:title>重庆市铜梁区东城街道退役军人服务站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