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42015">
      <w:pPr>
        <w:widowControl w:val="0"/>
        <w:adjustRightInd/>
        <w:snapToGrid/>
        <w:spacing w:after="0" w:line="574" w:lineRule="exact"/>
        <w:ind w:left="0" w:leftChars="0" w:firstLine="0" w:firstLineChars="0"/>
        <w:jc w:val="both"/>
        <w:rPr>
          <w:rFonts w:hint="default" w:ascii="Times New Roman" w:hAnsi="Times New Roman" w:eastAsia="宋体" w:cs="Times New Roman"/>
          <w:b w:val="0"/>
          <w:bCs w:val="0"/>
          <w:color w:val="000000"/>
          <w:kern w:val="2"/>
          <w:sz w:val="32"/>
          <w:szCs w:val="32"/>
        </w:rPr>
      </w:pPr>
      <w:bookmarkStart w:id="0" w:name="_Hlk37239649"/>
      <w:bookmarkEnd w:id="0"/>
      <w:bookmarkStart w:id="1" w:name="strgwbt"/>
      <w:bookmarkEnd w:id="1"/>
    </w:p>
    <w:p w14:paraId="01999114">
      <w:pPr>
        <w:widowControl w:val="0"/>
        <w:adjustRightInd/>
        <w:snapToGrid/>
        <w:spacing w:after="0" w:line="574" w:lineRule="exact"/>
        <w:ind w:left="0" w:leftChars="0" w:firstLine="0" w:firstLineChars="0"/>
        <w:jc w:val="both"/>
        <w:rPr>
          <w:rFonts w:hint="default" w:ascii="Times New Roman" w:hAnsi="Times New Roman" w:eastAsia="宋体" w:cs="Times New Roman"/>
          <w:b w:val="0"/>
          <w:bCs w:val="0"/>
          <w:color w:val="000000"/>
          <w:kern w:val="2"/>
          <w:sz w:val="32"/>
          <w:szCs w:val="32"/>
        </w:rPr>
      </w:pPr>
    </w:p>
    <w:p w14:paraId="15F962BD">
      <w:pPr>
        <w:widowControl w:val="0"/>
        <w:adjustRightInd/>
        <w:snapToGrid/>
        <w:spacing w:after="0" w:line="574" w:lineRule="exact"/>
        <w:ind w:left="0" w:leftChars="0" w:firstLine="0" w:firstLineChars="0"/>
        <w:jc w:val="both"/>
        <w:rPr>
          <w:rFonts w:hint="default" w:ascii="Times New Roman" w:hAnsi="Times New Roman" w:eastAsia="宋体" w:cs="Times New Roman"/>
          <w:b w:val="0"/>
          <w:bCs w:val="0"/>
          <w:color w:val="000000"/>
          <w:kern w:val="2"/>
          <w:sz w:val="32"/>
          <w:szCs w:val="32"/>
        </w:rPr>
      </w:pPr>
    </w:p>
    <w:p w14:paraId="1B389A89">
      <w:pPr>
        <w:widowControl w:val="0"/>
        <w:adjustRightInd/>
        <w:snapToGrid/>
        <w:spacing w:after="0" w:line="574" w:lineRule="exact"/>
        <w:ind w:left="0" w:leftChars="0" w:firstLine="0" w:firstLineChars="0"/>
        <w:jc w:val="both"/>
        <w:rPr>
          <w:rFonts w:hint="default" w:ascii="Times New Roman" w:hAnsi="Times New Roman" w:eastAsia="宋体" w:cs="Times New Roman"/>
          <w:b w:val="0"/>
          <w:bCs w:val="0"/>
          <w:color w:val="000000"/>
          <w:kern w:val="2"/>
          <w:sz w:val="32"/>
          <w:szCs w:val="32"/>
        </w:rPr>
      </w:pPr>
    </w:p>
    <w:p w14:paraId="4AD74FB5">
      <w:pPr>
        <w:widowControl w:val="0"/>
        <w:adjustRightInd/>
        <w:snapToGrid/>
        <w:spacing w:after="0" w:line="374" w:lineRule="exact"/>
        <w:ind w:left="0" w:leftChars="0" w:firstLine="0" w:firstLineChars="0"/>
        <w:jc w:val="both"/>
        <w:rPr>
          <w:rFonts w:hint="default" w:ascii="Times New Roman" w:hAnsi="Times New Roman" w:eastAsia="宋体" w:cs="Times New Roman"/>
          <w:b w:val="0"/>
          <w:bCs w:val="0"/>
          <w:color w:val="000000"/>
          <w:kern w:val="2"/>
          <w:sz w:val="32"/>
          <w:szCs w:val="32"/>
        </w:rPr>
      </w:pPr>
    </w:p>
    <w:p w14:paraId="63FE86BD">
      <w:pPr>
        <w:widowControl w:val="0"/>
        <w:adjustRightInd/>
        <w:snapToGrid/>
        <w:spacing w:after="0" w:line="574" w:lineRule="exact"/>
        <w:ind w:left="0" w:leftChars="0" w:firstLine="0" w:firstLineChars="0"/>
        <w:jc w:val="both"/>
        <w:rPr>
          <w:rFonts w:hint="default" w:ascii="Times New Roman" w:hAnsi="Times New Roman" w:eastAsia="宋体" w:cs="Times New Roman"/>
          <w:b w:val="0"/>
          <w:bCs w:val="0"/>
          <w:color w:val="000000"/>
          <w:kern w:val="2"/>
          <w:sz w:val="32"/>
          <w:szCs w:val="32"/>
        </w:rPr>
      </w:pPr>
    </w:p>
    <w:p w14:paraId="53845E9B">
      <w:pPr>
        <w:widowControl w:val="0"/>
        <w:adjustRightInd/>
        <w:snapToGrid/>
        <w:spacing w:after="0" w:line="574" w:lineRule="exact"/>
        <w:ind w:left="0" w:leftChars="0" w:firstLine="0" w:firstLineChars="0"/>
        <w:jc w:val="both"/>
        <w:rPr>
          <w:rFonts w:hint="default" w:ascii="Times New Roman" w:hAnsi="Times New Roman" w:eastAsia="宋体" w:cs="Times New Roman"/>
          <w:b w:val="0"/>
          <w:bCs w:val="0"/>
          <w:color w:val="000000"/>
          <w:kern w:val="2"/>
          <w:sz w:val="32"/>
          <w:szCs w:val="32"/>
        </w:rPr>
      </w:pPr>
    </w:p>
    <w:p w14:paraId="3F1C8CCD">
      <w:pPr>
        <w:widowControl w:val="0"/>
        <w:adjustRightInd/>
        <w:snapToGrid/>
        <w:spacing w:after="0" w:line="574" w:lineRule="exact"/>
        <w:jc w:val="center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</w:rPr>
        <w:t>东城办〔202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</w:rPr>
        <w:t>〕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</w:rPr>
        <w:t>号</w:t>
      </w:r>
    </w:p>
    <w:p w14:paraId="3F65CCB8">
      <w:pPr>
        <w:widowControl w:val="0"/>
        <w:adjustRightInd/>
        <w:snapToGrid/>
        <w:spacing w:after="0" w:line="574" w:lineRule="exact"/>
        <w:jc w:val="center"/>
        <w:rPr>
          <w:rFonts w:hint="default" w:ascii="Times New Roman" w:hAnsi="Times New Roman" w:eastAsia="宋体" w:cs="Times New Roman"/>
          <w:b w:val="0"/>
          <w:bCs w:val="0"/>
          <w:color w:val="000000"/>
          <w:kern w:val="2"/>
          <w:sz w:val="32"/>
          <w:szCs w:val="32"/>
        </w:rPr>
      </w:pPr>
    </w:p>
    <w:p w14:paraId="1737BA6C">
      <w:pPr>
        <w:widowControl w:val="0"/>
        <w:adjustRightInd/>
        <w:snapToGrid/>
        <w:spacing w:after="0" w:line="594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2"/>
          <w:sz w:val="44"/>
          <w:szCs w:val="44"/>
        </w:rPr>
      </w:pPr>
    </w:p>
    <w:p w14:paraId="49D25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2"/>
          <w:sz w:val="44"/>
          <w:szCs w:val="44"/>
        </w:rPr>
        <w:t>重庆市铜梁区人民政府东城街道办事处</w:t>
      </w:r>
    </w:p>
    <w:p w14:paraId="6C8650DA">
      <w:pPr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ind w:left="0" w:leftChars="0" w:right="0"/>
        <w:jc w:val="center"/>
        <w:rPr>
          <w:rFonts w:hint="default" w:ascii="Times New Roman" w:hAnsi="Times New Roman" w:eastAsia="方正小标宋_GBK" w:cs="Times New Roman"/>
          <w:b w:val="0"/>
          <w:bCs w:val="0"/>
          <w:snapToGrid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napToGrid/>
          <w:spacing w:val="0"/>
          <w:sz w:val="44"/>
          <w:szCs w:val="44"/>
        </w:rPr>
        <w:t>关于加强2024年高温期间</w:t>
      </w:r>
      <w:r>
        <w:rPr>
          <w:rFonts w:hint="default" w:ascii="Times New Roman" w:hAnsi="Times New Roman" w:eastAsia="方正小标宋_GBK" w:cs="Times New Roman"/>
          <w:b w:val="0"/>
          <w:bCs w:val="0"/>
          <w:snapToGrid/>
          <w:spacing w:val="0"/>
          <w:sz w:val="44"/>
          <w:szCs w:val="44"/>
          <w:lang w:eastAsia="zh-CN"/>
        </w:rPr>
        <w:t>等化粪池</w:t>
      </w:r>
      <w:r>
        <w:rPr>
          <w:rFonts w:hint="default" w:ascii="Times New Roman" w:hAnsi="Times New Roman" w:eastAsia="方正小标宋_GBK" w:cs="Times New Roman"/>
          <w:b w:val="0"/>
          <w:bCs w:val="0"/>
          <w:snapToGrid/>
          <w:spacing w:val="0"/>
          <w:sz w:val="44"/>
          <w:szCs w:val="44"/>
        </w:rPr>
        <w:t>安全</w:t>
      </w:r>
      <w:r>
        <w:rPr>
          <w:rFonts w:hint="default" w:ascii="Times New Roman" w:hAnsi="Times New Roman" w:eastAsia="方正小标宋_GBK" w:cs="Times New Roman"/>
          <w:b w:val="0"/>
          <w:bCs w:val="0"/>
          <w:snapToGrid/>
          <w:spacing w:val="0"/>
          <w:sz w:val="44"/>
          <w:szCs w:val="44"/>
          <w:lang w:eastAsia="zh-CN"/>
        </w:rPr>
        <w:t>管理</w:t>
      </w:r>
      <w:r>
        <w:rPr>
          <w:rFonts w:hint="default" w:ascii="Times New Roman" w:hAnsi="Times New Roman" w:eastAsia="方正小标宋_GBK" w:cs="Times New Roman"/>
          <w:b w:val="0"/>
          <w:bCs w:val="0"/>
          <w:snapToGrid/>
          <w:spacing w:val="0"/>
          <w:sz w:val="44"/>
          <w:szCs w:val="44"/>
        </w:rPr>
        <w:t>的通</w:t>
      </w:r>
      <w:r>
        <w:rPr>
          <w:rFonts w:hint="eastAsia" w:ascii="Times New Roman" w:hAnsi="Times New Roman" w:eastAsia="方正小标宋_GBK" w:cs="Times New Roman"/>
          <w:b w:val="0"/>
          <w:bCs w:val="0"/>
          <w:snapToGrid/>
          <w:spacing w:val="0"/>
          <w:sz w:val="44"/>
          <w:szCs w:val="44"/>
          <w:lang w:val="en-US" w:eastAsia="zh-CN"/>
        </w:rPr>
        <w:t xml:space="preserve">    </w:t>
      </w:r>
      <w:r>
        <w:rPr>
          <w:rFonts w:hint="default" w:ascii="Times New Roman" w:hAnsi="Times New Roman" w:eastAsia="方正小标宋_GBK" w:cs="Times New Roman"/>
          <w:b w:val="0"/>
          <w:bCs w:val="0"/>
          <w:snapToGrid/>
          <w:spacing w:val="0"/>
          <w:sz w:val="44"/>
          <w:szCs w:val="44"/>
        </w:rPr>
        <w:t>知</w:t>
      </w:r>
    </w:p>
    <w:p w14:paraId="0BA6F10F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ind w:left="0" w:leftChars="0" w:right="0"/>
        <w:jc w:val="both"/>
        <w:rPr>
          <w:rFonts w:hint="default" w:ascii="Times New Roman" w:hAnsi="Times New Roman" w:cs="Times New Roman"/>
          <w:b w:val="0"/>
          <w:bCs w:val="0"/>
          <w:snapToGrid/>
          <w:spacing w:val="0"/>
        </w:rPr>
      </w:pPr>
    </w:p>
    <w:p w14:paraId="67AD50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  <w:lang w:eastAsia="zh-CN"/>
        </w:rPr>
        <w:t>各社区居委会、各村民委员会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  <w:lang w:eastAsia="zh-CN"/>
        </w:rPr>
        <w:t>各板块、各岗位：</w:t>
      </w:r>
    </w:p>
    <w:p w14:paraId="16742F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firstLine="689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  <w:t>当前，已进入夏季高温时段，预计期间将伴有强降雨等极端天气。为有效做好防暑降温工作，预防事故发生，确保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  <w:lang w:eastAsia="zh-CN"/>
        </w:rPr>
        <w:t>化粪池等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  <w:t>环卫设施设备安全，保障环卫作业安全有序开展，现就有关事项通知如下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  <w:lang w:eastAsia="zh-CN"/>
        </w:rPr>
        <w:t>：</w:t>
      </w:r>
    </w:p>
    <w:p w14:paraId="4D8584E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both"/>
        <w:textAlignment w:val="baseline"/>
        <w:outlineLvl w:val="0"/>
        <w:rPr>
          <w:rFonts w:hint="default" w:ascii="Times New Roman" w:hAnsi="Times New Roman" w:eastAsia="方正黑体_GBK" w:cs="Times New Roman"/>
          <w:b w:val="0"/>
          <w:bCs w:val="0"/>
          <w:snapToGrid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napToGrid/>
          <w:color w:val="000000"/>
          <w:spacing w:val="0"/>
          <w:kern w:val="0"/>
          <w:sz w:val="32"/>
          <w:szCs w:val="32"/>
          <w:lang w:val="en-US" w:eastAsia="en-US" w:bidi="ar-SA"/>
        </w:rPr>
        <w:t>一、</w:t>
      </w:r>
      <w:r>
        <w:rPr>
          <w:rFonts w:hint="default" w:ascii="Times New Roman" w:hAnsi="Times New Roman" w:eastAsia="方正黑体_GBK" w:cs="Times New Roman"/>
          <w:b w:val="0"/>
          <w:bCs w:val="0"/>
          <w:snapToGrid/>
          <w:spacing w:val="0"/>
          <w:sz w:val="32"/>
          <w:szCs w:val="32"/>
        </w:rPr>
        <w:t>强化思想认识</w:t>
      </w:r>
    </w:p>
    <w:p w14:paraId="615CB11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w w:val="97"/>
          <w:sz w:val="32"/>
          <w:szCs w:val="32"/>
        </w:rPr>
        <w:t>各单位要坚持人民至上、生命至上，充分认识在极端天气下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w w:val="97"/>
          <w:sz w:val="32"/>
          <w:szCs w:val="32"/>
          <w:lang w:eastAsia="zh-CN"/>
        </w:rPr>
        <w:t>化粪池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  <w:t>安全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  <w:t>的重要性。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000000"/>
          <w:spacing w:val="0"/>
          <w:kern w:val="0"/>
          <w:sz w:val="32"/>
          <w:szCs w:val="32"/>
          <w:lang w:val="en-US" w:eastAsia="zh-CN"/>
        </w:rPr>
        <w:t>化粪池是重要的基础设施，事关人民群众生命财产安全和居住环境改善。各村（社区）及相关单位要进一步提高认识，坚持以人民为中心，按照“安全第一、预防为主、综合治理、属地监管”的总体要求，将化粪池作为安全排查整治的重点对象，落实责任、细化措施、强化投入，确保化粪池排查整治取得突出成效，形成良好长效管理机制。</w:t>
      </w:r>
    </w:p>
    <w:p w14:paraId="63BBDD5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both"/>
        <w:textAlignment w:val="baseline"/>
        <w:outlineLvl w:val="0"/>
        <w:rPr>
          <w:rFonts w:hint="default" w:ascii="Times New Roman" w:hAnsi="Times New Roman" w:eastAsia="方正黑体_GBK" w:cs="Times New Roman"/>
          <w:b w:val="0"/>
          <w:bCs w:val="0"/>
          <w:snapToGrid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snapToGrid/>
          <w:color w:val="000000"/>
          <w:spacing w:val="0"/>
          <w:kern w:val="0"/>
          <w:sz w:val="32"/>
          <w:szCs w:val="32"/>
          <w:lang w:val="en-US" w:eastAsia="zh-CN" w:bidi="ar-SA"/>
        </w:rPr>
        <w:t>二、做好排查整治</w:t>
      </w:r>
    </w:p>
    <w:p w14:paraId="56761B85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ind w:left="0" w:leftChars="0" w:right="0" w:firstLine="64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  <w:lang w:val="en-US" w:eastAsia="zh-CN"/>
        </w:rPr>
        <w:t>各村（社区）及相关单位要不定期对辖区内的化粪池开展安全大检查或“拉网式”排查整治，特别是要以商圈、学校、医院、广场、农贸市场、公园、车站及其他人员密集场所为重点，全面排查化粪池安全隐患，尤其在元旦、春节、国庆等国家法定节假日及高温季节等重要时间段，重点加强排查。对排查出来的问题立即进行整改，并适时回查，确保全面消除化粪池安全隐患、脏乱差现象。同时，按照上级相关文件要求，元旦、春节及高温酷暑期间，各村（社区）要严防因燃放烟花爆竹、使用火种等引发化粪池爆炸事故，落实安全员、网格员等专人值守、专门看护，确保化粪池安全稳定运行。</w:t>
      </w:r>
    </w:p>
    <w:p w14:paraId="3B0AC4C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leftChars="0" w:right="0" w:rightChars="0" w:firstLine="640" w:firstLineChars="200"/>
        <w:jc w:val="both"/>
        <w:textAlignment w:val="baseline"/>
        <w:outlineLvl w:val="0"/>
        <w:rPr>
          <w:rFonts w:hint="default" w:ascii="Times New Roman" w:hAnsi="Times New Roman" w:eastAsia="方正黑体_GBK" w:cs="Times New Roman"/>
          <w:b w:val="0"/>
          <w:bCs w:val="0"/>
          <w:snapToGrid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snapToGrid/>
          <w:color w:val="000000"/>
          <w:spacing w:val="0"/>
          <w:kern w:val="0"/>
          <w:sz w:val="32"/>
          <w:szCs w:val="32"/>
          <w:lang w:val="en-US" w:eastAsia="zh-CN" w:bidi="ar-SA"/>
        </w:rPr>
        <w:t>三、加强长效管理</w:t>
      </w:r>
    </w:p>
    <w:p w14:paraId="34F90311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ind w:left="0" w:leftChars="0" w:right="0" w:firstLine="64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/>
          <w:spacing w:val="0"/>
          <w:sz w:val="32"/>
          <w:szCs w:val="32"/>
          <w:lang w:val="en-US" w:eastAsia="zh-CN"/>
        </w:rPr>
        <w:t>（一）明确责任主体。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  <w:t>按照“属地管理”和“谁所有谁负责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  <w:t>谁使用谁负责、谁作业谁负责”原则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  <w:lang w:val="en-US" w:eastAsia="zh-CN"/>
        </w:rPr>
        <w:t>和“管行业就要管安全”等相关要求，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  <w:t>督促化粪池责任主体单位开展化粪池安全排查整治工作，重点加大对人流密集地区化粪池的清掏频次，定期维护化粪池井盖、导排管、警示标志等相关设施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  <w:t>同时加强日常巡查和安全检查，及时发现、</w:t>
      </w:r>
      <w:r>
        <w:rPr>
          <w:rFonts w:hint="eastAsia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  <w:lang w:eastAsia="zh-CN"/>
        </w:rPr>
        <w:t>及时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  <w:t>消除安全隐患和环境问题，有效降低事故风险，确保城镇化粪池安全稳定运行。</w:t>
      </w:r>
    </w:p>
    <w:p w14:paraId="1EC11B3F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ind w:left="0" w:leftChars="0" w:right="0" w:firstLine="64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/>
          <w:spacing w:val="0"/>
          <w:sz w:val="32"/>
          <w:szCs w:val="32"/>
          <w:lang w:val="en-US" w:eastAsia="zh-CN"/>
        </w:rPr>
        <w:t>（二）完善档案管理。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  <w:lang w:val="en-US" w:eastAsia="zh-CN"/>
        </w:rPr>
        <w:t>各村（社区）对辖区内医院、商场、车站、学校、加油站、老旧居民小区（开放式小区和单体楼）、农贸市场、机关企事业单位、社团组织、新建小区等场所的化粪池进行普查，按“一池一档”原则逐个完善化粪池管理档案，每年将化粪池管理档案更新报至东城街道城市建设服务中心，档案内容应包含化粪池责任主体、运行情况、清掏维护情况等，确保化粪池管理情况详细、清晰。</w:t>
      </w:r>
    </w:p>
    <w:p w14:paraId="08482887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ind w:left="0" w:leftChars="0" w:right="0" w:firstLine="64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/>
          <w:spacing w:val="0"/>
          <w:sz w:val="32"/>
          <w:szCs w:val="32"/>
          <w:lang w:val="en-US" w:eastAsia="zh-CN"/>
        </w:rPr>
        <w:t>（三）强化日常管护。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  <w:lang w:val="en-US" w:eastAsia="zh-CN"/>
        </w:rPr>
        <w:t>一是加强清掏疏浚。每年清掏疏浚化粪池的次数不少于两次，商圈、广场、农贸市场、公园、车站等人员密集场所应根据实际增加清掏频次。二是加强对化粪池设施的管理维护，规范设置化粪池禁燃防爆警示标志，及时整治残缺破损的化粪池井盖、导排管等相关设施，杜绝污水横流、粪便满溢和沼气泄漏现象。三是加强监测，定期开展化粪池排放气体监测，以商圈、学校、医院、广场、农贸市场、公园、车站及其他人员密集场所为重点，协助铜梁区城市管理局安装在线监测预警系统。</w:t>
      </w:r>
    </w:p>
    <w:p w14:paraId="0F777E2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"/>
        </w:rPr>
        <w:t>四、落实专项经费</w:t>
      </w:r>
    </w:p>
    <w:p w14:paraId="569528F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"/>
        </w:rPr>
        <w:t>街道将化粪池安全管理工作纳入财政预算，每年按10元/口的标准予以拨付各村（社区），用于摸排底数、喷设禁火标识、明确专人职守等工作开展，切实抓好化粪池安全和长效管理工作。</w:t>
      </w:r>
    </w:p>
    <w:p w14:paraId="78A7D63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"/>
        </w:rPr>
        <w:t>特此通知</w:t>
      </w:r>
    </w:p>
    <w:p w14:paraId="48DB3D67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2F58D669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ind w:left="0" w:leftChars="0" w:right="0" w:firstLine="640" w:firstLineChars="200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"/>
        </w:rPr>
        <w:t>附件：化粪池安全管理要点</w:t>
      </w:r>
    </w:p>
    <w:p w14:paraId="3775251D">
      <w:pPr>
        <w:pStyle w:val="2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"/>
        </w:rPr>
      </w:pPr>
    </w:p>
    <w:p w14:paraId="58AD5A1C"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 w14:paraId="1A9AB7D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"/>
        </w:rPr>
        <w:t>重庆市铜梁区人民政府东城街道办事处</w:t>
      </w:r>
    </w:p>
    <w:p w14:paraId="1ACD02FB"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right="0" w:right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"/>
        </w:rPr>
        <w:t xml:space="preserve">2024年7月25日                 </w:t>
      </w:r>
    </w:p>
    <w:p w14:paraId="71E8F43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0" w:firstLineChars="20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"/>
        </w:rPr>
      </w:pPr>
    </w:p>
    <w:p w14:paraId="3BFAFF4F">
      <w:pPr>
        <w:pStyle w:val="2"/>
        <w:rPr>
          <w:rFonts w:hint="default" w:ascii="Times New Roman" w:hAnsi="Times New Roman" w:cs="Times New Roman"/>
          <w:lang w:val="en-US" w:eastAsia="zh-CN"/>
        </w:rPr>
        <w:sectPr>
          <w:footerReference r:id="rId5" w:type="default"/>
          <w:pgSz w:w="11900" w:h="16830"/>
          <w:pgMar w:top="1984" w:right="1446" w:bottom="1644" w:left="1446" w:header="850" w:footer="992" w:gutter="0"/>
          <w:pgNumType w:fmt="numberInDash"/>
          <w:cols w:space="720" w:num="1"/>
        </w:sectPr>
      </w:pPr>
    </w:p>
    <w:p w14:paraId="5FF7D5E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napToGrid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"/>
        </w:rPr>
        <w:t>附件</w:t>
      </w:r>
    </w:p>
    <w:p w14:paraId="4E50816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napToGrid/>
          <w:spacing w:val="0"/>
          <w:sz w:val="44"/>
          <w:szCs w:val="44"/>
          <w:lang w:val="en-US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napToGrid/>
          <w:spacing w:val="0"/>
          <w:kern w:val="2"/>
          <w:sz w:val="44"/>
          <w:szCs w:val="44"/>
          <w:lang w:val="en-US" w:eastAsia="zh-CN" w:bidi="ar"/>
        </w:rPr>
        <w:t>化粪池安全管理要点</w:t>
      </w:r>
    </w:p>
    <w:p w14:paraId="1EE6A2B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"/>
        </w:rPr>
      </w:pPr>
    </w:p>
    <w:p w14:paraId="1D5C9B5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napToGrid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方正黑体_GBK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"/>
        </w:rPr>
        <w:t>一、化粪池日常维护管理要求</w:t>
      </w:r>
    </w:p>
    <w:p w14:paraId="3E7A24B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"/>
        </w:rPr>
        <w:t>1.按照属地管理原则完善化粪池基础档案，建立台账，明确辖区内化粪池安全管理责任主体。</w:t>
      </w:r>
    </w:p>
    <w:p w14:paraId="73283F8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"/>
        </w:rPr>
        <w:t>2.每年清掏不得少于2次，运行和使用频繁的医院、学校等密集人流区域内的化粪池每年清掏应不少于4次，每次清掏需见底。</w:t>
      </w:r>
    </w:p>
    <w:p w14:paraId="6A38139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"/>
        </w:rPr>
        <w:t>3.管理人员定期和不定期对化粪池的设施完好程度进行巡查，对池内气体浓度进行监测。</w:t>
      </w:r>
    </w:p>
    <w:p w14:paraId="7853724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"/>
        </w:rPr>
        <w:t>4.按照统一要求喷设禁火标识，设置导气管；保持化粪池前后管道排水畅通，化粪池盖板完好；严禁在化粪池盖板上堆放杂物。</w:t>
      </w:r>
    </w:p>
    <w:p w14:paraId="7F4B3AE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"/>
        </w:rPr>
        <w:t>5.严禁火星、火源靠近和接触化粪池。</w:t>
      </w:r>
    </w:p>
    <w:p w14:paraId="0C6D045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"/>
        </w:rPr>
        <w:t>二、化粪池清掏维护操作规范</w:t>
      </w:r>
    </w:p>
    <w:p w14:paraId="3CE2C64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"/>
        </w:rPr>
        <w:t>1.清掏维护单位或个人不得私自开展化粪池的清掏维护，必须经化粪池管理主体责任单位确认后，方可进行。在清掏维护过程中，化粪池管理主体责任方应指派专人监督整个清掏维护过程，对工作质量进行查验。</w:t>
      </w:r>
    </w:p>
    <w:p w14:paraId="32E9B87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"/>
        </w:rPr>
        <w:t>2.清掏维护作业现场必须设置警戒线和警示标识，禁止无关人员进入作业现场，防止发生意外。</w:t>
      </w:r>
    </w:p>
    <w:p w14:paraId="0B4886A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"/>
        </w:rPr>
        <w:t>3.作业人员应系安全带，佩戴防毒面具等防止缺氧中毒的安全装备；需他人在池外协助，严禁单人作业；整个作业期间严禁烟火。</w:t>
      </w:r>
    </w:p>
    <w:p w14:paraId="35A5A9A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"/>
        </w:rPr>
        <w:t>4.清掏维护作业前，打开化粪池的盖板前，对池内有毒有害气体、可燃气体进行测试，必须在安全值范围内才打开化粪池的盖板，打开盖板静置一定时间或借助机械设备通风排气，并达到安全标准要求。</w:t>
      </w:r>
    </w:p>
    <w:p w14:paraId="4E753E7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"/>
        </w:rPr>
        <w:t>5.清掏维护作业开始时，需用长杆搅散池内杂物结块层，以排除池内沼气，用仪器进行检测达到安全标准，才能进行清掏。</w:t>
      </w:r>
    </w:p>
    <w:p w14:paraId="5B80784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"/>
        </w:rPr>
        <w:t>6.清掏作业标准要求，规范地对化粪池内的残渣进行打捞，保证池内清洁无杂物；清掏时产生的粪渣等污物必须密闭袋装，日产日清。清掏运出的粪水、粪渣，须运到专业处理场处理，经过处理排放的水质须达到规定的排放标准，粪渣堆放须有专人管理并做好处理记录，避免造成交叉污染。</w:t>
      </w:r>
    </w:p>
    <w:p w14:paraId="0DD025E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"/>
        </w:rPr>
        <w:t>7.清掏维护完毕后，应做到进、出口通和排水管道畅通，无块状粪渣，无沉积物，生化类化粪池内应留有１/５液体作为发酵剂；完工后，应及时盖好井盖，以防行人或小孩掉入井内发生意外；用清水冲洗工作现场地面和工具，保证作业场所的清洁卫生。</w:t>
      </w:r>
    </w:p>
    <w:p w14:paraId="74637D8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"/>
        </w:rPr>
        <w:t>三、安全防护用品规定</w:t>
      </w:r>
    </w:p>
    <w:p w14:paraId="1556351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"/>
        </w:rPr>
        <w:t>1.下井作业时，严禁使用过滤式防毒面具和隔离式供氧面具，必须使用供压缩空气的隔离式防护装具作为防毒用具。</w:t>
      </w:r>
    </w:p>
    <w:p w14:paraId="3DE3061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"/>
        </w:rPr>
        <w:t>2.清掏维护人员下井时，必须配备悬托式安全带，其性能必须符合国家标准。</w:t>
      </w:r>
    </w:p>
    <w:p w14:paraId="44B39AA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"/>
        </w:rPr>
        <w:t>3.清掏维护人员从事维护作业时，必须戴安全帽和手套、穿防护服和防护鞋。</w:t>
      </w:r>
      <w:bookmarkStart w:id="2" w:name="_GoBack"/>
      <w:bookmarkEnd w:id="2"/>
    </w:p>
    <w:p w14:paraId="1C10E8B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kern w:val="2"/>
          <w:sz w:val="32"/>
          <w:szCs w:val="32"/>
          <w:lang w:val="en-US" w:eastAsia="zh-CN" w:bidi="ar"/>
        </w:rPr>
        <w:t>4.在地面上掏挖化粪池内污泥或检修化粪池时应戴口罩，必要时还应采取防毒措施。</w:t>
      </w:r>
    </w:p>
    <w:p w14:paraId="413A08BD">
      <w:pPr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ind w:left="0" w:leftChars="0" w:right="0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0819CE1E">
      <w:pPr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ind w:left="0" w:leftChars="0" w:right="0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16086830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ind w:left="0" w:leftChars="0" w:right="0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1A19C330">
      <w:pPr>
        <w:pStyle w:val="3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21489465">
      <w:pP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4AA61643">
      <w:pPr>
        <w:pStyle w:val="2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57AE8A3B">
      <w:pPr>
        <w:pStyle w:val="3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2217AA87">
      <w:pP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6FC8AA6B">
      <w:pPr>
        <w:pStyle w:val="2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73579433">
      <w:pPr>
        <w:pStyle w:val="3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71CE7679">
      <w:pP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7395A200">
      <w:pPr>
        <w:pStyle w:val="2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5D946A99">
      <w:pPr>
        <w:pStyle w:val="3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64D600C1">
      <w:pP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5A7B5586">
      <w:pPr>
        <w:pStyle w:val="2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745761D1">
      <w:pPr>
        <w:pStyle w:val="3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4EBE96F0">
      <w:pP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189FDA94">
      <w:pPr>
        <w:pStyle w:val="2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6FF0873B">
      <w:pPr>
        <w:pStyle w:val="3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5CF9B5D7">
      <w:pP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1FDF4B53">
      <w:pPr>
        <w:pStyle w:val="2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33A7F5BA">
      <w:pPr>
        <w:pStyle w:val="3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5711778C">
      <w:pP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286C0CE3">
      <w:pPr>
        <w:pStyle w:val="2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08F1466B">
      <w:pPr>
        <w:pStyle w:val="3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3D27311A">
      <w:pP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16B9DD72">
      <w:pPr>
        <w:pStyle w:val="2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6EE9F1B7">
      <w:pPr>
        <w:pStyle w:val="3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639BF463">
      <w:pP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47C74099">
      <w:pPr>
        <w:pStyle w:val="2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0BB40061">
      <w:pPr>
        <w:pStyle w:val="3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61AA0E84">
      <w:pP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43047DD7">
      <w:pPr>
        <w:pStyle w:val="2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167B8349">
      <w:pPr>
        <w:pStyle w:val="3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0631D4AE">
      <w:pP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1F4E5185">
      <w:pPr>
        <w:pStyle w:val="2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5780B47F">
      <w:pPr>
        <w:pStyle w:val="3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7A5ABB10">
      <w:pP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17DF831F">
      <w:pPr>
        <w:pStyle w:val="2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75A89B81">
      <w:pPr>
        <w:pStyle w:val="3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67CED0EF">
      <w:pP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39F638CE">
      <w:pPr>
        <w:pStyle w:val="2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4F75E2D5">
      <w:pPr>
        <w:pStyle w:val="3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7EA0D7A2">
      <w:pP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699DBADA">
      <w:pPr>
        <w:pStyle w:val="2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3CD90447">
      <w:pPr>
        <w:pStyle w:val="3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7D723278">
      <w:pP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5883D537">
      <w:pPr>
        <w:pStyle w:val="2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2321D3CF">
      <w:pPr>
        <w:pStyle w:val="3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309B990C">
      <w:pP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1C3D6104">
      <w:pPr>
        <w:pStyle w:val="2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219BE6B7">
      <w:pPr>
        <w:pStyle w:val="3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1A80AC43">
      <w:pPr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35120BD2">
      <w:pPr>
        <w:pStyle w:val="2"/>
        <w:rPr>
          <w:rFonts w:hint="default" w:ascii="Times New Roman" w:hAnsi="Times New Roman" w:eastAsia="方正仿宋_GBK" w:cs="Times New Roman"/>
          <w:b w:val="0"/>
          <w:bCs w:val="0"/>
          <w:snapToGrid/>
          <w:spacing w:val="0"/>
          <w:sz w:val="32"/>
          <w:szCs w:val="32"/>
        </w:rPr>
      </w:pPr>
    </w:p>
    <w:p w14:paraId="2989AA83">
      <w:pPr>
        <w:pStyle w:val="3"/>
        <w:rPr>
          <w:rFonts w:hint="default"/>
        </w:rPr>
      </w:pPr>
    </w:p>
    <w:p w14:paraId="0630D487">
      <w:pPr>
        <w:pStyle w:val="3"/>
        <w:rPr>
          <w:rFonts w:hint="default"/>
        </w:rPr>
      </w:pPr>
    </w:p>
    <w:p w14:paraId="05A6DA57"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spacing w:val="0"/>
          <w:sz w:val="32"/>
          <w:szCs w:val="32"/>
        </w:rPr>
      </w:pPr>
    </w:p>
    <w:p w14:paraId="56B9BC51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tabs>
          <w:tab w:val="left" w:pos="567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280" w:firstLineChars="1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spacing w:val="0"/>
          <w:sz w:val="28"/>
          <w:szCs w:val="28"/>
          <w:lang w:val="en-US" w:eastAsia="zh-CN"/>
        </w:rPr>
        <w:t>东城街道基层治理综合指挥室</w:t>
      </w:r>
      <w:r>
        <w:rPr>
          <w:rFonts w:hint="eastAsia" w:ascii="Times New Roman" w:hAnsi="Times New Roman" w:eastAsia="方正仿宋_GBK" w:cs="Times New Roman"/>
          <w:b w:val="0"/>
          <w:bCs w:val="0"/>
          <w:snapToGrid/>
          <w:color w:val="auto"/>
          <w:spacing w:val="0"/>
          <w:sz w:val="28"/>
          <w:szCs w:val="28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spacing w:val="0"/>
          <w:sz w:val="28"/>
          <w:szCs w:val="28"/>
          <w:lang w:val="en-US" w:eastAsia="zh-CN"/>
        </w:rPr>
        <w:t>2024年</w:t>
      </w:r>
      <w:r>
        <w:rPr>
          <w:rFonts w:hint="eastAsia" w:ascii="Times New Roman" w:hAnsi="Times New Roman" w:cs="Times New Roman"/>
          <w:b w:val="0"/>
          <w:bCs w:val="0"/>
          <w:snapToGrid/>
          <w:color w:val="auto"/>
          <w:spacing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spacing w:val="0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cs="Times New Roman"/>
          <w:b w:val="0"/>
          <w:bCs w:val="0"/>
          <w:snapToGrid/>
          <w:color w:val="auto"/>
          <w:spacing w:val="0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spacing w:val="0"/>
          <w:sz w:val="28"/>
          <w:szCs w:val="28"/>
          <w:lang w:val="en-US" w:eastAsia="zh-CN"/>
        </w:rPr>
        <w:t>日印发</w:t>
      </w:r>
    </w:p>
    <w:sectPr>
      <w:pgSz w:w="11900" w:h="16830"/>
      <w:pgMar w:top="1984" w:right="1446" w:bottom="1644" w:left="1446" w:header="850" w:footer="992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96BAE">
    <w:pPr>
      <w:tabs>
        <w:tab w:val="left" w:pos="3508"/>
      </w:tabs>
      <w:spacing w:line="177" w:lineRule="auto"/>
      <w:ind w:left="19"/>
      <w:rPr>
        <w:rFonts w:hint="eastAsia" w:ascii="宋体" w:hAnsi="宋体" w:eastAsia="宋体" w:cs="宋体"/>
        <w:sz w:val="31"/>
        <w:szCs w:val="31"/>
        <w:lang w:eastAsia="zh-CN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3D90FC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3D90FC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pacing w:val="-16"/>
        <w:w w:val="93"/>
        <w:sz w:val="31"/>
        <w:szCs w:val="31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EzYTczMWUzMjEwMGMxNzdmZjJjYTJhYzg3NTg3Y2QifQ=="/>
  </w:docVars>
  <w:rsids>
    <w:rsidRoot w:val="00000000"/>
    <w:rsid w:val="0A6C2856"/>
    <w:rsid w:val="1E752F14"/>
    <w:rsid w:val="202A4E5E"/>
    <w:rsid w:val="27C12CBB"/>
    <w:rsid w:val="28C601EB"/>
    <w:rsid w:val="2A090D1A"/>
    <w:rsid w:val="2BD842D8"/>
    <w:rsid w:val="3E494ED5"/>
    <w:rsid w:val="425A1047"/>
    <w:rsid w:val="4B6B1E37"/>
    <w:rsid w:val="52B57C2F"/>
    <w:rsid w:val="59E71E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toc 5"/>
    <w:next w:val="1"/>
    <w:qFormat/>
    <w:uiPriority w:val="0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2357</Words>
  <Characters>2389</Characters>
  <TotalTime>1</TotalTime>
  <ScaleCrop>false</ScaleCrop>
  <LinksUpToDate>false</LinksUpToDate>
  <CharactersWithSpaces>2441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2024-07-25T16:35:00Z</dcterms:created>
  <dc:creator>Kingsoft-PDF</dc:creator>
  <cp:lastModifiedBy>Administrator</cp:lastModifiedBy>
  <cp:lastPrinted>2024-08-02T03:58:00Z</cp:lastPrinted>
  <dcterms:modified xsi:type="dcterms:W3CDTF">2024-08-02T03:58:15Z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2024-07-25T16:35:10Z</vt:filetime>
  </property>
  <property fmtid="{D5CDD505-2E9C-101B-9397-08002B2CF9AE}" pid="4" name="UsrData">
    <vt:lpwstr>66a20e3bfcb379001f9a8fa9wl</vt:lpwstr>
  </property>
  <property fmtid="{D5CDD505-2E9C-101B-9397-08002B2CF9AE}" pid="5" name="KSOProductBuildVer">
    <vt:lpwstr>2052-12.1.0.17147</vt:lpwstr>
  </property>
  <property fmtid="{D5CDD505-2E9C-101B-9397-08002B2CF9AE}" pid="6" name="KSOSaveFontToCloudKey">
    <vt:lpwstr>759727473_btnclosed</vt:lpwstr>
  </property>
  <property fmtid="{D5CDD505-2E9C-101B-9397-08002B2CF9AE}" pid="7" name="ICV">
    <vt:lpwstr>773E3085BB1141F3ABE8C23997617385_12</vt:lpwstr>
  </property>
</Properties>
</file>