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pacing w:line="560" w:lineRule="exact"/>
        <w:ind w:firstLine="880" w:firstLineChars="200"/>
        <w:jc w:val="center"/>
        <w:textAlignment w:val="auto"/>
        <w:rPr>
          <w:rFonts w:hint="eastAsia" w:ascii="方正小标宋_GBK" w:hAnsi="Times New Roman" w:eastAsia="方正小标宋_GBK" w:cs="Times New Roman"/>
          <w:kern w:val="2"/>
          <w:sz w:val="44"/>
          <w:szCs w:val="44"/>
        </w:rPr>
      </w:pPr>
      <w:r>
        <w:rPr>
          <w:rFonts w:hint="eastAsia" w:ascii="方正小标宋_GBK" w:hAnsi="Times New Roman" w:eastAsia="方正小标宋_GBK" w:cs="Times New Roman"/>
          <w:kern w:val="2"/>
          <w:sz w:val="44"/>
          <w:szCs w:val="44"/>
        </w:rPr>
        <w:t>重庆市铜梁区二坪镇人民政府</w:t>
      </w:r>
    </w:p>
    <w:p>
      <w:pPr>
        <w:keepNext w:val="0"/>
        <w:keepLines w:val="0"/>
        <w:pageBreakBefore w:val="0"/>
        <w:widowControl w:val="0"/>
        <w:kinsoku/>
        <w:wordWrap/>
        <w:overflowPunct/>
        <w:topLinePunct w:val="0"/>
        <w:autoSpaceDN/>
        <w:bidi w:val="0"/>
        <w:adjustRightInd/>
        <w:spacing w:line="560" w:lineRule="exact"/>
        <w:ind w:firstLine="880" w:firstLineChars="200"/>
        <w:jc w:val="center"/>
        <w:textAlignment w:val="auto"/>
        <w:rPr>
          <w:rFonts w:hint="eastAsia" w:ascii="方正小标宋_GBK" w:hAnsi="Times New Roman" w:eastAsia="方正小标宋_GBK" w:cs="Times New Roman"/>
          <w:kern w:val="2"/>
          <w:sz w:val="44"/>
          <w:szCs w:val="44"/>
        </w:rPr>
      </w:pPr>
      <w:r>
        <w:rPr>
          <w:rFonts w:hint="default" w:ascii="方正小标宋_GBK" w:hAnsi="Times New Roman" w:eastAsia="方正小标宋_GBK" w:cs="Times New Roman"/>
          <w:kern w:val="2"/>
          <w:sz w:val="44"/>
          <w:szCs w:val="44"/>
        </w:rPr>
        <w:t>2024</w:t>
      </w:r>
      <w:r>
        <w:rPr>
          <w:rFonts w:hint="eastAsia" w:ascii="方正小标宋_GBK" w:hAnsi="Times New Roman" w:eastAsia="方正小标宋_GBK" w:cs="Times New Roman"/>
          <w:kern w:val="2"/>
          <w:sz w:val="44"/>
          <w:szCs w:val="44"/>
        </w:rPr>
        <w:t>年度决算公开说明</w:t>
      </w:r>
    </w:p>
    <w:p>
      <w:pPr>
        <w:pStyle w:val="12"/>
        <w:keepNext w:val="0"/>
        <w:keepLines w:val="0"/>
        <w:pageBreakBefore w:val="0"/>
        <w:tabs>
          <w:tab w:val="center" w:pos="4153"/>
          <w:tab w:val="left" w:pos="7275"/>
        </w:tabs>
        <w:kinsoku/>
        <w:wordWrap/>
        <w:overflowPunct/>
        <w:topLinePunct w:val="0"/>
        <w:autoSpaceDN/>
        <w:bidi w:val="0"/>
        <w:adjustRightInd/>
        <w:spacing w:line="600" w:lineRule="exact"/>
        <w:ind w:firstLine="640" w:firstLineChars="200"/>
        <w:textAlignment w:val="auto"/>
        <w:rPr>
          <w:rFonts w:hint="default" w:ascii="Times New Roman" w:hAnsi="Times New Roman" w:eastAsia="方正黑体_GBK"/>
          <w:sz w:val="32"/>
          <w:szCs w:val="32"/>
        </w:rPr>
      </w:pPr>
      <w:r>
        <w:rPr>
          <w:rFonts w:hint="eastAsia" w:ascii="Times New Roman" w:hAnsi="Times New Roman" w:eastAsia="方正黑体_GBK"/>
          <w:sz w:val="32"/>
          <w:szCs w:val="32"/>
        </w:rPr>
        <w:t>一、</w:t>
      </w:r>
      <w:r>
        <w:rPr>
          <w:rFonts w:hint="eastAsia" w:ascii="Times New Roman" w:hAnsi="Times New Roman" w:eastAsia="方正黑体_GBK"/>
          <w:sz w:val="32"/>
          <w:szCs w:val="32"/>
          <w:lang w:eastAsia="zh-CN"/>
        </w:rPr>
        <w:t>部门</w:t>
      </w:r>
      <w:r>
        <w:rPr>
          <w:rFonts w:hint="eastAsia" w:ascii="Times New Roman" w:hAnsi="Times New Roman" w:eastAsia="方正黑体_GBK"/>
          <w:sz w:val="32"/>
          <w:szCs w:val="32"/>
        </w:rPr>
        <w:t>基本情况</w:t>
      </w:r>
    </w:p>
    <w:p>
      <w:pPr>
        <w:pStyle w:val="12"/>
        <w:keepNext w:val="0"/>
        <w:keepLines w:val="0"/>
        <w:pageBreakBefore w:val="0"/>
        <w:tabs>
          <w:tab w:val="center" w:pos="4153"/>
          <w:tab w:val="left" w:pos="7275"/>
        </w:tabs>
        <w:kinsoku/>
        <w:wordWrap/>
        <w:overflowPunct/>
        <w:topLinePunct w:val="0"/>
        <w:autoSpaceDN/>
        <w:bidi w:val="0"/>
        <w:adjustRightInd/>
        <w:spacing w:line="600" w:lineRule="exact"/>
        <w:ind w:firstLine="640" w:firstLineChars="200"/>
        <w:textAlignment w:val="auto"/>
        <w:rPr>
          <w:rFonts w:hint="default" w:ascii="Times New Roman" w:hAnsi="Times New Roman" w:eastAsia="方正黑体_GBK"/>
          <w:sz w:val="32"/>
          <w:szCs w:val="32"/>
        </w:rPr>
      </w:pPr>
      <w:r>
        <w:rPr>
          <w:rFonts w:hint="eastAsia" w:ascii="Times New Roman" w:hAnsi="Times New Roman" w:eastAsia="方正黑体_GBK"/>
          <w:sz w:val="32"/>
          <w:szCs w:val="32"/>
        </w:rPr>
        <w:t>（一）职能职责</w:t>
      </w:r>
    </w:p>
    <w:p>
      <w:pPr>
        <w:pStyle w:val="5"/>
        <w:keepNext w:val="0"/>
        <w:keepLines w:val="0"/>
        <w:pageBreakBefore w:val="0"/>
        <w:shd w:val="clear" w:color="auto" w:fill="FFFFFF"/>
        <w:kinsoku/>
        <w:wordWrap/>
        <w:overflowPunct/>
        <w:topLinePunct w:val="0"/>
        <w:autoSpaceDN/>
        <w:bidi w:val="0"/>
        <w:adjustRightInd/>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1）在区委、区政府的领导下，贯彻执行党和国家各项方针、政策、法律、法规；负责辖区内的地区性、群众性、公益性、社会性工作；（2）负责精神文明建设工作，积极组织以提高市民素质为目的的活动，树立文明新风；（3）做好辖区范围内的城市建设和管理、市容环境卫生、园林绿化、环境保护、市政、规划、房地产等监督、管理、服务工作；（4）负责辖区内的维护稳定工作及社会治安综合治理工作，依照有关政策规定做好出租屋和外来人口的管理工作；（4）负责民事调解，法律服务工作，维护居民的合法权益，负责社区建设和管理，指导开展社区服务工作，大力兴办社会福利事业，发动和组织社区成员开展各类社区公益活动；（5）负责民兵、兵役、拥军优属、优抚安置、社会救济、社会福利、社区文化、科普、体育、教育、旅游工作；（6）发展街道和村级经济，管理街道国有资产和集体资产，为街道、行政村经济组织提供人才、科技、信息和其他服务，以经济、法律和必要的行政手段推动街道、村级经济发展和维护市场秩序；负责计划生育、劳动就业、安全生产监督、初级卫生保健、侨务、调解等工作；（7）指导和帮助居（村）民委员会搞好组织建设和制度建设，发挥居（村）民委员会的群众自治作用；（8）配合有关部门做好防汛、防风、防火、防震、抢险和救灾工作；（9）向区人民政府反映群众的意见和要求，办理人民群众的来信来访事项，承办区政府交办的其它工作。</w:t>
      </w:r>
    </w:p>
    <w:p>
      <w:pPr>
        <w:pStyle w:val="5"/>
        <w:keepNext w:val="0"/>
        <w:keepLines w:val="0"/>
        <w:pageBreakBefore w:val="0"/>
        <w:shd w:val="clear" w:color="auto" w:fill="FFFFFF"/>
        <w:kinsoku/>
        <w:wordWrap/>
        <w:overflowPunct/>
        <w:topLinePunct w:val="0"/>
        <w:autoSpaceDN/>
        <w:bidi w:val="0"/>
        <w:adjustRightInd/>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（二）机构设置</w:t>
      </w:r>
    </w:p>
    <w:p>
      <w:pPr>
        <w:pStyle w:val="5"/>
        <w:keepNext w:val="0"/>
        <w:keepLines w:val="0"/>
        <w:pageBreakBefore w:val="0"/>
        <w:shd w:val="clear" w:color="auto" w:fill="FFFFFF"/>
        <w:kinsoku/>
        <w:wordWrap/>
        <w:overflowPunct/>
        <w:topLinePunct w:val="0"/>
        <w:autoSpaceDN/>
        <w:bidi w:val="0"/>
        <w:adjustRightInd/>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重庆市铜梁区二坪镇人民政府为独立核算行政单位，有政府机关1个，事业单位7个分别为综合执法大队、文化服务中心、农业服务中心、劳动就业和社会保障服务所、生态治理中心、产业培育中心、退役军人事务站。</w:t>
      </w:r>
    </w:p>
    <w:p>
      <w:pPr>
        <w:pStyle w:val="5"/>
        <w:keepNext w:val="0"/>
        <w:keepLines w:val="0"/>
        <w:pageBreakBefore w:val="0"/>
        <w:shd w:val="clear" w:color="auto" w:fill="FFFFFF"/>
        <w:kinsoku/>
        <w:wordWrap/>
        <w:overflowPunct/>
        <w:topLinePunct w:val="0"/>
        <w:autoSpaceDN/>
        <w:bidi w:val="0"/>
        <w:adjustRightInd/>
        <w:ind w:firstLine="640" w:firstLineChars="200"/>
        <w:textAlignment w:val="auto"/>
        <w:rPr>
          <w:rFonts w:hint="default"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w:t>
      </w:r>
      <w:r>
        <w:rPr>
          <w:rFonts w:hint="default" w:ascii="方正楷体_GBK" w:hAnsi="Times New Roman" w:eastAsia="方正楷体_GBK" w:cs="Times New Roman"/>
          <w:kern w:val="2"/>
          <w:sz w:val="32"/>
          <w:szCs w:val="32"/>
          <w:lang w:val="en-US" w:eastAsia="zh-CN" w:bidi="ar-SA"/>
        </w:rPr>
        <w:t>单位构成</w:t>
      </w:r>
    </w:p>
    <w:p>
      <w:pPr>
        <w:pStyle w:val="5"/>
        <w:keepNext w:val="0"/>
        <w:keepLines w:val="0"/>
        <w:pageBreakBefore w:val="0"/>
        <w:shd w:val="clear" w:color="auto" w:fill="FFFFFF"/>
        <w:kinsoku/>
        <w:wordWrap/>
        <w:overflowPunct/>
        <w:topLinePunct w:val="0"/>
        <w:autoSpaceDN/>
        <w:bidi w:val="0"/>
        <w:adjustRightInd/>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hint="default" w:ascii="方正仿宋_GBK" w:hAnsi="Times New Roman" w:eastAsia="方正仿宋_GBK" w:cs="Times New Roman"/>
          <w:kern w:val="2"/>
          <w:sz w:val="32"/>
          <w:szCs w:val="32"/>
          <w:lang w:val="en-US" w:eastAsia="zh-CN" w:bidi="ar-SA"/>
        </w:rPr>
        <w:t>从预算单位构成看，纳入本部门2024年度决算编制的二级预算单位主要包括</w:t>
      </w:r>
      <w:r>
        <w:rPr>
          <w:rFonts w:hint="eastAsia" w:ascii="方正仿宋_GBK" w:hAnsi="Times New Roman" w:eastAsia="方正仿宋_GBK" w:cs="Times New Roman"/>
          <w:kern w:val="2"/>
          <w:sz w:val="32"/>
          <w:szCs w:val="32"/>
          <w:lang w:val="en-US" w:eastAsia="zh-CN" w:bidi="ar-SA"/>
        </w:rPr>
        <w:t>重庆市铜梁区二坪镇二坪镇人民政府（本级）、重庆市铜梁区二坪镇综合执法大队、重庆市铜梁区二坪镇文化服务中心、重庆市铜梁区二坪镇农业服务中心、重庆市铜梁区二坪镇劳动就业和社会保障服务所、重庆市铜梁区二坪镇生态治理中心、重庆市铜梁区二坪镇产业培育中心、重庆市铜梁区二坪镇退役军人事务站。</w:t>
      </w:r>
    </w:p>
    <w:p>
      <w:pPr>
        <w:pStyle w:val="5"/>
        <w:keepNext w:val="0"/>
        <w:keepLines w:val="0"/>
        <w:pageBreakBefore w:val="0"/>
        <w:widowControl w:val="0"/>
        <w:shd w:val="clear" w:color="auto" w:fill="FFFFFF"/>
        <w:kinsoku/>
        <w:wordWrap/>
        <w:overflowPunct/>
        <w:topLinePunct w:val="0"/>
        <w:autoSpaceDN/>
        <w:bidi w:val="0"/>
        <w:adjustRightInd/>
        <w:ind w:firstLine="640" w:firstLineChars="200"/>
        <w:jc w:val="both"/>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二、部门决算收支情况说明</w:t>
      </w:r>
    </w:p>
    <w:p>
      <w:pPr>
        <w:pStyle w:val="9"/>
        <w:keepNext w:val="0"/>
        <w:keepLines w:val="0"/>
        <w:pageBreakBefore w:val="0"/>
        <w:widowControl w:val="0"/>
        <w:kinsoku/>
        <w:wordWrap/>
        <w:overflowPunct/>
        <w:topLinePunct w:val="0"/>
        <w:autoSpaceDE w:val="0"/>
        <w:autoSpaceDN/>
        <w:bidi w:val="0"/>
        <w:adjustRightInd/>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（一）收入支出决算总体情况说明。</w:t>
      </w:r>
    </w:p>
    <w:p>
      <w:pPr>
        <w:pStyle w:val="13"/>
        <w:keepNext w:val="0"/>
        <w:keepLines w:val="0"/>
        <w:pageBreakBefore w:val="0"/>
        <w:kinsoku/>
        <w:wordWrap/>
        <w:overflowPunct/>
        <w:topLinePunct w:val="0"/>
        <w:autoSpaceDN/>
        <w:bidi w:val="0"/>
        <w:adjustRightInd/>
        <w:spacing w:line="360" w:lineRule="auto"/>
        <w:ind w:firstLine="643" w:firstLineChars="200"/>
        <w:jc w:val="left"/>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度收入总计2188.75万元，支出总计</w:t>
      </w:r>
      <w:r>
        <w:rPr>
          <w:rFonts w:ascii="方正仿宋_GBK" w:hAnsi="方正仿宋_GBK" w:eastAsia="方正仿宋_GBK" w:cs="方正仿宋_GBK"/>
          <w:sz w:val="32"/>
          <w:szCs w:val="32"/>
        </w:rPr>
        <w:t>2188.75</w:t>
      </w:r>
      <w:r>
        <w:rPr>
          <w:rFonts w:ascii="方正仿宋_GBK" w:hAnsi="方正仿宋_GBK" w:eastAsia="方正仿宋_GBK" w:cs="方正仿宋_GBK"/>
          <w:sz w:val="32"/>
          <w:szCs w:val="32"/>
          <w:shd w:val="clear" w:color="auto" w:fill="FFFFFF"/>
        </w:rPr>
        <w:t>万元。收、支与2023年度相比，减少494.11万元，下降18.4%，主要</w:t>
      </w:r>
      <w:bookmarkStart w:id="0" w:name="_GoBack"/>
      <w:bookmarkEnd w:id="0"/>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Times New Roman" w:eastAsia="方正仿宋_GBK" w:cs="Times New Roman"/>
          <w:kern w:val="2"/>
          <w:sz w:val="32"/>
          <w:szCs w:val="32"/>
          <w:lang w:val="en-US" w:eastAsia="zh-CN" w:bidi="ar-SA"/>
        </w:rPr>
        <w:t>财政资金紧张，部分预算资金未能全部支出，其中</w:t>
      </w:r>
      <w:r>
        <w:rPr>
          <w:rFonts w:hint="eastAsia" w:ascii="方正仿宋_GBK" w:hAnsi="方正仿宋_GBK" w:eastAsia="方正仿宋_GBK" w:cs="方正仿宋_GBK"/>
          <w:sz w:val="32"/>
          <w:szCs w:val="32"/>
          <w:shd w:val="clear" w:color="auto" w:fill="FFFFFF"/>
          <w:lang w:val="en-US" w:eastAsia="zh-CN"/>
        </w:rPr>
        <w:t>2024年度拨付泥结石路、四好农村路、党群服务中心建设等项目共计190.94万元，较2023年度减少263.23万元。</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度收入合计2188.75万元，与2023年度相比，减少494.11万元，下降18.4%，主要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Times New Roman" w:eastAsia="方正仿宋_GBK" w:cs="Times New Roman"/>
          <w:kern w:val="2"/>
          <w:sz w:val="32"/>
          <w:szCs w:val="32"/>
          <w:lang w:val="en-US" w:eastAsia="zh-CN" w:bidi="ar-SA"/>
        </w:rPr>
        <w:t>财政资金紧张，部分预算资金未能拨付到位。</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2188.75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13"/>
        <w:keepNext w:val="0"/>
        <w:keepLines w:val="0"/>
        <w:pageBreakBefore w:val="0"/>
        <w:kinsoku/>
        <w:wordWrap/>
        <w:overflowPunct/>
        <w:topLinePunct w:val="0"/>
        <w:autoSpaceDN/>
        <w:bidi w:val="0"/>
        <w:adjustRightInd/>
        <w:spacing w:line="360" w:lineRule="auto"/>
        <w:ind w:firstLine="643" w:firstLineChars="200"/>
        <w:jc w:val="left"/>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2188.75</w:t>
      </w:r>
      <w:r>
        <w:rPr>
          <w:rFonts w:ascii="方正仿宋_GBK" w:hAnsi="方正仿宋_GBK" w:eastAsia="方正仿宋_GBK" w:cs="方正仿宋_GBK"/>
          <w:sz w:val="32"/>
          <w:szCs w:val="32"/>
          <w:shd w:val="clear" w:color="auto" w:fill="FFFFFF"/>
        </w:rPr>
        <w:t>万元，与2023年度相比，减少494.11万元，下降18.4%，主要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Times New Roman" w:eastAsia="方正仿宋_GBK" w:cs="Times New Roman"/>
          <w:kern w:val="2"/>
          <w:sz w:val="32"/>
          <w:szCs w:val="32"/>
          <w:lang w:val="en-US" w:eastAsia="zh-CN" w:bidi="ar-SA"/>
        </w:rPr>
        <w:t>财政资金紧张，部分预算资金未能全部支出，其中</w:t>
      </w:r>
      <w:r>
        <w:rPr>
          <w:rFonts w:hint="eastAsia" w:ascii="方正仿宋_GBK" w:hAnsi="方正仿宋_GBK" w:eastAsia="方正仿宋_GBK" w:cs="方正仿宋_GBK"/>
          <w:sz w:val="32"/>
          <w:szCs w:val="32"/>
          <w:shd w:val="clear" w:color="auto" w:fill="FFFFFF"/>
          <w:lang w:val="en-US" w:eastAsia="zh-CN"/>
        </w:rPr>
        <w:t>2024年度拨付泥结石路、四好农村路、党群服务中心建设等项目共计190.94万元，较2023年度减少263.23万元。</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1455.31</w:t>
      </w:r>
      <w:r>
        <w:rPr>
          <w:rFonts w:ascii="方正仿宋_GBK" w:hAnsi="方正仿宋_GBK" w:eastAsia="方正仿宋_GBK" w:cs="方正仿宋_GBK"/>
          <w:sz w:val="32"/>
          <w:szCs w:val="32"/>
          <w:shd w:val="clear" w:color="auto" w:fill="FFFFFF"/>
        </w:rPr>
        <w:t>万元，占66.49%；项目支出</w:t>
      </w:r>
      <w:r>
        <w:rPr>
          <w:rFonts w:ascii="方正仿宋_GBK" w:hAnsi="方正仿宋_GBK" w:eastAsia="方正仿宋_GBK" w:cs="方正仿宋_GBK"/>
          <w:sz w:val="32"/>
          <w:szCs w:val="32"/>
        </w:rPr>
        <w:t>733.44</w:t>
      </w:r>
      <w:r>
        <w:rPr>
          <w:rFonts w:ascii="方正仿宋_GBK" w:hAnsi="方正仿宋_GBK" w:eastAsia="方正仿宋_GBK" w:cs="方正仿宋_GBK"/>
          <w:sz w:val="32"/>
          <w:szCs w:val="32"/>
          <w:shd w:val="clear" w:color="auto" w:fill="FFFFFF"/>
        </w:rPr>
        <w:t>万元，占33.51%；经营支出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val="0"/>
        <w:kinsoku/>
        <w:wordWrap/>
        <w:overflowPunct/>
        <w:topLinePunct w:val="0"/>
        <w:autoSpaceDE w:val="0"/>
        <w:autoSpaceDN/>
        <w:bidi w:val="0"/>
        <w:adjustRightInd/>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（二）财政拨款收入支出决算总体情况说明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度财政拨款收、支总计2188.75万元。与202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年相比，财政拨款收、支总计各减少494.11万元，下降18.4%。主要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Times New Roman" w:eastAsia="方正仿宋_GBK" w:cs="Times New Roman"/>
          <w:kern w:val="2"/>
          <w:sz w:val="32"/>
          <w:szCs w:val="32"/>
          <w:lang w:val="en-US" w:eastAsia="zh-CN" w:bidi="ar-SA"/>
        </w:rPr>
        <w:t>财政资金紧张，部分财政拨款收入未能拨付到位</w:t>
      </w:r>
    </w:p>
    <w:p>
      <w:pPr>
        <w:pStyle w:val="9"/>
        <w:keepNext w:val="0"/>
        <w:keepLines w:val="0"/>
        <w:pageBreakBefore w:val="0"/>
        <w:widowControl w:val="0"/>
        <w:kinsoku/>
        <w:wordWrap/>
        <w:overflowPunct/>
        <w:topLinePunct w:val="0"/>
        <w:autoSpaceDE w:val="0"/>
        <w:autoSpaceDN/>
        <w:bidi w:val="0"/>
        <w:adjustRightInd/>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（三）一般公共预算财政拨款收入支出决算情况说明</w:t>
      </w:r>
    </w:p>
    <w:p>
      <w:pPr>
        <w:pStyle w:val="13"/>
        <w:keepNext w:val="0"/>
        <w:keepLines w:val="0"/>
        <w:pageBreakBefore w:val="0"/>
        <w:kinsoku/>
        <w:wordWrap/>
        <w:overflowPunct/>
        <w:topLinePunct w:val="0"/>
        <w:autoSpaceDN/>
        <w:bidi w:val="0"/>
        <w:adjustRightInd/>
        <w:spacing w:line="360" w:lineRule="auto"/>
        <w:ind w:firstLine="643" w:firstLineChars="200"/>
        <w:jc w:val="left"/>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2156.45</w:t>
      </w:r>
      <w:r>
        <w:rPr>
          <w:rFonts w:ascii="方正仿宋_GBK" w:hAnsi="方正仿宋_GBK" w:eastAsia="方正仿宋_GBK" w:cs="方正仿宋_GBK"/>
          <w:sz w:val="32"/>
          <w:szCs w:val="32"/>
          <w:shd w:val="clear" w:color="auto" w:fill="FFFFFF"/>
        </w:rPr>
        <w:t>万元，与2023年度相比，减少526.41万元，下降19.6%。主要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Times New Roman" w:eastAsia="方正仿宋_GBK" w:cs="Times New Roman"/>
          <w:kern w:val="2"/>
          <w:sz w:val="32"/>
          <w:szCs w:val="32"/>
          <w:lang w:val="en-US" w:eastAsia="zh-CN" w:bidi="ar-SA"/>
        </w:rPr>
        <w:t>财政资金紧张，部分预算资金未能全部拨付，其中</w:t>
      </w:r>
      <w:r>
        <w:rPr>
          <w:rFonts w:hint="eastAsia" w:ascii="方正仿宋_GBK" w:hAnsi="方正仿宋_GBK" w:eastAsia="方正仿宋_GBK" w:cs="方正仿宋_GBK"/>
          <w:sz w:val="32"/>
          <w:szCs w:val="32"/>
          <w:shd w:val="clear" w:color="auto" w:fill="FFFFFF"/>
          <w:lang w:val="en-US" w:eastAsia="zh-CN"/>
        </w:rPr>
        <w:t>2024年度拨付泥结石路、四好农村路、党群服务中心建设等项目共计190.94万元，较2023年度减少263.23万元。</w:t>
      </w:r>
      <w:r>
        <w:rPr>
          <w:rFonts w:ascii="方正仿宋_GBK" w:hAnsi="方正仿宋_GBK" w:eastAsia="方正仿宋_GBK" w:cs="方正仿宋_GBK"/>
          <w:sz w:val="32"/>
          <w:szCs w:val="32"/>
          <w:shd w:val="clear" w:color="auto" w:fill="FFFFFF"/>
        </w:rPr>
        <w:t>较年初预算数减少50.35万元，下降2.3%。主要原因是</w:t>
      </w:r>
      <w:r>
        <w:rPr>
          <w:rFonts w:hint="eastAsia" w:ascii="方正仿宋_GBK" w:hAnsi="Times New Roman" w:eastAsia="方正仿宋_GBK" w:cs="Times New Roman"/>
          <w:kern w:val="2"/>
          <w:sz w:val="32"/>
          <w:szCs w:val="32"/>
          <w:lang w:val="en-US" w:eastAsia="zh-CN" w:bidi="ar-SA"/>
        </w:rPr>
        <w:t>财政资金紧张，部分预算资金未能全部收入。</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方正仿宋_GBK" w:hAnsi="Times New Roman" w:eastAsia="方正仿宋_GBK" w:cs="Times New Roman"/>
          <w:kern w:val="2"/>
          <w:sz w:val="32"/>
          <w:szCs w:val="32"/>
          <w:lang w:val="en-US" w:eastAsia="zh-CN" w:bidi="ar-SA"/>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2156.45</w:t>
      </w:r>
      <w:r>
        <w:rPr>
          <w:rFonts w:ascii="方正仿宋_GBK" w:hAnsi="方正仿宋_GBK" w:eastAsia="方正仿宋_GBK" w:cs="方正仿宋_GBK"/>
          <w:sz w:val="32"/>
          <w:szCs w:val="32"/>
          <w:shd w:val="clear" w:color="auto" w:fill="FFFFFF"/>
        </w:rPr>
        <w:t>万元，与2023年度相比，减少526.41万元，下降19.6%。主要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Times New Roman" w:eastAsia="方正仿宋_GBK" w:cs="Times New Roman"/>
          <w:kern w:val="2"/>
          <w:sz w:val="32"/>
          <w:szCs w:val="32"/>
          <w:lang w:val="en-US" w:eastAsia="zh-CN" w:bidi="ar-SA"/>
        </w:rPr>
        <w:t>财政资金紧张，部分预算资金未能全部支出，其中</w:t>
      </w:r>
      <w:r>
        <w:rPr>
          <w:rFonts w:hint="eastAsia" w:ascii="方正仿宋_GBK" w:hAnsi="方正仿宋_GBK" w:eastAsia="方正仿宋_GBK" w:cs="方正仿宋_GBK"/>
          <w:sz w:val="32"/>
          <w:szCs w:val="32"/>
          <w:shd w:val="clear" w:color="auto" w:fill="FFFFFF"/>
          <w:lang w:val="en-US" w:eastAsia="zh-CN"/>
        </w:rPr>
        <w:t>2024年度拨付泥结石路、四好农村路、党群服务中心建设等项目共计190.94万元，较2023年度减少263.23万元。</w:t>
      </w:r>
      <w:r>
        <w:rPr>
          <w:rFonts w:ascii="方正仿宋_GBK" w:hAnsi="方正仿宋_GBK" w:eastAsia="方正仿宋_GBK" w:cs="方正仿宋_GBK"/>
          <w:sz w:val="32"/>
          <w:szCs w:val="32"/>
          <w:shd w:val="clear" w:color="auto" w:fill="FFFFFF"/>
        </w:rPr>
        <w:t>较年初预算数减少50.35万元，下降2.3%。主要原因是</w:t>
      </w:r>
      <w:r>
        <w:rPr>
          <w:rFonts w:hint="eastAsia" w:ascii="方正仿宋_GBK" w:hAnsi="方正仿宋_GBK" w:eastAsia="方正仿宋_GBK" w:cs="方正仿宋_GBK"/>
          <w:sz w:val="32"/>
          <w:szCs w:val="32"/>
          <w:shd w:val="clear" w:color="auto" w:fill="FFFFFF"/>
          <w:lang w:val="en-US" w:eastAsia="zh-CN"/>
        </w:rPr>
        <w:t>财</w:t>
      </w:r>
      <w:r>
        <w:rPr>
          <w:rFonts w:hint="eastAsia" w:ascii="方正仿宋_GBK" w:hAnsi="Times New Roman" w:eastAsia="方正仿宋_GBK" w:cs="Times New Roman"/>
          <w:kern w:val="2"/>
          <w:sz w:val="32"/>
          <w:szCs w:val="32"/>
          <w:lang w:val="en-US" w:eastAsia="zh-CN" w:bidi="ar-SA"/>
        </w:rPr>
        <w:t>政资金紧张，部分预算资金未能全部支出。</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sz w:val="32"/>
          <w:szCs w:val="32"/>
          <w:shd w:val="clear" w:color="auto" w:fill="FFFFFF"/>
          <w:lang w:eastAsia="zh-CN"/>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668.69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31.01</w:t>
      </w:r>
      <w:r>
        <w:rPr>
          <w:rFonts w:ascii="方正仿宋_GBK" w:hAnsi="方正仿宋_GBK" w:eastAsia="方正仿宋_GBK" w:cs="方正仿宋_GBK"/>
          <w:sz w:val="32"/>
          <w:szCs w:val="32"/>
          <w:shd w:val="clear" w:color="auto" w:fill="FFFFFF"/>
        </w:rPr>
        <w:t>%，较年初预算数减少13.55万元，下降2.0%，主要原因是</w:t>
      </w:r>
      <w:r>
        <w:rPr>
          <w:rFonts w:hint="eastAsia" w:ascii="方正仿宋_GBK" w:hAnsi="方正仿宋_GBK" w:eastAsia="方正仿宋_GBK" w:cs="方正仿宋_GBK"/>
          <w:sz w:val="32"/>
          <w:szCs w:val="32"/>
          <w:lang w:eastAsia="zh-CN"/>
        </w:rPr>
        <w:t>财政资金紧张，人大经费以及安全维稳经费两个项目比年初预算数少拨付</w:t>
      </w:r>
      <w:r>
        <w:rPr>
          <w:rFonts w:hint="eastAsia" w:ascii="方正仿宋_GBK" w:hAnsi="方正仿宋_GBK" w:eastAsia="方正仿宋_GBK" w:cs="方正仿宋_GBK"/>
          <w:sz w:val="32"/>
          <w:szCs w:val="32"/>
          <w:lang w:val="en-US" w:eastAsia="zh-CN"/>
        </w:rPr>
        <w:t>14万</w:t>
      </w:r>
      <w:r>
        <w:rPr>
          <w:rFonts w:hint="eastAsia" w:ascii="方正仿宋_GBK" w:hAnsi="方正仿宋_GBK" w:eastAsia="方正仿宋_GBK" w:cs="方正仿宋_GBK"/>
          <w:sz w:val="32"/>
          <w:szCs w:val="32"/>
          <w:lang w:eastAsia="zh-CN"/>
        </w:rPr>
        <w:t>。</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58.06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2.69</w:t>
      </w:r>
      <w:r>
        <w:rPr>
          <w:rFonts w:ascii="方正仿宋_GBK" w:hAnsi="方正仿宋_GBK" w:eastAsia="方正仿宋_GBK" w:cs="方正仿宋_GBK"/>
          <w:sz w:val="32"/>
          <w:szCs w:val="32"/>
          <w:shd w:val="clear" w:color="auto" w:fill="FFFFFF"/>
        </w:rPr>
        <w:t>%，较年初预算数减少8.78万元，下降13.1%，主要原因是</w:t>
      </w:r>
      <w:r>
        <w:rPr>
          <w:rFonts w:hint="eastAsia" w:ascii="方正仿宋_GBK" w:hAnsi="方正仿宋_GBK" w:eastAsia="方正仿宋_GBK" w:cs="方正仿宋_GBK"/>
          <w:sz w:val="32"/>
          <w:szCs w:val="32"/>
          <w:lang w:eastAsia="zh-CN"/>
        </w:rPr>
        <w:t>财政资金紧张，文化经费项目比年初预算数少拨付</w:t>
      </w:r>
      <w:r>
        <w:rPr>
          <w:rFonts w:hint="eastAsia" w:ascii="方正仿宋_GBK" w:hAnsi="方正仿宋_GBK" w:eastAsia="方正仿宋_GBK" w:cs="方正仿宋_GBK"/>
          <w:sz w:val="32"/>
          <w:szCs w:val="32"/>
          <w:lang w:val="en-US" w:eastAsia="zh-CN"/>
        </w:rPr>
        <w:t>7万</w:t>
      </w:r>
      <w:r>
        <w:rPr>
          <w:rFonts w:hint="eastAsia" w:ascii="方正仿宋_GBK" w:hAnsi="方正仿宋_GBK" w:eastAsia="方正仿宋_GBK" w:cs="方正仿宋_GBK"/>
          <w:sz w:val="32"/>
          <w:szCs w:val="32"/>
          <w:lang w:eastAsia="zh-CN"/>
        </w:rPr>
        <w:t>。</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327.55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15.19</w:t>
      </w:r>
      <w:r>
        <w:rPr>
          <w:rFonts w:ascii="方正仿宋_GBK" w:hAnsi="方正仿宋_GBK" w:eastAsia="方正仿宋_GBK" w:cs="方正仿宋_GBK"/>
          <w:sz w:val="32"/>
          <w:szCs w:val="32"/>
          <w:shd w:val="clear" w:color="auto" w:fill="FFFFFF"/>
        </w:rPr>
        <w:t>%，较年初预算数减少5.58万元，下降1.7%，主要原因是</w:t>
      </w:r>
      <w:r>
        <w:rPr>
          <w:rFonts w:hint="eastAsia" w:ascii="方正仿宋_GBK" w:hAnsi="方正仿宋_GBK" w:eastAsia="方正仿宋_GBK" w:cs="方正仿宋_GBK"/>
          <w:sz w:val="32"/>
          <w:szCs w:val="32"/>
          <w:lang w:eastAsia="zh-CN"/>
        </w:rPr>
        <w:t>财政资金紧张，武装工作项目比年初预算数少拨付</w:t>
      </w:r>
      <w:r>
        <w:rPr>
          <w:rFonts w:hint="eastAsia" w:ascii="方正仿宋_GBK" w:hAnsi="方正仿宋_GBK" w:eastAsia="方正仿宋_GBK" w:cs="方正仿宋_GBK"/>
          <w:sz w:val="32"/>
          <w:szCs w:val="32"/>
          <w:lang w:val="en-US" w:eastAsia="zh-CN"/>
        </w:rPr>
        <w:t>2.2万</w:t>
      </w:r>
      <w:r>
        <w:rPr>
          <w:rFonts w:hint="eastAsia" w:ascii="方正仿宋_GBK" w:hAnsi="方正仿宋_GBK" w:eastAsia="方正仿宋_GBK" w:cs="方正仿宋_GBK"/>
          <w:sz w:val="32"/>
          <w:szCs w:val="32"/>
          <w:lang w:eastAsia="zh-CN"/>
        </w:rPr>
        <w:t>。</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67.77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3.14</w:t>
      </w:r>
      <w:r>
        <w:rPr>
          <w:rFonts w:ascii="方正仿宋_GBK" w:hAnsi="方正仿宋_GBK" w:eastAsia="方正仿宋_GBK" w:cs="方正仿宋_GBK"/>
          <w:sz w:val="32"/>
          <w:szCs w:val="32"/>
          <w:shd w:val="clear" w:color="auto" w:fill="FFFFFF"/>
        </w:rPr>
        <w:t>%，较年初预算数减少25.43万元，下降27.3%，主要原因是</w:t>
      </w:r>
      <w:r>
        <w:rPr>
          <w:rFonts w:hint="eastAsia" w:ascii="方正仿宋_GBK" w:hAnsi="方正仿宋_GBK" w:eastAsia="方正仿宋_GBK" w:cs="方正仿宋_GBK"/>
          <w:sz w:val="32"/>
          <w:szCs w:val="32"/>
          <w:lang w:eastAsia="zh-CN"/>
        </w:rPr>
        <w:t>财政资金紧张，精神病人工作经费项目比年初预算数少拨付</w:t>
      </w:r>
      <w:r>
        <w:rPr>
          <w:rFonts w:hint="eastAsia" w:ascii="方正仿宋_GBK" w:hAnsi="方正仿宋_GBK" w:eastAsia="方正仿宋_GBK" w:cs="方正仿宋_GBK"/>
          <w:sz w:val="32"/>
          <w:szCs w:val="32"/>
          <w:lang w:val="en-US" w:eastAsia="zh-CN"/>
        </w:rPr>
        <w:t>13万。</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105.88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4.91</w:t>
      </w:r>
      <w:r>
        <w:rPr>
          <w:rFonts w:ascii="方正仿宋_GBK" w:hAnsi="方正仿宋_GBK" w:eastAsia="方正仿宋_GBK" w:cs="方正仿宋_GBK"/>
          <w:sz w:val="32"/>
          <w:szCs w:val="32"/>
          <w:shd w:val="clear" w:color="auto" w:fill="FFFFFF"/>
        </w:rPr>
        <w:t>%，较年初预算数增加2.73万元，增长2.7%，主要原因是</w:t>
      </w:r>
      <w:r>
        <w:rPr>
          <w:rFonts w:hint="eastAsia" w:ascii="方正仿宋_GBK" w:hAnsi="方正仿宋_GBK" w:eastAsia="方正仿宋_GBK" w:cs="方正仿宋_GBK"/>
          <w:sz w:val="32"/>
          <w:szCs w:val="32"/>
          <w:lang w:eastAsia="zh-CN"/>
        </w:rPr>
        <w:t>财政资金紧张，河长制经费项目比年初预算数少拨付</w:t>
      </w:r>
      <w:r>
        <w:rPr>
          <w:rFonts w:hint="eastAsia" w:ascii="方正仿宋_GBK" w:hAnsi="方正仿宋_GBK" w:eastAsia="方正仿宋_GBK" w:cs="方正仿宋_GBK"/>
          <w:sz w:val="32"/>
          <w:szCs w:val="32"/>
          <w:lang w:val="en-US" w:eastAsia="zh-CN"/>
        </w:rPr>
        <w:t>17万。</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）城乡社区支出10.00万元，占0.46%，较年初预算数减少40.00万元，下降80.0%，主要原因是</w:t>
      </w:r>
      <w:r>
        <w:rPr>
          <w:rFonts w:hint="eastAsia" w:ascii="方正仿宋_GBK" w:hAnsi="方正仿宋_GBK" w:eastAsia="方正仿宋_GBK" w:cs="方正仿宋_GBK"/>
          <w:sz w:val="32"/>
          <w:szCs w:val="32"/>
          <w:shd w:val="clear" w:color="auto" w:fill="FFFFFF"/>
          <w:lang w:eastAsia="zh-CN"/>
        </w:rPr>
        <w:t>财政资金紧张，市政维护经费项目比年初预算数少拨付</w:t>
      </w:r>
      <w:r>
        <w:rPr>
          <w:rFonts w:hint="eastAsia" w:ascii="方正仿宋_GBK" w:hAnsi="方正仿宋_GBK" w:eastAsia="方正仿宋_GBK" w:cs="方正仿宋_GBK"/>
          <w:sz w:val="32"/>
          <w:szCs w:val="32"/>
          <w:shd w:val="clear" w:color="auto" w:fill="FFFFFF"/>
          <w:lang w:val="en-US" w:eastAsia="zh-CN"/>
        </w:rPr>
        <w:t>5万，市政环卫工作经费35万未能拨付。</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650.31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30.16</w:t>
      </w:r>
      <w:r>
        <w:rPr>
          <w:rFonts w:ascii="方正仿宋_GBK" w:hAnsi="方正仿宋_GBK" w:eastAsia="方正仿宋_GBK" w:cs="方正仿宋_GBK"/>
          <w:sz w:val="32"/>
          <w:szCs w:val="32"/>
          <w:shd w:val="clear" w:color="auto" w:fill="FFFFFF"/>
        </w:rPr>
        <w:t>%，较年初预算数减少111.27万元，下降14.6%，主要原因是</w:t>
      </w:r>
      <w:r>
        <w:rPr>
          <w:rFonts w:hint="eastAsia" w:ascii="方正仿宋_GBK" w:hAnsi="方正仿宋_GBK" w:eastAsia="方正仿宋_GBK" w:cs="方正仿宋_GBK"/>
          <w:sz w:val="32"/>
          <w:szCs w:val="32"/>
          <w:shd w:val="clear" w:color="auto" w:fill="FFFFFF"/>
          <w:lang w:eastAsia="zh-CN"/>
        </w:rPr>
        <w:t>财政资金紧张，农村保洁和垃圾清运费项目比年初预算数少拨付</w:t>
      </w:r>
      <w:r>
        <w:rPr>
          <w:rFonts w:hint="eastAsia" w:ascii="方正仿宋_GBK" w:hAnsi="方正仿宋_GBK" w:eastAsia="方正仿宋_GBK" w:cs="方正仿宋_GBK"/>
          <w:sz w:val="32"/>
          <w:szCs w:val="32"/>
          <w:shd w:val="clear" w:color="auto" w:fill="FFFFFF"/>
          <w:lang w:val="en-US" w:eastAsia="zh-CN"/>
        </w:rPr>
        <w:t>10万，下属事业单位农业服务中心公用经费未能全部拨付。</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177.39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8.23</w:t>
      </w:r>
      <w:r>
        <w:rPr>
          <w:rFonts w:ascii="方正仿宋_GBK" w:hAnsi="方正仿宋_GBK" w:eastAsia="方正仿宋_GBK" w:cs="方正仿宋_GBK"/>
          <w:sz w:val="32"/>
          <w:szCs w:val="32"/>
          <w:shd w:val="clear" w:color="auto" w:fill="FFFFFF"/>
        </w:rPr>
        <w:t>%，较年初预算数增加146.09万元，增长466.7%，主要原因是</w:t>
      </w:r>
      <w:r>
        <w:rPr>
          <w:rFonts w:hint="eastAsia" w:ascii="方正仿宋_GBK" w:hAnsi="方正仿宋_GBK" w:eastAsia="方正仿宋_GBK" w:cs="方正仿宋_GBK"/>
          <w:sz w:val="32"/>
          <w:szCs w:val="32"/>
          <w:lang w:eastAsia="zh-CN"/>
        </w:rPr>
        <w:t>年中新增泥结石路项目。</w:t>
      </w:r>
    </w:p>
    <w:p>
      <w:pPr>
        <w:keepNext w:val="0"/>
        <w:keepLines w:val="0"/>
        <w:pageBreakBefore w:val="0"/>
        <w:kinsoku/>
        <w:wordWrap/>
        <w:overflowPunct/>
        <w:topLinePunct w:val="0"/>
        <w:autoSpaceDN/>
        <w:bidi w:val="0"/>
        <w:adjustRightInd/>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（9）</w:t>
      </w:r>
      <w:r>
        <w:rPr>
          <w:rFonts w:ascii="方正仿宋_GBK" w:hAnsi="方正仿宋_GBK" w:eastAsia="方正仿宋_GBK" w:cs="方正仿宋_GBK"/>
          <w:sz w:val="32"/>
          <w:szCs w:val="32"/>
        </w:rPr>
        <w:t>住房保障支出75.95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3.52</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Times New Roman" w:eastAsia="方正仿宋_GBK" w:cs="Times New Roman"/>
          <w:kern w:val="2"/>
          <w:sz w:val="32"/>
          <w:szCs w:val="32"/>
          <w:lang w:val="en-US" w:eastAsia="zh-CN" w:bidi="ar-SA"/>
        </w:rPr>
        <w:t>住房公积金按照年初预算执行。</w:t>
      </w:r>
    </w:p>
    <w:p>
      <w:pPr>
        <w:keepNext w:val="0"/>
        <w:keepLines w:val="0"/>
        <w:pageBreakBefore w:val="0"/>
        <w:kinsoku/>
        <w:wordWrap/>
        <w:overflowPunct/>
        <w:topLinePunct w:val="0"/>
        <w:autoSpaceDN/>
        <w:bidi w:val="0"/>
        <w:adjustRightInd/>
        <w:ind w:firstLine="640" w:firstLineChars="200"/>
        <w:textAlignment w:val="auto"/>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灾害防治及应急管理支出14.84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0.69</w:t>
      </w:r>
      <w:r>
        <w:rPr>
          <w:rFonts w:ascii="方正仿宋_GBK" w:hAnsi="方正仿宋_GBK" w:eastAsia="方正仿宋_GBK" w:cs="方正仿宋_GBK"/>
          <w:sz w:val="32"/>
          <w:szCs w:val="32"/>
          <w:shd w:val="clear" w:color="auto" w:fill="FFFFFF"/>
        </w:rPr>
        <w:t>%，较年初预算数增加5.44万元，增长57.9%，主要原因是</w:t>
      </w:r>
      <w:r>
        <w:rPr>
          <w:rFonts w:hint="eastAsia" w:ascii="方正仿宋_GBK" w:hAnsi="方正仿宋_GBK" w:eastAsia="方正仿宋_GBK" w:cs="方正仿宋_GBK"/>
          <w:sz w:val="32"/>
          <w:szCs w:val="32"/>
          <w:lang w:eastAsia="zh-CN"/>
        </w:rPr>
        <w:t>年中新增抗旱防汛经费</w:t>
      </w:r>
      <w:r>
        <w:rPr>
          <w:rFonts w:hint="eastAsia" w:ascii="方正仿宋_GBK" w:hAnsi="方正仿宋_GBK" w:eastAsia="方正仿宋_GBK" w:cs="方正仿宋_GBK"/>
          <w:sz w:val="32"/>
          <w:szCs w:val="32"/>
          <w:lang w:val="en-US" w:eastAsia="zh-CN"/>
        </w:rPr>
        <w:t>14.84万。</w:t>
      </w:r>
    </w:p>
    <w:p>
      <w:pPr>
        <w:pStyle w:val="9"/>
        <w:keepNext w:val="0"/>
        <w:keepLines w:val="0"/>
        <w:pageBreakBefore w:val="0"/>
        <w:kinsoku/>
        <w:wordWrap/>
        <w:overflowPunct/>
        <w:topLinePunct w:val="0"/>
        <w:autoSpaceDE w:val="0"/>
        <w:autoSpaceDN/>
        <w:bidi w:val="0"/>
        <w:adjustRightInd/>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1455.31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1229.42</w:t>
      </w:r>
      <w:r>
        <w:rPr>
          <w:rFonts w:ascii="方正仿宋_GBK" w:hAnsi="方正仿宋_GBK" w:eastAsia="方正仿宋_GBK" w:cs="方正仿宋_GBK"/>
          <w:sz w:val="32"/>
          <w:szCs w:val="32"/>
          <w:shd w:val="clear" w:color="auto" w:fill="FFFFFF"/>
        </w:rPr>
        <w:t>万元，与2023年度相比，减少34.40万元，下降2.7%，主要</w:t>
      </w:r>
      <w:r>
        <w:rPr>
          <w:rFonts w:hint="eastAsia" w:ascii="方正仿宋_GBK" w:hAnsi="方正仿宋_GBK" w:eastAsia="方正仿宋_GBK" w:cs="方正仿宋_GBK"/>
          <w:sz w:val="32"/>
          <w:szCs w:val="32"/>
          <w:shd w:val="clear" w:color="auto" w:fill="FFFFFF"/>
          <w:lang w:eastAsia="zh-CN"/>
        </w:rPr>
        <w:t>原因是财政资金紧张，人员经费如体检费未能拨付。</w:t>
      </w:r>
      <w:r>
        <w:rPr>
          <w:rFonts w:ascii="方正仿宋_GBK" w:hAnsi="方正仿宋_GBK" w:eastAsia="方正仿宋_GBK" w:cs="方正仿宋_GBK"/>
          <w:sz w:val="32"/>
          <w:szCs w:val="32"/>
          <w:shd w:val="clear" w:color="auto" w:fill="FFFFFF"/>
        </w:rPr>
        <w:t>人员经费用途主要包括</w:t>
      </w:r>
      <w:r>
        <w:rPr>
          <w:rFonts w:hint="eastAsia" w:ascii="方正仿宋_GBK" w:hAnsi="Times New Roman" w:eastAsia="方正仿宋_GBK" w:cs="Times New Roman"/>
          <w:kern w:val="2"/>
          <w:sz w:val="32"/>
          <w:szCs w:val="32"/>
          <w:lang w:val="en-US" w:eastAsia="zh-CN" w:bidi="ar-SA"/>
        </w:rPr>
        <w:t>支付本单位职工工资、绩效及社保缴费等。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225.88</w:t>
      </w:r>
      <w:r>
        <w:rPr>
          <w:rFonts w:ascii="方正仿宋_GBK" w:hAnsi="方正仿宋_GBK" w:eastAsia="方正仿宋_GBK" w:cs="方正仿宋_GBK"/>
          <w:sz w:val="32"/>
          <w:szCs w:val="32"/>
          <w:shd w:val="clear" w:color="auto" w:fill="FFFFFF"/>
        </w:rPr>
        <w:t>万元，与2023年度相比，减少44.33万元，下降16.4%，主要</w:t>
      </w:r>
      <w:r>
        <w:rPr>
          <w:rFonts w:hint="eastAsia" w:ascii="方正仿宋_GBK" w:hAnsi="方正仿宋_GBK" w:eastAsia="方正仿宋_GBK" w:cs="方正仿宋_GBK"/>
          <w:sz w:val="32"/>
          <w:szCs w:val="32"/>
          <w:shd w:val="clear" w:color="auto" w:fill="FFFFFF"/>
          <w:lang w:eastAsia="zh-CN"/>
        </w:rPr>
        <w:t>原因是财政资金紧张，公用经费未能拨付。</w:t>
      </w:r>
      <w:r>
        <w:rPr>
          <w:rFonts w:ascii="方正仿宋_GBK" w:hAnsi="方正仿宋_GBK" w:eastAsia="方正仿宋_GBK" w:cs="方正仿宋_GBK"/>
          <w:sz w:val="32"/>
          <w:szCs w:val="32"/>
          <w:shd w:val="clear" w:color="auto" w:fill="FFFFFF"/>
        </w:rPr>
        <w:t>公用经费用途主要包括</w:t>
      </w:r>
      <w:r>
        <w:rPr>
          <w:rFonts w:hint="eastAsia" w:ascii="方正仿宋_GBK" w:hAnsi="Times New Roman" w:eastAsia="方正仿宋_GBK" w:cs="Times New Roman"/>
          <w:kern w:val="2"/>
          <w:sz w:val="32"/>
          <w:szCs w:val="32"/>
          <w:lang w:val="en-US" w:eastAsia="zh-CN" w:bidi="ar-SA"/>
        </w:rPr>
        <w:t>日常运行的办公费、差旅费、劳务费，以及项目评审委托业务费用等经费。</w:t>
      </w:r>
    </w:p>
    <w:p>
      <w:pPr>
        <w:pStyle w:val="9"/>
        <w:keepNext w:val="0"/>
        <w:keepLines w:val="0"/>
        <w:pageBreakBefore w:val="0"/>
        <w:widowControl w:val="0"/>
        <w:kinsoku/>
        <w:wordWrap/>
        <w:overflowPunct/>
        <w:topLinePunct w:val="0"/>
        <w:autoSpaceDE w:val="0"/>
        <w:autoSpaceDN/>
        <w:bidi w:val="0"/>
        <w:adjustRightInd/>
        <w:ind w:firstLine="640" w:firstLineChars="200"/>
        <w:jc w:val="both"/>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（五）政府性基金预算收支决算情况说明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32.29</w:t>
      </w:r>
      <w:r>
        <w:rPr>
          <w:rFonts w:ascii="方正仿宋_GBK" w:hAnsi="方正仿宋_GBK" w:eastAsia="方正仿宋_GBK" w:cs="方正仿宋_GBK"/>
          <w:sz w:val="32"/>
          <w:szCs w:val="32"/>
          <w:shd w:val="clear" w:color="auto" w:fill="FFFFFF"/>
        </w:rPr>
        <w:t>万元，与2023年度相比，增加32.29万元，增长100.0%，主要原因是</w:t>
      </w:r>
      <w:r>
        <w:rPr>
          <w:rFonts w:hint="eastAsia" w:ascii="方正仿宋_GBK" w:hAnsi="方正仿宋_GBK" w:eastAsia="方正仿宋_GBK" w:cs="方正仿宋_GBK"/>
          <w:sz w:val="32"/>
          <w:szCs w:val="32"/>
          <w:shd w:val="clear" w:color="auto" w:fill="FFFFFF"/>
          <w:lang w:eastAsia="zh-CN"/>
        </w:rPr>
        <w:t>新增老年人活动广场项目</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32.29</w:t>
      </w:r>
      <w:r>
        <w:rPr>
          <w:rFonts w:ascii="方正仿宋_GBK" w:hAnsi="方正仿宋_GBK" w:eastAsia="方正仿宋_GBK" w:cs="方正仿宋_GBK"/>
          <w:sz w:val="32"/>
          <w:szCs w:val="32"/>
          <w:shd w:val="clear" w:color="auto" w:fill="FFFFFF"/>
        </w:rPr>
        <w:t>万元，与2023年度相比，增加32.29万元，增长100.0%，主要原因是</w:t>
      </w:r>
      <w:r>
        <w:rPr>
          <w:rFonts w:hint="eastAsia" w:ascii="方正仿宋_GBK" w:hAnsi="方正仿宋_GBK" w:eastAsia="方正仿宋_GBK" w:cs="方正仿宋_GBK"/>
          <w:sz w:val="32"/>
          <w:szCs w:val="32"/>
          <w:shd w:val="clear" w:color="auto" w:fill="FFFFFF"/>
          <w:lang w:eastAsia="zh-CN"/>
        </w:rPr>
        <w:t>新增老年人活动广场项目</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ind w:firstLine="640" w:firstLineChars="200"/>
        <w:jc w:val="both"/>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（六）国有资本经营预算财政拨款支出决算情况说明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ascii="方正仿宋_GBK" w:hAnsi="方正仿宋_GBK" w:eastAsia="方正仿宋_GBK" w:cs="方正仿宋_GBK"/>
          <w:sz w:val="32"/>
          <w:szCs w:val="32"/>
          <w:shd w:val="clear" w:color="auto" w:fill="FFFFFF"/>
        </w:rPr>
        <w:t> 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r>
        <w:rPr>
          <w:rFonts w:hint="eastAsia" w:ascii="方正黑体_GBK" w:hAnsi="Times New Roman" w:eastAsia="方正黑体_GBK" w:cs="Times New Roman"/>
          <w:kern w:val="2"/>
          <w:sz w:val="32"/>
          <w:szCs w:val="32"/>
          <w:lang w:val="en-US" w:eastAsia="zh-CN" w:bidi="ar-SA"/>
        </w:rPr>
        <w:t>三、财政拨款“三公”经费情况说明</w:t>
      </w:r>
    </w:p>
    <w:p>
      <w:pPr>
        <w:pStyle w:val="9"/>
        <w:keepNext w:val="0"/>
        <w:keepLines w:val="0"/>
        <w:pageBreakBefore w:val="0"/>
        <w:widowControl w:val="0"/>
        <w:kinsoku/>
        <w:wordWrap/>
        <w:overflowPunct/>
        <w:topLinePunct w:val="0"/>
        <w:autoSpaceDE w:val="0"/>
        <w:autoSpaceDN/>
        <w:bidi w:val="0"/>
        <w:adjustRightInd/>
        <w:ind w:firstLine="640" w:firstLineChars="200"/>
        <w:jc w:val="both"/>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 xml:space="preserve"> （一）“三公”经费支出总体情况说明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8.67</w:t>
      </w:r>
      <w:r>
        <w:rPr>
          <w:rFonts w:ascii="方正仿宋_GBK" w:hAnsi="方正仿宋_GBK" w:eastAsia="方正仿宋_GBK" w:cs="方正仿宋_GBK"/>
          <w:sz w:val="32"/>
          <w:szCs w:val="32"/>
          <w:shd w:val="clear" w:color="auto" w:fill="FFFFFF"/>
        </w:rPr>
        <w:t>万元，较年初预算数减少1.43万元，下降14.2%，主要原因是</w:t>
      </w:r>
      <w:r>
        <w:rPr>
          <w:rFonts w:hint="eastAsia" w:ascii="方正仿宋_GBK" w:hAnsi="Times New Roman" w:eastAsia="方正仿宋_GBK" w:cs="Times New Roman"/>
          <w:kern w:val="2"/>
          <w:sz w:val="32"/>
          <w:szCs w:val="32"/>
          <w:lang w:val="en-US" w:eastAsia="zh-CN" w:bidi="ar-SA"/>
        </w:rPr>
        <w:t>缩减经费，降低“三公”开支。</w:t>
      </w:r>
      <w:r>
        <w:rPr>
          <w:rFonts w:ascii="方正仿宋_GBK" w:hAnsi="方正仿宋_GBK" w:eastAsia="方正仿宋_GBK" w:cs="方正仿宋_GBK"/>
          <w:sz w:val="32"/>
          <w:szCs w:val="32"/>
          <w:shd w:val="clear" w:color="auto" w:fill="FFFFFF"/>
        </w:rPr>
        <w:t>较上年支出数减少1.30万元，下降13.0%，主要原因是</w:t>
      </w:r>
      <w:r>
        <w:rPr>
          <w:rFonts w:hint="eastAsia" w:ascii="方正仿宋_GBK" w:hAnsi="Times New Roman" w:eastAsia="方正仿宋_GBK" w:cs="Times New Roman"/>
          <w:kern w:val="2"/>
          <w:sz w:val="32"/>
          <w:szCs w:val="32"/>
          <w:lang w:val="en-US" w:eastAsia="zh-CN" w:bidi="ar-SA"/>
        </w:rPr>
        <w:t>缩减经费，降低“三公”开支。</w:t>
      </w:r>
    </w:p>
    <w:p>
      <w:pPr>
        <w:pStyle w:val="9"/>
        <w:keepNext w:val="0"/>
        <w:keepLines w:val="0"/>
        <w:pageBreakBefore w:val="0"/>
        <w:widowControl w:val="0"/>
        <w:kinsoku/>
        <w:wordWrap/>
        <w:overflowPunct/>
        <w:topLinePunct w:val="0"/>
        <w:autoSpaceDE w:val="0"/>
        <w:autoSpaceDN/>
        <w:bidi w:val="0"/>
        <w:adjustRightInd/>
        <w:ind w:firstLine="640" w:firstLineChars="200"/>
        <w:jc w:val="both"/>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（二）“三公”经费分项支出情况</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7.87</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车辆保险、维修以及日常使用费用</w:t>
      </w:r>
      <w:r>
        <w:rPr>
          <w:rFonts w:ascii="方正仿宋_GBK" w:hAnsi="方正仿宋_GBK" w:eastAsia="方正仿宋_GBK" w:cs="方正仿宋_GBK"/>
          <w:sz w:val="32"/>
          <w:szCs w:val="32"/>
          <w:shd w:val="clear" w:color="auto" w:fill="FFFFFF"/>
        </w:rPr>
        <w:t>。费用支出较年初预算数减少1.93万元，下降19.7%，主要原因是</w:t>
      </w:r>
      <w:r>
        <w:rPr>
          <w:rFonts w:hint="eastAsia" w:ascii="方正仿宋_GBK" w:hAnsi="Times New Roman" w:eastAsia="方正仿宋_GBK" w:cs="Times New Roman"/>
          <w:kern w:val="2"/>
          <w:sz w:val="32"/>
          <w:szCs w:val="32"/>
          <w:lang w:val="en-US" w:eastAsia="zh-CN" w:bidi="ar-SA"/>
        </w:rPr>
        <w:t>更加规范公务车使用。</w:t>
      </w:r>
      <w:r>
        <w:rPr>
          <w:rFonts w:ascii="方正仿宋_GBK" w:hAnsi="方正仿宋_GBK" w:eastAsia="方正仿宋_GBK" w:cs="方正仿宋_GBK"/>
          <w:sz w:val="32"/>
          <w:szCs w:val="32"/>
          <w:shd w:val="clear" w:color="auto" w:fill="FFFFFF"/>
        </w:rPr>
        <w:t>较上年支出数减少0.88万元，下降10.1%，主要原因是</w:t>
      </w:r>
      <w:r>
        <w:rPr>
          <w:rFonts w:hint="eastAsia" w:ascii="方正仿宋_GBK" w:hAnsi="Times New Roman" w:eastAsia="方正仿宋_GBK" w:cs="Times New Roman"/>
          <w:kern w:val="2"/>
          <w:sz w:val="32"/>
          <w:szCs w:val="32"/>
          <w:lang w:val="en-US" w:eastAsia="zh-CN" w:bidi="ar-SA"/>
        </w:rPr>
        <w:t>更加规范公务车使用。</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0.80</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其他单位学习交流以及各类检查</w:t>
      </w:r>
      <w:r>
        <w:rPr>
          <w:rFonts w:ascii="方正仿宋_GBK" w:hAnsi="方正仿宋_GBK" w:eastAsia="方正仿宋_GBK" w:cs="方正仿宋_GBK"/>
          <w:sz w:val="32"/>
          <w:szCs w:val="32"/>
          <w:shd w:val="clear" w:color="auto" w:fill="FFFFFF"/>
        </w:rPr>
        <w:t>。费用支出较年初预算数增加0.50万元，增长166.7%，主要原因是</w:t>
      </w:r>
      <w:r>
        <w:rPr>
          <w:rFonts w:hint="eastAsia" w:ascii="方正仿宋_GBK" w:hAnsi="方正仿宋_GBK" w:eastAsia="方正仿宋_GBK" w:cs="方正仿宋_GBK"/>
          <w:sz w:val="32"/>
          <w:szCs w:val="32"/>
          <w:shd w:val="clear" w:color="auto" w:fill="FFFFFF"/>
          <w:lang w:eastAsia="zh-CN"/>
        </w:rPr>
        <w:t>预计会有较多的考察。</w:t>
      </w:r>
      <w:r>
        <w:rPr>
          <w:rFonts w:ascii="方正仿宋_GBK" w:hAnsi="方正仿宋_GBK" w:eastAsia="方正仿宋_GBK" w:cs="方正仿宋_GBK"/>
          <w:sz w:val="32"/>
          <w:szCs w:val="32"/>
          <w:shd w:val="clear" w:color="auto" w:fill="FFFFFF"/>
        </w:rPr>
        <w:t>较上年支出数减少0.41万元，下降33.9%，主要原因是</w:t>
      </w:r>
      <w:r>
        <w:rPr>
          <w:rFonts w:hint="eastAsia" w:ascii="方正仿宋_GBK" w:hAnsi="方正仿宋_GBK" w:eastAsia="方正仿宋_GBK" w:cs="方正仿宋_GBK"/>
          <w:sz w:val="32"/>
          <w:szCs w:val="32"/>
          <w:shd w:val="clear" w:color="auto" w:fill="FFFFFF"/>
          <w:lang w:val="en-US" w:eastAsia="zh-CN"/>
        </w:rPr>
        <w:t>减少公务接待，缩减经费</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ind w:firstLine="640" w:firstLineChars="200"/>
        <w:jc w:val="both"/>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（三）“三公”经费实物量情况</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50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39.76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1.31</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val="0"/>
        <w:shd w:val="clear" w:color="auto" w:fill="FFFFFF"/>
        <w:kinsoku/>
        <w:wordWrap/>
        <w:overflowPunct/>
        <w:topLinePunct w:val="0"/>
        <w:autoSpaceDN/>
        <w:bidi w:val="0"/>
        <w:adjustRightInd/>
        <w:ind w:firstLine="640" w:firstLineChars="200"/>
        <w:jc w:val="both"/>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四、其他需要说明的事项</w:t>
      </w:r>
    </w:p>
    <w:p>
      <w:pPr>
        <w:pStyle w:val="5"/>
        <w:keepNext w:val="0"/>
        <w:keepLines w:val="0"/>
        <w:pageBreakBefore w:val="0"/>
        <w:widowControl w:val="0"/>
        <w:shd w:val="clear" w:color="auto" w:fill="FFFFFF"/>
        <w:kinsoku/>
        <w:wordWrap/>
        <w:overflowPunct/>
        <w:topLinePunct w:val="0"/>
        <w:autoSpaceDN/>
        <w:bidi w:val="0"/>
        <w:adjustRightInd/>
        <w:ind w:firstLine="640" w:firstLineChars="200"/>
        <w:jc w:val="both"/>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  （一）财政拨款会议费和培训费情况说明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1.02</w:t>
      </w:r>
      <w:r>
        <w:rPr>
          <w:rFonts w:ascii="方正仿宋_GBK" w:hAnsi="方正仿宋_GBK" w:eastAsia="方正仿宋_GBK" w:cs="方正仿宋_GBK"/>
          <w:sz w:val="32"/>
          <w:szCs w:val="32"/>
          <w:shd w:val="clear" w:color="auto" w:fill="FFFFFF"/>
        </w:rPr>
        <w:t>万元，与2023年度相比，增加0.84万元，增长466.7%，主要原因是</w:t>
      </w:r>
      <w:r>
        <w:rPr>
          <w:rFonts w:hint="eastAsia" w:ascii="方正仿宋_GBK" w:hAnsi="方正仿宋_GBK" w:eastAsia="方正仿宋_GBK" w:cs="方正仿宋_GBK"/>
          <w:sz w:val="32"/>
          <w:szCs w:val="32"/>
          <w:shd w:val="clear" w:color="auto" w:fill="FFFFFF"/>
          <w:lang w:eastAsia="zh-CN"/>
        </w:rPr>
        <w:t>本年度会议次数增加以及将以往部分差旅费的会计科目转到会议费</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2.74</w:t>
      </w:r>
      <w:r>
        <w:rPr>
          <w:rFonts w:ascii="方正仿宋_GBK" w:hAnsi="方正仿宋_GBK" w:eastAsia="方正仿宋_GBK" w:cs="方正仿宋_GBK"/>
          <w:sz w:val="32"/>
          <w:szCs w:val="32"/>
          <w:shd w:val="clear" w:color="auto" w:fill="FFFFFF"/>
        </w:rPr>
        <w:t>万元，与2023年度相比，减少1.33万元，下降32.7%，主要原因是</w:t>
      </w:r>
      <w:r>
        <w:rPr>
          <w:rFonts w:hint="eastAsia" w:ascii="方正仿宋_GBK" w:hAnsi="方正仿宋_GBK" w:eastAsia="方正仿宋_GBK" w:cs="方正仿宋_GBK"/>
          <w:sz w:val="32"/>
          <w:szCs w:val="32"/>
          <w:shd w:val="clear" w:color="auto" w:fill="FFFFFF"/>
          <w:lang w:eastAsia="zh-CN"/>
        </w:rPr>
        <w:t>本年度外出学习较少</w:t>
      </w:r>
      <w:r>
        <w:rPr>
          <w:rFonts w:ascii="方正仿宋_GBK" w:hAnsi="方正仿宋_GBK" w:eastAsia="方正仿宋_GBK" w:cs="方正仿宋_GBK"/>
          <w:sz w:val="32"/>
          <w:szCs w:val="32"/>
          <w:shd w:val="clear" w:color="auto" w:fill="FFFFFF"/>
        </w:rPr>
        <w:t>。</w:t>
      </w:r>
    </w:p>
    <w:p>
      <w:pPr>
        <w:pStyle w:val="9"/>
        <w:keepNext w:val="0"/>
        <w:keepLines w:val="0"/>
        <w:pageBreakBefore w:val="0"/>
        <w:kinsoku/>
        <w:wordWrap/>
        <w:overflowPunct/>
        <w:topLinePunct w:val="0"/>
        <w:autoSpaceDE w:val="0"/>
        <w:autoSpaceDN/>
        <w:bidi w:val="0"/>
        <w:adjustRightInd/>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（二）机关运行经费情况说明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123.04</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rPr>
        <w:t>日常运行的办公费、差旅费、劳务费</w:t>
      </w:r>
      <w:r>
        <w:rPr>
          <w:rFonts w:ascii="方正仿宋_GBK" w:hAnsi="方正仿宋_GBK" w:eastAsia="方正仿宋_GBK" w:cs="方正仿宋_GBK"/>
          <w:sz w:val="32"/>
          <w:szCs w:val="32"/>
          <w:shd w:val="clear" w:color="auto" w:fill="FFFFFF"/>
        </w:rPr>
        <w:t>。机关运行经费较上年支出数减少9.85万元，下降7.4%，主要原因是</w:t>
      </w:r>
      <w:r>
        <w:rPr>
          <w:rFonts w:hint="eastAsia" w:ascii="方正仿宋_GBK" w:hAnsi="方正仿宋_GBK" w:eastAsia="方正仿宋_GBK" w:cs="方正仿宋_GBK"/>
          <w:sz w:val="32"/>
          <w:szCs w:val="32"/>
          <w:shd w:val="clear" w:color="auto" w:fill="FFFFFF"/>
          <w:lang w:eastAsia="zh-CN"/>
        </w:rPr>
        <w:t>压缩经费，减少非必要支出，严格规范差旅费发放</w:t>
      </w:r>
      <w:r>
        <w:rPr>
          <w:rFonts w:ascii="方正仿宋_GBK" w:hAnsi="方正仿宋_GBK" w:eastAsia="方正仿宋_GBK" w:cs="方正仿宋_GBK"/>
          <w:sz w:val="32"/>
          <w:szCs w:val="32"/>
          <w:shd w:val="clear" w:color="auto" w:fill="FFFFFF"/>
        </w:rPr>
        <w:t>。</w:t>
      </w:r>
    </w:p>
    <w:p>
      <w:pPr>
        <w:pStyle w:val="9"/>
        <w:keepNext w:val="0"/>
        <w:keepLines w:val="0"/>
        <w:pageBreakBefore w:val="0"/>
        <w:kinsoku/>
        <w:wordWrap/>
        <w:overflowPunct/>
        <w:topLinePunct w:val="0"/>
        <w:autoSpaceDE w:val="0"/>
        <w:autoSpaceDN/>
        <w:bidi w:val="0"/>
        <w:adjustRightInd/>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（三）国有资产占用情况说明</w:t>
      </w:r>
    </w:p>
    <w:p>
      <w:pPr>
        <w:pStyle w:val="9"/>
        <w:keepNext w:val="0"/>
        <w:keepLines w:val="0"/>
        <w:pageBreakBefore w:val="0"/>
        <w:kinsoku/>
        <w:wordWrap/>
        <w:overflowPunct/>
        <w:topLinePunct w:val="0"/>
        <w:autoSpaceDE w:val="0"/>
        <w:autoSpaceDN/>
        <w:bidi w:val="0"/>
        <w:adjustRightInd/>
        <w:ind w:firstLine="640" w:firstLineChars="200"/>
        <w:textAlignment w:val="auto"/>
        <w:rPr>
          <w:rFonts w:hint="default"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截至2024年12月31日，本部门共有车辆6辆，其中，副部（省）级及以上领导用车0辆、主要负责人用车0辆、机要通信用车0辆、应急保障用车3辆、执法执勤用车0辆，特种专业技术用车3辆，离退休干部用车0辆。单价100万元（含）以上专用设备0台（套）。</w:t>
      </w:r>
    </w:p>
    <w:p>
      <w:pPr>
        <w:pStyle w:val="9"/>
        <w:keepNext w:val="0"/>
        <w:keepLines w:val="0"/>
        <w:pageBreakBefore w:val="0"/>
        <w:kinsoku/>
        <w:wordWrap/>
        <w:overflowPunct/>
        <w:topLinePunct w:val="0"/>
        <w:autoSpaceDE w:val="0"/>
        <w:autoSpaceDN/>
        <w:bidi w:val="0"/>
        <w:adjustRightInd/>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（四）政府采购支出情况说明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2.08</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2.08</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1.78万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85.58</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1.78</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85.58</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电脑、打印机。</w:t>
      </w:r>
    </w:p>
    <w:p>
      <w:pPr>
        <w:pStyle w:val="5"/>
        <w:keepNext w:val="0"/>
        <w:keepLines w:val="0"/>
        <w:pageBreakBefore w:val="0"/>
        <w:widowControl w:val="0"/>
        <w:shd w:val="clear" w:color="auto" w:fill="FFFFFF"/>
        <w:kinsoku/>
        <w:wordWrap/>
        <w:overflowPunct/>
        <w:topLinePunct w:val="0"/>
        <w:autoSpaceDN/>
        <w:bidi w:val="0"/>
        <w:adjustRightInd/>
        <w:ind w:firstLine="640" w:firstLineChars="200"/>
        <w:jc w:val="both"/>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楷体" w:hAnsi="楷体" w:eastAsia="楷体" w:cs="楷体"/>
          <w:b/>
          <w:bCs/>
          <w:kern w:val="0"/>
          <w:sz w:val="32"/>
          <w:szCs w:val="32"/>
          <w:shd w:val="clear" w:fill="FFFFFF"/>
        </w:rPr>
      </w:pPr>
      <w:r>
        <w:rPr>
          <w:rFonts w:hint="eastAsia" w:ascii="方正楷体_GBK" w:hAnsi="Times New Roman" w:eastAsia="方正楷体_GBK" w:cs="Times New Roman"/>
          <w:kern w:val="2"/>
          <w:sz w:val="32"/>
          <w:szCs w:val="32"/>
          <w:lang w:val="en-US" w:eastAsia="zh-CN" w:bidi="ar-SA"/>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根据预算绩效管理要求，我部门对部门整体和</w:t>
      </w:r>
      <w:r>
        <w:rPr>
          <w:rFonts w:hint="eastAsia" w:ascii="方正仿宋_GBK" w:hAnsi="方正仿宋_GBK" w:eastAsia="方正仿宋_GBK" w:cs="方正仿宋_GBK"/>
          <w:kern w:val="0"/>
          <w:sz w:val="32"/>
          <w:szCs w:val="32"/>
          <w:shd w:val="clear" w:fill="FFFFFF"/>
          <w:lang w:val="en-US" w:eastAsia="zh-CN"/>
        </w:rPr>
        <w:t>28</w:t>
      </w:r>
      <w:r>
        <w:rPr>
          <w:rFonts w:hint="eastAsia" w:ascii="方正仿宋_GBK" w:hAnsi="方正仿宋_GBK" w:eastAsia="方正仿宋_GBK" w:cs="方正仿宋_GBK"/>
          <w:kern w:val="0"/>
          <w:sz w:val="32"/>
          <w:szCs w:val="32"/>
          <w:shd w:val="clear" w:fill="FFFFFF"/>
        </w:rPr>
        <w:t>个项目开展了绩效自评，其中，以填报自评表形式开展自评</w:t>
      </w:r>
      <w:r>
        <w:rPr>
          <w:rFonts w:hint="eastAsia" w:ascii="方正仿宋_GBK" w:hAnsi="方正仿宋_GBK" w:eastAsia="方正仿宋_GBK" w:cs="方正仿宋_GBK"/>
          <w:kern w:val="0"/>
          <w:sz w:val="32"/>
          <w:szCs w:val="32"/>
          <w:shd w:val="clear" w:fill="FFFFFF"/>
          <w:lang w:val="en-US" w:eastAsia="zh-CN"/>
        </w:rPr>
        <w:t>28</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733.43</w:t>
      </w:r>
      <w:r>
        <w:rPr>
          <w:rFonts w:hint="eastAsia" w:ascii="方正仿宋_GBK" w:hAnsi="方正仿宋_GBK" w:eastAsia="方正仿宋_GBK" w:cs="方正仿宋_GBK"/>
          <w:kern w:val="0"/>
          <w:sz w:val="32"/>
          <w:szCs w:val="32"/>
          <w:shd w:val="clear" w:fill="FFFFFF"/>
        </w:rPr>
        <w:t>万元。</w:t>
      </w:r>
    </w:p>
    <w:p>
      <w:pPr>
        <w:pStyle w:val="9"/>
        <w:keepNext w:val="0"/>
        <w:keepLines w:val="0"/>
        <w:pageBreakBefore w:val="0"/>
        <w:kinsoku/>
        <w:wordWrap/>
        <w:overflowPunct/>
        <w:topLinePunct w:val="0"/>
        <w:autoSpaceDE w:val="0"/>
        <w:autoSpaceDN/>
        <w:bidi w:val="0"/>
        <w:adjustRightInd/>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（二）绩效自评结果</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（1）部门整体绩效自评表。</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（2）项目绩效自评表。</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详见各二级预算单位决算公开报告。</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2.绩效自评报告或案例。</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详见各二级预算单位决算公开报告。</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我部门对</w:t>
      </w:r>
      <w:r>
        <w:rPr>
          <w:rFonts w:hint="eastAsia" w:ascii="方正仿宋_GBK" w:hAnsi="方正仿宋_GBK" w:eastAsia="方正仿宋_GBK" w:cs="方正仿宋_GBK"/>
          <w:kern w:val="0"/>
          <w:sz w:val="32"/>
          <w:szCs w:val="32"/>
          <w:shd w:val="clear" w:fill="FFFFFF"/>
          <w:lang w:val="en-US" w:eastAsia="zh-CN"/>
        </w:rPr>
        <w:t>28</w:t>
      </w:r>
      <w:r>
        <w:rPr>
          <w:rFonts w:hint="eastAsia" w:ascii="方正仿宋_GBK" w:hAnsi="方正仿宋_GBK" w:eastAsia="方正仿宋_GBK" w:cs="方正仿宋_GBK"/>
          <w:kern w:val="0"/>
          <w:sz w:val="32"/>
          <w:szCs w:val="32"/>
          <w:shd w:val="clear" w:fill="FFFFFF"/>
        </w:rPr>
        <w:t>个(所有二级预算单位的项目个数之和)项目进行绩效自评，其中</w:t>
      </w:r>
      <w:r>
        <w:rPr>
          <w:rFonts w:hint="eastAsia" w:ascii="方正仿宋_GBK" w:hAnsi="方正仿宋_GBK" w:eastAsia="方正仿宋_GBK" w:cs="方正仿宋_GBK"/>
          <w:kern w:val="0"/>
          <w:sz w:val="32"/>
          <w:szCs w:val="32"/>
          <w:shd w:val="clear" w:fill="FFFFFF"/>
          <w:lang w:val="en-US" w:eastAsia="zh-CN"/>
        </w:rPr>
        <w:t>28</w:t>
      </w:r>
      <w:r>
        <w:rPr>
          <w:rFonts w:hint="eastAsia" w:ascii="方正仿宋_GBK" w:hAnsi="方正仿宋_GBK" w:eastAsia="方正仿宋_GBK" w:cs="方正仿宋_GBK"/>
          <w:kern w:val="0"/>
          <w:sz w:val="32"/>
          <w:szCs w:val="32"/>
          <w:shd w:val="clear" w:fill="FFFFFF"/>
        </w:rPr>
        <w:t>个已完成年度绩效目标。</w:t>
      </w:r>
    </w:p>
    <w:p>
      <w:pPr>
        <w:pStyle w:val="9"/>
        <w:keepNext w:val="0"/>
        <w:keepLines w:val="0"/>
        <w:pageBreakBefore w:val="0"/>
        <w:kinsoku/>
        <w:wordWrap/>
        <w:overflowPunct/>
        <w:topLinePunct w:val="0"/>
        <w:autoSpaceDE w:val="0"/>
        <w:autoSpaceDN/>
        <w:bidi w:val="0"/>
        <w:adjustRightInd/>
        <w:ind w:firstLine="640" w:firstLineChars="200"/>
        <w:textAlignment w:val="auto"/>
        <w:rPr>
          <w:rFonts w:hint="default"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 xml:space="preserve">（三）财政重点绩效评价情况 </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我单位无财政重点绩效评价项目。</w:t>
      </w:r>
    </w:p>
    <w:p>
      <w:pPr>
        <w:pStyle w:val="5"/>
        <w:keepNext w:val="0"/>
        <w:keepLines w:val="0"/>
        <w:pageBreakBefore w:val="0"/>
        <w:shd w:val="clear" w:color="auto" w:fill="FFFFFF"/>
        <w:kinsoku/>
        <w:wordWrap/>
        <w:overflowPunct/>
        <w:topLinePunct w:val="0"/>
        <w:autoSpaceDN/>
        <w:bidi w:val="0"/>
        <w:adjustRightInd/>
        <w:ind w:firstLine="643" w:firstLineChars="200"/>
        <w:textAlignment w:val="auto"/>
        <w:rPr>
          <w:rFonts w:hint="eastAsia" w:ascii="方正黑体_GBK" w:hAnsi="Times New Roman" w:eastAsia="方正黑体_GBK" w:cs="Times New Roman"/>
          <w:kern w:val="2"/>
          <w:sz w:val="32"/>
          <w:szCs w:val="32"/>
          <w:lang w:val="en-US" w:eastAsia="zh-CN" w:bidi="ar-SA"/>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Fonts w:hint="eastAsia" w:ascii="方正黑体_GBK" w:hAnsi="Times New Roman" w:eastAsia="方正黑体_GBK" w:cs="Times New Roman"/>
          <w:kern w:val="2"/>
          <w:sz w:val="32"/>
          <w:szCs w:val="32"/>
          <w:lang w:val="en-US" w:eastAsia="zh-CN" w:bidi="ar-SA"/>
        </w:rPr>
        <w:t>  六、专业名词解释</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 （一）财政拨款收入</w:t>
      </w:r>
      <w:r>
        <w:rPr>
          <w:rFonts w:hint="eastAsia" w:ascii="方正仿宋_GBK" w:hAnsi="Times New Roman" w:eastAsia="方正仿宋_GBK" w:cs="Times New Roman"/>
          <w:kern w:val="2"/>
          <w:sz w:val="32"/>
          <w:szCs w:val="32"/>
          <w:lang w:val="en-US" w:eastAsia="zh-CN" w:bidi="ar-SA"/>
        </w:rPr>
        <w:t>：指本年度从本级财政部门取得的财政拨款，包括一般公共预算财政拨款和政府性基金预算财政拨款。</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w:t>
      </w:r>
      <w:r>
        <w:rPr>
          <w:rFonts w:hint="eastAsia" w:ascii="方正楷体_GBK" w:hAnsi="Times New Roman" w:eastAsia="方正楷体_GBK" w:cs="Times New Roman"/>
          <w:kern w:val="2"/>
          <w:sz w:val="32"/>
          <w:szCs w:val="32"/>
          <w:lang w:val="en-US" w:eastAsia="zh-CN" w:bidi="ar-SA"/>
        </w:rPr>
        <w:t>（二）事业收入</w:t>
      </w:r>
      <w:r>
        <w:rPr>
          <w:rFonts w:hint="eastAsia" w:ascii="方正仿宋_GBK" w:hAnsi="Times New Roman" w:eastAsia="方正仿宋_GBK" w:cs="Times New Roman"/>
          <w:kern w:val="2"/>
          <w:sz w:val="32"/>
          <w:szCs w:val="32"/>
          <w:lang w:val="en-US" w:eastAsia="zh-CN" w:bidi="ar-SA"/>
        </w:rPr>
        <w:t>：指事业单位开展专业业务活动及其辅助活动取得的现金流入；事业单位收到的财政专户实际核拨的教育收费等资金在此反映。</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 （三）经营收入</w:t>
      </w:r>
      <w:r>
        <w:rPr>
          <w:rFonts w:hint="eastAsia" w:ascii="方正仿宋_GBK" w:hAnsi="Times New Roman" w:eastAsia="方正仿宋_GBK" w:cs="Times New Roman"/>
          <w:kern w:val="2"/>
          <w:sz w:val="32"/>
          <w:szCs w:val="32"/>
          <w:lang w:val="en-US" w:eastAsia="zh-CN" w:bidi="ar-SA"/>
        </w:rPr>
        <w:t>：指事业单位在专业业务活动及其辅助活动之外开展非独立核算经营活动取得的现金流入。</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 （四）其他收入</w:t>
      </w:r>
      <w:r>
        <w:rPr>
          <w:rFonts w:hint="eastAsia" w:ascii="方正仿宋_GBK" w:hAnsi="Times New Roman" w:eastAsia="方正仿宋_GBK" w:cs="Times New Roman"/>
          <w:kern w:val="2"/>
          <w:sz w:val="32"/>
          <w:szCs w:val="32"/>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（五）使用非财政拨款结余</w:t>
      </w:r>
      <w:r>
        <w:rPr>
          <w:rFonts w:hint="eastAsia" w:ascii="方正仿宋_GBK" w:hAnsi="Times New Roman" w:eastAsia="方正仿宋_GBK" w:cs="Times New Roman"/>
          <w:kern w:val="2"/>
          <w:sz w:val="32"/>
          <w:szCs w:val="32"/>
          <w:lang w:val="en-US" w:eastAsia="zh-CN" w:bidi="ar-SA"/>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（六）年初结转和结余：指单位上年结转本年使用的基本支出结转、项目支出结转和结余、经营结余。</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（七）结余分配：指单位按照国家有关规定，缴纳所得税、提取专用基金、转入非财政拨款结余等当年结余的分配情况。</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（八）年末结转和结余：指单位结转下年的基本支出结转、项目支出结转和结余、经营结余。</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（十）项目支出：指在基本支出之外为完成特定行政任务和事业发展目标所发生的支出。</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（十一）经营支出：指事业单位在专业业务活动及其辅助活动之外开展非独立核算经营活动发生的支出。</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（十四）工资福利支出（支出经济分类科目类级）：反映单位开支的在职职工和编制外长期聘用人员的各类劳动报酬，以及为上述人员缴纳的各项社会保险费等。</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（十五）商品和服务支出（支出经济分类科目类级）：反映单位购买商品和服务的支出（不包括用于购置固定资产的支出、战略性和应急储备支出）。</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（十六）对个人和家庭的补助（支出经济分类科目类级）：反映用于对个人和家庭的补助支出。</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shd w:val="clear" w:color="auto" w:fill="FFFFFF"/>
        <w:kinsoku/>
        <w:wordWrap/>
        <w:overflowPunct/>
        <w:topLinePunct w:val="0"/>
        <w:autoSpaceDN/>
        <w:bidi w:val="0"/>
        <w:adjustRightInd/>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  七、决算公开联系方式及信息反馈渠道</w:t>
      </w:r>
    </w:p>
    <w:p>
      <w:pPr>
        <w:pStyle w:val="14"/>
        <w:keepNext w:val="0"/>
        <w:keepLines w:val="0"/>
        <w:pageBreakBefore w:val="0"/>
        <w:kinsoku/>
        <w:wordWrap/>
        <w:overflowPunct/>
        <w:topLinePunct w:val="0"/>
        <w:autoSpaceDN/>
        <w:bidi w:val="0"/>
        <w:adjustRightInd/>
        <w:snapToGrid w:val="0"/>
        <w:spacing w:before="0" w:beforeLines="0" w:beforeAutospacing="0" w:after="0" w:afterLines="0" w:afterAutospacing="0" w:line="60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本单位决算公开信息反馈和联系方式：郭益民023-45430581</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420" w:firstLineChars="200"/>
        <w:jc w:val="both"/>
        <w:textAlignment w:val="auto"/>
        <w:rPr>
          <w:rFonts w:hint="default" w:ascii="宋体" w:hAnsi="宋体" w:eastAsia="宋体" w:cs="宋体"/>
          <w:sz w:val="21"/>
          <w:szCs w:val="21"/>
        </w:rPr>
      </w:pPr>
    </w:p>
    <w:sectPr>
      <w:headerReference r:id="rId3" w:type="default"/>
      <w:footerReference r:id="rId4" w:type="default"/>
      <w:pgSz w:w="11850" w:h="16783"/>
      <w:pgMar w:top="1440" w:right="1803" w:bottom="1440" w:left="1803"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54C24"/>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499333F"/>
    <w:rsid w:val="1580711B"/>
    <w:rsid w:val="16D80EBF"/>
    <w:rsid w:val="189B0D0B"/>
    <w:rsid w:val="18E03A42"/>
    <w:rsid w:val="19313430"/>
    <w:rsid w:val="194A1770"/>
    <w:rsid w:val="19B906A4"/>
    <w:rsid w:val="19BC4734"/>
    <w:rsid w:val="1A1F744B"/>
    <w:rsid w:val="1AB10093"/>
    <w:rsid w:val="1B501DE7"/>
    <w:rsid w:val="1B6F15B6"/>
    <w:rsid w:val="1BAA2EDC"/>
    <w:rsid w:val="1BC027C5"/>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6CD49EB"/>
    <w:rsid w:val="37841E99"/>
    <w:rsid w:val="379C594F"/>
    <w:rsid w:val="37BF1123"/>
    <w:rsid w:val="37C85E36"/>
    <w:rsid w:val="38BC1135"/>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9B0C57"/>
    <w:rsid w:val="4EA8523F"/>
    <w:rsid w:val="4F186D58"/>
    <w:rsid w:val="4F224836"/>
    <w:rsid w:val="51760217"/>
    <w:rsid w:val="51E36677"/>
    <w:rsid w:val="51F01F7D"/>
    <w:rsid w:val="522F6E0C"/>
    <w:rsid w:val="52463BA1"/>
    <w:rsid w:val="529F078E"/>
    <w:rsid w:val="53C0244D"/>
    <w:rsid w:val="53DD4D4E"/>
    <w:rsid w:val="53E578CE"/>
    <w:rsid w:val="53EA10F5"/>
    <w:rsid w:val="541768A0"/>
    <w:rsid w:val="543B029D"/>
    <w:rsid w:val="54977029"/>
    <w:rsid w:val="554E5773"/>
    <w:rsid w:val="555A3CBC"/>
    <w:rsid w:val="55EF4EA6"/>
    <w:rsid w:val="56530F5D"/>
    <w:rsid w:val="56EE372E"/>
    <w:rsid w:val="5842572D"/>
    <w:rsid w:val="598A28E2"/>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9B4468"/>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3F3B65"/>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3768BF"/>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p0"/>
    <w:basedOn w:val="1"/>
    <w:uiPriority w:val="0"/>
    <w:pPr>
      <w:widowControl/>
    </w:pPr>
    <w:rPr>
      <w:kern w:val="0"/>
      <w:szCs w:val="21"/>
    </w:rPr>
  </w:style>
  <w:style w:type="paragraph" w:customStyle="1" w:styleId="14">
    <w:name w:val="Normal (Web)"/>
    <w:basedOn w:val="1"/>
    <w:qFormat/>
    <w:uiPriority w:val="0"/>
    <w:pPr>
      <w:spacing w:before="100" w:beforeLines="0" w:beforeAutospacing="1" w:after="100" w:afterLines="0" w:afterAutospacing="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2</TotalTime>
  <ScaleCrop>false</ScaleCrop>
  <LinksUpToDate>false</LinksUpToDate>
  <CharactersWithSpaces>21460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半染</cp:lastModifiedBy>
  <dcterms:modified xsi:type="dcterms:W3CDTF">2025-11-04T09:10:44Z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ies>
</file>