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0"/>
        </w:tabs>
        <w:spacing w:line="600" w:lineRule="exact"/>
        <w:rPr>
          <w:rFonts w:hint="eastAsia" w:ascii="仿宋_GB2312" w:eastAsia="仿宋_GB2312"/>
          <w:b/>
          <w:color w:val="auto"/>
          <w:sz w:val="36"/>
          <w:szCs w:val="36"/>
          <w:lang w:eastAsia="zh-CN"/>
        </w:rPr>
      </w:pPr>
      <w:bookmarkStart w:id="0" w:name="_Toc5017"/>
      <w:bookmarkStart w:id="1" w:name="_Toc224103298"/>
      <w:bookmarkStart w:id="2" w:name="_Toc22260"/>
      <w:bookmarkStart w:id="3" w:name="_Toc287607727"/>
      <w:bookmarkStart w:id="4" w:name="_Toc277082535"/>
      <w:bookmarkStart w:id="5" w:name="_Toc22183"/>
      <w:r>
        <w:rPr>
          <w:rFonts w:hint="eastAsia" w:ascii="仿宋_GB2312" w:eastAsia="仿宋_GB2312"/>
          <w:b/>
          <w:color w:val="auto"/>
          <w:sz w:val="36"/>
          <w:szCs w:val="36"/>
        </w:rPr>
        <w:t>工程名称：</w:t>
      </w:r>
      <w:r>
        <w:rPr>
          <w:rFonts w:hint="eastAsia" w:ascii="仿宋_GB2312" w:eastAsia="仿宋_GB2312"/>
          <w:b/>
          <w:color w:val="auto"/>
          <w:sz w:val="36"/>
          <w:szCs w:val="36"/>
          <w:lang w:eastAsia="zh-CN"/>
        </w:rPr>
        <w:t xml:space="preserve">铜梁区福果镇久远河支流团实村段黑臭水体整治项目(第二次) </w:t>
      </w:r>
    </w:p>
    <w:p>
      <w:pPr>
        <w:spacing w:line="600" w:lineRule="exact"/>
        <w:rPr>
          <w:rFonts w:ascii="宋体" w:hAnsi="宋体" w:eastAsia="仿宋_GB2312"/>
          <w:b/>
          <w:color w:val="auto"/>
          <w:spacing w:val="20"/>
          <w:kern w:val="0"/>
          <w:sz w:val="32"/>
          <w:highlight w:val="yellow"/>
        </w:rPr>
      </w:pPr>
      <w:r>
        <w:rPr>
          <w:rFonts w:hint="eastAsia" w:ascii="仿宋_GB2312" w:eastAsia="仿宋_GB2312"/>
          <w:b/>
          <w:color w:val="auto"/>
          <w:sz w:val="36"/>
          <w:szCs w:val="36"/>
        </w:rPr>
        <w:t xml:space="preserve">   </w:t>
      </w:r>
    </w:p>
    <w:p>
      <w:pPr>
        <w:autoSpaceDE w:val="0"/>
        <w:autoSpaceDN w:val="0"/>
        <w:adjustRightInd w:val="0"/>
        <w:snapToGrid w:val="0"/>
        <w:spacing w:line="500" w:lineRule="exact"/>
        <w:rPr>
          <w:rFonts w:ascii="宋体" w:hAnsi="宋体"/>
          <w:color w:val="auto"/>
          <w:spacing w:val="9"/>
          <w:kern w:val="0"/>
        </w:rPr>
      </w:pPr>
    </w:p>
    <w:p>
      <w:pPr>
        <w:autoSpaceDE w:val="0"/>
        <w:autoSpaceDN w:val="0"/>
        <w:adjustRightInd w:val="0"/>
        <w:snapToGrid w:val="0"/>
        <w:spacing w:line="500" w:lineRule="exact"/>
        <w:rPr>
          <w:rFonts w:ascii="宋体" w:hAnsi="宋体"/>
          <w:color w:val="auto"/>
          <w:spacing w:val="9"/>
          <w:kern w:val="0"/>
        </w:rPr>
      </w:pPr>
    </w:p>
    <w:p>
      <w:pPr>
        <w:autoSpaceDE w:val="0"/>
        <w:autoSpaceDN w:val="0"/>
        <w:adjustRightInd w:val="0"/>
        <w:snapToGrid w:val="0"/>
        <w:spacing w:line="240" w:lineRule="atLeast"/>
        <w:jc w:val="center"/>
        <w:rPr>
          <w:rFonts w:ascii="宋体" w:hAnsi="宋体"/>
          <w:b/>
          <w:color w:val="auto"/>
          <w:spacing w:val="34"/>
          <w:kern w:val="0"/>
          <w:sz w:val="96"/>
        </w:rPr>
      </w:pPr>
    </w:p>
    <w:p>
      <w:pPr>
        <w:autoSpaceDE w:val="0"/>
        <w:autoSpaceDN w:val="0"/>
        <w:adjustRightInd w:val="0"/>
        <w:snapToGrid w:val="0"/>
        <w:spacing w:line="240" w:lineRule="atLeast"/>
        <w:rPr>
          <w:rFonts w:ascii="宋体" w:hAnsi="宋体"/>
          <w:b/>
          <w:color w:val="auto"/>
          <w:spacing w:val="34"/>
          <w:kern w:val="0"/>
          <w:sz w:val="96"/>
        </w:rPr>
      </w:pPr>
    </w:p>
    <w:p>
      <w:pPr>
        <w:autoSpaceDE w:val="0"/>
        <w:autoSpaceDN w:val="0"/>
        <w:adjustRightInd w:val="0"/>
        <w:snapToGrid w:val="0"/>
        <w:spacing w:line="240" w:lineRule="atLeast"/>
        <w:jc w:val="center"/>
        <w:rPr>
          <w:rFonts w:ascii="宋体" w:hAnsi="宋体"/>
          <w:b/>
          <w:color w:val="auto"/>
          <w:spacing w:val="34"/>
          <w:kern w:val="0"/>
          <w:sz w:val="96"/>
        </w:rPr>
      </w:pPr>
      <w:r>
        <w:rPr>
          <w:rFonts w:hint="eastAsia" w:ascii="宋体" w:hAnsi="宋体"/>
          <w:b/>
          <w:color w:val="auto"/>
          <w:spacing w:val="34"/>
          <w:kern w:val="0"/>
          <w:sz w:val="96"/>
        </w:rPr>
        <w:t>竞争性比选文件</w:t>
      </w:r>
    </w:p>
    <w:p>
      <w:pPr>
        <w:autoSpaceDE w:val="0"/>
        <w:autoSpaceDN w:val="0"/>
        <w:adjustRightInd w:val="0"/>
        <w:snapToGrid w:val="0"/>
        <w:spacing w:line="500" w:lineRule="exact"/>
        <w:rPr>
          <w:rFonts w:ascii="宋体" w:hAnsi="宋体"/>
          <w:b/>
          <w:color w:val="auto"/>
          <w:spacing w:val="4"/>
          <w:kern w:val="0"/>
          <w:sz w:val="84"/>
          <w:szCs w:val="84"/>
        </w:rPr>
      </w:pPr>
    </w:p>
    <w:p>
      <w:pPr>
        <w:tabs>
          <w:tab w:val="left" w:pos="3676"/>
        </w:tabs>
        <w:autoSpaceDE w:val="0"/>
        <w:autoSpaceDN w:val="0"/>
        <w:adjustRightInd w:val="0"/>
        <w:snapToGrid w:val="0"/>
        <w:spacing w:line="500" w:lineRule="exact"/>
        <w:rPr>
          <w:rFonts w:ascii="宋体" w:hAnsi="宋体"/>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pStyle w:val="19"/>
        <w:rPr>
          <w:color w:val="auto"/>
        </w:rPr>
      </w:pPr>
    </w:p>
    <w:p>
      <w:pPr>
        <w:autoSpaceDE w:val="0"/>
        <w:autoSpaceDN w:val="0"/>
        <w:adjustRightInd w:val="0"/>
        <w:snapToGrid w:val="0"/>
        <w:spacing w:line="500" w:lineRule="exact"/>
        <w:rPr>
          <w:rFonts w:ascii="宋体" w:hAnsi="宋体"/>
          <w:b/>
          <w:color w:val="auto"/>
          <w:spacing w:val="4"/>
          <w:kern w:val="0"/>
          <w:sz w:val="32"/>
        </w:rPr>
      </w:pPr>
    </w:p>
    <w:p>
      <w:pPr>
        <w:spacing w:line="480" w:lineRule="exact"/>
        <w:ind w:firstLine="916" w:firstLineChars="300"/>
        <w:rPr>
          <w:rFonts w:hint="eastAsia" w:ascii="宋体" w:hAnsi="宋体" w:eastAsia="宋体"/>
          <w:b/>
          <w:color w:val="auto"/>
          <w:spacing w:val="-8"/>
          <w:kern w:val="0"/>
          <w:sz w:val="32"/>
          <w:lang w:eastAsia="zh-CN"/>
        </w:rPr>
      </w:pPr>
      <w:r>
        <w:rPr>
          <w:rFonts w:hint="eastAsia" w:ascii="宋体" w:hAnsi="宋体"/>
          <w:b/>
          <w:color w:val="auto"/>
          <w:spacing w:val="-8"/>
          <w:kern w:val="0"/>
          <w:sz w:val="32"/>
        </w:rPr>
        <w:t>比   选   人：</w:t>
      </w:r>
      <w:r>
        <w:rPr>
          <w:rFonts w:hint="eastAsia" w:ascii="宋体" w:hAnsi="宋体"/>
          <w:b/>
          <w:color w:val="auto"/>
          <w:spacing w:val="-8"/>
          <w:kern w:val="0"/>
          <w:sz w:val="32"/>
          <w:lang w:eastAsia="zh-CN"/>
        </w:rPr>
        <w:t>重庆市铜梁区福果镇人民政府</w:t>
      </w:r>
    </w:p>
    <w:p>
      <w:pPr>
        <w:spacing w:line="480" w:lineRule="exact"/>
        <w:ind w:firstLine="916" w:firstLineChars="300"/>
        <w:rPr>
          <w:rFonts w:ascii="宋体" w:hAnsi="宋体"/>
          <w:b/>
          <w:color w:val="auto"/>
          <w:spacing w:val="-8"/>
          <w:kern w:val="0"/>
          <w:sz w:val="32"/>
        </w:rPr>
      </w:pPr>
    </w:p>
    <w:p>
      <w:pPr>
        <w:spacing w:line="480" w:lineRule="exact"/>
        <w:ind w:firstLine="916" w:firstLineChars="300"/>
        <w:rPr>
          <w:rFonts w:hint="eastAsia" w:ascii="宋体" w:hAnsi="宋体" w:eastAsia="宋体"/>
          <w:b/>
          <w:color w:val="auto"/>
          <w:spacing w:val="-8"/>
          <w:kern w:val="0"/>
          <w:sz w:val="32"/>
          <w:lang w:eastAsia="zh-CN"/>
        </w:rPr>
      </w:pPr>
      <w:r>
        <w:rPr>
          <w:rFonts w:hint="eastAsia" w:ascii="宋体" w:hAnsi="宋体"/>
          <w:b/>
          <w:color w:val="auto"/>
          <w:spacing w:val="-8"/>
          <w:kern w:val="0"/>
          <w:sz w:val="32"/>
        </w:rPr>
        <w:t>比选代理机构：</w:t>
      </w:r>
      <w:r>
        <w:rPr>
          <w:rFonts w:hint="eastAsia" w:ascii="宋体" w:hAnsi="宋体"/>
          <w:b/>
          <w:color w:val="auto"/>
          <w:spacing w:val="-8"/>
          <w:kern w:val="0"/>
          <w:sz w:val="32"/>
          <w:lang w:eastAsia="zh-CN"/>
        </w:rPr>
        <w:t xml:space="preserve">重庆尚宇工程项目管理有限公司   </w:t>
      </w:r>
    </w:p>
    <w:p>
      <w:pPr>
        <w:spacing w:line="480" w:lineRule="exact"/>
        <w:ind w:firstLine="916" w:firstLineChars="300"/>
        <w:rPr>
          <w:rFonts w:ascii="宋体" w:hAnsi="宋体"/>
          <w:b/>
          <w:color w:val="auto"/>
          <w:spacing w:val="-8"/>
          <w:kern w:val="0"/>
          <w:sz w:val="32"/>
        </w:rPr>
      </w:pPr>
    </w:p>
    <w:p>
      <w:pPr>
        <w:autoSpaceDE w:val="0"/>
        <w:autoSpaceDN w:val="0"/>
        <w:adjustRightInd w:val="0"/>
        <w:snapToGrid w:val="0"/>
        <w:spacing w:line="500" w:lineRule="exact"/>
        <w:ind w:firstLine="788" w:firstLineChars="258"/>
        <w:rPr>
          <w:rFonts w:ascii="宋体" w:hAnsi="宋体"/>
          <w:b/>
          <w:color w:val="auto"/>
          <w:spacing w:val="-8"/>
          <w:kern w:val="0"/>
          <w:sz w:val="32"/>
        </w:rPr>
      </w:pPr>
    </w:p>
    <w:p>
      <w:pPr>
        <w:tabs>
          <w:tab w:val="left" w:pos="3200"/>
          <w:tab w:val="left" w:pos="4320"/>
          <w:tab w:val="left" w:pos="5420"/>
        </w:tabs>
        <w:autoSpaceDE w:val="0"/>
        <w:autoSpaceDN w:val="0"/>
        <w:adjustRightInd w:val="0"/>
        <w:snapToGrid w:val="0"/>
        <w:spacing w:line="360" w:lineRule="auto"/>
        <w:jc w:val="center"/>
        <w:rPr>
          <w:rFonts w:ascii="宋体" w:hAnsi="宋体"/>
          <w:b/>
          <w:color w:val="auto"/>
          <w:sz w:val="30"/>
          <w:szCs w:val="30"/>
        </w:rPr>
      </w:pPr>
      <w:r>
        <w:rPr>
          <w:rFonts w:hint="eastAsia" w:ascii="宋体" w:hAnsi="宋体"/>
          <w:b/>
          <w:color w:val="auto"/>
          <w:sz w:val="30"/>
          <w:szCs w:val="30"/>
        </w:rPr>
        <w:t>二〇二</w:t>
      </w:r>
      <w:r>
        <w:rPr>
          <w:rFonts w:hint="eastAsia" w:ascii="宋体" w:hAnsi="宋体"/>
          <w:b/>
          <w:color w:val="auto"/>
          <w:sz w:val="30"/>
          <w:szCs w:val="30"/>
          <w:lang w:val="en-US" w:eastAsia="zh-CN"/>
        </w:rPr>
        <w:t>四</w:t>
      </w:r>
      <w:r>
        <w:rPr>
          <w:rFonts w:hint="eastAsia" w:ascii="宋体" w:hAnsi="宋体"/>
          <w:b/>
          <w:color w:val="auto"/>
          <w:sz w:val="30"/>
          <w:szCs w:val="30"/>
        </w:rPr>
        <w:t>年</w:t>
      </w:r>
      <w:r>
        <w:rPr>
          <w:rFonts w:hint="eastAsia" w:ascii="宋体" w:hAnsi="宋体"/>
          <w:b/>
          <w:color w:val="auto"/>
          <w:sz w:val="30"/>
          <w:szCs w:val="30"/>
          <w:lang w:val="en-US" w:eastAsia="zh-CN"/>
        </w:rPr>
        <w:t>六</w:t>
      </w:r>
      <w:r>
        <w:rPr>
          <w:rFonts w:hint="eastAsia" w:ascii="宋体" w:hAnsi="宋体"/>
          <w:b/>
          <w:color w:val="auto"/>
          <w:sz w:val="30"/>
          <w:szCs w:val="30"/>
        </w:rPr>
        <w:t>月</w:t>
      </w:r>
    </w:p>
    <w:p>
      <w:pPr>
        <w:tabs>
          <w:tab w:val="left" w:pos="673"/>
        </w:tabs>
        <w:jc w:val="left"/>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720" w:num="1"/>
          <w:titlePg/>
          <w:docGrid w:linePitch="312" w:charSpace="0"/>
        </w:sectPr>
      </w:pPr>
    </w:p>
    <w:p>
      <w:pPr>
        <w:autoSpaceDE w:val="0"/>
        <w:autoSpaceDN w:val="0"/>
        <w:adjustRightInd w:val="0"/>
        <w:snapToGrid w:val="0"/>
        <w:spacing w:line="360" w:lineRule="auto"/>
        <w:jc w:val="center"/>
        <w:rPr>
          <w:rFonts w:ascii="宋体" w:hAnsi="宋体" w:cs="MingLiU"/>
          <w:b/>
          <w:color w:val="auto"/>
          <w:kern w:val="0"/>
          <w:sz w:val="44"/>
          <w:szCs w:val="44"/>
        </w:rPr>
      </w:pPr>
      <w:r>
        <w:rPr>
          <w:rFonts w:hint="eastAsia" w:ascii="宋体" w:hAnsi="宋体" w:cs="MingLiU"/>
          <w:b/>
          <w:color w:val="auto"/>
          <w:kern w:val="0"/>
          <w:sz w:val="44"/>
          <w:szCs w:val="44"/>
        </w:rPr>
        <w:t>目   录</w:t>
      </w:r>
    </w:p>
    <w:p>
      <w:pPr>
        <w:pStyle w:val="36"/>
        <w:tabs>
          <w:tab w:val="right" w:leader="dot" w:pos="9214"/>
          <w:tab w:val="clear" w:pos="8608"/>
        </w:tabs>
        <w:spacing w:line="700" w:lineRule="exact"/>
        <w:ind w:firstLine="640" w:firstLineChars="200"/>
        <w:jc w:val="left"/>
        <w:rPr>
          <w:b w:val="0"/>
          <w:bCs w:val="0"/>
          <w:caps w:val="0"/>
          <w:color w:val="auto"/>
          <w:kern w:val="2"/>
          <w:sz w:val="32"/>
          <w:szCs w:val="32"/>
          <w:lang w:val="en-US"/>
        </w:rPr>
      </w:pPr>
      <w:r>
        <w:rPr>
          <w:rFonts w:cs="MingLiU"/>
          <w:b w:val="0"/>
          <w:color w:val="auto"/>
          <w:kern w:val="0"/>
          <w:sz w:val="32"/>
          <w:szCs w:val="32"/>
        </w:rPr>
        <w:fldChar w:fldCharType="begin"/>
      </w:r>
      <w:r>
        <w:rPr>
          <w:rFonts w:cs="MingLiU"/>
          <w:b w:val="0"/>
          <w:color w:val="auto"/>
          <w:kern w:val="0"/>
          <w:sz w:val="32"/>
          <w:szCs w:val="32"/>
        </w:rPr>
        <w:instrText xml:space="preserve"> </w:instrText>
      </w:r>
      <w:r>
        <w:rPr>
          <w:rFonts w:hint="eastAsia" w:cs="MingLiU"/>
          <w:b w:val="0"/>
          <w:color w:val="auto"/>
          <w:kern w:val="0"/>
          <w:sz w:val="32"/>
          <w:szCs w:val="32"/>
        </w:rPr>
        <w:instrText xml:space="preserve">TOC \o "1-1" \h \z \u</w:instrText>
      </w:r>
      <w:r>
        <w:rPr>
          <w:rFonts w:cs="MingLiU"/>
          <w:b w:val="0"/>
          <w:color w:val="auto"/>
          <w:kern w:val="0"/>
          <w:sz w:val="32"/>
          <w:szCs w:val="32"/>
        </w:rPr>
        <w:instrText xml:space="preserve"> </w:instrText>
      </w:r>
      <w:r>
        <w:rPr>
          <w:rFonts w:cs="MingLiU"/>
          <w:b w:val="0"/>
          <w:color w:val="auto"/>
          <w:kern w:val="0"/>
          <w:sz w:val="32"/>
          <w:szCs w:val="32"/>
        </w:rPr>
        <w:fldChar w:fldCharType="separate"/>
      </w:r>
      <w:r>
        <w:rPr>
          <w:color w:val="auto"/>
        </w:rPr>
        <w:fldChar w:fldCharType="begin"/>
      </w:r>
      <w:r>
        <w:rPr>
          <w:color w:val="auto"/>
        </w:rPr>
        <w:instrText xml:space="preserve"> HYPERLINK \l "_Toc513492487" </w:instrText>
      </w:r>
      <w:r>
        <w:rPr>
          <w:color w:val="auto"/>
        </w:rPr>
        <w:fldChar w:fldCharType="separate"/>
      </w:r>
      <w:r>
        <w:rPr>
          <w:rStyle w:val="59"/>
          <w:rFonts w:hint="eastAsia"/>
          <w:b w:val="0"/>
          <w:color w:val="auto"/>
          <w:kern w:val="0"/>
          <w:sz w:val="32"/>
          <w:szCs w:val="32"/>
        </w:rPr>
        <w:t xml:space="preserve">第一章 </w:t>
      </w:r>
      <w:r>
        <w:rPr>
          <w:rStyle w:val="59"/>
          <w:b w:val="0"/>
          <w:color w:val="auto"/>
          <w:kern w:val="0"/>
          <w:sz w:val="32"/>
          <w:szCs w:val="32"/>
        </w:rPr>
        <w:t xml:space="preserve"> </w:t>
      </w:r>
      <w:r>
        <w:rPr>
          <w:rStyle w:val="59"/>
          <w:rFonts w:hint="eastAsia"/>
          <w:b w:val="0"/>
          <w:color w:val="auto"/>
          <w:kern w:val="0"/>
          <w:sz w:val="32"/>
          <w:szCs w:val="32"/>
        </w:rPr>
        <w:t>竞争性比选公告</w:t>
      </w:r>
      <w:r>
        <w:rPr>
          <w:b w:val="0"/>
          <w:color w:val="auto"/>
          <w:sz w:val="32"/>
          <w:szCs w:val="32"/>
        </w:rPr>
        <w:tab/>
      </w:r>
      <w:r>
        <w:rPr>
          <w:b w:val="0"/>
          <w:color w:val="auto"/>
          <w:sz w:val="32"/>
          <w:szCs w:val="32"/>
        </w:rPr>
        <w:fldChar w:fldCharType="begin"/>
      </w:r>
      <w:r>
        <w:rPr>
          <w:b w:val="0"/>
          <w:color w:val="auto"/>
          <w:sz w:val="32"/>
          <w:szCs w:val="32"/>
        </w:rPr>
        <w:instrText xml:space="preserve"> PAGEREF _Toc513492487 \h </w:instrText>
      </w:r>
      <w:r>
        <w:rPr>
          <w:b w:val="0"/>
          <w:color w:val="auto"/>
          <w:sz w:val="32"/>
          <w:szCs w:val="32"/>
        </w:rPr>
        <w:fldChar w:fldCharType="separate"/>
      </w:r>
      <w:r>
        <w:rPr>
          <w:b w:val="0"/>
          <w:color w:val="auto"/>
          <w:sz w:val="32"/>
          <w:szCs w:val="32"/>
        </w:rPr>
        <w:t>3</w:t>
      </w:r>
      <w:r>
        <w:rPr>
          <w:b w:val="0"/>
          <w:color w:val="auto"/>
          <w:sz w:val="32"/>
          <w:szCs w:val="32"/>
        </w:rPr>
        <w:fldChar w:fldCharType="end"/>
      </w:r>
      <w:r>
        <w:rPr>
          <w:b w:val="0"/>
          <w:color w:val="auto"/>
          <w:sz w:val="32"/>
          <w:szCs w:val="32"/>
        </w:rPr>
        <w:fldChar w:fldCharType="end"/>
      </w:r>
    </w:p>
    <w:p>
      <w:pPr>
        <w:pStyle w:val="36"/>
        <w:tabs>
          <w:tab w:val="right" w:leader="dot" w:pos="9214"/>
          <w:tab w:val="clear" w:pos="8608"/>
        </w:tabs>
        <w:spacing w:line="700" w:lineRule="exact"/>
        <w:ind w:firstLine="482" w:firstLineChars="200"/>
        <w:jc w:val="left"/>
        <w:rPr>
          <w:b w:val="0"/>
          <w:bCs w:val="0"/>
          <w:caps w:val="0"/>
          <w:color w:val="auto"/>
          <w:kern w:val="2"/>
          <w:sz w:val="32"/>
          <w:szCs w:val="32"/>
          <w:lang w:val="en-US"/>
        </w:rPr>
      </w:pPr>
      <w:r>
        <w:rPr>
          <w:color w:val="auto"/>
        </w:rPr>
        <w:fldChar w:fldCharType="begin"/>
      </w:r>
      <w:r>
        <w:rPr>
          <w:color w:val="auto"/>
        </w:rPr>
        <w:instrText xml:space="preserve"> HYPERLINK \l "_Toc513492488" </w:instrText>
      </w:r>
      <w:r>
        <w:rPr>
          <w:color w:val="auto"/>
        </w:rPr>
        <w:fldChar w:fldCharType="separate"/>
      </w:r>
      <w:r>
        <w:rPr>
          <w:rStyle w:val="59"/>
          <w:rFonts w:hint="eastAsia"/>
          <w:b w:val="0"/>
          <w:color w:val="auto"/>
          <w:kern w:val="0"/>
          <w:sz w:val="32"/>
          <w:szCs w:val="32"/>
        </w:rPr>
        <w:t>第二章</w:t>
      </w:r>
      <w:r>
        <w:rPr>
          <w:rStyle w:val="59"/>
          <w:b w:val="0"/>
          <w:color w:val="auto"/>
          <w:kern w:val="0"/>
          <w:sz w:val="32"/>
          <w:szCs w:val="32"/>
        </w:rPr>
        <w:t xml:space="preserve"> </w:t>
      </w:r>
      <w:r>
        <w:rPr>
          <w:rStyle w:val="59"/>
          <w:rFonts w:hint="eastAsia"/>
          <w:b w:val="0"/>
          <w:color w:val="auto"/>
          <w:kern w:val="0"/>
          <w:sz w:val="32"/>
          <w:szCs w:val="32"/>
        </w:rPr>
        <w:t xml:space="preserve"> 投标人须知</w:t>
      </w:r>
      <w:r>
        <w:rPr>
          <w:b w:val="0"/>
          <w:color w:val="auto"/>
          <w:sz w:val="32"/>
          <w:szCs w:val="32"/>
        </w:rPr>
        <w:tab/>
      </w:r>
      <w:r>
        <w:rPr>
          <w:b w:val="0"/>
          <w:color w:val="auto"/>
          <w:sz w:val="32"/>
          <w:szCs w:val="32"/>
        </w:rPr>
        <w:fldChar w:fldCharType="begin"/>
      </w:r>
      <w:r>
        <w:rPr>
          <w:b w:val="0"/>
          <w:color w:val="auto"/>
          <w:sz w:val="32"/>
          <w:szCs w:val="32"/>
        </w:rPr>
        <w:instrText xml:space="preserve"> PAGEREF _Toc513492488 \h </w:instrText>
      </w:r>
      <w:r>
        <w:rPr>
          <w:b w:val="0"/>
          <w:color w:val="auto"/>
          <w:sz w:val="32"/>
          <w:szCs w:val="32"/>
        </w:rPr>
        <w:fldChar w:fldCharType="separate"/>
      </w:r>
      <w:r>
        <w:rPr>
          <w:b w:val="0"/>
          <w:color w:val="auto"/>
          <w:sz w:val="32"/>
          <w:szCs w:val="32"/>
        </w:rPr>
        <w:t>5</w:t>
      </w:r>
      <w:r>
        <w:rPr>
          <w:b w:val="0"/>
          <w:color w:val="auto"/>
          <w:sz w:val="32"/>
          <w:szCs w:val="32"/>
        </w:rPr>
        <w:fldChar w:fldCharType="end"/>
      </w:r>
      <w:r>
        <w:rPr>
          <w:b w:val="0"/>
          <w:color w:val="auto"/>
          <w:sz w:val="32"/>
          <w:szCs w:val="32"/>
        </w:rPr>
        <w:fldChar w:fldCharType="end"/>
      </w:r>
    </w:p>
    <w:p>
      <w:pPr>
        <w:pStyle w:val="36"/>
        <w:tabs>
          <w:tab w:val="right" w:leader="dot" w:pos="9214"/>
          <w:tab w:val="clear" w:pos="8608"/>
        </w:tabs>
        <w:spacing w:line="700" w:lineRule="exact"/>
        <w:ind w:firstLine="482" w:firstLineChars="200"/>
        <w:jc w:val="left"/>
        <w:rPr>
          <w:b w:val="0"/>
          <w:bCs w:val="0"/>
          <w:caps w:val="0"/>
          <w:color w:val="auto"/>
          <w:kern w:val="2"/>
          <w:sz w:val="32"/>
          <w:szCs w:val="32"/>
          <w:lang w:val="en-US"/>
        </w:rPr>
      </w:pPr>
      <w:r>
        <w:rPr>
          <w:color w:val="auto"/>
        </w:rPr>
        <w:fldChar w:fldCharType="begin"/>
      </w:r>
      <w:r>
        <w:rPr>
          <w:color w:val="auto"/>
        </w:rPr>
        <w:instrText xml:space="preserve"> HYPERLINK \l "_Toc513492489" </w:instrText>
      </w:r>
      <w:r>
        <w:rPr>
          <w:color w:val="auto"/>
        </w:rPr>
        <w:fldChar w:fldCharType="separate"/>
      </w:r>
      <w:r>
        <w:rPr>
          <w:rStyle w:val="59"/>
          <w:rFonts w:hint="eastAsia"/>
          <w:b w:val="0"/>
          <w:color w:val="auto"/>
          <w:kern w:val="0"/>
          <w:sz w:val="32"/>
          <w:szCs w:val="32"/>
        </w:rPr>
        <w:t>第三章</w:t>
      </w:r>
      <w:r>
        <w:rPr>
          <w:rStyle w:val="59"/>
          <w:b w:val="0"/>
          <w:color w:val="auto"/>
          <w:kern w:val="0"/>
          <w:sz w:val="32"/>
          <w:szCs w:val="32"/>
        </w:rPr>
        <w:t xml:space="preserve"> </w:t>
      </w:r>
      <w:r>
        <w:rPr>
          <w:rStyle w:val="59"/>
          <w:rFonts w:hint="eastAsia"/>
          <w:b w:val="0"/>
          <w:color w:val="auto"/>
          <w:kern w:val="0"/>
          <w:sz w:val="32"/>
          <w:szCs w:val="32"/>
        </w:rPr>
        <w:t xml:space="preserve"> 评标办法（经评审的最低投标价法）</w:t>
      </w:r>
      <w:r>
        <w:rPr>
          <w:b w:val="0"/>
          <w:color w:val="auto"/>
          <w:sz w:val="32"/>
          <w:szCs w:val="32"/>
        </w:rPr>
        <w:tab/>
      </w:r>
      <w:r>
        <w:rPr>
          <w:b w:val="0"/>
          <w:color w:val="auto"/>
          <w:sz w:val="32"/>
          <w:szCs w:val="32"/>
        </w:rPr>
        <w:fldChar w:fldCharType="begin"/>
      </w:r>
      <w:r>
        <w:rPr>
          <w:b w:val="0"/>
          <w:color w:val="auto"/>
          <w:sz w:val="32"/>
          <w:szCs w:val="32"/>
        </w:rPr>
        <w:instrText xml:space="preserve"> PAGEREF _Toc513492489 \h </w:instrText>
      </w:r>
      <w:r>
        <w:rPr>
          <w:b w:val="0"/>
          <w:color w:val="auto"/>
          <w:sz w:val="32"/>
          <w:szCs w:val="32"/>
        </w:rPr>
        <w:fldChar w:fldCharType="separate"/>
      </w:r>
      <w:r>
        <w:rPr>
          <w:b w:val="0"/>
          <w:color w:val="auto"/>
          <w:sz w:val="32"/>
          <w:szCs w:val="32"/>
        </w:rPr>
        <w:t>24</w:t>
      </w:r>
      <w:r>
        <w:rPr>
          <w:b w:val="0"/>
          <w:color w:val="auto"/>
          <w:sz w:val="32"/>
          <w:szCs w:val="32"/>
        </w:rPr>
        <w:fldChar w:fldCharType="end"/>
      </w:r>
      <w:r>
        <w:rPr>
          <w:b w:val="0"/>
          <w:color w:val="auto"/>
          <w:sz w:val="32"/>
          <w:szCs w:val="32"/>
        </w:rPr>
        <w:fldChar w:fldCharType="end"/>
      </w:r>
    </w:p>
    <w:p>
      <w:pPr>
        <w:pStyle w:val="36"/>
        <w:tabs>
          <w:tab w:val="right" w:leader="dot" w:pos="9214"/>
          <w:tab w:val="clear" w:pos="8608"/>
        </w:tabs>
        <w:spacing w:line="700" w:lineRule="exact"/>
        <w:ind w:firstLine="482" w:firstLineChars="200"/>
        <w:jc w:val="left"/>
        <w:rPr>
          <w:b w:val="0"/>
          <w:bCs w:val="0"/>
          <w:caps w:val="0"/>
          <w:color w:val="auto"/>
          <w:kern w:val="2"/>
          <w:sz w:val="32"/>
          <w:szCs w:val="32"/>
          <w:lang w:val="en-US"/>
        </w:rPr>
      </w:pPr>
      <w:r>
        <w:rPr>
          <w:color w:val="auto"/>
        </w:rPr>
        <w:fldChar w:fldCharType="begin"/>
      </w:r>
      <w:r>
        <w:rPr>
          <w:color w:val="auto"/>
        </w:rPr>
        <w:instrText xml:space="preserve"> HYPERLINK \l "_Toc513492490" </w:instrText>
      </w:r>
      <w:r>
        <w:rPr>
          <w:color w:val="auto"/>
        </w:rPr>
        <w:fldChar w:fldCharType="separate"/>
      </w:r>
      <w:r>
        <w:rPr>
          <w:rStyle w:val="59"/>
          <w:rFonts w:hint="eastAsia"/>
          <w:b w:val="0"/>
          <w:color w:val="auto"/>
          <w:kern w:val="0"/>
          <w:sz w:val="32"/>
          <w:szCs w:val="32"/>
        </w:rPr>
        <w:t>第四章  合同条款及</w:t>
      </w:r>
      <w:bookmarkStart w:id="6" w:name="_Hlt514795948"/>
      <w:r>
        <w:rPr>
          <w:rStyle w:val="59"/>
          <w:rFonts w:hint="eastAsia"/>
          <w:b w:val="0"/>
          <w:color w:val="auto"/>
          <w:kern w:val="0"/>
          <w:sz w:val="32"/>
          <w:szCs w:val="32"/>
        </w:rPr>
        <w:t>格</w:t>
      </w:r>
      <w:bookmarkEnd w:id="6"/>
      <w:r>
        <w:rPr>
          <w:rStyle w:val="59"/>
          <w:rFonts w:hint="eastAsia"/>
          <w:b w:val="0"/>
          <w:color w:val="auto"/>
          <w:kern w:val="0"/>
          <w:sz w:val="32"/>
          <w:szCs w:val="32"/>
        </w:rPr>
        <w:t>式</w:t>
      </w:r>
      <w:r>
        <w:rPr>
          <w:b w:val="0"/>
          <w:color w:val="auto"/>
          <w:sz w:val="32"/>
          <w:szCs w:val="32"/>
        </w:rPr>
        <w:tab/>
      </w:r>
      <w:bookmarkStart w:id="7" w:name="_Hlt514795804"/>
      <w:bookmarkStart w:id="8" w:name="_Hlt514795805"/>
      <w:r>
        <w:rPr>
          <w:b w:val="0"/>
          <w:color w:val="auto"/>
          <w:sz w:val="32"/>
          <w:szCs w:val="32"/>
        </w:rPr>
        <w:fldChar w:fldCharType="begin"/>
      </w:r>
      <w:r>
        <w:rPr>
          <w:b w:val="0"/>
          <w:color w:val="auto"/>
          <w:sz w:val="32"/>
          <w:szCs w:val="32"/>
        </w:rPr>
        <w:instrText xml:space="preserve"> PAGEREF _Toc513492490 \h </w:instrText>
      </w:r>
      <w:r>
        <w:rPr>
          <w:b w:val="0"/>
          <w:color w:val="auto"/>
          <w:sz w:val="32"/>
          <w:szCs w:val="32"/>
        </w:rPr>
        <w:fldChar w:fldCharType="separate"/>
      </w:r>
      <w:r>
        <w:rPr>
          <w:b w:val="0"/>
          <w:color w:val="auto"/>
          <w:sz w:val="32"/>
          <w:szCs w:val="32"/>
        </w:rPr>
        <w:t>25</w:t>
      </w:r>
      <w:r>
        <w:rPr>
          <w:b w:val="0"/>
          <w:color w:val="auto"/>
          <w:sz w:val="32"/>
          <w:szCs w:val="32"/>
        </w:rPr>
        <w:fldChar w:fldCharType="end"/>
      </w:r>
      <w:bookmarkEnd w:id="7"/>
      <w:bookmarkEnd w:id="8"/>
      <w:r>
        <w:rPr>
          <w:b w:val="0"/>
          <w:color w:val="auto"/>
          <w:sz w:val="32"/>
          <w:szCs w:val="32"/>
        </w:rPr>
        <w:fldChar w:fldCharType="end"/>
      </w:r>
    </w:p>
    <w:p>
      <w:pPr>
        <w:pStyle w:val="36"/>
        <w:tabs>
          <w:tab w:val="right" w:leader="dot" w:pos="9214"/>
          <w:tab w:val="clear" w:pos="8608"/>
        </w:tabs>
        <w:spacing w:line="700" w:lineRule="exact"/>
        <w:ind w:firstLine="482" w:firstLineChars="200"/>
        <w:jc w:val="left"/>
        <w:rPr>
          <w:b w:val="0"/>
          <w:bCs w:val="0"/>
          <w:caps w:val="0"/>
          <w:color w:val="auto"/>
          <w:kern w:val="2"/>
          <w:sz w:val="32"/>
          <w:szCs w:val="32"/>
          <w:lang w:val="en-US"/>
        </w:rPr>
      </w:pPr>
      <w:r>
        <w:rPr>
          <w:color w:val="auto"/>
        </w:rPr>
        <w:fldChar w:fldCharType="begin"/>
      </w:r>
      <w:r>
        <w:rPr>
          <w:color w:val="auto"/>
        </w:rPr>
        <w:instrText xml:space="preserve"> HYPERLINK \l "_Toc513492491" </w:instrText>
      </w:r>
      <w:r>
        <w:rPr>
          <w:color w:val="auto"/>
        </w:rPr>
        <w:fldChar w:fldCharType="separate"/>
      </w:r>
      <w:r>
        <w:rPr>
          <w:rStyle w:val="59"/>
          <w:rFonts w:hint="eastAsia"/>
          <w:b w:val="0"/>
          <w:color w:val="auto"/>
          <w:sz w:val="32"/>
          <w:szCs w:val="32"/>
        </w:rPr>
        <w:t>第五章  工程量清单</w:t>
      </w:r>
      <w:r>
        <w:rPr>
          <w:b w:val="0"/>
          <w:color w:val="auto"/>
          <w:sz w:val="32"/>
          <w:szCs w:val="32"/>
        </w:rPr>
        <w:tab/>
      </w:r>
      <w:r>
        <w:rPr>
          <w:b w:val="0"/>
          <w:color w:val="auto"/>
          <w:sz w:val="32"/>
          <w:szCs w:val="32"/>
        </w:rPr>
        <w:fldChar w:fldCharType="begin"/>
      </w:r>
      <w:r>
        <w:rPr>
          <w:b w:val="0"/>
          <w:color w:val="auto"/>
          <w:sz w:val="32"/>
          <w:szCs w:val="32"/>
        </w:rPr>
        <w:instrText xml:space="preserve"> PAGEREF _Toc513492491 \h </w:instrText>
      </w:r>
      <w:r>
        <w:rPr>
          <w:b w:val="0"/>
          <w:color w:val="auto"/>
          <w:sz w:val="32"/>
          <w:szCs w:val="32"/>
        </w:rPr>
        <w:fldChar w:fldCharType="separate"/>
      </w:r>
      <w:r>
        <w:rPr>
          <w:b w:val="0"/>
          <w:color w:val="auto"/>
          <w:sz w:val="32"/>
          <w:szCs w:val="32"/>
        </w:rPr>
        <w:t>53</w:t>
      </w:r>
      <w:r>
        <w:rPr>
          <w:b w:val="0"/>
          <w:color w:val="auto"/>
          <w:sz w:val="32"/>
          <w:szCs w:val="32"/>
        </w:rPr>
        <w:fldChar w:fldCharType="end"/>
      </w:r>
      <w:r>
        <w:rPr>
          <w:b w:val="0"/>
          <w:color w:val="auto"/>
          <w:sz w:val="32"/>
          <w:szCs w:val="32"/>
        </w:rPr>
        <w:fldChar w:fldCharType="end"/>
      </w:r>
    </w:p>
    <w:p>
      <w:pPr>
        <w:pStyle w:val="36"/>
        <w:tabs>
          <w:tab w:val="right" w:leader="dot" w:pos="9214"/>
          <w:tab w:val="clear" w:pos="8608"/>
        </w:tabs>
        <w:spacing w:line="700" w:lineRule="exact"/>
        <w:ind w:firstLine="482" w:firstLineChars="200"/>
        <w:jc w:val="left"/>
        <w:rPr>
          <w:b w:val="0"/>
          <w:bCs w:val="0"/>
          <w:caps w:val="0"/>
          <w:color w:val="auto"/>
          <w:kern w:val="2"/>
          <w:sz w:val="32"/>
          <w:szCs w:val="32"/>
          <w:lang w:val="en-US"/>
        </w:rPr>
      </w:pPr>
      <w:r>
        <w:rPr>
          <w:color w:val="auto"/>
        </w:rPr>
        <w:fldChar w:fldCharType="begin"/>
      </w:r>
      <w:r>
        <w:rPr>
          <w:color w:val="auto"/>
        </w:rPr>
        <w:instrText xml:space="preserve"> HYPERLINK \l "_Toc513492492" </w:instrText>
      </w:r>
      <w:r>
        <w:rPr>
          <w:color w:val="auto"/>
        </w:rPr>
        <w:fldChar w:fldCharType="separate"/>
      </w:r>
      <w:r>
        <w:rPr>
          <w:rStyle w:val="59"/>
          <w:rFonts w:hint="eastAsia"/>
          <w:b w:val="0"/>
          <w:color w:val="auto"/>
          <w:sz w:val="32"/>
          <w:szCs w:val="32"/>
        </w:rPr>
        <w:t>第六章</w:t>
      </w:r>
      <w:r>
        <w:rPr>
          <w:rStyle w:val="59"/>
          <w:b w:val="0"/>
          <w:color w:val="auto"/>
          <w:sz w:val="32"/>
          <w:szCs w:val="32"/>
        </w:rPr>
        <w:t xml:space="preserve"> </w:t>
      </w:r>
      <w:r>
        <w:rPr>
          <w:rStyle w:val="59"/>
          <w:rFonts w:hint="eastAsia"/>
          <w:b w:val="0"/>
          <w:color w:val="auto"/>
          <w:sz w:val="32"/>
          <w:szCs w:val="32"/>
        </w:rPr>
        <w:t xml:space="preserve"> 图纸</w:t>
      </w:r>
      <w:r>
        <w:rPr>
          <w:b w:val="0"/>
          <w:color w:val="auto"/>
          <w:sz w:val="32"/>
          <w:szCs w:val="32"/>
        </w:rPr>
        <w:tab/>
      </w:r>
      <w:r>
        <w:rPr>
          <w:b w:val="0"/>
          <w:color w:val="auto"/>
          <w:sz w:val="32"/>
          <w:szCs w:val="32"/>
        </w:rPr>
        <w:fldChar w:fldCharType="begin"/>
      </w:r>
      <w:r>
        <w:rPr>
          <w:b w:val="0"/>
          <w:color w:val="auto"/>
          <w:sz w:val="32"/>
          <w:szCs w:val="32"/>
        </w:rPr>
        <w:instrText xml:space="preserve"> PAGEREF _Toc513492492 \h </w:instrText>
      </w:r>
      <w:r>
        <w:rPr>
          <w:b w:val="0"/>
          <w:color w:val="auto"/>
          <w:sz w:val="32"/>
          <w:szCs w:val="32"/>
        </w:rPr>
        <w:fldChar w:fldCharType="separate"/>
      </w:r>
      <w:r>
        <w:rPr>
          <w:b w:val="0"/>
          <w:color w:val="auto"/>
          <w:sz w:val="32"/>
          <w:szCs w:val="32"/>
        </w:rPr>
        <w:t>54</w:t>
      </w:r>
      <w:r>
        <w:rPr>
          <w:b w:val="0"/>
          <w:color w:val="auto"/>
          <w:sz w:val="32"/>
          <w:szCs w:val="32"/>
        </w:rPr>
        <w:fldChar w:fldCharType="end"/>
      </w:r>
      <w:r>
        <w:rPr>
          <w:b w:val="0"/>
          <w:color w:val="auto"/>
          <w:sz w:val="32"/>
          <w:szCs w:val="32"/>
        </w:rPr>
        <w:fldChar w:fldCharType="end"/>
      </w:r>
    </w:p>
    <w:p>
      <w:pPr>
        <w:pStyle w:val="36"/>
        <w:tabs>
          <w:tab w:val="right" w:leader="dot" w:pos="9214"/>
          <w:tab w:val="clear" w:pos="8608"/>
        </w:tabs>
        <w:spacing w:line="700" w:lineRule="exact"/>
        <w:ind w:firstLine="482" w:firstLineChars="200"/>
        <w:jc w:val="left"/>
        <w:rPr>
          <w:b w:val="0"/>
          <w:bCs w:val="0"/>
          <w:caps w:val="0"/>
          <w:color w:val="auto"/>
          <w:kern w:val="2"/>
          <w:sz w:val="32"/>
          <w:szCs w:val="32"/>
          <w:lang w:val="en-US"/>
        </w:rPr>
      </w:pPr>
      <w:r>
        <w:rPr>
          <w:color w:val="auto"/>
        </w:rPr>
        <w:fldChar w:fldCharType="begin"/>
      </w:r>
      <w:r>
        <w:rPr>
          <w:color w:val="auto"/>
        </w:rPr>
        <w:instrText xml:space="preserve"> HYPERLINK \l "_Toc513492493" </w:instrText>
      </w:r>
      <w:r>
        <w:rPr>
          <w:color w:val="auto"/>
        </w:rPr>
        <w:fldChar w:fldCharType="separate"/>
      </w:r>
      <w:r>
        <w:rPr>
          <w:rStyle w:val="59"/>
          <w:rFonts w:hint="eastAsia"/>
          <w:b w:val="0"/>
          <w:color w:val="auto"/>
          <w:sz w:val="32"/>
          <w:szCs w:val="32"/>
        </w:rPr>
        <w:t>第七章</w:t>
      </w:r>
      <w:r>
        <w:rPr>
          <w:rStyle w:val="59"/>
          <w:b w:val="0"/>
          <w:color w:val="auto"/>
          <w:sz w:val="32"/>
          <w:szCs w:val="32"/>
        </w:rPr>
        <w:t xml:space="preserve"> </w:t>
      </w:r>
      <w:r>
        <w:rPr>
          <w:rStyle w:val="59"/>
          <w:rFonts w:hint="eastAsia"/>
          <w:b w:val="0"/>
          <w:color w:val="auto"/>
          <w:sz w:val="32"/>
          <w:szCs w:val="32"/>
        </w:rPr>
        <w:t xml:space="preserve"> 技术标准和要求</w:t>
      </w:r>
      <w:r>
        <w:rPr>
          <w:b w:val="0"/>
          <w:color w:val="auto"/>
          <w:sz w:val="32"/>
          <w:szCs w:val="32"/>
        </w:rPr>
        <w:tab/>
      </w:r>
      <w:r>
        <w:rPr>
          <w:b w:val="0"/>
          <w:color w:val="auto"/>
          <w:sz w:val="32"/>
          <w:szCs w:val="32"/>
        </w:rPr>
        <w:fldChar w:fldCharType="begin"/>
      </w:r>
      <w:r>
        <w:rPr>
          <w:b w:val="0"/>
          <w:color w:val="auto"/>
          <w:sz w:val="32"/>
          <w:szCs w:val="32"/>
        </w:rPr>
        <w:instrText xml:space="preserve"> PAGEREF _Toc513492493 \h </w:instrText>
      </w:r>
      <w:r>
        <w:rPr>
          <w:b w:val="0"/>
          <w:color w:val="auto"/>
          <w:sz w:val="32"/>
          <w:szCs w:val="32"/>
        </w:rPr>
        <w:fldChar w:fldCharType="separate"/>
      </w:r>
      <w:r>
        <w:rPr>
          <w:b w:val="0"/>
          <w:color w:val="auto"/>
          <w:sz w:val="32"/>
          <w:szCs w:val="32"/>
        </w:rPr>
        <w:t>55</w:t>
      </w:r>
      <w:r>
        <w:rPr>
          <w:b w:val="0"/>
          <w:color w:val="auto"/>
          <w:sz w:val="32"/>
          <w:szCs w:val="32"/>
        </w:rPr>
        <w:fldChar w:fldCharType="end"/>
      </w:r>
      <w:r>
        <w:rPr>
          <w:b w:val="0"/>
          <w:color w:val="auto"/>
          <w:sz w:val="32"/>
          <w:szCs w:val="32"/>
        </w:rPr>
        <w:fldChar w:fldCharType="end"/>
      </w:r>
    </w:p>
    <w:p>
      <w:pPr>
        <w:pStyle w:val="36"/>
        <w:tabs>
          <w:tab w:val="right" w:leader="dot" w:pos="9214"/>
          <w:tab w:val="clear" w:pos="8608"/>
        </w:tabs>
        <w:spacing w:line="700" w:lineRule="exact"/>
        <w:ind w:firstLine="640" w:firstLineChars="200"/>
        <w:jc w:val="left"/>
        <w:rPr>
          <w:rStyle w:val="59"/>
          <w:rFonts w:hint="eastAsia" w:ascii="Times New Roman" w:hAnsi="Times New Roman"/>
          <w:b w:val="0"/>
          <w:color w:val="auto"/>
          <w:sz w:val="32"/>
          <w:szCs w:val="32"/>
          <w:lang w:val="en-US"/>
        </w:rPr>
      </w:pPr>
      <w:r>
        <w:rPr>
          <w:rStyle w:val="59"/>
          <w:rFonts w:hint="eastAsia" w:ascii="Times New Roman" w:hAnsi="Times New Roman"/>
          <w:b w:val="0"/>
          <w:color w:val="auto"/>
          <w:sz w:val="32"/>
          <w:szCs w:val="32"/>
        </w:rPr>
        <w:fldChar w:fldCharType="begin"/>
      </w:r>
      <w:r>
        <w:rPr>
          <w:rStyle w:val="59"/>
          <w:rFonts w:hint="eastAsia" w:ascii="Times New Roman" w:hAnsi="Times New Roman"/>
          <w:b w:val="0"/>
          <w:color w:val="auto"/>
          <w:sz w:val="32"/>
          <w:szCs w:val="32"/>
        </w:rPr>
        <w:instrText xml:space="preserve"> HYPERLINK \l "_Toc513492494" </w:instrText>
      </w:r>
      <w:r>
        <w:rPr>
          <w:rStyle w:val="59"/>
          <w:rFonts w:hint="eastAsia" w:ascii="Times New Roman" w:hAnsi="Times New Roman"/>
          <w:b w:val="0"/>
          <w:color w:val="auto"/>
          <w:sz w:val="32"/>
          <w:szCs w:val="32"/>
        </w:rPr>
        <w:fldChar w:fldCharType="separate"/>
      </w:r>
      <w:r>
        <w:rPr>
          <w:rStyle w:val="59"/>
          <w:rFonts w:hint="eastAsia" w:ascii="Times New Roman" w:hAnsi="Times New Roman"/>
          <w:b w:val="0"/>
          <w:color w:val="auto"/>
          <w:sz w:val="32"/>
          <w:szCs w:val="32"/>
        </w:rPr>
        <w:t>第八章  投标文件格式</w:t>
      </w:r>
      <w:r>
        <w:rPr>
          <w:b w:val="0"/>
          <w:color w:val="auto"/>
          <w:sz w:val="32"/>
          <w:szCs w:val="32"/>
        </w:rPr>
        <w:tab/>
      </w:r>
      <w:r>
        <w:rPr>
          <w:b w:val="0"/>
          <w:color w:val="auto"/>
          <w:sz w:val="32"/>
          <w:szCs w:val="32"/>
        </w:rPr>
        <w:fldChar w:fldCharType="begin"/>
      </w:r>
      <w:r>
        <w:rPr>
          <w:b w:val="0"/>
          <w:color w:val="auto"/>
          <w:sz w:val="32"/>
          <w:szCs w:val="32"/>
        </w:rPr>
        <w:instrText xml:space="preserve"> PAGEREF _Toc513492493 \h </w:instrText>
      </w:r>
      <w:r>
        <w:rPr>
          <w:b w:val="0"/>
          <w:color w:val="auto"/>
          <w:sz w:val="32"/>
          <w:szCs w:val="32"/>
        </w:rPr>
        <w:fldChar w:fldCharType="separate"/>
      </w:r>
      <w:r>
        <w:rPr>
          <w:b w:val="0"/>
          <w:color w:val="auto"/>
          <w:sz w:val="32"/>
          <w:szCs w:val="32"/>
        </w:rPr>
        <w:t>5</w:t>
      </w:r>
      <w:r>
        <w:rPr>
          <w:rFonts w:hint="eastAsia"/>
          <w:b w:val="0"/>
          <w:color w:val="auto"/>
          <w:sz w:val="32"/>
          <w:szCs w:val="32"/>
          <w:lang w:val="en-US" w:eastAsia="zh-CN"/>
        </w:rPr>
        <w:t>6</w:t>
      </w:r>
      <w:r>
        <w:rPr>
          <w:b w:val="0"/>
          <w:color w:val="auto"/>
          <w:sz w:val="32"/>
          <w:szCs w:val="32"/>
        </w:rPr>
        <w:fldChar w:fldCharType="end"/>
      </w:r>
      <w:r>
        <w:rPr>
          <w:rStyle w:val="59"/>
          <w:rFonts w:hint="eastAsia" w:ascii="Times New Roman" w:hAnsi="Times New Roman"/>
          <w:b w:val="0"/>
          <w:color w:val="auto"/>
          <w:sz w:val="32"/>
          <w:szCs w:val="32"/>
        </w:rPr>
        <w:fldChar w:fldCharType="end"/>
      </w:r>
    </w:p>
    <w:p>
      <w:pPr>
        <w:pStyle w:val="2"/>
        <w:spacing w:line="700" w:lineRule="exact"/>
        <w:jc w:val="left"/>
        <w:rPr>
          <w:rFonts w:ascii="宋体" w:hAnsi="宋体" w:cs="MingLiU"/>
          <w:b w:val="0"/>
          <w:color w:val="auto"/>
          <w:kern w:val="0"/>
          <w:sz w:val="32"/>
          <w:szCs w:val="32"/>
        </w:rPr>
      </w:pPr>
      <w:r>
        <w:rPr>
          <w:rFonts w:ascii="宋体" w:hAnsi="宋体" w:cs="MingLiU"/>
          <w:b w:val="0"/>
          <w:color w:val="auto"/>
          <w:kern w:val="0"/>
          <w:sz w:val="32"/>
          <w:szCs w:val="32"/>
        </w:rPr>
        <w:fldChar w:fldCharType="end"/>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spacing w:before="0" w:after="0" w:line="460" w:lineRule="exact"/>
        <w:jc w:val="center"/>
        <w:rPr>
          <w:rFonts w:ascii="宋体" w:hAnsi="宋体" w:cs="宋体"/>
          <w:color w:val="auto"/>
          <w:kern w:val="0"/>
          <w:sz w:val="36"/>
          <w:szCs w:val="36"/>
        </w:rPr>
      </w:pPr>
      <w:bookmarkStart w:id="9" w:name="_Toc452058672"/>
      <w:bookmarkStart w:id="10" w:name="_Toc513492487"/>
      <w:r>
        <w:rPr>
          <w:rFonts w:hint="eastAsia" w:ascii="宋体" w:hAnsi="宋体" w:cs="宋体"/>
          <w:color w:val="auto"/>
          <w:kern w:val="0"/>
          <w:sz w:val="36"/>
          <w:szCs w:val="36"/>
        </w:rPr>
        <w:t>第一章  竞争性比选公告</w:t>
      </w:r>
      <w:bookmarkEnd w:id="0"/>
      <w:bookmarkEnd w:id="1"/>
      <w:bookmarkEnd w:id="2"/>
      <w:bookmarkEnd w:id="3"/>
      <w:bookmarkEnd w:id="4"/>
      <w:bookmarkEnd w:id="5"/>
      <w:bookmarkEnd w:id="9"/>
      <w:bookmarkEnd w:id="10"/>
    </w:p>
    <w:p>
      <w:pPr>
        <w:autoSpaceDE w:val="0"/>
        <w:autoSpaceDN w:val="0"/>
        <w:adjustRightInd w:val="0"/>
        <w:snapToGrid w:val="0"/>
        <w:spacing w:line="460" w:lineRule="exact"/>
        <w:jc w:val="center"/>
        <w:rPr>
          <w:rFonts w:ascii="宋体" w:hAnsi="宋体" w:cs="宋体"/>
          <w:b/>
          <w:snapToGrid w:val="0"/>
          <w:color w:val="auto"/>
          <w:w w:val="99"/>
          <w:kern w:val="0"/>
          <w:sz w:val="32"/>
          <w:szCs w:val="32"/>
        </w:rPr>
      </w:pPr>
      <w:r>
        <w:rPr>
          <w:rFonts w:hint="eastAsia" w:ascii="宋体" w:hAnsi="宋体" w:cs="宋体"/>
          <w:b/>
          <w:bCs/>
          <w:color w:val="auto"/>
          <w:kern w:val="0"/>
          <w:sz w:val="36"/>
          <w:szCs w:val="36"/>
          <w:lang w:eastAsia="zh-CN"/>
        </w:rPr>
        <w:t xml:space="preserve">铜梁区福果镇久远河支流团实村段黑臭水体整治项目(第二次) </w:t>
      </w:r>
      <w:r>
        <w:rPr>
          <w:rFonts w:hint="eastAsia" w:ascii="宋体" w:hAnsi="宋体" w:cs="宋体"/>
          <w:b/>
          <w:snapToGrid w:val="0"/>
          <w:color w:val="auto"/>
          <w:w w:val="99"/>
          <w:kern w:val="0"/>
          <w:sz w:val="32"/>
          <w:szCs w:val="32"/>
        </w:rPr>
        <w:t xml:space="preserve"> </w:t>
      </w:r>
    </w:p>
    <w:p>
      <w:pPr>
        <w:pStyle w:val="3"/>
        <w:pageBreakBefore w:val="0"/>
        <w:kinsoku/>
        <w:wordWrap/>
        <w:overflowPunct/>
        <w:topLinePunct w:val="0"/>
        <w:bidi w:val="0"/>
        <w:spacing w:before="0" w:after="0" w:line="440" w:lineRule="exact"/>
        <w:ind w:firstLine="422" w:firstLineChars="200"/>
        <w:textAlignment w:val="auto"/>
        <w:rPr>
          <w:rFonts w:hint="eastAsia" w:ascii="宋体" w:hAnsi="宋体" w:eastAsia="宋体" w:cs="宋体"/>
          <w:bCs w:val="0"/>
          <w:snapToGrid w:val="0"/>
          <w:color w:val="auto"/>
          <w:sz w:val="21"/>
          <w:szCs w:val="21"/>
        </w:rPr>
      </w:pPr>
      <w:bookmarkStart w:id="11" w:name="_Toc428455483"/>
      <w:bookmarkStart w:id="12" w:name="_Toc452058673"/>
      <w:r>
        <w:rPr>
          <w:rFonts w:hint="eastAsia" w:ascii="宋体" w:hAnsi="宋体" w:eastAsia="宋体" w:cs="宋体"/>
          <w:snapToGrid w:val="0"/>
          <w:color w:val="auto"/>
          <w:sz w:val="21"/>
          <w:szCs w:val="21"/>
        </w:rPr>
        <w:t>1. 竞争性比选条件</w:t>
      </w:r>
      <w:bookmarkEnd w:id="11"/>
      <w:bookmarkEnd w:id="12"/>
    </w:p>
    <w:p>
      <w:pPr>
        <w:pageBreakBefore w:val="0"/>
        <w:kinsoku/>
        <w:wordWrap/>
        <w:overflowPunct/>
        <w:topLinePunct w:val="0"/>
        <w:bidi w:val="0"/>
        <w:spacing w:line="440" w:lineRule="exact"/>
        <w:ind w:firstLine="420" w:firstLineChars="200"/>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本招标项目</w:t>
      </w:r>
      <w:r>
        <w:rPr>
          <w:rFonts w:hint="eastAsia" w:ascii="宋体" w:hAnsi="宋体" w:cs="宋体"/>
          <w:snapToGrid w:val="0"/>
          <w:color w:val="auto"/>
          <w:kern w:val="0"/>
          <w:szCs w:val="21"/>
          <w:u w:val="single"/>
          <w:lang w:eastAsia="zh-CN"/>
        </w:rPr>
        <w:t xml:space="preserve">铜梁区福果镇久远河支流团实村段黑臭水体整治项目(第二次) </w:t>
      </w:r>
      <w:r>
        <w:rPr>
          <w:rFonts w:hint="eastAsia" w:ascii="宋体" w:hAnsi="宋体" w:eastAsia="宋体" w:cs="宋体"/>
          <w:snapToGrid w:val="0"/>
          <w:color w:val="auto"/>
          <w:kern w:val="0"/>
          <w:szCs w:val="21"/>
        </w:rPr>
        <w:t>业主为</w:t>
      </w:r>
      <w:r>
        <w:rPr>
          <w:rFonts w:hint="eastAsia" w:ascii="宋体" w:hAnsi="宋体" w:cs="宋体"/>
          <w:snapToGrid w:val="0"/>
          <w:color w:val="auto"/>
          <w:kern w:val="0"/>
          <w:szCs w:val="21"/>
          <w:u w:val="single"/>
          <w:lang w:eastAsia="zh-CN"/>
        </w:rPr>
        <w:t>重庆市铜梁区福果镇人民政府</w:t>
      </w:r>
      <w:r>
        <w:rPr>
          <w:rFonts w:hint="eastAsia" w:ascii="宋体" w:hAnsi="宋体" w:eastAsia="宋体" w:cs="宋体"/>
          <w:snapToGrid w:val="0"/>
          <w:color w:val="auto"/>
          <w:kern w:val="0"/>
          <w:szCs w:val="21"/>
        </w:rPr>
        <w:t>，资金来源为</w:t>
      </w:r>
      <w:r>
        <w:rPr>
          <w:rFonts w:hint="eastAsia" w:ascii="宋体" w:hAnsi="宋体" w:cs="宋体"/>
          <w:snapToGrid w:val="0"/>
          <w:color w:val="auto"/>
          <w:kern w:val="0"/>
          <w:szCs w:val="21"/>
          <w:highlight w:val="none"/>
          <w:u w:val="single"/>
          <w:lang w:eastAsia="zh-CN"/>
        </w:rPr>
        <w:t>上级财政资金</w:t>
      </w:r>
      <w:r>
        <w:rPr>
          <w:rFonts w:hint="eastAsia" w:ascii="宋体" w:hAnsi="宋体" w:eastAsia="宋体" w:cs="宋体"/>
          <w:snapToGrid w:val="0"/>
          <w:color w:val="auto"/>
          <w:kern w:val="0"/>
          <w:szCs w:val="21"/>
        </w:rPr>
        <w:t>，</w:t>
      </w:r>
      <w:r>
        <w:rPr>
          <w:rFonts w:hint="eastAsia" w:ascii="宋体" w:hAnsi="宋体" w:cs="宋体"/>
          <w:snapToGrid w:val="0"/>
          <w:color w:val="auto"/>
          <w:kern w:val="0"/>
          <w:szCs w:val="21"/>
          <w:lang w:eastAsia="zh-CN"/>
        </w:rPr>
        <w:t>比选人</w:t>
      </w:r>
      <w:r>
        <w:rPr>
          <w:rFonts w:hint="eastAsia" w:ascii="宋体" w:hAnsi="宋体" w:eastAsia="宋体" w:cs="宋体"/>
          <w:snapToGrid w:val="0"/>
          <w:color w:val="auto"/>
          <w:kern w:val="0"/>
          <w:szCs w:val="21"/>
        </w:rPr>
        <w:t>为</w:t>
      </w:r>
      <w:r>
        <w:rPr>
          <w:rFonts w:hint="eastAsia" w:ascii="宋体" w:hAnsi="宋体" w:cs="宋体"/>
          <w:snapToGrid w:val="0"/>
          <w:color w:val="auto"/>
          <w:kern w:val="0"/>
          <w:szCs w:val="21"/>
          <w:u w:val="single"/>
          <w:lang w:eastAsia="zh-CN"/>
        </w:rPr>
        <w:t>重庆市铜梁区福果镇人民政府</w:t>
      </w:r>
      <w:r>
        <w:rPr>
          <w:rFonts w:hint="eastAsia" w:ascii="宋体" w:hAnsi="宋体" w:eastAsia="宋体" w:cs="宋体"/>
          <w:snapToGrid w:val="0"/>
          <w:color w:val="auto"/>
          <w:kern w:val="0"/>
          <w:szCs w:val="21"/>
        </w:rPr>
        <w:t>。项目已具备招标条件，现对该项目施工进行竞争性比选。</w:t>
      </w:r>
    </w:p>
    <w:p>
      <w:pPr>
        <w:pStyle w:val="3"/>
        <w:pageBreakBefore w:val="0"/>
        <w:kinsoku/>
        <w:wordWrap/>
        <w:overflowPunct/>
        <w:topLinePunct w:val="0"/>
        <w:bidi w:val="0"/>
        <w:spacing w:before="0" w:after="0" w:line="440" w:lineRule="exact"/>
        <w:ind w:firstLine="422" w:firstLineChars="200"/>
        <w:textAlignment w:val="auto"/>
        <w:rPr>
          <w:rFonts w:hint="eastAsia" w:ascii="宋体" w:hAnsi="宋体" w:eastAsia="宋体" w:cs="宋体"/>
          <w:snapToGrid w:val="0"/>
          <w:color w:val="auto"/>
          <w:sz w:val="21"/>
          <w:szCs w:val="21"/>
        </w:rPr>
      </w:pPr>
      <w:bookmarkStart w:id="13" w:name="_Toc452058674"/>
      <w:r>
        <w:rPr>
          <w:rFonts w:hint="eastAsia" w:ascii="宋体" w:hAnsi="宋体" w:eastAsia="宋体" w:cs="宋体"/>
          <w:snapToGrid w:val="0"/>
          <w:color w:val="auto"/>
          <w:sz w:val="21"/>
          <w:szCs w:val="21"/>
        </w:rPr>
        <w:t>2、项目概况与比选范围</w:t>
      </w:r>
      <w:bookmarkEnd w:id="13"/>
    </w:p>
    <w:p>
      <w:pPr>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rPr>
      </w:pPr>
      <w:bookmarkStart w:id="14" w:name="_Toc452058675"/>
      <w:r>
        <w:rPr>
          <w:rFonts w:hint="eastAsia" w:ascii="宋体" w:hAnsi="宋体" w:eastAsia="宋体" w:cs="宋体"/>
          <w:color w:val="auto"/>
          <w:kern w:val="0"/>
          <w:szCs w:val="21"/>
        </w:rPr>
        <w:t>2.1 项目概况：</w:t>
      </w:r>
      <w:r>
        <w:rPr>
          <w:rFonts w:hint="eastAsia" w:ascii="宋体" w:hAnsi="宋体" w:cs="宋体"/>
          <w:color w:val="auto"/>
          <w:lang w:eastAsia="zh-CN"/>
        </w:rPr>
        <w:t>项目位于</w:t>
      </w:r>
      <w:r>
        <w:rPr>
          <w:rFonts w:hint="eastAsia"/>
          <w:color w:val="auto"/>
          <w:lang w:val="en-US" w:eastAsia="zh-CN"/>
        </w:rPr>
        <w:t>铜梁区福果镇团实村</w:t>
      </w:r>
      <w:r>
        <w:rPr>
          <w:rFonts w:hint="eastAsia" w:ascii="宋体" w:hAnsi="宋体" w:cs="宋体"/>
          <w:color w:val="auto"/>
          <w:lang w:eastAsia="zh-CN"/>
        </w:rPr>
        <w:t>，</w:t>
      </w:r>
      <w:r>
        <w:rPr>
          <w:rFonts w:hint="eastAsia" w:ascii="宋体" w:hAnsi="宋体" w:eastAsia="宋体" w:cs="宋体"/>
          <w:color w:val="auto"/>
          <w:kern w:val="0"/>
          <w:szCs w:val="21"/>
          <w:lang w:eastAsia="zh-CN"/>
        </w:rPr>
        <w:t>具体以</w:t>
      </w:r>
      <w:r>
        <w:rPr>
          <w:rFonts w:hint="eastAsia" w:ascii="宋体" w:hAnsi="宋体" w:cs="宋体"/>
          <w:color w:val="auto"/>
          <w:kern w:val="0"/>
          <w:szCs w:val="21"/>
          <w:lang w:eastAsia="zh-CN"/>
        </w:rPr>
        <w:t>比选人</w:t>
      </w:r>
      <w:r>
        <w:rPr>
          <w:rFonts w:hint="eastAsia" w:ascii="宋体" w:hAnsi="宋体" w:eastAsia="宋体" w:cs="宋体"/>
          <w:color w:val="auto"/>
          <w:kern w:val="0"/>
          <w:szCs w:val="21"/>
          <w:lang w:eastAsia="zh-CN"/>
        </w:rPr>
        <w:t>发出的工程量清单为准。</w:t>
      </w:r>
    </w:p>
    <w:p>
      <w:pPr>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2.2 建设地址：</w:t>
      </w:r>
      <w:r>
        <w:rPr>
          <w:rFonts w:hint="eastAsia"/>
          <w:color w:val="auto"/>
          <w:lang w:val="en-US" w:eastAsia="zh-CN"/>
        </w:rPr>
        <w:t>铜梁区福果镇团实村</w:t>
      </w:r>
      <w:r>
        <w:rPr>
          <w:rFonts w:hint="eastAsia" w:ascii="宋体" w:hAnsi="宋体" w:eastAsia="宋体" w:cs="宋体"/>
          <w:color w:val="auto"/>
          <w:kern w:val="0"/>
          <w:szCs w:val="21"/>
        </w:rPr>
        <w:t>。</w:t>
      </w:r>
    </w:p>
    <w:p>
      <w:pPr>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2.3 比选范围：</w:t>
      </w:r>
      <w:r>
        <w:rPr>
          <w:rFonts w:hint="eastAsia" w:ascii="宋体" w:hAnsi="宋体" w:eastAsia="宋体" w:cs="宋体"/>
          <w:color w:val="auto"/>
          <w:kern w:val="0"/>
          <w:szCs w:val="21"/>
          <w:lang w:eastAsia="zh-CN"/>
        </w:rPr>
        <w:t>本工程施工图设计范围内的全部内容，具体以</w:t>
      </w:r>
      <w:r>
        <w:rPr>
          <w:rFonts w:hint="eastAsia" w:ascii="宋体" w:hAnsi="宋体" w:cs="宋体"/>
          <w:color w:val="auto"/>
          <w:kern w:val="0"/>
          <w:szCs w:val="21"/>
          <w:lang w:eastAsia="zh-CN"/>
        </w:rPr>
        <w:t>比选人</w:t>
      </w:r>
      <w:r>
        <w:rPr>
          <w:rFonts w:hint="eastAsia" w:ascii="宋体" w:hAnsi="宋体" w:eastAsia="宋体" w:cs="宋体"/>
          <w:color w:val="auto"/>
          <w:kern w:val="0"/>
          <w:szCs w:val="21"/>
          <w:lang w:eastAsia="zh-CN"/>
        </w:rPr>
        <w:t>发出的工程量清单为准。</w:t>
      </w:r>
    </w:p>
    <w:p>
      <w:pPr>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rPr>
        <w:t>2.4 工期：</w:t>
      </w:r>
      <w:r>
        <w:rPr>
          <w:rFonts w:hint="eastAsia" w:ascii="宋体" w:hAnsi="宋体" w:cs="宋体"/>
          <w:color w:val="auto"/>
          <w:kern w:val="0"/>
          <w:szCs w:val="21"/>
          <w:highlight w:val="none"/>
          <w:lang w:val="en-US" w:eastAsia="zh-CN"/>
        </w:rPr>
        <w:t>15日历天</w:t>
      </w:r>
      <w:r>
        <w:rPr>
          <w:rFonts w:hint="eastAsia" w:ascii="宋体" w:hAnsi="宋体" w:eastAsia="宋体" w:cs="宋体"/>
          <w:color w:val="auto"/>
          <w:kern w:val="0"/>
          <w:szCs w:val="21"/>
          <w:highlight w:val="none"/>
        </w:rPr>
        <w:t>。</w:t>
      </w:r>
    </w:p>
    <w:p>
      <w:pPr>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2.5 标段划分：本次招标设1个标段。</w:t>
      </w:r>
    </w:p>
    <w:p>
      <w:pPr>
        <w:pStyle w:val="3"/>
        <w:pageBreakBefore w:val="0"/>
        <w:kinsoku/>
        <w:wordWrap/>
        <w:overflowPunct/>
        <w:topLinePunct w:val="0"/>
        <w:bidi w:val="0"/>
        <w:spacing w:before="0" w:after="0" w:line="440" w:lineRule="exact"/>
        <w:ind w:firstLine="422"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3、投标人资格要求</w:t>
      </w:r>
      <w:bookmarkEnd w:id="14"/>
    </w:p>
    <w:p>
      <w:pPr>
        <w:pageBreakBefore w:val="0"/>
        <w:kinsoku/>
        <w:wordWrap/>
        <w:overflowPunct/>
        <w:topLinePunct w:val="0"/>
        <w:bidi w:val="0"/>
        <w:spacing w:line="440" w:lineRule="exact"/>
        <w:ind w:firstLine="420" w:firstLineChars="200"/>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3.1 本次招标要求投标人需具备</w:t>
      </w:r>
      <w:r>
        <w:rPr>
          <w:rFonts w:hint="eastAsia" w:ascii="宋体" w:hAnsi="宋体" w:cs="宋体"/>
          <w:snapToGrid w:val="0"/>
          <w:color w:val="auto"/>
          <w:kern w:val="0"/>
          <w:szCs w:val="21"/>
          <w:lang w:eastAsia="zh-CN"/>
        </w:rPr>
        <w:t>行业</w:t>
      </w:r>
      <w:r>
        <w:rPr>
          <w:rFonts w:hint="eastAsia" w:ascii="宋体" w:hAnsi="宋体" w:eastAsia="宋体" w:cs="宋体"/>
          <w:snapToGrid w:val="0"/>
          <w:color w:val="auto"/>
          <w:kern w:val="0"/>
          <w:szCs w:val="21"/>
        </w:rPr>
        <w:t>主管部门颁发的有效的</w:t>
      </w:r>
      <w:r>
        <w:rPr>
          <w:rFonts w:hint="eastAsia" w:ascii="宋体" w:hAnsi="宋体" w:cs="宋体"/>
          <w:b/>
          <w:bCs/>
          <w:snapToGrid w:val="0"/>
          <w:color w:val="auto"/>
          <w:kern w:val="0"/>
          <w:szCs w:val="21"/>
          <w:u w:val="single"/>
          <w:lang w:val="en-US" w:eastAsia="zh-CN"/>
        </w:rPr>
        <w:t>市政公用工程施工总承包叁级及以上资质</w:t>
      </w:r>
      <w:r>
        <w:rPr>
          <w:rFonts w:hint="eastAsia" w:ascii="宋体" w:hAnsi="宋体" w:eastAsia="宋体" w:cs="宋体"/>
          <w:snapToGrid w:val="0"/>
          <w:color w:val="auto"/>
          <w:kern w:val="0"/>
          <w:szCs w:val="21"/>
        </w:rPr>
        <w:t>。</w:t>
      </w:r>
    </w:p>
    <w:p>
      <w:pPr>
        <w:pageBreakBefore w:val="0"/>
        <w:tabs>
          <w:tab w:val="left" w:pos="384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3.2 资格审查方式：资格后审。</w:t>
      </w:r>
    </w:p>
    <w:p>
      <w:pPr>
        <w:pageBreakBefore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color w:val="auto"/>
          <w:kern w:val="0"/>
          <w:szCs w:val="21"/>
        </w:rPr>
      </w:pPr>
      <w:bookmarkStart w:id="15" w:name="_Toc452058676"/>
      <w:r>
        <w:rPr>
          <w:rFonts w:hint="eastAsia" w:ascii="宋体" w:hAnsi="宋体" w:eastAsia="宋体" w:cs="宋体"/>
          <w:color w:val="auto"/>
          <w:kern w:val="0"/>
          <w:szCs w:val="21"/>
        </w:rPr>
        <w:t>3.3 本次比选不接受联合体投标。</w:t>
      </w:r>
    </w:p>
    <w:p>
      <w:pPr>
        <w:pStyle w:val="3"/>
        <w:pageBreakBefore w:val="0"/>
        <w:kinsoku/>
        <w:wordWrap/>
        <w:overflowPunct/>
        <w:topLinePunct w:val="0"/>
        <w:bidi w:val="0"/>
        <w:spacing w:before="0" w:after="0" w:line="440" w:lineRule="exact"/>
        <w:ind w:firstLine="422"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4、比选文件的获取</w:t>
      </w:r>
      <w:bookmarkEnd w:id="15"/>
    </w:p>
    <w:p>
      <w:pPr>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rPr>
      </w:pPr>
      <w:bookmarkStart w:id="16" w:name="_Toc452058677"/>
      <w:r>
        <w:rPr>
          <w:rFonts w:hint="eastAsia" w:ascii="宋体" w:hAnsi="宋体" w:eastAsia="宋体" w:cs="宋体"/>
          <w:color w:val="auto"/>
          <w:kern w:val="0"/>
          <w:szCs w:val="21"/>
        </w:rPr>
        <w:t>4.1凡有意参加投标的</w:t>
      </w:r>
      <w:r>
        <w:rPr>
          <w:rFonts w:hint="eastAsia" w:ascii="宋体" w:hAnsi="宋体" w:cs="宋体"/>
          <w:color w:val="auto"/>
          <w:kern w:val="0"/>
          <w:szCs w:val="21"/>
          <w:lang w:val="en-US" w:eastAsia="zh-CN"/>
        </w:rPr>
        <w:t>投标人</w:t>
      </w:r>
      <w:r>
        <w:rPr>
          <w:rFonts w:hint="eastAsia" w:ascii="宋体" w:hAnsi="宋体" w:eastAsia="宋体" w:cs="宋体"/>
          <w:color w:val="auto"/>
          <w:kern w:val="0"/>
          <w:szCs w:val="21"/>
        </w:rPr>
        <w:t>，请于</w:t>
      </w:r>
      <w:r>
        <w:rPr>
          <w:rFonts w:hint="eastAsia" w:ascii="宋体" w:hAnsi="宋体" w:cs="宋体"/>
          <w:color w:val="auto"/>
          <w:kern w:val="0"/>
          <w:szCs w:val="21"/>
          <w:lang w:eastAsia="zh-CN"/>
        </w:rPr>
        <w:t>2024年</w:t>
      </w:r>
      <w:r>
        <w:rPr>
          <w:rFonts w:hint="eastAsia" w:ascii="宋体" w:hAnsi="宋体" w:cs="宋体"/>
          <w:color w:val="auto"/>
          <w:kern w:val="0"/>
          <w:szCs w:val="21"/>
          <w:lang w:val="en-US" w:eastAsia="zh-CN"/>
        </w:rPr>
        <w:t>6月25日</w:t>
      </w:r>
      <w:r>
        <w:rPr>
          <w:rFonts w:hint="eastAsia" w:ascii="宋体" w:hAnsi="宋体" w:eastAsia="宋体" w:cs="宋体"/>
          <w:color w:val="auto"/>
          <w:kern w:val="0"/>
          <w:szCs w:val="21"/>
        </w:rPr>
        <w:t>起至</w:t>
      </w:r>
      <w:r>
        <w:rPr>
          <w:rFonts w:hint="eastAsia" w:ascii="宋体" w:hAnsi="宋体" w:cs="宋体"/>
          <w:color w:val="auto"/>
          <w:kern w:val="0"/>
          <w:szCs w:val="21"/>
          <w:lang w:eastAsia="zh-CN"/>
        </w:rPr>
        <w:t>2024年</w:t>
      </w:r>
      <w:r>
        <w:rPr>
          <w:rFonts w:hint="eastAsia" w:ascii="宋体" w:hAnsi="宋体" w:cs="宋体"/>
          <w:color w:val="auto"/>
          <w:kern w:val="0"/>
          <w:szCs w:val="21"/>
          <w:lang w:val="en-US" w:eastAsia="zh-CN"/>
        </w:rPr>
        <w:t>6</w:t>
      </w:r>
      <w:r>
        <w:rPr>
          <w:rFonts w:hint="eastAsia" w:ascii="宋体" w:hAnsi="宋体" w:eastAsia="宋体" w:cs="宋体"/>
          <w:color w:val="auto"/>
          <w:kern w:val="0"/>
          <w:szCs w:val="21"/>
        </w:rPr>
        <w:t>月</w:t>
      </w:r>
      <w:r>
        <w:rPr>
          <w:rFonts w:hint="eastAsia" w:ascii="宋体" w:hAnsi="宋体" w:cs="宋体"/>
          <w:color w:val="auto"/>
          <w:kern w:val="0"/>
          <w:szCs w:val="21"/>
          <w:lang w:val="en-US" w:eastAsia="zh-CN"/>
        </w:rPr>
        <w:t>27</w:t>
      </w:r>
      <w:r>
        <w:rPr>
          <w:rFonts w:hint="eastAsia" w:ascii="宋体" w:hAnsi="宋体" w:eastAsia="宋体" w:cs="宋体"/>
          <w:color w:val="auto"/>
          <w:kern w:val="0"/>
          <w:szCs w:val="21"/>
        </w:rPr>
        <w:t>日17时00分止在重庆市铜梁区人民政府网（www.cqstl.gov.cn）</w:t>
      </w:r>
      <w:r>
        <w:rPr>
          <w:rFonts w:hint="eastAsia" w:ascii="宋体" w:hAnsi="宋体" w:cs="宋体"/>
          <w:color w:val="auto"/>
          <w:kern w:val="0"/>
          <w:szCs w:val="21"/>
          <w:lang w:val="en-US" w:eastAsia="zh-CN"/>
        </w:rPr>
        <w:t>上下载</w:t>
      </w:r>
      <w:r>
        <w:rPr>
          <w:rFonts w:hint="eastAsia" w:ascii="宋体" w:hAnsi="宋体" w:eastAsia="宋体" w:cs="宋体"/>
          <w:color w:val="auto"/>
          <w:kern w:val="0"/>
          <w:szCs w:val="21"/>
        </w:rPr>
        <w:t>本项目比选文件、工程量清单、图纸、澄清、修改、补充通知等全部内容。</w:t>
      </w:r>
    </w:p>
    <w:p>
      <w:pPr>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4.2投标人可以以匿名传真的形式提出疑问，将问题传真至比选代理机构。提问时间从本公告发布至</w:t>
      </w:r>
      <w:r>
        <w:rPr>
          <w:rFonts w:hint="eastAsia" w:ascii="宋体" w:hAnsi="宋体" w:cs="宋体"/>
          <w:color w:val="auto"/>
          <w:kern w:val="0"/>
          <w:szCs w:val="21"/>
          <w:lang w:eastAsia="zh-CN"/>
        </w:rPr>
        <w:t>2024年</w:t>
      </w:r>
      <w:r>
        <w:rPr>
          <w:rFonts w:hint="eastAsia" w:ascii="宋体" w:hAnsi="宋体" w:cs="宋体"/>
          <w:color w:val="auto"/>
          <w:kern w:val="0"/>
          <w:szCs w:val="21"/>
          <w:lang w:val="en-US" w:eastAsia="zh-CN"/>
        </w:rPr>
        <w:t>6</w:t>
      </w:r>
      <w:r>
        <w:rPr>
          <w:rFonts w:hint="eastAsia" w:ascii="宋体" w:hAnsi="宋体" w:eastAsia="宋体" w:cs="宋体"/>
          <w:color w:val="auto"/>
          <w:kern w:val="0"/>
          <w:szCs w:val="21"/>
        </w:rPr>
        <w:t>月</w:t>
      </w:r>
      <w:r>
        <w:rPr>
          <w:rFonts w:hint="eastAsia" w:ascii="宋体" w:hAnsi="宋体" w:cs="宋体"/>
          <w:color w:val="auto"/>
          <w:kern w:val="0"/>
          <w:szCs w:val="21"/>
          <w:lang w:val="en-US" w:eastAsia="zh-CN"/>
        </w:rPr>
        <w:t>25</w:t>
      </w:r>
      <w:r>
        <w:rPr>
          <w:rFonts w:hint="eastAsia" w:ascii="宋体" w:hAnsi="宋体" w:eastAsia="宋体" w:cs="宋体"/>
          <w:color w:val="auto"/>
          <w:kern w:val="0"/>
          <w:szCs w:val="21"/>
        </w:rPr>
        <w:t>日</w:t>
      </w:r>
      <w:r>
        <w:rPr>
          <w:rFonts w:hint="eastAsia" w:ascii="宋体" w:hAnsi="宋体" w:cs="宋体"/>
          <w:color w:val="auto"/>
          <w:kern w:val="0"/>
          <w:szCs w:val="21"/>
          <w:lang w:val="en-US" w:eastAsia="zh-CN"/>
        </w:rPr>
        <w:t>18</w:t>
      </w:r>
      <w:r>
        <w:rPr>
          <w:rFonts w:hint="eastAsia" w:ascii="宋体" w:hAnsi="宋体" w:eastAsia="宋体" w:cs="宋体"/>
          <w:color w:val="auto"/>
          <w:kern w:val="0"/>
          <w:szCs w:val="21"/>
        </w:rPr>
        <w:t>时00分（北京时间）前。</w:t>
      </w:r>
    </w:p>
    <w:p>
      <w:pPr>
        <w:pageBreakBefore w:val="0"/>
        <w:tabs>
          <w:tab w:val="left" w:pos="3840"/>
        </w:tabs>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snapToGrid w:val="0"/>
          <w:color w:val="auto"/>
          <w:kern w:val="0"/>
          <w:szCs w:val="21"/>
          <w:lang w:val="en-US" w:eastAsia="zh-CN"/>
        </w:rPr>
      </w:pPr>
      <w:r>
        <w:rPr>
          <w:rFonts w:hint="eastAsia" w:ascii="宋体" w:hAnsi="宋体" w:eastAsia="宋体" w:cs="宋体"/>
          <w:color w:val="auto"/>
          <w:kern w:val="0"/>
          <w:szCs w:val="21"/>
        </w:rPr>
        <w:t>4.</w:t>
      </w:r>
      <w:r>
        <w:rPr>
          <w:rFonts w:hint="eastAsia" w:ascii="宋体" w:hAnsi="宋体" w:cs="宋体"/>
          <w:color w:val="auto"/>
          <w:kern w:val="0"/>
          <w:szCs w:val="21"/>
          <w:lang w:val="en-US" w:eastAsia="zh-CN"/>
        </w:rPr>
        <w:t>3</w:t>
      </w:r>
      <w:r>
        <w:rPr>
          <w:rFonts w:hint="eastAsia" w:ascii="宋体" w:hAnsi="宋体" w:cs="宋体"/>
          <w:color w:val="auto"/>
          <w:kern w:val="0"/>
          <w:szCs w:val="21"/>
          <w:lang w:eastAsia="zh-CN"/>
        </w:rPr>
        <w:t>招标人</w:t>
      </w:r>
      <w:r>
        <w:rPr>
          <w:rFonts w:hint="eastAsia" w:ascii="宋体" w:hAnsi="宋体" w:eastAsia="宋体" w:cs="宋体"/>
          <w:color w:val="auto"/>
          <w:kern w:val="0"/>
          <w:szCs w:val="21"/>
        </w:rPr>
        <w:t>应于</w:t>
      </w:r>
      <w:r>
        <w:rPr>
          <w:rFonts w:hint="eastAsia" w:ascii="宋体" w:hAnsi="宋体" w:cs="宋体"/>
          <w:color w:val="auto"/>
          <w:kern w:val="0"/>
          <w:szCs w:val="21"/>
          <w:lang w:eastAsia="zh-CN"/>
        </w:rPr>
        <w:t>2024年</w:t>
      </w:r>
      <w:r>
        <w:rPr>
          <w:rFonts w:hint="eastAsia" w:ascii="宋体" w:hAnsi="宋体" w:cs="宋体"/>
          <w:color w:val="auto"/>
          <w:kern w:val="0"/>
          <w:szCs w:val="21"/>
          <w:lang w:val="en-US" w:eastAsia="zh-CN"/>
        </w:rPr>
        <w:t>6</w:t>
      </w:r>
      <w:r>
        <w:rPr>
          <w:rFonts w:hint="eastAsia" w:ascii="宋体" w:hAnsi="宋体" w:eastAsia="宋体" w:cs="宋体"/>
          <w:color w:val="auto"/>
          <w:kern w:val="0"/>
          <w:szCs w:val="21"/>
        </w:rPr>
        <w:t>月</w:t>
      </w:r>
      <w:r>
        <w:rPr>
          <w:rFonts w:hint="eastAsia" w:ascii="宋体" w:hAnsi="宋体" w:cs="宋体"/>
          <w:color w:val="auto"/>
          <w:kern w:val="0"/>
          <w:szCs w:val="21"/>
          <w:lang w:val="en-US" w:eastAsia="zh-CN"/>
        </w:rPr>
        <w:t>26</w:t>
      </w:r>
      <w:r>
        <w:rPr>
          <w:rFonts w:hint="eastAsia" w:ascii="宋体" w:hAnsi="宋体" w:eastAsia="宋体" w:cs="宋体"/>
          <w:color w:val="auto"/>
          <w:kern w:val="0"/>
          <w:szCs w:val="21"/>
        </w:rPr>
        <w:t>日</w:t>
      </w:r>
      <w:r>
        <w:rPr>
          <w:rFonts w:hint="eastAsia" w:ascii="宋体" w:hAnsi="宋体" w:cs="宋体"/>
          <w:color w:val="auto"/>
          <w:kern w:val="0"/>
          <w:szCs w:val="21"/>
          <w:lang w:val="en-US" w:eastAsia="zh-CN"/>
        </w:rPr>
        <w:t>18</w:t>
      </w:r>
      <w:r>
        <w:rPr>
          <w:rFonts w:hint="eastAsia" w:ascii="宋体" w:hAnsi="宋体" w:eastAsia="宋体" w:cs="宋体"/>
          <w:color w:val="auto"/>
          <w:kern w:val="0"/>
          <w:szCs w:val="21"/>
        </w:rPr>
        <w:t>时00分（北京时间）前在</w:t>
      </w:r>
      <w:r>
        <w:rPr>
          <w:rFonts w:hint="eastAsia" w:ascii="宋体" w:hAnsi="宋体" w:eastAsia="宋体" w:cs="宋体"/>
          <w:color w:val="auto"/>
          <w:kern w:val="0"/>
          <w:szCs w:val="21"/>
          <w:lang w:eastAsia="zh-CN"/>
        </w:rPr>
        <w:t>重庆市铜梁区人民政府网（http://www.cqstl.gov.cn/）</w:t>
      </w:r>
      <w:r>
        <w:rPr>
          <w:rFonts w:hint="eastAsia" w:ascii="宋体" w:hAnsi="宋体" w:eastAsia="宋体" w:cs="宋体"/>
          <w:color w:val="auto"/>
          <w:kern w:val="0"/>
          <w:szCs w:val="21"/>
        </w:rPr>
        <w:t>发布澄清</w:t>
      </w:r>
      <w:r>
        <w:rPr>
          <w:rFonts w:hint="eastAsia" w:ascii="宋体" w:hAnsi="宋体" w:eastAsia="宋体" w:cs="宋体"/>
          <w:snapToGrid w:val="0"/>
          <w:color w:val="auto"/>
          <w:kern w:val="0"/>
          <w:szCs w:val="21"/>
          <w:lang w:val="en-US" w:eastAsia="zh-CN"/>
        </w:rPr>
        <w:t>。</w:t>
      </w:r>
    </w:p>
    <w:p>
      <w:pPr>
        <w:pStyle w:val="3"/>
        <w:pageBreakBefore w:val="0"/>
        <w:kinsoku/>
        <w:wordWrap/>
        <w:overflowPunct/>
        <w:topLinePunct w:val="0"/>
        <w:bidi w:val="0"/>
        <w:spacing w:before="0" w:after="0" w:line="440" w:lineRule="exact"/>
        <w:ind w:firstLine="422"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5、投标文件的递交</w:t>
      </w:r>
      <w:bookmarkEnd w:id="16"/>
    </w:p>
    <w:p>
      <w:pPr>
        <w:pageBreakBefore w:val="0"/>
        <w:kinsoku/>
        <w:wordWrap/>
        <w:overflowPunct/>
        <w:topLinePunct w:val="0"/>
        <w:bidi w:val="0"/>
        <w:spacing w:line="440" w:lineRule="exact"/>
        <w:ind w:firstLine="420" w:firstLineChars="200"/>
        <w:textAlignment w:val="auto"/>
        <w:rPr>
          <w:rFonts w:hint="eastAsia" w:ascii="宋体" w:hAnsi="宋体" w:eastAsia="宋体" w:cs="宋体"/>
          <w:snapToGrid w:val="0"/>
          <w:color w:val="auto"/>
          <w:kern w:val="0"/>
          <w:szCs w:val="21"/>
        </w:rPr>
      </w:pPr>
      <w:bookmarkStart w:id="17" w:name="_Toc452058678"/>
      <w:r>
        <w:rPr>
          <w:rFonts w:hint="eastAsia" w:ascii="宋体" w:hAnsi="宋体" w:eastAsia="宋体" w:cs="宋体"/>
          <w:snapToGrid w:val="0"/>
          <w:color w:val="auto"/>
          <w:kern w:val="0"/>
          <w:szCs w:val="21"/>
        </w:rPr>
        <w:t>5.1投标文件递交时间为</w:t>
      </w:r>
      <w:r>
        <w:rPr>
          <w:rFonts w:hint="eastAsia" w:ascii="宋体" w:hAnsi="宋体" w:cs="宋体"/>
          <w:snapToGrid w:val="0"/>
          <w:color w:val="auto"/>
          <w:kern w:val="0"/>
          <w:szCs w:val="21"/>
          <w:lang w:eastAsia="zh-CN"/>
        </w:rPr>
        <w:t>2024年</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lang w:eastAsia="zh-CN"/>
        </w:rPr>
        <w:t>月</w:t>
      </w:r>
      <w:r>
        <w:rPr>
          <w:rFonts w:hint="eastAsia" w:ascii="宋体" w:hAnsi="宋体" w:cs="宋体"/>
          <w:snapToGrid w:val="0"/>
          <w:color w:val="auto"/>
          <w:kern w:val="0"/>
          <w:szCs w:val="21"/>
          <w:lang w:val="en-US" w:eastAsia="zh-CN"/>
        </w:rPr>
        <w:t>28</w:t>
      </w:r>
      <w:r>
        <w:rPr>
          <w:rFonts w:hint="eastAsia" w:ascii="宋体" w:hAnsi="宋体" w:cs="宋体"/>
          <w:snapToGrid w:val="0"/>
          <w:color w:val="auto"/>
          <w:kern w:val="0"/>
          <w:szCs w:val="21"/>
          <w:lang w:eastAsia="zh-CN"/>
        </w:rPr>
        <w:t>日</w:t>
      </w:r>
      <w:r>
        <w:rPr>
          <w:rFonts w:hint="eastAsia" w:ascii="宋体" w:hAnsi="宋体" w:cs="宋体"/>
          <w:snapToGrid w:val="0"/>
          <w:color w:val="auto"/>
          <w:kern w:val="0"/>
          <w:szCs w:val="21"/>
          <w:lang w:val="en-US" w:eastAsia="zh-CN"/>
        </w:rPr>
        <w:t>09</w:t>
      </w:r>
      <w:r>
        <w:rPr>
          <w:rFonts w:hint="eastAsia" w:ascii="宋体" w:hAnsi="宋体" w:eastAsia="宋体" w:cs="宋体"/>
          <w:snapToGrid w:val="0"/>
          <w:color w:val="auto"/>
          <w:kern w:val="0"/>
          <w:szCs w:val="21"/>
        </w:rPr>
        <w:t>时</w:t>
      </w:r>
      <w:r>
        <w:rPr>
          <w:rFonts w:hint="eastAsia" w:ascii="宋体" w:hAnsi="宋体" w:cs="宋体"/>
          <w:snapToGrid w:val="0"/>
          <w:color w:val="auto"/>
          <w:kern w:val="0"/>
          <w:szCs w:val="21"/>
          <w:lang w:val="en-US" w:eastAsia="zh-CN"/>
        </w:rPr>
        <w:t>00</w:t>
      </w:r>
      <w:r>
        <w:rPr>
          <w:rFonts w:hint="eastAsia" w:ascii="宋体" w:hAnsi="宋体" w:eastAsia="宋体" w:cs="宋体"/>
          <w:snapToGrid w:val="0"/>
          <w:color w:val="auto"/>
          <w:kern w:val="0"/>
          <w:szCs w:val="21"/>
        </w:rPr>
        <w:t>分至</w:t>
      </w:r>
      <w:r>
        <w:rPr>
          <w:rFonts w:hint="eastAsia" w:ascii="宋体" w:hAnsi="宋体" w:cs="宋体"/>
          <w:snapToGrid w:val="0"/>
          <w:color w:val="auto"/>
          <w:kern w:val="0"/>
          <w:szCs w:val="21"/>
          <w:lang w:eastAsia="zh-CN"/>
        </w:rPr>
        <w:t>2024年</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lang w:eastAsia="zh-CN"/>
        </w:rPr>
        <w:t>月</w:t>
      </w:r>
      <w:r>
        <w:rPr>
          <w:rFonts w:hint="eastAsia" w:ascii="宋体" w:hAnsi="宋体" w:cs="宋体"/>
          <w:snapToGrid w:val="0"/>
          <w:color w:val="auto"/>
          <w:kern w:val="0"/>
          <w:szCs w:val="21"/>
          <w:lang w:val="en-US" w:eastAsia="zh-CN"/>
        </w:rPr>
        <w:t>28</w:t>
      </w:r>
      <w:r>
        <w:rPr>
          <w:rFonts w:hint="eastAsia" w:ascii="宋体" w:hAnsi="宋体" w:cs="宋体"/>
          <w:snapToGrid w:val="0"/>
          <w:color w:val="auto"/>
          <w:kern w:val="0"/>
          <w:szCs w:val="21"/>
          <w:lang w:eastAsia="zh-CN"/>
        </w:rPr>
        <w:t>日</w:t>
      </w:r>
      <w:r>
        <w:rPr>
          <w:rFonts w:hint="eastAsia" w:ascii="宋体" w:hAnsi="宋体" w:cs="宋体"/>
          <w:snapToGrid w:val="0"/>
          <w:color w:val="auto"/>
          <w:kern w:val="0"/>
          <w:szCs w:val="21"/>
          <w:lang w:val="en-US" w:eastAsia="zh-CN"/>
        </w:rPr>
        <w:t>09</w:t>
      </w:r>
      <w:r>
        <w:rPr>
          <w:rFonts w:hint="eastAsia" w:ascii="宋体" w:hAnsi="宋体" w:eastAsia="宋体" w:cs="宋体"/>
          <w:snapToGrid w:val="0"/>
          <w:color w:val="auto"/>
          <w:kern w:val="0"/>
          <w:szCs w:val="21"/>
        </w:rPr>
        <w:t>时</w:t>
      </w:r>
      <w:r>
        <w:rPr>
          <w:rFonts w:hint="eastAsia" w:ascii="宋体" w:hAnsi="宋体" w:cs="宋体"/>
          <w:snapToGrid w:val="0"/>
          <w:color w:val="auto"/>
          <w:kern w:val="0"/>
          <w:szCs w:val="21"/>
          <w:lang w:val="en-US" w:eastAsia="zh-CN"/>
        </w:rPr>
        <w:t>30</w:t>
      </w:r>
      <w:r>
        <w:rPr>
          <w:rFonts w:hint="eastAsia" w:ascii="宋体" w:hAnsi="宋体" w:eastAsia="宋体" w:cs="宋体"/>
          <w:snapToGrid w:val="0"/>
          <w:color w:val="auto"/>
          <w:kern w:val="0"/>
          <w:szCs w:val="21"/>
        </w:rPr>
        <w:t>分，投标文件递交的截止时间（投标截止时间，下同）为</w:t>
      </w:r>
      <w:r>
        <w:rPr>
          <w:rFonts w:hint="eastAsia" w:ascii="宋体" w:hAnsi="宋体" w:cs="宋体"/>
          <w:snapToGrid w:val="0"/>
          <w:color w:val="auto"/>
          <w:kern w:val="0"/>
          <w:szCs w:val="21"/>
          <w:lang w:eastAsia="zh-CN"/>
        </w:rPr>
        <w:t>2024年</w:t>
      </w:r>
      <w:r>
        <w:rPr>
          <w:rFonts w:hint="eastAsia" w:ascii="宋体" w:hAnsi="宋体" w:cs="宋体"/>
          <w:snapToGrid w:val="0"/>
          <w:color w:val="auto"/>
          <w:kern w:val="0"/>
          <w:szCs w:val="21"/>
          <w:lang w:val="en-US" w:eastAsia="zh-CN"/>
        </w:rPr>
        <w:t>6</w:t>
      </w:r>
      <w:r>
        <w:rPr>
          <w:rFonts w:hint="eastAsia" w:ascii="宋体" w:hAnsi="宋体" w:cs="宋体"/>
          <w:snapToGrid w:val="0"/>
          <w:color w:val="auto"/>
          <w:kern w:val="0"/>
          <w:szCs w:val="21"/>
          <w:lang w:eastAsia="zh-CN"/>
        </w:rPr>
        <w:t>月</w:t>
      </w:r>
      <w:r>
        <w:rPr>
          <w:rFonts w:hint="eastAsia" w:ascii="宋体" w:hAnsi="宋体" w:cs="宋体"/>
          <w:snapToGrid w:val="0"/>
          <w:color w:val="auto"/>
          <w:kern w:val="0"/>
          <w:szCs w:val="21"/>
          <w:lang w:val="en-US" w:eastAsia="zh-CN"/>
        </w:rPr>
        <w:t>28</w:t>
      </w:r>
      <w:r>
        <w:rPr>
          <w:rFonts w:hint="eastAsia" w:ascii="宋体" w:hAnsi="宋体" w:cs="宋体"/>
          <w:snapToGrid w:val="0"/>
          <w:color w:val="auto"/>
          <w:kern w:val="0"/>
          <w:szCs w:val="21"/>
          <w:lang w:eastAsia="zh-CN"/>
        </w:rPr>
        <w:t>日</w:t>
      </w:r>
      <w:r>
        <w:rPr>
          <w:rFonts w:hint="eastAsia" w:ascii="宋体" w:hAnsi="宋体" w:cs="宋体"/>
          <w:snapToGrid w:val="0"/>
          <w:color w:val="auto"/>
          <w:kern w:val="0"/>
          <w:szCs w:val="21"/>
          <w:lang w:val="en-US" w:eastAsia="zh-CN"/>
        </w:rPr>
        <w:t>09</w:t>
      </w:r>
      <w:r>
        <w:rPr>
          <w:rFonts w:hint="eastAsia" w:ascii="宋体" w:hAnsi="宋体" w:eastAsia="宋体" w:cs="宋体"/>
          <w:snapToGrid w:val="0"/>
          <w:color w:val="auto"/>
          <w:kern w:val="0"/>
          <w:szCs w:val="21"/>
        </w:rPr>
        <w:t>时</w:t>
      </w:r>
      <w:r>
        <w:rPr>
          <w:rFonts w:hint="eastAsia" w:ascii="宋体" w:hAnsi="宋体" w:cs="宋体"/>
          <w:snapToGrid w:val="0"/>
          <w:color w:val="auto"/>
          <w:kern w:val="0"/>
          <w:szCs w:val="21"/>
          <w:lang w:val="en-US" w:eastAsia="zh-CN"/>
        </w:rPr>
        <w:t>30</w:t>
      </w:r>
      <w:r>
        <w:rPr>
          <w:rFonts w:hint="eastAsia" w:ascii="宋体" w:hAnsi="宋体" w:eastAsia="宋体" w:cs="宋体"/>
          <w:snapToGrid w:val="0"/>
          <w:color w:val="auto"/>
          <w:kern w:val="0"/>
          <w:szCs w:val="21"/>
        </w:rPr>
        <w:t>分，地点：</w:t>
      </w:r>
      <w:r>
        <w:rPr>
          <w:rFonts w:hint="eastAsia" w:ascii="宋体" w:hAnsi="宋体" w:cs="宋体"/>
          <w:snapToGrid w:val="0"/>
          <w:color w:val="auto"/>
          <w:kern w:val="0"/>
          <w:szCs w:val="21"/>
          <w:lang w:eastAsia="zh-CN"/>
        </w:rPr>
        <w:t>重庆市铜梁区福果镇人民政府会议室</w:t>
      </w:r>
      <w:r>
        <w:rPr>
          <w:rFonts w:hint="eastAsia" w:ascii="宋体" w:hAnsi="宋体" w:eastAsia="宋体" w:cs="宋体"/>
          <w:snapToGrid w:val="0"/>
          <w:color w:val="auto"/>
          <w:kern w:val="0"/>
          <w:szCs w:val="21"/>
        </w:rPr>
        <w:t>。</w:t>
      </w:r>
    </w:p>
    <w:p>
      <w:pPr>
        <w:pageBreakBefore w:val="0"/>
        <w:kinsoku/>
        <w:wordWrap/>
        <w:overflowPunct/>
        <w:topLinePunct w:val="0"/>
        <w:bidi w:val="0"/>
        <w:spacing w:line="440" w:lineRule="exact"/>
        <w:ind w:firstLine="420" w:firstLineChars="200"/>
        <w:textAlignment w:val="auto"/>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5.2逾期送达的或者未送达指定地点的投标文件，</w:t>
      </w:r>
      <w:r>
        <w:rPr>
          <w:rFonts w:hint="eastAsia" w:ascii="宋体" w:hAnsi="宋体" w:cs="宋体"/>
          <w:snapToGrid w:val="0"/>
          <w:color w:val="auto"/>
          <w:kern w:val="0"/>
          <w:szCs w:val="21"/>
          <w:lang w:eastAsia="zh-CN"/>
        </w:rPr>
        <w:t>比选人</w:t>
      </w:r>
      <w:r>
        <w:rPr>
          <w:rFonts w:hint="eastAsia" w:ascii="宋体" w:hAnsi="宋体" w:eastAsia="宋体" w:cs="宋体"/>
          <w:snapToGrid w:val="0"/>
          <w:color w:val="auto"/>
          <w:kern w:val="0"/>
          <w:szCs w:val="21"/>
        </w:rPr>
        <w:t>不予受理。</w:t>
      </w:r>
    </w:p>
    <w:p>
      <w:pPr>
        <w:pStyle w:val="3"/>
        <w:pageBreakBefore w:val="0"/>
        <w:kinsoku/>
        <w:wordWrap/>
        <w:overflowPunct/>
        <w:topLinePunct w:val="0"/>
        <w:bidi w:val="0"/>
        <w:spacing w:before="0" w:after="0" w:line="440" w:lineRule="exact"/>
        <w:ind w:firstLine="422" w:firstLineChars="200"/>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6、发布公告的媒介</w:t>
      </w:r>
      <w:bookmarkEnd w:id="17"/>
    </w:p>
    <w:p>
      <w:pPr>
        <w:pageBreakBefore w:val="0"/>
        <w:kinsoku/>
        <w:wordWrap/>
        <w:overflowPunct/>
        <w:topLinePunct w:val="0"/>
        <w:bidi w:val="0"/>
        <w:spacing w:line="44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本次比选公告在</w:t>
      </w:r>
      <w:r>
        <w:rPr>
          <w:rFonts w:hint="eastAsia" w:ascii="宋体" w:hAnsi="宋体" w:eastAsia="宋体" w:cs="宋体"/>
          <w:color w:val="auto"/>
          <w:kern w:val="0"/>
          <w:szCs w:val="21"/>
          <w:lang w:eastAsia="zh-CN"/>
        </w:rPr>
        <w:t>重庆市铜梁区人民政府网（http://www.cqstl.gov.cn/）</w:t>
      </w:r>
      <w:r>
        <w:rPr>
          <w:rFonts w:hint="eastAsia" w:ascii="宋体" w:hAnsi="宋体" w:eastAsia="宋体" w:cs="宋体"/>
          <w:color w:val="auto"/>
          <w:kern w:val="0"/>
          <w:szCs w:val="21"/>
        </w:rPr>
        <w:t>上发布。</w:t>
      </w:r>
    </w:p>
    <w:p>
      <w:pPr>
        <w:pStyle w:val="3"/>
        <w:pageBreakBefore w:val="0"/>
        <w:kinsoku/>
        <w:wordWrap/>
        <w:overflowPunct/>
        <w:topLinePunct w:val="0"/>
        <w:bidi w:val="0"/>
        <w:spacing w:before="0" w:after="0" w:line="440" w:lineRule="exact"/>
        <w:ind w:firstLine="422" w:firstLineChars="200"/>
        <w:textAlignment w:val="auto"/>
        <w:rPr>
          <w:rFonts w:hint="eastAsia" w:ascii="宋体" w:hAnsi="宋体" w:eastAsia="宋体" w:cs="宋体"/>
          <w:snapToGrid w:val="0"/>
          <w:color w:val="auto"/>
          <w:sz w:val="21"/>
          <w:szCs w:val="21"/>
        </w:rPr>
      </w:pPr>
      <w:bookmarkStart w:id="18" w:name="_Toc452058679"/>
      <w:r>
        <w:rPr>
          <w:rFonts w:hint="eastAsia" w:ascii="宋体" w:hAnsi="宋体" w:eastAsia="宋体" w:cs="宋体"/>
          <w:snapToGrid w:val="0"/>
          <w:color w:val="auto"/>
          <w:sz w:val="21"/>
          <w:szCs w:val="21"/>
        </w:rPr>
        <w:t>7、联系方式</w:t>
      </w:r>
      <w:bookmarkEnd w:id="18"/>
    </w:p>
    <w:p>
      <w:pPr>
        <w:pageBreakBefore w:val="0"/>
        <w:kinsoku/>
        <w:wordWrap/>
        <w:overflowPunct/>
        <w:topLinePunct w:val="0"/>
        <w:bidi w:val="0"/>
        <w:spacing w:line="440" w:lineRule="exact"/>
        <w:ind w:firstLine="420" w:firstLineChars="200"/>
        <w:jc w:val="left"/>
        <w:textAlignment w:val="auto"/>
        <w:rPr>
          <w:rFonts w:hint="eastAsia" w:ascii="宋体" w:hAnsi="宋体" w:eastAsia="宋体" w:cs="宋体"/>
          <w:snapToGrid w:val="0"/>
          <w:color w:val="auto"/>
          <w:kern w:val="0"/>
          <w:szCs w:val="21"/>
          <w:highlight w:val="none"/>
          <w:lang w:eastAsia="zh-CN"/>
        </w:rPr>
      </w:pPr>
      <w:bookmarkStart w:id="19" w:name="_Toc24949"/>
      <w:bookmarkStart w:id="20" w:name="_Toc15706"/>
      <w:bookmarkStart w:id="21" w:name="_Toc287607744"/>
      <w:bookmarkStart w:id="22" w:name="_Toc224103315"/>
      <w:bookmarkStart w:id="23" w:name="_Toc13425"/>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w:t>
      </w:r>
      <w:r>
        <w:rPr>
          <w:rFonts w:hint="eastAsia" w:ascii="宋体" w:hAnsi="宋体" w:cs="宋体"/>
          <w:snapToGrid w:val="0"/>
          <w:color w:val="auto"/>
          <w:kern w:val="0"/>
          <w:szCs w:val="21"/>
          <w:highlight w:val="none"/>
          <w:lang w:eastAsia="zh-CN"/>
        </w:rPr>
        <w:t>重庆市铜梁区福果镇人民政府</w:t>
      </w:r>
    </w:p>
    <w:p>
      <w:pPr>
        <w:pageBreakBefore w:val="0"/>
        <w:kinsoku/>
        <w:wordWrap/>
        <w:overflowPunct/>
        <w:topLinePunct w:val="0"/>
        <w:bidi w:val="0"/>
        <w:spacing w:line="440" w:lineRule="exact"/>
        <w:ind w:right="67" w:rightChars="32"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cs="宋体"/>
          <w:snapToGrid w:val="0"/>
          <w:color w:val="auto"/>
          <w:sz w:val="21"/>
          <w:szCs w:val="21"/>
          <w:highlight w:val="none"/>
          <w:lang w:val="en-US" w:eastAsia="zh-CN"/>
        </w:rPr>
        <w:t>重庆市铜梁区福果镇福兴路64号</w:t>
      </w:r>
    </w:p>
    <w:p>
      <w:pPr>
        <w:pageBreakBefore w:val="0"/>
        <w:kinsoku/>
        <w:wordWrap/>
        <w:overflowPunct/>
        <w:topLinePunct w:val="0"/>
        <w:bidi w:val="0"/>
        <w:spacing w:line="440" w:lineRule="exact"/>
        <w:ind w:firstLine="420" w:firstLineChars="200"/>
        <w:textAlignment w:val="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联系人：</w:t>
      </w:r>
      <w:r>
        <w:rPr>
          <w:rFonts w:hint="eastAsia" w:ascii="宋体" w:hAnsi="宋体" w:cs="宋体"/>
          <w:snapToGrid w:val="0"/>
          <w:color w:val="auto"/>
          <w:kern w:val="0"/>
          <w:szCs w:val="21"/>
          <w:highlight w:val="none"/>
          <w:lang w:val="en-US" w:eastAsia="zh-CN"/>
        </w:rPr>
        <w:t>覃老师</w:t>
      </w:r>
    </w:p>
    <w:p>
      <w:pPr>
        <w:pageBreakBefore w:val="0"/>
        <w:kinsoku/>
        <w:wordWrap/>
        <w:overflowPunct/>
        <w:topLinePunct w:val="0"/>
        <w:bidi w:val="0"/>
        <w:spacing w:line="440" w:lineRule="exact"/>
        <w:ind w:firstLine="420" w:firstLineChars="200"/>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联系电话：</w:t>
      </w:r>
      <w:r>
        <w:rPr>
          <w:rFonts w:hint="eastAsia" w:ascii="宋体" w:hAnsi="宋体" w:cs="宋体"/>
          <w:snapToGrid w:val="0"/>
          <w:color w:val="auto"/>
          <w:kern w:val="0"/>
          <w:szCs w:val="21"/>
          <w:highlight w:val="none"/>
          <w:lang w:val="en-US" w:eastAsia="zh-CN"/>
        </w:rPr>
        <w:t>13512331222</w:t>
      </w:r>
    </w:p>
    <w:p>
      <w:pPr>
        <w:pageBreakBefore w:val="0"/>
        <w:kinsoku/>
        <w:wordWrap/>
        <w:overflowPunct/>
        <w:topLinePunct w:val="0"/>
        <w:bidi w:val="0"/>
        <w:spacing w:line="44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Cs w:val="21"/>
          <w:highlight w:val="none"/>
        </w:rPr>
        <w:t xml:space="preserve">                     </w:t>
      </w:r>
    </w:p>
    <w:p>
      <w:pPr>
        <w:pStyle w:val="47"/>
        <w:pageBreakBefore w:val="0"/>
        <w:kinsoku/>
        <w:wordWrap/>
        <w:overflowPunct/>
        <w:topLinePunct w:val="0"/>
        <w:bidi w:val="0"/>
        <w:spacing w:before="0" w:beforeAutospacing="0" w:after="0" w:afterAutospacing="0" w:line="440" w:lineRule="exact"/>
        <w:ind w:firstLine="420" w:firstLineChars="20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比选代理机构：</w:t>
      </w:r>
      <w:r>
        <w:rPr>
          <w:rFonts w:hint="eastAsia" w:cs="宋体"/>
          <w:snapToGrid w:val="0"/>
          <w:color w:val="auto"/>
          <w:sz w:val="21"/>
          <w:szCs w:val="21"/>
          <w:highlight w:val="none"/>
          <w:lang w:eastAsia="zh-CN"/>
        </w:rPr>
        <w:t xml:space="preserve">重庆尚宇工程项目管理有限公司   </w:t>
      </w:r>
    </w:p>
    <w:p>
      <w:pPr>
        <w:pStyle w:val="47"/>
        <w:pageBreakBefore w:val="0"/>
        <w:kinsoku/>
        <w:wordWrap/>
        <w:overflowPunct/>
        <w:topLinePunct w:val="0"/>
        <w:bidi w:val="0"/>
        <w:spacing w:before="0" w:beforeAutospacing="0" w:after="0" w:afterAutospacing="0" w:line="440" w:lineRule="exact"/>
        <w:ind w:firstLine="420" w:firstLineChars="200"/>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地  址：</w:t>
      </w:r>
      <w:r>
        <w:rPr>
          <w:rFonts w:hint="eastAsia" w:cs="宋体"/>
          <w:snapToGrid w:val="0"/>
          <w:color w:val="auto"/>
          <w:sz w:val="21"/>
          <w:szCs w:val="21"/>
          <w:highlight w:val="none"/>
          <w:lang w:eastAsia="zh-CN"/>
        </w:rPr>
        <w:t>重庆市铜梁区宝莲国际1栋13-4</w:t>
      </w:r>
    </w:p>
    <w:p>
      <w:pPr>
        <w:pStyle w:val="47"/>
        <w:pageBreakBefore w:val="0"/>
        <w:kinsoku/>
        <w:wordWrap/>
        <w:overflowPunct/>
        <w:topLinePunct w:val="0"/>
        <w:bidi w:val="0"/>
        <w:spacing w:before="0" w:beforeAutospacing="0" w:after="0" w:afterAutospacing="0" w:line="440" w:lineRule="exact"/>
        <w:ind w:firstLine="420" w:firstLineChars="200"/>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联系人：</w:t>
      </w:r>
      <w:r>
        <w:rPr>
          <w:rFonts w:hint="eastAsia" w:cs="宋体"/>
          <w:snapToGrid w:val="0"/>
          <w:color w:val="auto"/>
          <w:sz w:val="21"/>
          <w:szCs w:val="21"/>
          <w:highlight w:val="none"/>
          <w:lang w:val="en-US" w:eastAsia="zh-CN"/>
        </w:rPr>
        <w:t>陈老师</w:t>
      </w:r>
    </w:p>
    <w:p>
      <w:pPr>
        <w:pageBreakBefore w:val="0"/>
        <w:kinsoku/>
        <w:wordWrap/>
        <w:overflowPunct/>
        <w:topLinePunct w:val="0"/>
        <w:bidi w:val="0"/>
        <w:spacing w:line="440" w:lineRule="exact"/>
        <w:ind w:firstLine="420" w:firstLineChars="200"/>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联系电话：</w:t>
      </w:r>
      <w:r>
        <w:rPr>
          <w:rFonts w:hint="eastAsia" w:ascii="宋体" w:hAnsi="宋体" w:cs="宋体"/>
          <w:snapToGrid w:val="0"/>
          <w:color w:val="auto"/>
          <w:kern w:val="0"/>
          <w:szCs w:val="21"/>
          <w:highlight w:val="none"/>
          <w:lang w:val="en-US" w:eastAsia="zh-CN"/>
        </w:rPr>
        <w:t>18580491646</w:t>
      </w:r>
    </w:p>
    <w:p>
      <w:pPr>
        <w:pageBreakBefore w:val="0"/>
        <w:kinsoku/>
        <w:wordWrap/>
        <w:overflowPunct/>
        <w:topLinePunct w:val="0"/>
        <w:autoSpaceDE w:val="0"/>
        <w:autoSpaceDN w:val="0"/>
        <w:bidi w:val="0"/>
        <w:adjustRightInd w:val="0"/>
        <w:snapToGrid w:val="0"/>
        <w:spacing w:line="440" w:lineRule="exact"/>
        <w:ind w:firstLine="420" w:firstLineChars="200"/>
        <w:jc w:val="left"/>
        <w:textAlignment w:val="auto"/>
        <w:rPr>
          <w:rFonts w:hint="eastAsia" w:ascii="宋体" w:hAnsi="宋体" w:eastAsia="宋体" w:cs="宋体"/>
          <w:snapToGrid w:val="0"/>
          <w:color w:val="auto"/>
          <w:kern w:val="0"/>
          <w:szCs w:val="21"/>
        </w:rPr>
      </w:pPr>
      <w:r>
        <w:rPr>
          <w:rFonts w:hint="eastAsia" w:ascii="宋体" w:hAnsi="宋体" w:eastAsia="宋体" w:cs="宋体"/>
          <w:color w:val="auto"/>
          <w:kern w:val="0"/>
          <w:szCs w:val="21"/>
        </w:rPr>
        <w:t xml:space="preserve">                         </w:t>
      </w:r>
    </w:p>
    <w:p>
      <w:pPr>
        <w:pageBreakBefore w:val="0"/>
        <w:kinsoku/>
        <w:wordWrap/>
        <w:overflowPunct/>
        <w:topLinePunct w:val="0"/>
        <w:autoSpaceDE w:val="0"/>
        <w:autoSpaceDN w:val="0"/>
        <w:bidi w:val="0"/>
        <w:adjustRightInd w:val="0"/>
        <w:snapToGrid w:val="0"/>
        <w:spacing w:line="440" w:lineRule="exact"/>
        <w:ind w:firstLine="420" w:firstLineChars="200"/>
        <w:jc w:val="right"/>
        <w:textAlignment w:val="auto"/>
        <w:rPr>
          <w:rFonts w:hint="eastAsia" w:ascii="宋体" w:hAnsi="宋体" w:eastAsia="宋体" w:cs="宋体"/>
          <w:bCs/>
          <w:color w:val="auto"/>
          <w:kern w:val="0"/>
          <w:szCs w:val="21"/>
        </w:rPr>
      </w:pPr>
      <w:r>
        <w:rPr>
          <w:rFonts w:hint="eastAsia" w:ascii="宋体" w:hAnsi="宋体" w:eastAsia="宋体" w:cs="宋体"/>
          <w:snapToGrid w:val="0"/>
          <w:color w:val="auto"/>
          <w:kern w:val="0"/>
          <w:szCs w:val="21"/>
        </w:rPr>
        <w:t xml:space="preserve"> </w:t>
      </w:r>
      <w:r>
        <w:rPr>
          <w:rFonts w:hint="eastAsia" w:ascii="宋体" w:hAnsi="宋体" w:eastAsia="宋体" w:cs="宋体"/>
          <w:bCs/>
          <w:color w:val="auto"/>
          <w:kern w:val="0"/>
          <w:szCs w:val="21"/>
        </w:rPr>
        <w:t xml:space="preserve"> </w:t>
      </w:r>
      <w:r>
        <w:rPr>
          <w:rFonts w:hint="eastAsia" w:ascii="宋体" w:hAnsi="宋体" w:cs="宋体"/>
          <w:bCs/>
          <w:color w:val="auto"/>
          <w:kern w:val="0"/>
          <w:szCs w:val="21"/>
          <w:lang w:eastAsia="zh-CN"/>
        </w:rPr>
        <w:t>2024年</w:t>
      </w:r>
      <w:r>
        <w:rPr>
          <w:rFonts w:hint="eastAsia" w:ascii="宋体" w:hAnsi="宋体" w:cs="宋体"/>
          <w:bCs/>
          <w:color w:val="auto"/>
          <w:kern w:val="0"/>
          <w:szCs w:val="21"/>
          <w:lang w:val="en-US" w:eastAsia="zh-CN"/>
        </w:rPr>
        <w:t>6</w:t>
      </w:r>
      <w:r>
        <w:rPr>
          <w:rFonts w:hint="eastAsia" w:ascii="宋体" w:hAnsi="宋体" w:cs="宋体"/>
          <w:bCs/>
          <w:color w:val="auto"/>
          <w:kern w:val="0"/>
          <w:szCs w:val="21"/>
          <w:lang w:eastAsia="zh-CN"/>
        </w:rPr>
        <w:t>月</w:t>
      </w:r>
      <w:r>
        <w:rPr>
          <w:rFonts w:hint="eastAsia" w:ascii="宋体" w:hAnsi="宋体" w:cs="宋体"/>
          <w:bCs/>
          <w:color w:val="auto"/>
          <w:kern w:val="0"/>
          <w:szCs w:val="21"/>
          <w:lang w:val="en-US" w:eastAsia="zh-CN"/>
        </w:rPr>
        <w:t>25</w:t>
      </w:r>
      <w:r>
        <w:rPr>
          <w:rFonts w:hint="eastAsia" w:ascii="宋体" w:hAnsi="宋体" w:cs="宋体"/>
          <w:bCs/>
          <w:color w:val="auto"/>
          <w:kern w:val="0"/>
          <w:szCs w:val="21"/>
          <w:lang w:eastAsia="zh-CN"/>
        </w:rPr>
        <w:t>日</w:t>
      </w: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pStyle w:val="19"/>
        <w:rPr>
          <w:rFonts w:ascii="宋体" w:hAnsi="宋体" w:cs="宋体"/>
          <w:bCs/>
          <w:color w:val="auto"/>
          <w:kern w:val="0"/>
          <w:szCs w:val="21"/>
        </w:rPr>
      </w:pPr>
    </w:p>
    <w:p>
      <w:pPr>
        <w:pStyle w:val="20"/>
        <w:rPr>
          <w:rFonts w:ascii="宋体" w:hAnsi="宋体" w:cs="宋体"/>
          <w:bCs/>
          <w:color w:val="auto"/>
          <w:szCs w:val="21"/>
        </w:rPr>
      </w:pPr>
    </w:p>
    <w:p>
      <w:pPr>
        <w:rPr>
          <w:rFonts w:ascii="宋体" w:hAnsi="宋体" w:cs="宋体"/>
          <w:bCs/>
          <w:color w:val="auto"/>
          <w:kern w:val="0"/>
          <w:szCs w:val="21"/>
        </w:rPr>
      </w:pPr>
    </w:p>
    <w:p>
      <w:pPr>
        <w:pStyle w:val="19"/>
        <w:rPr>
          <w:color w:val="auto"/>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ind w:firstLine="7053" w:firstLineChars="3359"/>
        <w:jc w:val="left"/>
        <w:rPr>
          <w:rFonts w:ascii="宋体" w:hAnsi="宋体" w:cs="宋体"/>
          <w:bCs/>
          <w:color w:val="auto"/>
          <w:kern w:val="0"/>
          <w:szCs w:val="21"/>
        </w:rPr>
      </w:pPr>
    </w:p>
    <w:p>
      <w:pPr>
        <w:autoSpaceDE w:val="0"/>
        <w:autoSpaceDN w:val="0"/>
        <w:adjustRightInd w:val="0"/>
        <w:snapToGrid w:val="0"/>
        <w:spacing w:line="440" w:lineRule="exact"/>
        <w:jc w:val="left"/>
        <w:rPr>
          <w:rFonts w:ascii="宋体" w:hAnsi="宋体" w:cs="宋体"/>
          <w:bCs/>
          <w:color w:val="auto"/>
          <w:kern w:val="0"/>
          <w:szCs w:val="21"/>
        </w:rPr>
      </w:pPr>
    </w:p>
    <w:p>
      <w:pPr>
        <w:pStyle w:val="64"/>
        <w:rPr>
          <w:rFonts w:ascii="宋体" w:hAnsi="宋体" w:cs="宋体"/>
          <w:bCs/>
          <w:color w:val="auto"/>
          <w:kern w:val="0"/>
          <w:szCs w:val="21"/>
        </w:rPr>
      </w:pPr>
    </w:p>
    <w:p>
      <w:pPr>
        <w:pStyle w:val="64"/>
        <w:rPr>
          <w:rFonts w:ascii="宋体" w:hAnsi="宋体" w:cs="宋体"/>
          <w:bCs/>
          <w:color w:val="auto"/>
          <w:kern w:val="0"/>
          <w:szCs w:val="21"/>
        </w:rPr>
      </w:pPr>
    </w:p>
    <w:p>
      <w:pPr>
        <w:rPr>
          <w:rFonts w:hint="eastAsia" w:ascii="宋体" w:hAnsi="宋体" w:cs="宋体"/>
          <w:color w:val="auto"/>
          <w:kern w:val="0"/>
          <w:sz w:val="36"/>
          <w:szCs w:val="36"/>
        </w:rPr>
      </w:pPr>
      <w:bookmarkStart w:id="24" w:name="_Toc452058680"/>
      <w:bookmarkStart w:id="25" w:name="_Toc513492488"/>
      <w:r>
        <w:rPr>
          <w:rFonts w:hint="eastAsia" w:ascii="宋体" w:hAnsi="宋体" w:cs="宋体"/>
          <w:color w:val="auto"/>
          <w:kern w:val="0"/>
          <w:sz w:val="36"/>
          <w:szCs w:val="36"/>
        </w:rPr>
        <w:br w:type="page"/>
      </w:r>
    </w:p>
    <w:p>
      <w:pPr>
        <w:pStyle w:val="2"/>
        <w:spacing w:before="0" w:after="0" w:line="400" w:lineRule="exact"/>
        <w:jc w:val="center"/>
        <w:rPr>
          <w:rFonts w:ascii="宋体" w:hAnsi="宋体" w:cs="宋体"/>
          <w:color w:val="auto"/>
          <w:kern w:val="0"/>
          <w:sz w:val="36"/>
          <w:szCs w:val="36"/>
        </w:rPr>
      </w:pPr>
      <w:r>
        <w:rPr>
          <w:rFonts w:hint="eastAsia" w:ascii="宋体" w:hAnsi="宋体" w:cs="宋体"/>
          <w:color w:val="auto"/>
          <w:kern w:val="0"/>
          <w:sz w:val="36"/>
          <w:szCs w:val="36"/>
        </w:rPr>
        <w:t>第二章  投标人须知</w:t>
      </w:r>
      <w:bookmarkEnd w:id="19"/>
      <w:bookmarkEnd w:id="20"/>
      <w:bookmarkEnd w:id="21"/>
      <w:bookmarkEnd w:id="22"/>
      <w:bookmarkEnd w:id="23"/>
      <w:bookmarkEnd w:id="24"/>
      <w:bookmarkEnd w:id="25"/>
    </w:p>
    <w:p>
      <w:pPr>
        <w:pStyle w:val="3"/>
        <w:spacing w:before="0" w:after="0" w:line="400" w:lineRule="exact"/>
        <w:rPr>
          <w:rFonts w:ascii="宋体" w:hAnsi="宋体" w:cs="宋体"/>
          <w:color w:val="auto"/>
          <w:sz w:val="28"/>
          <w:szCs w:val="28"/>
        </w:rPr>
      </w:pPr>
      <w:bookmarkStart w:id="26" w:name="_Toc386029645"/>
      <w:bookmarkStart w:id="27" w:name="_Toc658"/>
      <w:bookmarkStart w:id="28" w:name="_Toc277082551"/>
      <w:bookmarkStart w:id="29" w:name="_Toc224103316"/>
      <w:bookmarkStart w:id="30" w:name="_Toc18480"/>
      <w:bookmarkStart w:id="31" w:name="_Toc5936"/>
      <w:bookmarkStart w:id="32" w:name="_Toc452058681"/>
      <w:bookmarkStart w:id="33" w:name="_Toc287607745"/>
      <w:r>
        <w:rPr>
          <w:rFonts w:hint="eastAsia" w:ascii="宋体" w:hAnsi="宋体" w:cs="宋体"/>
          <w:color w:val="auto"/>
          <w:sz w:val="28"/>
          <w:szCs w:val="28"/>
        </w:rPr>
        <w:t>投标人须知前附表</w:t>
      </w:r>
      <w:bookmarkEnd w:id="26"/>
      <w:bookmarkEnd w:id="27"/>
      <w:bookmarkEnd w:id="28"/>
      <w:bookmarkEnd w:id="29"/>
      <w:bookmarkEnd w:id="30"/>
      <w:bookmarkEnd w:id="31"/>
      <w:bookmarkEnd w:id="32"/>
      <w:bookmarkEnd w:id="33"/>
    </w:p>
    <w:tbl>
      <w:tblPr>
        <w:tblStyle w:val="5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00"/>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135" w:type="dxa"/>
            <w:vAlign w:val="center"/>
          </w:tcPr>
          <w:p>
            <w:pPr>
              <w:snapToGrid w:val="0"/>
              <w:spacing w:line="4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500" w:type="dxa"/>
            <w:vAlign w:val="center"/>
          </w:tcPr>
          <w:p>
            <w:pPr>
              <w:snapToGrid w:val="0"/>
              <w:spacing w:line="4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89" w:type="dxa"/>
            <w:vAlign w:val="center"/>
          </w:tcPr>
          <w:p>
            <w:pPr>
              <w:snapToGrid w:val="0"/>
              <w:spacing w:line="4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比选人</w:t>
            </w:r>
          </w:p>
        </w:tc>
        <w:tc>
          <w:tcPr>
            <w:tcW w:w="7189" w:type="dxa"/>
            <w:vAlign w:val="center"/>
          </w:tcPr>
          <w:p>
            <w:pPr>
              <w:pStyle w:val="47"/>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eastAsia" w:ascii="宋体" w:hAnsi="宋体" w:eastAsia="宋体" w:cs="宋体"/>
                <w:snapToGrid w:val="0"/>
                <w:color w:val="auto"/>
                <w:sz w:val="21"/>
                <w:szCs w:val="21"/>
                <w:highlight w:val="none"/>
                <w:lang w:eastAsia="zh-CN"/>
              </w:rPr>
            </w:pPr>
            <w:r>
              <w:rPr>
                <w:rFonts w:hint="eastAsia" w:cs="宋体"/>
                <w:snapToGrid w:val="0"/>
                <w:color w:val="auto"/>
                <w:sz w:val="21"/>
                <w:szCs w:val="21"/>
                <w:highlight w:val="none"/>
                <w:lang w:eastAsia="zh-CN"/>
              </w:rPr>
              <w:t>比选人</w:t>
            </w:r>
            <w:r>
              <w:rPr>
                <w:rFonts w:hint="eastAsia" w:ascii="宋体" w:hAnsi="宋体" w:eastAsia="宋体" w:cs="宋体"/>
                <w:snapToGrid w:val="0"/>
                <w:color w:val="auto"/>
                <w:sz w:val="21"/>
                <w:szCs w:val="21"/>
                <w:highlight w:val="none"/>
              </w:rPr>
              <w:t>：</w:t>
            </w:r>
            <w:r>
              <w:rPr>
                <w:rFonts w:hint="eastAsia" w:cs="宋体"/>
                <w:snapToGrid w:val="0"/>
                <w:color w:val="auto"/>
                <w:sz w:val="21"/>
                <w:szCs w:val="21"/>
                <w:highlight w:val="none"/>
                <w:lang w:eastAsia="zh-CN"/>
              </w:rPr>
              <w:t>重庆市铜梁区福果镇人民政府</w:t>
            </w:r>
          </w:p>
          <w:p>
            <w:pPr>
              <w:pStyle w:val="47"/>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rPr>
              <w:t>地址：</w:t>
            </w:r>
            <w:r>
              <w:rPr>
                <w:rFonts w:hint="eastAsia" w:cs="宋体"/>
                <w:snapToGrid w:val="0"/>
                <w:color w:val="auto"/>
                <w:sz w:val="21"/>
                <w:szCs w:val="21"/>
                <w:highlight w:val="none"/>
                <w:lang w:val="en-US" w:eastAsia="zh-CN"/>
              </w:rPr>
              <w:t>重庆市铜梁区福果镇福兴路64号</w:t>
            </w:r>
          </w:p>
          <w:p>
            <w:pPr>
              <w:pStyle w:val="47"/>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联系人：</w:t>
            </w:r>
            <w:r>
              <w:rPr>
                <w:rFonts w:hint="eastAsia" w:cs="宋体"/>
                <w:snapToGrid w:val="0"/>
                <w:color w:val="auto"/>
                <w:sz w:val="21"/>
                <w:szCs w:val="21"/>
                <w:highlight w:val="none"/>
                <w:lang w:val="en-US" w:eastAsia="zh-CN"/>
              </w:rPr>
              <w:t>覃老师</w:t>
            </w:r>
          </w:p>
          <w:p>
            <w:pPr>
              <w:pStyle w:val="47"/>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联系电话：</w:t>
            </w:r>
            <w:r>
              <w:rPr>
                <w:rFonts w:hint="eastAsia" w:cs="宋体"/>
                <w:snapToGrid w:val="0"/>
                <w:color w:val="auto"/>
                <w:sz w:val="21"/>
                <w:szCs w:val="21"/>
                <w:highlight w:val="none"/>
                <w:lang w:eastAsia="zh-CN"/>
              </w:rPr>
              <w:t>13512331222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比选代理机构</w:t>
            </w:r>
          </w:p>
        </w:tc>
        <w:tc>
          <w:tcPr>
            <w:tcW w:w="7189" w:type="dxa"/>
            <w:vAlign w:val="center"/>
          </w:tcPr>
          <w:p>
            <w:pPr>
              <w:pStyle w:val="47"/>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比选代理机构：</w:t>
            </w:r>
            <w:r>
              <w:rPr>
                <w:rFonts w:hint="eastAsia" w:cs="宋体"/>
                <w:snapToGrid w:val="0"/>
                <w:color w:val="auto"/>
                <w:sz w:val="21"/>
                <w:szCs w:val="21"/>
                <w:highlight w:val="none"/>
                <w:lang w:eastAsia="zh-CN"/>
              </w:rPr>
              <w:t xml:space="preserve">重庆尚宇工程项目管理有限公司   </w:t>
            </w:r>
          </w:p>
          <w:p>
            <w:pPr>
              <w:pStyle w:val="47"/>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rPr>
              <w:t>地  址：</w:t>
            </w:r>
            <w:r>
              <w:rPr>
                <w:rFonts w:hint="eastAsia" w:cs="宋体"/>
                <w:snapToGrid w:val="0"/>
                <w:color w:val="auto"/>
                <w:sz w:val="21"/>
                <w:szCs w:val="21"/>
                <w:highlight w:val="none"/>
                <w:lang w:eastAsia="zh-CN"/>
              </w:rPr>
              <w:t>重庆市铜梁区宝莲国际1栋13-4</w:t>
            </w:r>
          </w:p>
          <w:p>
            <w:pPr>
              <w:pStyle w:val="47"/>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cs="宋体"/>
                <w:color w:val="auto"/>
                <w:sz w:val="21"/>
                <w:szCs w:val="21"/>
                <w:highlight w:val="none"/>
                <w:lang w:eastAsia="zh-CN"/>
              </w:rPr>
              <w:t>陈老师</w:t>
            </w:r>
          </w:p>
          <w:p>
            <w:pPr>
              <w:pStyle w:val="47"/>
              <w:keepNext w:val="0"/>
              <w:keepLines w:val="0"/>
              <w:pageBreakBefore w:val="0"/>
              <w:kinsoku/>
              <w:wordWrap/>
              <w:overflowPunct/>
              <w:topLinePunct w:val="0"/>
              <w:autoSpaceDE/>
              <w:autoSpaceDN/>
              <w:bidi w:val="0"/>
              <w:adjustRightInd/>
              <w:spacing w:before="0" w:beforeAutospacing="0" w:after="0" w:afterAutospacing="0"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w:t>
            </w:r>
            <w:r>
              <w:rPr>
                <w:rFonts w:hint="eastAsia" w:cs="宋体"/>
                <w:color w:val="auto"/>
                <w:sz w:val="21"/>
                <w:szCs w:val="21"/>
                <w:highlight w:val="none"/>
                <w:lang w:eastAsia="zh-CN"/>
              </w:rPr>
              <w:t>15123369535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lang w:eastAsia="zh-CN"/>
              </w:rPr>
            </w:pPr>
            <w:r>
              <w:rPr>
                <w:rFonts w:hint="eastAsia" w:ascii="宋体" w:hAnsi="宋体" w:cs="宋体"/>
                <w:snapToGrid w:val="0"/>
                <w:color w:val="auto"/>
                <w:kern w:val="0"/>
                <w:szCs w:val="21"/>
                <w:highlight w:val="none"/>
                <w:lang w:eastAsia="zh-CN"/>
              </w:rPr>
              <w:t xml:space="preserve">铜梁区福果镇久远河支流团实村段黑臭水体整治项目(第二次)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7189" w:type="dxa"/>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Cs w:val="21"/>
                <w:highlight w:val="none"/>
                <w:lang w:eastAsia="zh-CN"/>
              </w:rPr>
            </w:pPr>
            <w:r>
              <w:rPr>
                <w:rFonts w:hint="eastAsia"/>
                <w:color w:val="auto"/>
                <w:lang w:val="en-US" w:eastAsia="zh-CN"/>
              </w:rPr>
              <w:t>铜梁区福果镇团实村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上级财政资金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比选范围</w:t>
            </w:r>
          </w:p>
        </w:tc>
        <w:tc>
          <w:tcPr>
            <w:tcW w:w="7189" w:type="dxa"/>
            <w:vAlign w:val="center"/>
          </w:tcPr>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本工程施工图设计范围内的全部内容，具体以</w:t>
            </w: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lang w:eastAsia="zh-CN"/>
              </w:rPr>
              <w:t>发出的工程量清单为准。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缺陷责任期</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color w:val="auto"/>
                <w:kern w:val="0"/>
                <w:szCs w:val="21"/>
                <w:highlight w:val="none"/>
              </w:rPr>
              <w:t>工期：</w:t>
            </w:r>
            <w:r>
              <w:rPr>
                <w:rFonts w:hint="eastAsia" w:ascii="宋体" w:hAnsi="宋体" w:cs="宋体"/>
                <w:snapToGrid w:val="0"/>
                <w:color w:val="auto"/>
                <w:kern w:val="0"/>
                <w:szCs w:val="21"/>
                <w:highlight w:val="none"/>
                <w:u w:val="single"/>
                <w:lang w:val="en-US" w:eastAsia="zh-CN"/>
              </w:rPr>
              <w:t>15日历天</w:t>
            </w:r>
          </w:p>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缺陷责任期：</w:t>
            </w:r>
            <w:r>
              <w:rPr>
                <w:rFonts w:hint="eastAsia" w:ascii="宋体" w:hAnsi="宋体" w:cs="宋体"/>
                <w:snapToGrid w:val="0"/>
                <w:color w:val="auto"/>
                <w:kern w:val="0"/>
                <w:szCs w:val="21"/>
                <w:highlight w:val="none"/>
                <w:u w:val="singl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bookmarkStart w:id="34" w:name="OLE_LINK1"/>
            <w:r>
              <w:rPr>
                <w:rFonts w:hint="eastAsia" w:ascii="宋体" w:hAnsi="宋体" w:eastAsia="宋体" w:cs="宋体"/>
                <w:color w:val="auto"/>
                <w:szCs w:val="21"/>
                <w:highlight w:val="none"/>
              </w:rPr>
              <w:t>本工程施工招标实行资格后审，投标人应</w:t>
            </w:r>
            <w:bookmarkStart w:id="35" w:name="一是"/>
            <w:bookmarkEnd w:id="35"/>
            <w:r>
              <w:rPr>
                <w:rFonts w:hint="eastAsia" w:ascii="宋体" w:hAnsi="宋体" w:eastAsia="宋体" w:cs="宋体"/>
                <w:color w:val="auto"/>
                <w:szCs w:val="21"/>
                <w:highlight w:val="none"/>
              </w:rPr>
              <w:t>具备以下资格条件：</w:t>
            </w:r>
          </w:p>
          <w:bookmarkEnd w:id="34"/>
          <w:p>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1.资质条件、营业执照及安全生产条件</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（1）具备行政主管部门颁发的有效的</w:t>
            </w:r>
            <w:r>
              <w:rPr>
                <w:rFonts w:hint="eastAsia" w:ascii="宋体" w:hAnsi="宋体" w:cs="宋体"/>
                <w:color w:val="auto"/>
                <w:spacing w:val="-5"/>
                <w:highlight w:val="none"/>
                <w:u w:val="single"/>
                <w:lang w:val="en-US" w:eastAsia="zh-CN"/>
              </w:rPr>
              <w:t>市政公用工程施工总承包叁级及以上资质</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w:t>
            </w:r>
            <w:bookmarkStart w:id="617" w:name="_GoBack"/>
            <w:r>
              <w:rPr>
                <w:rFonts w:hint="eastAsia" w:ascii="宋体" w:hAnsi="宋体" w:eastAsia="宋体" w:cs="宋体"/>
                <w:color w:val="auto"/>
                <w:szCs w:val="21"/>
                <w:highlight w:val="none"/>
              </w:rPr>
              <w:t>在</w:t>
            </w:r>
            <w:bookmarkEnd w:id="617"/>
            <w:r>
              <w:rPr>
                <w:rFonts w:hint="eastAsia" w:ascii="宋体" w:hAnsi="宋体" w:eastAsia="宋体" w:cs="宋体"/>
                <w:color w:val="auto"/>
                <w:szCs w:val="21"/>
                <w:highlight w:val="none"/>
              </w:rPr>
              <w:t>投标文件资格审查部分提供有效的资质证书。</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（2）具备有效的营业执照。</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投标人须在投标文件资格审查部分提供有效的营业执照。</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注：不得将投标人营业执照记载的经营范围作为评审因素。</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（3）具备建设行政主管部门颁发的有效的安全生产许可证，企业主要负责人、拟担任该项目项目经理具备相应的由建设行政主管部门颁发的有效的安全生产考核合格证书。</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投标人须在投标文件资格审查部分提供有效的安全生产许可证及安全生产考核合格证书。</w:t>
            </w:r>
          </w:p>
          <w:p>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2.投标截止日投标资格情况</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投标人自行承诺（格式见第八章投标文件格式）不得存在下列情形之一：</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（5）被重庆市住房和城乡建设主管部门暂停在渝承揽新业务且在暂停期内。</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投标人须在投标文件资格审查部分提供承诺。</w:t>
            </w:r>
          </w:p>
          <w:p>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3.项目经理资格要求</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.1投标人拟派的项目经理必须已在投标人本单位注册并应具有</w:t>
            </w:r>
            <w:r>
              <w:rPr>
                <w:rFonts w:hint="eastAsia" w:ascii="宋体" w:hAnsi="宋体" w:cs="宋体"/>
                <w:color w:val="auto"/>
                <w:spacing w:val="-5"/>
                <w:highlight w:val="none"/>
                <w:u w:val="single"/>
                <w:lang w:val="en-US" w:eastAsia="zh-CN"/>
              </w:rPr>
              <w:t>市政公用</w:t>
            </w:r>
            <w:r>
              <w:rPr>
                <w:rFonts w:hint="eastAsia" w:ascii="宋体" w:hAnsi="宋体" w:cs="宋体"/>
                <w:color w:val="auto"/>
                <w:szCs w:val="21"/>
                <w:highlight w:val="none"/>
                <w:u w:val="single"/>
                <w:lang w:val="en-US" w:eastAsia="zh-CN"/>
              </w:rPr>
              <w:t>工程</w:t>
            </w:r>
            <w:r>
              <w:rPr>
                <w:rFonts w:hint="eastAsia" w:ascii="宋体" w:hAnsi="宋体" w:eastAsia="宋体" w:cs="宋体"/>
                <w:color w:val="auto"/>
                <w:szCs w:val="21"/>
                <w:highlight w:val="none"/>
              </w:rPr>
              <w:t>专业</w:t>
            </w:r>
            <w:r>
              <w:rPr>
                <w:rFonts w:hint="eastAsia" w:ascii="宋体" w:hAnsi="宋体" w:eastAsia="宋体" w:cs="宋体"/>
                <w:color w:val="auto"/>
                <w:szCs w:val="21"/>
                <w:highlight w:val="none"/>
                <w:u w:val="single"/>
                <w:lang w:val="en-US" w:eastAsia="zh-CN"/>
              </w:rPr>
              <w:t>二</w:t>
            </w:r>
            <w:r>
              <w:rPr>
                <w:rFonts w:hint="eastAsia" w:ascii="宋体" w:hAnsi="宋体" w:eastAsia="宋体" w:cs="宋体"/>
                <w:color w:val="auto"/>
                <w:szCs w:val="21"/>
                <w:highlight w:val="none"/>
                <w:u w:val="single"/>
              </w:rPr>
              <w:t>级及以上</w:t>
            </w:r>
            <w:r>
              <w:rPr>
                <w:rFonts w:hint="eastAsia" w:ascii="宋体" w:hAnsi="宋体" w:eastAsia="宋体" w:cs="宋体"/>
                <w:color w:val="auto"/>
                <w:szCs w:val="21"/>
                <w:highlight w:val="none"/>
              </w:rPr>
              <w:t>注册建造师执业资格。</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.2项目经理承诺要求：投标人须承诺拟派项目经理按注册建造师的相关规定到岗履职和未被禁止参与投标。</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s="宋体"/>
                <w:color w:val="auto"/>
                <w:highlight w:val="none"/>
                <w:lang w:eastAsia="zh-CN"/>
              </w:rPr>
              <w:t>比选人</w:t>
            </w:r>
            <w:r>
              <w:rPr>
                <w:rFonts w:hint="eastAsia" w:ascii="宋体" w:hAnsi="宋体" w:eastAsia="宋体" w:cs="宋体"/>
                <w:color w:val="auto"/>
                <w:highlight w:val="none"/>
              </w:rPr>
              <w:t>造成损失的，投标人依法承担违约赔偿责任。拟派项目经理中标后不得随意更换。</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.2.2未被禁止参与投标承诺要求：承诺拟派项目经理未被重庆市</w:t>
            </w:r>
            <w:r>
              <w:rPr>
                <w:rFonts w:hint="eastAsia" w:ascii="宋体" w:hAnsi="宋体" w:eastAsia="宋体" w:cs="宋体"/>
                <w:color w:val="auto"/>
                <w:highlight w:val="none"/>
                <w:lang w:val="en-US" w:eastAsia="zh-CN"/>
              </w:rPr>
              <w:t>市级有关行业</w:t>
            </w:r>
            <w:r>
              <w:rPr>
                <w:rFonts w:hint="eastAsia" w:ascii="宋体" w:hAnsi="宋体" w:eastAsia="宋体" w:cs="宋体"/>
                <w:color w:val="auto"/>
                <w:highlight w:val="none"/>
              </w:rPr>
              <w:t>主管部门暂停在渝承揽新业务。若被暂停在渝承揽新业务但仍参加投标，将被否决投标；已取得中标候选人资格或中标资格的，</w:t>
            </w:r>
            <w:r>
              <w:rPr>
                <w:rFonts w:hint="eastAsia" w:ascii="宋体" w:hAnsi="宋体" w:cs="宋体"/>
                <w:color w:val="auto"/>
                <w:highlight w:val="none"/>
                <w:lang w:val="en-US" w:eastAsia="zh-CN"/>
              </w:rPr>
              <w:t>比选人</w:t>
            </w:r>
            <w:r>
              <w:rPr>
                <w:rFonts w:hint="eastAsia" w:ascii="宋体" w:hAnsi="宋体" w:eastAsia="宋体" w:cs="宋体"/>
                <w:color w:val="auto"/>
                <w:highlight w:val="none"/>
              </w:rPr>
              <w:t>有权取消其中标候选人资格或中标资格；给</w:t>
            </w:r>
            <w:r>
              <w:rPr>
                <w:rFonts w:hint="eastAsia" w:ascii="宋体" w:hAnsi="宋体" w:cs="宋体"/>
                <w:color w:val="auto"/>
                <w:highlight w:val="none"/>
                <w:lang w:val="en-US" w:eastAsia="zh-CN"/>
              </w:rPr>
              <w:t>比选人</w:t>
            </w:r>
            <w:r>
              <w:rPr>
                <w:rFonts w:hint="eastAsia" w:ascii="宋体" w:hAnsi="宋体" w:eastAsia="宋体" w:cs="宋体"/>
                <w:color w:val="auto"/>
                <w:highlight w:val="none"/>
              </w:rPr>
              <w:t>造成损失的，投标人依法承担违约赔偿责任。</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.2.3项目经理的其它承诺要求：为保证投标人拟派的项目经理到本项目到岗履职，投标人还需承诺：</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若投标人拟派本项目的项目经理有在其他项目任职的情形的（或有在其他项目中标或拟中标的情形的），应在收到中标通知书后</w:t>
            </w:r>
            <w:r>
              <w:rPr>
                <w:rFonts w:hint="eastAsia" w:ascii="宋体" w:hAnsi="宋体" w:eastAsia="宋体" w:cs="宋体"/>
                <w:color w:val="auto"/>
                <w:highlight w:val="none"/>
                <w:u w:val="single"/>
              </w:rPr>
              <w:t xml:space="preserve"> 14 </w:t>
            </w:r>
            <w:r>
              <w:rPr>
                <w:rFonts w:hint="eastAsia" w:ascii="宋体" w:hAnsi="宋体" w:eastAsia="宋体" w:cs="宋体"/>
                <w:color w:val="auto"/>
                <w:highlight w:val="none"/>
              </w:rPr>
              <w:t>日内，办理完成放弃在其他项目任职的手续（或办理完成放弃在其他项目中标或拟中标的手续），</w:t>
            </w:r>
            <w:r>
              <w:rPr>
                <w:rFonts w:hint="eastAsia" w:ascii="宋体" w:hAnsi="宋体" w:cs="宋体"/>
                <w:color w:val="auto"/>
                <w:highlight w:val="none"/>
                <w:lang w:val="en-US" w:eastAsia="zh-CN"/>
              </w:rPr>
              <w:t>比选人</w:t>
            </w:r>
            <w:r>
              <w:rPr>
                <w:rFonts w:hint="eastAsia" w:ascii="宋体" w:hAnsi="宋体" w:eastAsia="宋体" w:cs="宋体"/>
                <w:color w:val="auto"/>
                <w:highlight w:val="none"/>
              </w:rPr>
              <w:t>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w:t>
            </w:r>
            <w:r>
              <w:rPr>
                <w:rFonts w:hint="eastAsia" w:ascii="宋体" w:hAnsi="宋体" w:cs="宋体"/>
                <w:color w:val="auto"/>
                <w:highlight w:val="none"/>
                <w:lang w:val="en-US" w:eastAsia="zh-CN"/>
              </w:rPr>
              <w:t>比选人</w:t>
            </w:r>
            <w:r>
              <w:rPr>
                <w:rFonts w:hint="eastAsia" w:ascii="宋体" w:hAnsi="宋体" w:eastAsia="宋体" w:cs="宋体"/>
                <w:color w:val="auto"/>
                <w:highlight w:val="none"/>
              </w:rPr>
              <w:t>不退还其投标保证金。在合同签订时，投标人需确保拟派项目经理符合《建筑施工企业项目经理资质管理办法》规定的项目经理任职条件，否则视为投标人放弃中标资格，</w:t>
            </w:r>
            <w:r>
              <w:rPr>
                <w:rFonts w:hint="eastAsia" w:ascii="宋体" w:hAnsi="宋体" w:cs="宋体"/>
                <w:color w:val="auto"/>
                <w:highlight w:val="none"/>
                <w:lang w:eastAsia="zh-CN"/>
              </w:rPr>
              <w:t>比选人</w:t>
            </w:r>
            <w:r>
              <w:rPr>
                <w:rFonts w:hint="eastAsia" w:ascii="宋体" w:hAnsi="宋体" w:eastAsia="宋体" w:cs="宋体"/>
                <w:color w:val="auto"/>
                <w:highlight w:val="none"/>
              </w:rPr>
              <w:t>不退还其投标保证金。</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放弃在其他项目任职的需提供：①经业主或建设单位同意任职变更的文件；②负责项目监管的行业行政主管部门出具同意任职变更的证明材料。</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放弃在其他项目中标或拟中标的需提供：①经中标或拟中标的其他项目建设单位同意的放弃中标函。</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.2.4未提供上述承诺或承诺内容不符合要求的，由评标委员会作否决投标处理。</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color w:val="auto"/>
                <w:kern w:val="0"/>
                <w:szCs w:val="21"/>
                <w:highlight w:val="none"/>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重庆市以外的省级住房城乡建设主管部门对二级建造师电子注册证书使用有明确规定的，从其规定。未规定使用电子注册证书的，可提供纸质证书扫描件。</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pacing w:val="-24"/>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建造师电子注册证书本人手写签名与签名图像笔迹是否一致不作为否决投标的情形。</w:t>
            </w:r>
          </w:p>
          <w:p>
            <w:pPr>
              <w:keepNext w:val="0"/>
              <w:keepLines w:val="0"/>
              <w:pageBreakBefore w:val="0"/>
              <w:kinsoku/>
              <w:wordWrap/>
              <w:overflowPunct/>
              <w:topLinePunct w:val="0"/>
              <w:autoSpaceDE/>
              <w:autoSpaceDN/>
              <w:bidi w:val="0"/>
              <w:adjustRightInd/>
              <w:snapToGrid w:val="0"/>
              <w:spacing w:line="40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4.其他要求</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rPr>
              <w:t>项目技术负责人：</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应具有</w:t>
            </w:r>
            <w:r>
              <w:rPr>
                <w:rFonts w:hint="eastAsia" w:ascii="宋体" w:hAnsi="宋体" w:eastAsia="宋体" w:cs="宋体"/>
                <w:b/>
                <w:bCs/>
                <w:color w:val="auto"/>
                <w:szCs w:val="21"/>
                <w:highlight w:val="none"/>
                <w:u w:val="single"/>
              </w:rPr>
              <w:t>工程类中级及以上</w:t>
            </w:r>
            <w:r>
              <w:rPr>
                <w:rFonts w:hint="eastAsia" w:ascii="宋体" w:hAnsi="宋体" w:eastAsia="宋体" w:cs="宋体"/>
                <w:color w:val="auto"/>
                <w:szCs w:val="21"/>
                <w:highlight w:val="none"/>
              </w:rPr>
              <w:t>职称；</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投标人须在投标文件资格审查部分提供拟派技术负责人身份证、职称证及投标人本单位为其缴纳的养老保险证明材料。</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主要管理人员：</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可取消其中标资格，给</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造成损失的，投标人依法承担违约赔偿责任。</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投标人须在投标文件资格审查部分提供承诺（承诺格式见第八章投标文件格式）。</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（3）委托代理人：</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委托代理人必须为投标人本单位人员。</w:t>
            </w:r>
          </w:p>
          <w:p>
            <w:pPr>
              <w:keepNext w:val="0"/>
              <w:keepLines w:val="0"/>
              <w:pageBreakBefore w:val="0"/>
              <w:kinsoku/>
              <w:wordWrap/>
              <w:overflowPunct/>
              <w:topLinePunct w:val="0"/>
              <w:autoSpaceDE/>
              <w:autoSpaceDN/>
              <w:bidi w:val="0"/>
              <w:adjustRightInd/>
              <w:snapToGrid w:val="0"/>
              <w:spacing w:line="400" w:lineRule="exact"/>
              <w:ind w:firstLine="417" w:firstLineChars="198"/>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pPr>
              <w:keepNext w:val="0"/>
              <w:keepLines w:val="0"/>
              <w:pageBreakBefore w:val="0"/>
              <w:kinsoku/>
              <w:wordWrap/>
              <w:overflowPunct/>
              <w:topLinePunct w:val="0"/>
              <w:autoSpaceDE/>
              <w:autoSpaceDN/>
              <w:bidi w:val="0"/>
              <w:adjustRightInd/>
              <w:snapToGrid w:val="0"/>
              <w:spacing w:line="400" w:lineRule="exact"/>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（1）上述要求须提交的相关证明材料均为扫描件（原件或复印件的扫描件均可），扫描件须清晰可辨，</w:t>
            </w:r>
            <w:r>
              <w:rPr>
                <w:rFonts w:hint="eastAsia" w:ascii="宋体" w:hAnsi="宋体" w:eastAsia="宋体" w:cs="宋体"/>
                <w:color w:val="auto"/>
                <w:kern w:val="0"/>
                <w:szCs w:val="21"/>
                <w:highlight w:val="none"/>
              </w:rPr>
              <w:t>有一条不满足，则投标文件由评标委员会</w:t>
            </w:r>
            <w:r>
              <w:rPr>
                <w:rFonts w:hint="eastAsia" w:ascii="宋体" w:hAnsi="宋体" w:eastAsia="宋体" w:cs="宋体"/>
                <w:color w:val="auto"/>
                <w:szCs w:val="21"/>
                <w:highlight w:val="none"/>
              </w:rPr>
              <w:t>作否决投标处理</w:t>
            </w:r>
            <w:r>
              <w:rPr>
                <w:rFonts w:hint="eastAsia" w:ascii="宋体" w:hAnsi="宋体" w:eastAsia="宋体" w:cs="宋体"/>
                <w:color w:val="auto"/>
                <w:kern w:val="0"/>
                <w:szCs w:val="21"/>
                <w:highlight w:val="none"/>
              </w:rPr>
              <w:t>。</w:t>
            </w:r>
          </w:p>
          <w:p>
            <w:pPr>
              <w:keepNext w:val="0"/>
              <w:keepLines w:val="0"/>
              <w:pageBreakBefore w:val="0"/>
              <w:kinsoku/>
              <w:wordWrap/>
              <w:overflowPunct/>
              <w:topLinePunct w:val="0"/>
              <w:autoSpaceDE/>
              <w:autoSpaceDN/>
              <w:bidi w:val="0"/>
              <w:adjustRightInd/>
              <w:snapToGrid w:val="0"/>
              <w:spacing w:line="400" w:lineRule="exact"/>
              <w:ind w:firstLine="415" w:firstLineChars="198"/>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（2）投标人须自行承诺其提供的上述相关证明材料真实有效，不存在弄虚作假情形（格式见第八章投标文件格式）。</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在合同签订前均有权对投标人提供的资料进行核实，若发现弄虚作假，取消其中标资格，并按相关法律法规报招标投标监督部门处理，其投标保证金不予退还，投标人承担因此造成的相关责任并赔偿相应损失。</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①社会单位提供养老保险证明，事业单位提供养老保险证明或行政主管部门在编证明。</w:t>
            </w:r>
          </w:p>
          <w:p>
            <w:pPr>
              <w:keepNext w:val="0"/>
              <w:keepLines w:val="0"/>
              <w:pageBreakBefore w:val="0"/>
              <w:kinsoku/>
              <w:wordWrap/>
              <w:overflowPunct/>
              <w:topLinePunct w:val="0"/>
              <w:autoSpaceDE/>
              <w:autoSpaceDN/>
              <w:bidi w:val="0"/>
              <w:adjustRightInd/>
              <w:snapToGrid w:val="0"/>
              <w:spacing w:line="400" w:lineRule="exact"/>
              <w:ind w:firstLine="415" w:firstLineChars="198"/>
              <w:textAlignment w:val="auto"/>
              <w:rPr>
                <w:rFonts w:hint="eastAsia" w:ascii="宋体" w:hAnsi="宋体" w:eastAsia="宋体" w:cs="宋体"/>
                <w:color w:val="auto"/>
                <w:szCs w:val="21"/>
                <w:highlight w:val="none"/>
                <w:shd w:val="clear" w:color="auto" w:fill="FFFFFF"/>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rPr>
              <w:t>项目经理、项目技术负责人的连续养老保险证明期限</w:t>
            </w:r>
            <w:r>
              <w:rPr>
                <w:rFonts w:hint="eastAsia" w:ascii="宋体" w:hAnsi="宋体" w:eastAsia="宋体" w:cs="宋体"/>
                <w:bCs/>
                <w:snapToGrid w:val="0"/>
                <w:color w:val="auto"/>
                <w:kern w:val="0"/>
                <w:szCs w:val="21"/>
                <w:highlight w:val="none"/>
                <w:lang w:val="en-US" w:eastAsia="zh-CN"/>
              </w:rPr>
              <w:t>须包含</w:t>
            </w:r>
            <w:r>
              <w:rPr>
                <w:rFonts w:hint="eastAsia" w:ascii="宋体" w:hAnsi="宋体" w:cs="宋体"/>
                <w:bCs/>
                <w:snapToGrid w:val="0"/>
                <w:color w:val="auto"/>
                <w:kern w:val="0"/>
                <w:szCs w:val="21"/>
                <w:highlight w:val="none"/>
                <w:u w:val="single"/>
                <w:lang w:val="en-US" w:eastAsia="zh-CN"/>
              </w:rPr>
              <w:t>2024年12月至2024年5月</w:t>
            </w:r>
            <w:r>
              <w:rPr>
                <w:rFonts w:hint="eastAsia" w:ascii="宋体" w:hAnsi="宋体" w:eastAsia="宋体" w:cs="宋体"/>
                <w:bCs/>
                <w:color w:val="auto"/>
                <w:szCs w:val="21"/>
                <w:highlight w:val="none"/>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不组织，自行踏勘现场。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投标预备会</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比选人</w:t>
            </w:r>
            <w:r>
              <w:rPr>
                <w:rFonts w:hint="eastAsia" w:ascii="宋体" w:hAnsi="宋体" w:eastAsia="宋体" w:cs="宋体"/>
                <w:color w:val="auto"/>
                <w:szCs w:val="21"/>
                <w:highlight w:val="none"/>
              </w:rPr>
              <w:t>发出的澄清及修改。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投标人对招标文件提出疑问的截止时间</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highlight w:val="none"/>
                <w:lang w:val="en-US" w:eastAsia="zh-CN"/>
              </w:rPr>
              <w:t>提出</w:t>
            </w:r>
            <w:r>
              <w:rPr>
                <w:rFonts w:hint="eastAsia" w:ascii="宋体" w:hAnsi="宋体" w:eastAsia="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35"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对招标文件澄清的截止时间</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highlight w:val="none"/>
                <w:lang w:val="en-US" w:eastAsia="zh-CN"/>
              </w:rPr>
              <w:t>比选人</w:t>
            </w:r>
            <w:r>
              <w:rPr>
                <w:rFonts w:hint="eastAsia" w:ascii="宋体" w:hAnsi="宋体" w:eastAsia="宋体" w:cs="宋体"/>
                <w:color w:val="auto"/>
                <w:szCs w:val="21"/>
                <w:highlight w:val="none"/>
              </w:rPr>
              <w:t>应在</w:t>
            </w:r>
            <w:r>
              <w:rPr>
                <w:rFonts w:hint="eastAsia" w:ascii="宋体" w:hAnsi="宋体" w:eastAsia="宋体" w:cs="宋体"/>
                <w:color w:val="auto"/>
                <w:highlight w:val="none"/>
                <w:lang w:val="en-US" w:eastAsia="zh-CN"/>
              </w:rPr>
              <w:t>比选</w:t>
            </w:r>
            <w:r>
              <w:rPr>
                <w:rFonts w:hint="eastAsia" w:ascii="宋体" w:hAnsi="宋体" w:eastAsia="宋体" w:cs="宋体"/>
                <w:color w:val="auto"/>
                <w:szCs w:val="21"/>
                <w:highlight w:val="none"/>
              </w:rPr>
              <w:t>公告规定的时间前，</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lang w:eastAsia="zh-CN"/>
              </w:rPr>
              <w:t>重庆市铜梁区人民政府网（http://www.cqstl.gov.cn/）</w:t>
            </w:r>
            <w:r>
              <w:rPr>
                <w:rFonts w:hint="eastAsia" w:ascii="宋体" w:hAnsi="宋体" w:eastAsia="宋体" w:cs="宋体"/>
                <w:color w:val="auto"/>
                <w:kern w:val="0"/>
                <w:szCs w:val="21"/>
                <w:highlight w:val="none"/>
              </w:rPr>
              <w:t>发布澄清。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color w:val="auto"/>
                <w:szCs w:val="21"/>
                <w:highlight w:val="none"/>
              </w:rPr>
              <w:t>详见</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公告规定的投标截止时间。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对招标文件进行修改的时间</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修改内容可能影响投标文件编制的，须在投标截止时间3日前发布，发布时间至投标截止时间不足3日的，须相应延后投标截止时间。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投标人对比选文件及澄清修改提出异议的截止时间</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投标人对比选文件和答疑补遗有异议的，应当在投标截止时间3日前，以书面形式通知</w:t>
            </w:r>
            <w:r>
              <w:rPr>
                <w:rFonts w:hint="eastAsia" w:ascii="宋体" w:hAnsi="宋体" w:cs="宋体"/>
                <w:snapToGrid w:val="0"/>
                <w:color w:val="auto"/>
                <w:kern w:val="0"/>
                <w:szCs w:val="21"/>
                <w:highlight w:val="none"/>
                <w:lang w:eastAsia="zh-CN"/>
              </w:rPr>
              <w:t>比选人</w:t>
            </w:r>
            <w:r>
              <w:rPr>
                <w:rFonts w:hint="eastAsia" w:ascii="宋体" w:hAnsi="宋体" w:eastAsia="宋体" w:cs="宋体"/>
                <w:snapToGrid w:val="0"/>
                <w:color w:val="auto"/>
                <w:kern w:val="0"/>
                <w:szCs w:val="21"/>
                <w:highlight w:val="none"/>
              </w:rPr>
              <w:t>或招标代理机构。</w:t>
            </w:r>
            <w:r>
              <w:rPr>
                <w:rFonts w:hint="eastAsia" w:ascii="宋体" w:hAnsi="宋体" w:cs="宋体"/>
                <w:snapToGrid w:val="0"/>
                <w:color w:val="auto"/>
                <w:kern w:val="0"/>
                <w:szCs w:val="21"/>
                <w:highlight w:val="none"/>
                <w:lang w:eastAsia="zh-CN"/>
              </w:rPr>
              <w:t>比选人</w:t>
            </w:r>
            <w:r>
              <w:rPr>
                <w:rFonts w:hint="eastAsia" w:ascii="宋体" w:hAnsi="宋体" w:eastAsia="宋体" w:cs="宋体"/>
                <w:snapToGrid w:val="0"/>
                <w:color w:val="auto"/>
                <w:kern w:val="0"/>
                <w:szCs w:val="21"/>
                <w:highlight w:val="none"/>
              </w:rPr>
              <w:t>应当自收到异议之日起1日内</w:t>
            </w:r>
            <w:r>
              <w:rPr>
                <w:rFonts w:hint="eastAsia" w:ascii="宋体" w:hAnsi="宋体" w:eastAsia="宋体" w:cs="宋体"/>
                <w:snapToGrid w:val="0"/>
                <w:color w:val="auto"/>
                <w:kern w:val="0"/>
                <w:szCs w:val="21"/>
                <w:highlight w:val="none"/>
                <w:lang w:eastAsia="zh-CN"/>
              </w:rPr>
              <w:t>作出</w:t>
            </w:r>
            <w:r>
              <w:rPr>
                <w:rFonts w:hint="eastAsia" w:ascii="宋体" w:hAnsi="宋体" w:eastAsia="宋体" w:cs="宋体"/>
                <w:snapToGrid w:val="0"/>
                <w:color w:val="auto"/>
                <w:kern w:val="0"/>
                <w:szCs w:val="21"/>
                <w:highlight w:val="none"/>
              </w:rPr>
              <w:t>答复，并将最终答复内容以补遗的形式在</w:t>
            </w:r>
            <w:r>
              <w:rPr>
                <w:rFonts w:hint="eastAsia" w:ascii="宋体" w:hAnsi="宋体" w:cs="宋体"/>
                <w:color w:val="auto"/>
                <w:szCs w:val="21"/>
                <w:highlight w:val="none"/>
                <w:lang w:eastAsia="zh-CN"/>
              </w:rPr>
              <w:t>重庆市铜梁区福果镇人民政府公告栏</w:t>
            </w:r>
            <w:r>
              <w:rPr>
                <w:rFonts w:hint="eastAsia" w:ascii="宋体" w:hAnsi="宋体" w:eastAsia="宋体" w:cs="宋体"/>
                <w:snapToGrid w:val="0"/>
                <w:color w:val="auto"/>
                <w:kern w:val="0"/>
                <w:szCs w:val="21"/>
                <w:highlight w:val="none"/>
              </w:rPr>
              <w:t>发布。补遗内容可能影响投标文件编制的，须在投标截止时间3日前发布，发布时间至投标截止时间不足3日的，须相应延后投标截止时间。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构成投标文件的其他材料</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w:t>
            </w:r>
          </w:p>
        </w:tc>
        <w:tc>
          <w:tcPr>
            <w:tcW w:w="7189" w:type="dxa"/>
            <w:vAlign w:val="center"/>
          </w:tcPr>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1.使用国有资金投资的建设工程发承包，必须采用工程量清单计价。工程量清单应采用综合单价计价。</w:t>
            </w:r>
          </w:p>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left="6" w:leftChars="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为依据。</w:t>
            </w:r>
          </w:p>
          <w:p>
            <w:pPr>
              <w:keepNext w:val="0"/>
              <w:keepLines w:val="0"/>
              <w:pageBreakBefore w:val="0"/>
              <w:tabs>
                <w:tab w:val="left" w:pos="546"/>
                <w:tab w:val="left" w:pos="711"/>
              </w:tabs>
              <w:kinsoku/>
              <w:wordWrap/>
              <w:overflowPunct/>
              <w:topLinePunct w:val="0"/>
              <w:autoSpaceDE/>
              <w:autoSpaceDN/>
              <w:bidi w:val="0"/>
              <w:adjustRightInd/>
              <w:snapToGrid w:val="0"/>
              <w:spacing w:line="400" w:lineRule="exact"/>
              <w:ind w:left="6" w:leftChars="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3.投标人应认真填写工程量清单中所列的本合同各工程子目的单价或总价。投标人没有填入单价或总价的工程子目，</w:t>
            </w:r>
            <w:r>
              <w:rPr>
                <w:rFonts w:hint="eastAsia" w:ascii="宋体" w:hAnsi="宋体" w:cs="宋体"/>
                <w:color w:val="auto"/>
                <w:highlight w:val="none"/>
                <w:lang w:eastAsia="zh-CN"/>
              </w:rPr>
              <w:t>比选人</w:t>
            </w:r>
            <w:r>
              <w:rPr>
                <w:rFonts w:hint="eastAsia" w:ascii="宋体" w:hAnsi="宋体" w:eastAsia="宋体" w:cs="宋体"/>
                <w:color w:val="auto"/>
                <w:highlight w:val="none"/>
              </w:rPr>
              <w:t>将认为该子目的价款已包括在工程量清单其他子目的单价和总价中。投标人必须按招标工程量清单填报价格。项目编码、项目名称、项目特征、计量单位、工程量必须与招标工程量清单一致。否则交由评标委员会作否决投标处理。</w:t>
            </w:r>
          </w:p>
          <w:p>
            <w:pPr>
              <w:keepNext w:val="0"/>
              <w:keepLines w:val="0"/>
              <w:pageBreakBefore w:val="0"/>
              <w:tabs>
                <w:tab w:val="left" w:pos="546"/>
                <w:tab w:val="left" w:pos="711"/>
              </w:tabs>
              <w:kinsoku/>
              <w:wordWrap/>
              <w:overflowPunct/>
              <w:topLinePunct w:val="0"/>
              <w:autoSpaceDE/>
              <w:autoSpaceDN/>
              <w:bidi w:val="0"/>
              <w:adjustRightInd/>
              <w:snapToGrid w:val="0"/>
              <w:spacing w:line="400" w:lineRule="exact"/>
              <w:ind w:left="6" w:leftChars="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4.投标函中的总报价必须与已标价工程量清单总报价一致，且工程量清单总报价与依据单价、工程数量、分部分项工程合价计算出的结果应一致，否则由评标委员会作否决投标处理。</w:t>
            </w:r>
          </w:p>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left="6" w:leftChars="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5.（1）在合同实施期间，单价和总价不调整。</w:t>
            </w:r>
          </w:p>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left="6" w:leftChars="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（2）增值税计税方法由</w:t>
            </w:r>
            <w:r>
              <w:rPr>
                <w:rFonts w:hint="eastAsia" w:ascii="宋体" w:hAnsi="宋体" w:cs="宋体"/>
                <w:color w:val="auto"/>
                <w:highlight w:val="none"/>
                <w:lang w:eastAsia="zh-CN"/>
              </w:rPr>
              <w:t>比选人</w:t>
            </w:r>
            <w:r>
              <w:rPr>
                <w:rFonts w:hint="eastAsia" w:ascii="宋体" w:hAnsi="宋体" w:eastAsia="宋体" w:cs="宋体"/>
                <w:color w:val="auto"/>
                <w:highlight w:val="none"/>
              </w:rPr>
              <w:t>依据国家税法规定选择：</w:t>
            </w:r>
          </w:p>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left="6" w:leftChars="3"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一般计税法</w:t>
            </w:r>
          </w:p>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6.如发现工程量清单中的数量与图纸中数量不一致，应于本须知第2.2.1项中规定的时间前书面通知</w:t>
            </w:r>
            <w:r>
              <w:rPr>
                <w:rFonts w:hint="eastAsia" w:ascii="宋体" w:hAnsi="宋体" w:cs="宋体"/>
                <w:color w:val="auto"/>
                <w:highlight w:val="none"/>
                <w:lang w:eastAsia="zh-CN"/>
              </w:rPr>
              <w:t>比选人</w:t>
            </w:r>
            <w:r>
              <w:rPr>
                <w:rFonts w:hint="eastAsia" w:ascii="宋体" w:hAnsi="宋体" w:eastAsia="宋体" w:cs="宋体"/>
                <w:color w:val="auto"/>
                <w:highlight w:val="none"/>
              </w:rPr>
              <w:t>核查，除非</w:t>
            </w:r>
            <w:r>
              <w:rPr>
                <w:rFonts w:hint="eastAsia" w:ascii="宋体" w:hAnsi="宋体" w:cs="宋体"/>
                <w:color w:val="auto"/>
                <w:highlight w:val="none"/>
                <w:lang w:eastAsia="zh-CN"/>
              </w:rPr>
              <w:t>比选人</w:t>
            </w:r>
            <w:r>
              <w:rPr>
                <w:rFonts w:hint="eastAsia" w:ascii="宋体" w:hAnsi="宋体" w:eastAsia="宋体" w:cs="宋体"/>
                <w:color w:val="auto"/>
                <w:highlight w:val="none"/>
              </w:rPr>
              <w:t>以修改的形式予以更正，否则，应以工程量清单中列出的数量为准。</w:t>
            </w:r>
          </w:p>
          <w:p>
            <w:pPr>
              <w:keepNext w:val="0"/>
              <w:keepLines w:val="0"/>
              <w:pageBreakBefore w:val="0"/>
              <w:tabs>
                <w:tab w:val="left" w:pos="546"/>
                <w:tab w:val="left" w:pos="711"/>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cs="宋体"/>
                <w:color w:val="auto"/>
                <w:highlight w:val="none"/>
                <w:lang w:eastAsia="zh-CN"/>
              </w:rPr>
              <w:t>比选人</w:t>
            </w:r>
            <w:r>
              <w:rPr>
                <w:rFonts w:hint="eastAsia" w:ascii="宋体" w:hAnsi="宋体" w:eastAsia="宋体" w:cs="宋体"/>
                <w:color w:val="auto"/>
                <w:highlight w:val="none"/>
              </w:rPr>
              <w:t>在工程量清单中所列出的价格（包括暂列金额、暂估价等），投标人不得修改，否则由评标委员会作否决投标处理。</w:t>
            </w:r>
          </w:p>
          <w:p>
            <w:pPr>
              <w:keepNext w:val="0"/>
              <w:keepLines w:val="0"/>
              <w:pageBreakBefore w:val="0"/>
              <w:tabs>
                <w:tab w:val="left" w:pos="546"/>
                <w:tab w:val="left" w:pos="711"/>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8.本工程招标将设置投标总报价最高限价，投标总报价最高限价</w:t>
            </w:r>
            <w:r>
              <w:rPr>
                <w:rFonts w:hint="eastAsia" w:ascii="宋体" w:hAnsi="宋体" w:cs="宋体"/>
                <w:color w:val="auto"/>
                <w:szCs w:val="21"/>
                <w:highlight w:val="none"/>
                <w:lang w:val="en-US" w:eastAsia="zh-CN"/>
              </w:rPr>
              <w:t>为：</w:t>
            </w:r>
            <w:r>
              <w:rPr>
                <w:rFonts w:hint="eastAsia" w:ascii="宋体" w:hAnsi="宋体" w:cs="宋体"/>
                <w:b/>
                <w:bCs/>
                <w:color w:val="auto"/>
                <w:szCs w:val="21"/>
                <w:highlight w:val="none"/>
                <w:lang w:val="en-US" w:eastAsia="zh-CN"/>
              </w:rPr>
              <w:t>￥62604.4元</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投标人的投标总报价不得超过投标总报价最高限价，否则由评标委员会作否决投标处理。</w:t>
            </w:r>
          </w:p>
          <w:p>
            <w:pPr>
              <w:keepNext w:val="0"/>
              <w:keepLines w:val="0"/>
              <w:pageBreakBefore w:val="0"/>
              <w:tabs>
                <w:tab w:val="left" w:pos="546"/>
                <w:tab w:val="left" w:pos="711"/>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本工程招标将设置全部清单综合单价最高限价，全部清单综合单价最高限价最迟应于投标截止日3日前发布，投标人的每项清单综合单价报价不得超过每项清单综合单价最高限价，否则由评标委员会作否决投标处理。  </w:t>
            </w:r>
          </w:p>
          <w:p>
            <w:pPr>
              <w:pStyle w:val="19"/>
              <w:keepNext w:val="0"/>
              <w:keepLines w:val="0"/>
              <w:pageBreakBefore w:val="0"/>
              <w:kinsoku/>
              <w:wordWrap/>
              <w:overflowPunct/>
              <w:topLinePunct w:val="0"/>
              <w:autoSpaceDE/>
              <w:autoSpaceDN/>
              <w:bidi w:val="0"/>
              <w:adjustRightInd/>
              <w:spacing w:after="0"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9.安全文明施工费：</w:t>
            </w:r>
          </w:p>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9.1根据《重庆城乡建设委员会关于印发〈重庆市建设工程安全文明施工费计取及使用管理规定〉的通知》（渝建发〔2014〕25号）规定，安全文明施工费由安全施工费、文明施工费、环境保护费及临时设施费组成。</w:t>
            </w:r>
          </w:p>
          <w:p>
            <w:pPr>
              <w:pStyle w:val="259"/>
              <w:keepNext w:val="0"/>
              <w:keepLines w:val="0"/>
              <w:pageBreakBefore w:val="0"/>
              <w:kinsoku/>
              <w:wordWrap/>
              <w:overflowPunct/>
              <w:topLinePunct w:val="0"/>
              <w:autoSpaceDE/>
              <w:autoSpaceDN/>
              <w:bidi w:val="0"/>
              <w:adjustRightInd/>
              <w:spacing w:line="400" w:lineRule="exact"/>
              <w:ind w:firstLineChars="200"/>
              <w:textAlignment w:val="auto"/>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9.2本工程安全文明施工费由</w:t>
            </w:r>
            <w:r>
              <w:rPr>
                <w:rFonts w:hint="eastAsia" w:cs="宋体"/>
                <w:color w:val="auto"/>
                <w:kern w:val="2"/>
                <w:sz w:val="21"/>
                <w:szCs w:val="24"/>
                <w:highlight w:val="none"/>
                <w:lang w:eastAsia="zh-CN"/>
              </w:rPr>
              <w:t>比选人</w:t>
            </w:r>
            <w:r>
              <w:rPr>
                <w:rFonts w:hint="eastAsia" w:ascii="宋体" w:hAnsi="宋体" w:eastAsia="宋体" w:cs="宋体"/>
                <w:color w:val="auto"/>
                <w:kern w:val="2"/>
                <w:sz w:val="21"/>
                <w:szCs w:val="24"/>
                <w:highlight w:val="none"/>
              </w:rPr>
              <w:t>根据《建设工程工程量清单计价规范》（GB50500-2013）、《重庆市建设工程工程量清单计价规则》（CQJJGZ-2013）、《重庆市城乡建设委员会关于印发〈重庆市建设工程安全文明施工费计取及使用管理规定〉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w:t>
            </w:r>
            <w:r>
              <w:rPr>
                <w:rFonts w:hint="eastAsia" w:cs="宋体"/>
                <w:color w:val="auto"/>
                <w:kern w:val="2"/>
                <w:sz w:val="21"/>
                <w:szCs w:val="24"/>
                <w:highlight w:val="none"/>
                <w:lang w:eastAsia="zh-CN"/>
              </w:rPr>
              <w:t>比选人</w:t>
            </w:r>
            <w:r>
              <w:rPr>
                <w:rFonts w:hint="eastAsia" w:ascii="宋体" w:hAnsi="宋体" w:eastAsia="宋体" w:cs="宋体"/>
                <w:color w:val="auto"/>
                <w:kern w:val="2"/>
                <w:sz w:val="21"/>
                <w:szCs w:val="24"/>
                <w:highlight w:val="none"/>
              </w:rPr>
              <w:t>给出的暂定金额填报，否则视为对招标文件不作实质性响应，其投标文件由评标委员会作否决投标处理。注：采用全费用清单计价的项目，安全文明施工费仅针对《投标函》中的安全文明施工费进行评审。</w:t>
            </w:r>
          </w:p>
          <w:p>
            <w:pPr>
              <w:keepNext w:val="0"/>
              <w:keepLines w:val="0"/>
              <w:pageBreakBefore w:val="0"/>
              <w:tabs>
                <w:tab w:val="left" w:pos="546"/>
                <w:tab w:val="left" w:pos="711"/>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本项目建筑安装材料价格风险按照《重庆市城乡建设委员会关于进一步加强建筑安装材料价格风险管控的指导意见》（渝建〔2018〕61号）执行。本项目主要材料及设备价格风险内容、范围及调整方法为：详见专用合同条款约定。</w:t>
            </w:r>
          </w:p>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12.本项目所采用技术、工艺和产品等必须执行重庆市住房和城乡建设委员会关于发布重庆市建设领域禁止、限制使用落后技术通告（2019年版）（渝建发〔2019〕25号）的规定。</w:t>
            </w:r>
          </w:p>
          <w:p>
            <w:pPr>
              <w:pStyle w:val="19"/>
              <w:keepNext w:val="0"/>
              <w:keepLines w:val="0"/>
              <w:pageBreakBefore w:val="0"/>
              <w:tabs>
                <w:tab w:val="left" w:pos="546"/>
                <w:tab w:val="left" w:pos="711"/>
              </w:tabs>
              <w:kinsoku/>
              <w:wordWrap/>
              <w:overflowPunct/>
              <w:topLinePunct w:val="0"/>
              <w:autoSpaceDE/>
              <w:autoSpaceDN/>
              <w:bidi w:val="0"/>
              <w:adjustRightInd/>
              <w:snapToGrid w:val="0"/>
              <w:spacing w:after="0"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rPr>
              <w:t>13.本工程主体结构若需混凝土，则必须使用商品混凝土，不得自建搅拌站。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3.4.1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投标保证金</w:t>
            </w:r>
          </w:p>
        </w:tc>
        <w:tc>
          <w:tcPr>
            <w:tcW w:w="7189" w:type="dxa"/>
            <w:vAlign w:val="center"/>
          </w:tcPr>
          <w:p>
            <w:pPr>
              <w:pStyle w:val="264"/>
              <w:keepNext w:val="0"/>
              <w:keepLines w:val="0"/>
              <w:pageBreakBefore w:val="0"/>
              <w:numPr>
                <w:ilvl w:val="0"/>
                <w:numId w:val="6"/>
              </w:numPr>
              <w:kinsoku/>
              <w:wordWrap/>
              <w:overflowPunct/>
              <w:topLinePunct w:val="0"/>
              <w:autoSpaceDE/>
              <w:autoSpaceDN/>
              <w:bidi w:val="0"/>
              <w:adjustRightInd/>
              <w:snapToGrid w:val="0"/>
              <w:spacing w:line="400" w:lineRule="exact"/>
              <w:ind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投标保证金的形式：现金。</w:t>
            </w:r>
          </w:p>
          <w:p>
            <w:pPr>
              <w:keepNext w:val="0"/>
              <w:keepLines w:val="0"/>
              <w:pageBreakBefore w:val="0"/>
              <w:kinsoku/>
              <w:wordWrap/>
              <w:overflowPunct/>
              <w:topLinePunct w:val="0"/>
              <w:autoSpaceDE/>
              <w:autoSpaceDN/>
              <w:bidi w:val="0"/>
              <w:adjustRightInd/>
              <w:snapToGrid w:val="0"/>
              <w:spacing w:line="400" w:lineRule="exact"/>
              <w:ind w:firstLine="40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2、投标保证金的金额：</w:t>
            </w:r>
            <w:r>
              <w:rPr>
                <w:rFonts w:hint="eastAsia" w:ascii="宋体" w:hAnsi="宋体" w:cs="宋体"/>
                <w:color w:val="auto"/>
                <w:szCs w:val="21"/>
                <w:highlight w:val="none"/>
                <w:lang w:val="en-US" w:eastAsia="zh-CN"/>
              </w:rPr>
              <w:t>1200</w:t>
            </w:r>
            <w:r>
              <w:rPr>
                <w:rFonts w:hint="eastAsia" w:ascii="宋体" w:hAnsi="宋体" w:eastAsia="宋体" w:cs="宋体"/>
                <w:color w:val="auto"/>
                <w:szCs w:val="21"/>
                <w:highlight w:val="none"/>
              </w:rPr>
              <w:t>元（大写：</w:t>
            </w:r>
            <w:r>
              <w:rPr>
                <w:rFonts w:hint="eastAsia" w:ascii="宋体" w:hAnsi="宋体" w:cs="宋体"/>
                <w:color w:val="auto"/>
                <w:szCs w:val="21"/>
                <w:highlight w:val="none"/>
                <w:lang w:eastAsia="zh-CN"/>
              </w:rPr>
              <w:t>壹仟贰佰元整</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400" w:lineRule="exact"/>
              <w:ind w:firstLine="422"/>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3、递交方式：信封递交、信封上写明单位名称并盖单位公章。</w:t>
            </w:r>
          </w:p>
          <w:p>
            <w:pPr>
              <w:keepNext w:val="0"/>
              <w:keepLines w:val="0"/>
              <w:pageBreakBefore w:val="0"/>
              <w:tabs>
                <w:tab w:val="left" w:pos="546"/>
                <w:tab w:val="left" w:pos="711"/>
              </w:tabs>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4、递交时间：递交投标文件时，同时递交。</w:t>
            </w:r>
          </w:p>
          <w:p>
            <w:pPr>
              <w:keepNext w:val="0"/>
              <w:keepLines w:val="0"/>
              <w:pageBreakBefore w:val="0"/>
              <w:tabs>
                <w:tab w:val="left" w:pos="546"/>
                <w:tab w:val="left" w:pos="711"/>
              </w:tabs>
              <w:kinsoku/>
              <w:wordWrap/>
              <w:overflowPunct/>
              <w:topLinePunct w:val="0"/>
              <w:autoSpaceDE/>
              <w:autoSpaceDN/>
              <w:bidi w:val="0"/>
              <w:adjustRightInd/>
              <w:snapToGrid w:val="0"/>
              <w:spacing w:line="400" w:lineRule="exact"/>
              <w:ind w:firstLine="42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5、投标保证金退还：开标结束后当场退还除中标候选人外其他投标人的投标保证金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中标候选人</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rPr>
              <w:t>投标保证金</w:t>
            </w:r>
            <w:r>
              <w:rPr>
                <w:rFonts w:hint="eastAsia" w:ascii="宋体" w:hAnsi="宋体" w:cs="宋体"/>
                <w:color w:val="auto"/>
                <w:szCs w:val="21"/>
                <w:highlight w:val="none"/>
                <w:lang w:val="en-US" w:eastAsia="zh-CN"/>
              </w:rPr>
              <w:t>在签订合同后由比选人退还</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snapToGrid w:val="0"/>
                <w:color w:val="auto"/>
                <w:kern w:val="0"/>
                <w:szCs w:val="21"/>
                <w:highlight w:val="none"/>
              </w:rPr>
              <w:t>特别提示：本工程投标人比选过程中有串标、围标等违法行为的按相关法律法规处理且投标保证金不予退还。本工程中选人无故放弃中选的按相关法律法规处理且投标保证金不予退还。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是否允许递交备选投标方案</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1500"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签字或盖章要求</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比选文件规定的位置按比选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投标文件的份数</w:t>
            </w:r>
          </w:p>
        </w:tc>
        <w:tc>
          <w:tcPr>
            <w:tcW w:w="7189" w:type="dxa"/>
            <w:vAlign w:val="center"/>
          </w:tcPr>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投标文件正本1份、副本2份，电子版形式（光盘）1份。当副本和正本不一致时，以正本为准。否则由评标委员会作否决投标处理。</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电子版形式（光盘）中的经济部分：应包含经济部分全部excel格式预算表格，工程量清单综合单价分析表无须装订入投标文件纸质版中，但清单项目的综合单价分析表（excel格式）必须刻入光盘中。</w:t>
            </w:r>
          </w:p>
          <w:p>
            <w:pPr>
              <w:keepNext w:val="0"/>
              <w:keepLines w:val="0"/>
              <w:pageBreakBefore w:val="0"/>
              <w:widowControl/>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注：在核发中标通知书时，中标人应另外补充一式 6 份投标文件（除需增加的工程量清单综合单价分析表外，其他内容必须与投标时提交的投标文件相一致）。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装订要求</w:t>
            </w:r>
          </w:p>
        </w:tc>
        <w:tc>
          <w:tcPr>
            <w:tcW w:w="7189" w:type="dxa"/>
            <w:vAlign w:val="center"/>
          </w:tcPr>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1.本工程应将投标函部分、经济部分、资格审查部分各自分别装订成册。</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2.装订</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（1）投标函部分的装订要求</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应按照第八章规定格式装订成册，原则上应编制目录（但不得将目录编制作为评审因素），标注页码。</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）经济部分的装订要求</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应按照第八章规定格式装订成册，原则上应编制目录（但不得将目录编制作为评审因素），标注页码。</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）资格审查部分的装订要求</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应按照第八章规定格式装订成册，原则上应编制目录（但不得将目录编制作为评审因素），标注页码。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投标文件的密封</w:t>
            </w:r>
          </w:p>
        </w:tc>
        <w:tc>
          <w:tcPr>
            <w:tcW w:w="7189" w:type="dxa"/>
            <w:vAlign w:val="center"/>
          </w:tcPr>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投标文件袋使用“投标保函部分”袋（如有）、“投标函部分”袋、“经济部分”袋、“技术部分”袋（如有）、“资格审查部分”袋以及“投标文件”大袋。</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投标保函正本复印件装入“投标保函部分”袋，单独封装并在袋上加盖投标人单位法人章，同时应按本表第4.1.2项的规定写明相应内容。[提示：投标保证金采用纸质投标保函形式的按此内容表述，否则删除本条内容。]</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投标函部分和电子版形式（光盘）装入“投标函部分”袋中，密封并在袋上加盖投标人单位法人章。</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经济部分装入“经济部分”袋中，密封并在袋上加盖投标人单位法人章。</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资格审查部分装入“资格审查部分”袋中，密封并在袋上加盖投标人单位法人章。</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“投标函部分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经济部分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资格审查部分”等小袋装入“投标文件”大袋中，密封并在大袋上加盖投标人单位法人章，同时“投标文件”大袋应按本表第4.1.2项的规定写明相应内容。一个大袋装不下的，可使用多个大袋分册封装。大袋未按要求密封的，</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或代理机构应该拒收。</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注：“投标函部分”袋、“经济部分”袋、“资格审查部分”袋只为方便投标文件分装，不作为判定密封合格与否的条件。但为了方便开标，请各投标人主动配合，按要求分装。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应在“投标文件”大袋封套上写明如下内容：</w:t>
            </w:r>
          </w:p>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lang w:eastAsia="zh-CN"/>
              </w:rPr>
              <w:t>比选人</w:t>
            </w:r>
            <w:r>
              <w:rPr>
                <w:rFonts w:hint="eastAsia" w:ascii="宋体" w:hAnsi="宋体" w:eastAsia="宋体" w:cs="宋体"/>
                <w:color w:val="auto"/>
                <w:kern w:val="0"/>
                <w:szCs w:val="21"/>
                <w:highlight w:val="none"/>
              </w:rPr>
              <w:t>名称：</w:t>
            </w:r>
            <w:r>
              <w:rPr>
                <w:rFonts w:hint="eastAsia" w:ascii="宋体" w:hAnsi="宋体" w:eastAsia="宋体" w:cs="宋体"/>
                <w:snapToGrid w:val="0"/>
                <w:color w:val="auto"/>
                <w:kern w:val="0"/>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投标文件</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递交投标文件的地点</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重庆市铜梁区福果镇人民政府会议室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开标时间和地点</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开标时间：同投标截止时间</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开标地点：</w:t>
            </w:r>
            <w:r>
              <w:rPr>
                <w:rFonts w:hint="eastAsia" w:ascii="宋体" w:hAnsi="宋体" w:cs="宋体"/>
                <w:snapToGrid w:val="0"/>
                <w:color w:val="auto"/>
                <w:kern w:val="0"/>
                <w:szCs w:val="21"/>
                <w:highlight w:val="none"/>
                <w:lang w:eastAsia="zh-CN"/>
              </w:rPr>
              <w:t>重庆市铜梁区福果镇人民政府会议室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核验参加开标会议的投标人的法定代表人或委托代理人本人身份证（原件），核验委托代理人的授权委托书、养老保险证明材料复印件，以确认其身份合法有效；若经核实委托代理人提供资料与实际不符的，不得参加开标会。核验合格的法定代表人或委托代理人可自行选择是否参加开标会，不参加开标会的视为默认开标结果。</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宣布开标纪律。</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宣布开标人、唱标人、记录人、监标人等有关人员姓名。</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公布在投标截止时间前递交投标文件的投标人名称。</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投标文件的密封检查：投标人可对自己的投标文件封装情况进行检查，以确认其投标文件密封完好。</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 汇总投标保证金交纳情况</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 公布最高限价。</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 逐单位随机开启投标文件。开启投标文件大袋及投标函部分袋、经济部分袋、资格审查部分袋；公布投标人名称、投标报价、质量要求、工期及其他内容并记录在案。</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 xml:space="preserve"> 投标人对开标有异议的，应当场提出，由</w:t>
            </w: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或代理机构当场答复，并记录到开标记录表中。异议处理完毕后，汇总开标情况，打印开标记录表。</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 投标人代表、</w:t>
            </w:r>
            <w:r>
              <w:rPr>
                <w:rFonts w:hint="eastAsia" w:ascii="宋体" w:hAnsi="宋体" w:cs="宋体"/>
                <w:color w:val="auto"/>
                <w:szCs w:val="21"/>
                <w:highlight w:val="none"/>
                <w:lang w:val="en-US" w:eastAsia="zh-CN"/>
              </w:rPr>
              <w:t>比选人</w:t>
            </w:r>
            <w:r>
              <w:rPr>
                <w:rFonts w:hint="eastAsia" w:ascii="宋体" w:hAnsi="宋体" w:eastAsia="宋体" w:cs="宋体"/>
                <w:color w:val="auto"/>
                <w:szCs w:val="21"/>
                <w:highlight w:val="none"/>
              </w:rPr>
              <w:t>代表、监标人、主持人、记录人等有关人员在开标记录上签名确认。因其他原因未能签名的，视为默认开标结果。</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开标记录表、投标人信用情况汇总表一并交由评标委员会评审。</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rPr>
              <w:t>.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1．评标委员会构成：</w:t>
            </w:r>
            <w:r>
              <w:rPr>
                <w:rFonts w:hint="eastAsia" w:ascii="宋体" w:hAnsi="宋体" w:eastAsia="宋体" w:cs="宋体"/>
                <w:color w:val="auto"/>
                <w:kern w:val="0"/>
                <w:szCs w:val="21"/>
                <w:highlight w:val="none"/>
                <w:u w:val="single"/>
              </w:rPr>
              <w:t xml:space="preserve"> 3 </w:t>
            </w:r>
            <w:r>
              <w:rPr>
                <w:rFonts w:hint="eastAsia" w:ascii="宋体" w:hAnsi="宋体" w:eastAsia="宋体" w:cs="宋体"/>
                <w:color w:val="auto"/>
                <w:kern w:val="0"/>
                <w:szCs w:val="21"/>
                <w:highlight w:val="none"/>
              </w:rPr>
              <w:t>人；</w:t>
            </w:r>
          </w:p>
          <w:p>
            <w:pPr>
              <w:keepNext w:val="0"/>
              <w:keepLines w:val="0"/>
              <w:pageBreakBefore w:val="0"/>
              <w:kinsoku/>
              <w:wordWrap/>
              <w:overflowPunct/>
              <w:topLinePunct w:val="0"/>
              <w:autoSpaceDE/>
              <w:autoSpaceDN/>
              <w:bidi w:val="0"/>
              <w:adjustRightInd/>
              <w:snapToGrid w:val="0"/>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2．评标专家确定方式：</w:t>
            </w:r>
            <w:r>
              <w:rPr>
                <w:rFonts w:hint="eastAsia" w:ascii="宋体" w:hAnsi="宋体" w:eastAsia="宋体" w:cs="宋体"/>
                <w:snapToGrid w:val="0"/>
                <w:color w:val="auto"/>
                <w:kern w:val="0"/>
                <w:szCs w:val="21"/>
                <w:highlight w:val="none"/>
              </w:rPr>
              <w:t>由</w:t>
            </w:r>
            <w:r>
              <w:rPr>
                <w:rFonts w:hint="eastAsia" w:ascii="宋体" w:hAnsi="宋体" w:cs="宋体"/>
                <w:snapToGrid w:val="0"/>
                <w:color w:val="auto"/>
                <w:kern w:val="0"/>
                <w:szCs w:val="21"/>
                <w:highlight w:val="none"/>
                <w:lang w:eastAsia="zh-CN"/>
              </w:rPr>
              <w:t>比选人</w:t>
            </w:r>
            <w:r>
              <w:rPr>
                <w:rFonts w:hint="eastAsia" w:ascii="宋体" w:hAnsi="宋体" w:eastAsia="宋体" w:cs="宋体"/>
                <w:snapToGrid w:val="0"/>
                <w:color w:val="auto"/>
                <w:kern w:val="0"/>
                <w:szCs w:val="21"/>
                <w:highlight w:val="none"/>
              </w:rPr>
              <w:t>依法组建</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Cs w:val="21"/>
                <w:highlight w:val="none"/>
              </w:rPr>
            </w:pP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w:t>
            </w:r>
            <w:r>
              <w:rPr>
                <w:rFonts w:hint="eastAsia" w:ascii="宋体" w:hAnsi="宋体"/>
                <w:color w:val="auto"/>
                <w:kern w:val="0"/>
                <w:szCs w:val="21"/>
                <w:highlight w:val="none"/>
              </w:rPr>
              <w:t>1~3</w:t>
            </w:r>
            <w:r>
              <w:rPr>
                <w:rFonts w:ascii="宋体" w:hAnsi="宋体"/>
                <w:color w:val="auto"/>
                <w:kern w:val="0"/>
                <w:szCs w:val="21"/>
                <w:highlight w:val="none"/>
              </w:rPr>
              <w:t>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w:t>
            </w:r>
          </w:p>
        </w:tc>
        <w:tc>
          <w:tcPr>
            <w:tcW w:w="1500" w:type="dxa"/>
            <w:vAlign w:val="center"/>
          </w:tcPr>
          <w:p>
            <w:pPr>
              <w:keepNext w:val="0"/>
              <w:keepLines w:val="0"/>
              <w:pageBreakBefore w:val="0"/>
              <w:kinsoku/>
              <w:wordWrap/>
              <w:overflowPunct/>
              <w:topLinePunct w:val="0"/>
              <w:autoSpaceDE/>
              <w:autoSpaceDN/>
              <w:bidi w:val="0"/>
              <w:adjustRightInd/>
              <w:snapToGrid w:val="0"/>
              <w:spacing w:after="48" w:afterLines="20"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中标公示</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210" w:firstLineChars="1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eastAsia="宋体" w:cs="宋体"/>
                <w:color w:val="auto"/>
                <w:szCs w:val="21"/>
                <w:highlight w:val="none"/>
              </w:rPr>
              <w:t>在收到评标报告后3日内将评标结果在</w:t>
            </w:r>
            <w:r>
              <w:rPr>
                <w:rFonts w:hint="eastAsia" w:ascii="宋体" w:hAnsi="宋体" w:cs="宋体"/>
                <w:color w:val="auto"/>
                <w:szCs w:val="21"/>
                <w:highlight w:val="none"/>
                <w:lang w:eastAsia="zh-CN"/>
              </w:rPr>
              <w:t>重庆市铜梁区福果镇人民政府公告栏</w:t>
            </w:r>
            <w:r>
              <w:rPr>
                <w:rFonts w:hint="eastAsia" w:ascii="宋体" w:hAnsi="宋体" w:eastAsia="宋体" w:cs="宋体"/>
                <w:color w:val="auto"/>
                <w:szCs w:val="21"/>
                <w:highlight w:val="none"/>
              </w:rPr>
              <w:t>进行公示，公示期为3日。为深化信息公开，接受社会监督，公示内容包括中标候选人名称、排序、投标报价、质量、工期。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履约担保</w:t>
            </w:r>
          </w:p>
        </w:tc>
        <w:tc>
          <w:tcPr>
            <w:tcW w:w="7189" w:type="dxa"/>
            <w:vAlign w:val="center"/>
          </w:tcPr>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1.担保形式：</w:t>
            </w:r>
            <w:r>
              <w:rPr>
                <w:rFonts w:hint="default" w:ascii="宋体" w:hAnsi="宋体" w:eastAsia="宋体" w:cs="宋体"/>
                <w:color w:val="auto"/>
                <w:sz w:val="21"/>
                <w:szCs w:val="21"/>
                <w:highlight w:val="none"/>
                <w:lang w:val="en-US" w:eastAsia="zh-CN"/>
              </w:rPr>
              <w:t>现金或</w:t>
            </w:r>
            <w:r>
              <w:rPr>
                <w:rFonts w:hint="eastAsia" w:ascii="宋体" w:hAnsi="宋体" w:cs="宋体"/>
                <w:color w:val="auto"/>
                <w:sz w:val="21"/>
                <w:szCs w:val="21"/>
                <w:highlight w:val="none"/>
                <w:lang w:val="en-US" w:eastAsia="zh-CN"/>
              </w:rPr>
              <w:t>转账</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2.金额：履约保证金金额为</w:t>
            </w:r>
            <w:r>
              <w:rPr>
                <w:rFonts w:hint="default" w:ascii="宋体" w:hAnsi="宋体" w:eastAsia="宋体" w:cs="宋体"/>
                <w:color w:val="auto"/>
                <w:sz w:val="21"/>
                <w:szCs w:val="21"/>
                <w:highlight w:val="none"/>
                <w:lang w:val="en-US" w:eastAsia="zh-CN"/>
              </w:rPr>
              <w:t>合同金额</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%，农民工工资保证金金额为</w:t>
            </w:r>
            <w:r>
              <w:rPr>
                <w:rFonts w:hint="default" w:ascii="宋体" w:hAnsi="宋体" w:eastAsia="宋体" w:cs="宋体"/>
                <w:color w:val="auto"/>
                <w:sz w:val="21"/>
                <w:szCs w:val="21"/>
                <w:highlight w:val="none"/>
                <w:lang w:val="en-US" w:eastAsia="zh-CN"/>
              </w:rPr>
              <w:t>合同金额</w:t>
            </w:r>
            <w:r>
              <w:rPr>
                <w:rFonts w:hint="eastAsia" w:ascii="宋体" w:hAnsi="宋体" w:eastAsia="宋体" w:cs="宋体"/>
                <w:color w:val="auto"/>
                <w:sz w:val="21"/>
                <w:szCs w:val="21"/>
                <w:highlight w:val="none"/>
              </w:rPr>
              <w:t>的2%。</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3.递交时间：中标人应在收到中标通知书后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日内，施工合同签订前按照</w:t>
            </w:r>
            <w:r>
              <w:rPr>
                <w:rFonts w:hint="eastAsia" w:ascii="宋体" w:hAnsi="宋体" w:cs="宋体"/>
                <w:color w:val="auto"/>
                <w:sz w:val="21"/>
                <w:szCs w:val="21"/>
                <w:highlight w:val="none"/>
                <w:lang w:eastAsia="zh-CN"/>
              </w:rPr>
              <w:t>比选人</w:t>
            </w:r>
            <w:r>
              <w:rPr>
                <w:rFonts w:hint="eastAsia" w:ascii="宋体" w:hAnsi="宋体" w:eastAsia="宋体" w:cs="宋体"/>
                <w:color w:val="auto"/>
                <w:sz w:val="21"/>
                <w:szCs w:val="21"/>
                <w:highlight w:val="none"/>
              </w:rPr>
              <w:t>指定方式提交，若未按时提交，则视为中标人放弃中标，其投标保证金不予退还，给</w:t>
            </w:r>
            <w:r>
              <w:rPr>
                <w:rFonts w:hint="eastAsia" w:ascii="宋体" w:hAnsi="宋体" w:cs="宋体"/>
                <w:color w:val="auto"/>
                <w:sz w:val="21"/>
                <w:szCs w:val="21"/>
                <w:highlight w:val="none"/>
                <w:lang w:eastAsia="zh-CN"/>
              </w:rPr>
              <w:t>比选人</w:t>
            </w:r>
            <w:r>
              <w:rPr>
                <w:rFonts w:hint="eastAsia" w:ascii="宋体" w:hAnsi="宋体" w:eastAsia="宋体" w:cs="宋体"/>
                <w:color w:val="auto"/>
                <w:sz w:val="21"/>
                <w:szCs w:val="21"/>
                <w:highlight w:val="none"/>
              </w:rPr>
              <w:t>造成的损失超过投标保证金数额的，中标人还应当对超过部分予以赔偿。</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4.履约保证金返还：</w:t>
            </w:r>
            <w:r>
              <w:rPr>
                <w:rFonts w:hint="eastAsia" w:ascii="宋体" w:hAnsi="宋体" w:cs="宋体"/>
                <w:color w:val="auto"/>
                <w:sz w:val="21"/>
                <w:szCs w:val="21"/>
                <w:highlight w:val="none"/>
                <w:lang w:val="en-US" w:eastAsia="zh-CN"/>
              </w:rPr>
              <w:t>竣工</w:t>
            </w:r>
            <w:r>
              <w:rPr>
                <w:rFonts w:hint="default" w:ascii="宋体" w:hAnsi="宋体" w:eastAsia="宋体" w:cs="宋体"/>
                <w:color w:val="auto"/>
                <w:sz w:val="21"/>
                <w:szCs w:val="21"/>
                <w:highlight w:val="none"/>
                <w:lang w:val="en-US" w:eastAsia="zh-CN"/>
              </w:rPr>
              <w:t>验收合格后一个月内一次性退还。</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农民工工资保证金返还</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竣工验收合格且支付完农民工工资后一个月内一次性退还。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重新比选</w:t>
            </w:r>
          </w:p>
        </w:tc>
        <w:tc>
          <w:tcPr>
            <w:tcW w:w="7189" w:type="dxa"/>
            <w:vAlign w:val="center"/>
          </w:tcPr>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1.按投标人须知第8.1（1）执行；</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2.按投标人须知第8.1（2）执行；</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3.按投标人须知第8.1（3）执行；</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4.按投标人须知第8.1（4）执行。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snapToGrid w:val="0"/>
                <w:color w:val="auto"/>
                <w:szCs w:val="21"/>
                <w:highlight w:val="none"/>
              </w:rPr>
              <w:t>二次比选和不再比选</w:t>
            </w:r>
          </w:p>
        </w:tc>
        <w:tc>
          <w:tcPr>
            <w:tcW w:w="7189" w:type="dxa"/>
            <w:vAlign w:val="center"/>
          </w:tcPr>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重新招标后投标人仍少于3个，按法定程序开标和评标，确定中标人。经评审无合格投标人，属于必须审批或核准的工程建设项目，经原审批或核准部门批准后不再进行招标。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w:t>
            </w:r>
          </w:p>
        </w:tc>
        <w:tc>
          <w:tcPr>
            <w:tcW w:w="8689" w:type="dxa"/>
            <w:gridSpan w:val="2"/>
            <w:vAlign w:val="center"/>
          </w:tcPr>
          <w:p>
            <w:pPr>
              <w:keepNext w:val="0"/>
              <w:keepLines w:val="0"/>
              <w:pageBreakBefore w:val="0"/>
              <w:tabs>
                <w:tab w:val="left" w:pos="1502"/>
              </w:tabs>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结算原则</w:t>
            </w:r>
          </w:p>
        </w:tc>
        <w:tc>
          <w:tcPr>
            <w:tcW w:w="7189" w:type="dxa"/>
            <w:vAlign w:val="center"/>
          </w:tcPr>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结算价=中标单价*实际完成工程量±经发包人确认的应计增减（变更）工程造价±合同约定的其它费用</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最终结算金额以建设单位委托的审计机构审定金额为准。</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2.增减（变更）工程结算： </w:t>
            </w:r>
          </w:p>
          <w:p>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工程内容与已标价工程量清单中有相同的子项或类似子项，则按投标时的相同子项或类似子项的综合单价执行（类似子项的综合单价由</w:t>
            </w:r>
            <w:r>
              <w:rPr>
                <w:rFonts w:hint="eastAsia" w:ascii="宋体" w:hAnsi="宋体" w:cs="宋体"/>
                <w:color w:val="auto"/>
                <w:szCs w:val="21"/>
                <w:highlight w:val="none"/>
                <w:lang w:val="en-US" w:eastAsia="zh-CN"/>
              </w:rPr>
              <w:t>比选人</w:t>
            </w:r>
            <w:r>
              <w:rPr>
                <w:rFonts w:hint="eastAsia" w:ascii="宋体" w:hAnsi="宋体" w:eastAsia="宋体" w:cs="宋体"/>
                <w:color w:val="auto"/>
                <w:szCs w:val="21"/>
                <w:highlight w:val="none"/>
                <w:lang w:eastAsia="zh-CN"/>
              </w:rPr>
              <w:t>审定）</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工程内容如有与已标价工程量清单不同的子项（既无相同子项，又无类似子项），按</w:t>
            </w:r>
            <w:r>
              <w:rPr>
                <w:rFonts w:hint="eastAsia" w:ascii="宋体" w:hAnsi="宋体" w:cs="宋体"/>
                <w:color w:val="auto"/>
                <w:szCs w:val="21"/>
                <w:highlight w:val="none"/>
                <w:lang w:eastAsia="zh-CN"/>
              </w:rPr>
              <w:t>《建设工程工程量清单计价规范》（GB 50500-2013）、《重庆市建设工程工程量清单计价规则》（CQJJGZ-2013）、《重庆市建设工程工程量计算规则》（CQJLGZ-2013）</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2018年《重庆市建筑与装饰工程计价定额》、2018年《重庆市园林绿化工程计价定额》、2018年《重庆市绿色建筑工程计价定额》、2018年《重庆市建设工程费用定额》及其配套文件计算后</w:t>
            </w:r>
            <w:r>
              <w:rPr>
                <w:rFonts w:hint="eastAsia" w:ascii="宋体" w:hAnsi="宋体" w:eastAsia="宋体" w:cs="宋体"/>
                <w:color w:val="auto"/>
                <w:szCs w:val="21"/>
                <w:highlight w:val="none"/>
                <w:lang w:eastAsia="zh-CN"/>
              </w:rPr>
              <w:t>，再按承包人报价浮动率[承包人报价浮动率=（1-中标价/投标总报价最高限价）×100%]进行下浮后结算[其中：</w:t>
            </w:r>
            <w:r>
              <w:rPr>
                <w:rFonts w:hint="eastAsia" w:ascii="宋体" w:hAnsi="宋体" w:cs="宋体"/>
                <w:color w:val="auto"/>
                <w:szCs w:val="21"/>
                <w:highlight w:val="none"/>
                <w:lang w:eastAsia="zh-CN"/>
              </w:rPr>
              <w:t>人工工日单价参照2024年第1期《重庆工程造价信息》公布的渝西片区价格计算；材料价格参照2024年第2期《重庆工程造价信息》公布的铜梁地区材料价格并结合近期市场价格计算，材料价格为不含税价；下浮基数不含安全文明施工费、认质核价的材料费、规费、税金</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安全文明施工费：按《关于印发〈重庆市建设工程安全文明施工费计取及使用管理规定〉的通知》（渝建发〔2014〕25号）及《重庆市城乡建设委员会关于建筑业营业税改增值税调整建设工程计价依据的通知》（渝建发〔2016〕35号）、《重庆市城乡建设委员会关于适用增值税新税税率调整建筑工程计价依据的通知》（渝建〔2019〕143号）规定进行结算，安全文明施工综合评定结果为不合格，则不计取。</w:t>
            </w:r>
          </w:p>
          <w:p>
            <w:pPr>
              <w:keepNext w:val="0"/>
              <w:keepLines w:val="0"/>
              <w:pageBreakBefore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4.施工技术措施项目清单计价表中以项为单位计列的项目，按投标时的报价作为结算价，包干使用。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snapToGrid w:val="0"/>
              <w:spacing w:line="400" w:lineRule="exact"/>
              <w:jc w:val="center"/>
              <w:rPr>
                <w:rFonts w:hint="default" w:ascii="宋体" w:hAnsi="宋体" w:eastAsia="宋体" w:cs="宋体"/>
                <w:color w:val="auto"/>
                <w:kern w:val="0"/>
                <w:szCs w:val="21"/>
                <w:highlight w:val="none"/>
                <w:lang w:val="en-US"/>
              </w:rPr>
            </w:pPr>
            <w:r>
              <w:rPr>
                <w:rFonts w:hint="eastAsia" w:ascii="宋体" w:hAnsi="宋体"/>
                <w:color w:val="auto"/>
                <w:kern w:val="0"/>
                <w:szCs w:val="21"/>
                <w:lang w:val="en-US" w:eastAsia="zh-CN"/>
              </w:rPr>
              <w:t>10.2</w:t>
            </w:r>
          </w:p>
        </w:tc>
        <w:tc>
          <w:tcPr>
            <w:tcW w:w="1500" w:type="dxa"/>
            <w:vAlign w:val="center"/>
          </w:tcPr>
          <w:p>
            <w:pPr>
              <w:snapToGrid w:val="0"/>
              <w:spacing w:line="400" w:lineRule="exact"/>
              <w:jc w:val="center"/>
              <w:rPr>
                <w:rFonts w:hint="eastAsia" w:ascii="宋体" w:hAnsi="宋体" w:eastAsia="宋体" w:cs="宋体"/>
                <w:color w:val="auto"/>
                <w:kern w:val="0"/>
                <w:szCs w:val="21"/>
                <w:highlight w:val="none"/>
              </w:rPr>
            </w:pPr>
            <w:r>
              <w:rPr>
                <w:rFonts w:hint="eastAsia" w:ascii="宋体" w:hAnsi="宋体"/>
                <w:color w:val="auto"/>
                <w:kern w:val="0"/>
                <w:szCs w:val="21"/>
              </w:rPr>
              <w:t>低价风险担保</w:t>
            </w:r>
          </w:p>
        </w:tc>
        <w:tc>
          <w:tcPr>
            <w:tcW w:w="718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ascii="宋体" w:hAnsi="宋体" w:cs="宋体"/>
                <w:color w:val="auto"/>
              </w:rPr>
            </w:pPr>
            <w:r>
              <w:rPr>
                <w:rFonts w:hint="eastAsia" w:ascii="宋体" w:hAnsi="宋体" w:cs="宋体"/>
                <w:color w:val="auto"/>
                <w:kern w:val="0"/>
                <w:szCs w:val="21"/>
              </w:rPr>
              <w:t>1、低价风险担保：中标价低于最高限价的85%时提供，如不按时足额提供，视为中标人放弃中标，比选人有权不退还其投标保证金，</w:t>
            </w:r>
            <w:r>
              <w:rPr>
                <w:rFonts w:hint="eastAsia" w:ascii="宋体" w:hAnsi="宋体" w:cs="宋体"/>
                <w:color w:val="auto"/>
              </w:rPr>
              <w:t>并报招标投标行政监督部门按照信用管理办法的规定处理，对中标人的不良行为直接记12分，纳入重点关注名单。</w:t>
            </w:r>
          </w:p>
          <w:p>
            <w:pPr>
              <w:keepNext w:val="0"/>
              <w:keepLines w:val="0"/>
              <w:pageBreakBefore w:val="0"/>
              <w:widowControl/>
              <w:kinsoku/>
              <w:wordWrap/>
              <w:overflowPunct/>
              <w:topLinePunct w:val="0"/>
              <w:autoSpaceDE/>
              <w:autoSpaceDN/>
              <w:bidi w:val="0"/>
              <w:adjustRightInd/>
              <w:snapToGrid/>
              <w:spacing w:line="360" w:lineRule="exact"/>
              <w:ind w:firstLine="210" w:firstLineChars="100"/>
              <w:textAlignment w:val="auto"/>
              <w:rPr>
                <w:rFonts w:ascii="宋体" w:hAnsi="宋体" w:cs="宋体"/>
                <w:color w:val="auto"/>
                <w:kern w:val="0"/>
                <w:szCs w:val="21"/>
              </w:rPr>
            </w:pPr>
            <w:r>
              <w:rPr>
                <w:rFonts w:hint="eastAsia" w:ascii="宋体" w:hAnsi="宋体" w:cs="宋体"/>
                <w:color w:val="auto"/>
                <w:kern w:val="0"/>
                <w:szCs w:val="21"/>
              </w:rPr>
              <w:t>2、中标人提供低价风险担保的形式、金额及期限：</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eastAsia="zh-CN"/>
              </w:rPr>
            </w:pPr>
            <w:r>
              <w:rPr>
                <w:rFonts w:hint="eastAsia" w:ascii="宋体" w:hAnsi="宋体" w:cs="宋体"/>
                <w:color w:val="auto"/>
                <w:kern w:val="0"/>
                <w:szCs w:val="21"/>
              </w:rPr>
              <w:t>（1）低价风险担保的形式：</w:t>
            </w:r>
            <w:r>
              <w:rPr>
                <w:rFonts w:hint="eastAsia" w:ascii="宋体" w:hAnsi="宋体" w:cs="宋体"/>
                <w:color w:val="auto"/>
                <w:spacing w:val="0"/>
                <w:sz w:val="21"/>
                <w:szCs w:val="21"/>
                <w:highlight w:val="none"/>
                <w:lang w:eastAsia="zh-CN"/>
              </w:rPr>
              <w:t>现金。</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（2）低价风险担保的金额：（最高限价×85%</w:t>
            </w:r>
            <w:r>
              <w:rPr>
                <w:rFonts w:hint="eastAsia" w:ascii="宋体" w:hAnsi="宋体" w:cs="宋体"/>
                <w:color w:val="auto"/>
                <w:kern w:val="0"/>
                <w:szCs w:val="21"/>
                <w:lang w:eastAsia="zh-CN"/>
              </w:rPr>
              <w:t>－</w:t>
            </w:r>
            <w:r>
              <w:rPr>
                <w:rFonts w:hint="eastAsia" w:ascii="宋体" w:hAnsi="宋体" w:cs="宋体"/>
                <w:color w:val="auto"/>
                <w:kern w:val="0"/>
                <w:szCs w:val="21"/>
              </w:rPr>
              <w:t>中标价）×</w:t>
            </w:r>
            <w:r>
              <w:rPr>
                <w:rFonts w:hint="eastAsia" w:ascii="宋体" w:hAnsi="宋体" w:cs="宋体"/>
                <w:color w:val="auto"/>
                <w:kern w:val="0"/>
                <w:szCs w:val="21"/>
                <w:lang w:val="en-US" w:eastAsia="zh-CN"/>
              </w:rPr>
              <w:t>3</w:t>
            </w:r>
            <w:r>
              <w:rPr>
                <w:rStyle w:val="60"/>
                <w:rFonts w:hint="eastAsia" w:ascii="宋体" w:hAnsi="宋体" w:cs="宋体"/>
                <w:color w:val="auto"/>
              </w:rPr>
              <w:t>，且最高不超过最高限价的85%</w:t>
            </w:r>
            <w:r>
              <w:rPr>
                <w:rFonts w:hint="eastAsia" w:ascii="宋体" w:hAnsi="宋体" w:cs="宋体"/>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kern w:val="0"/>
                <w:szCs w:val="21"/>
                <w:lang w:val="en-US" w:eastAsia="zh-CN"/>
              </w:rPr>
            </w:pPr>
            <w:r>
              <w:rPr>
                <w:rFonts w:hint="eastAsia" w:ascii="宋体" w:hAnsi="宋体" w:cs="宋体"/>
                <w:color w:val="auto"/>
                <w:kern w:val="0"/>
                <w:szCs w:val="21"/>
              </w:rPr>
              <w:t>（3）低价风险担保送达比选人的时间：</w:t>
            </w:r>
            <w:r>
              <w:rPr>
                <w:rFonts w:hint="eastAsia" w:ascii="宋体" w:hAnsi="宋体" w:cs="宋体"/>
                <w:color w:val="auto"/>
                <w:kern w:val="0"/>
                <w:szCs w:val="21"/>
                <w:lang w:val="en-US" w:eastAsia="zh-CN"/>
              </w:rPr>
              <w:t>中标人收到中标通知书后 5 个工作日内（施工合同签订前），中标人按担保金额向招标人提交低价风险担保；</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kern w:val="0"/>
                <w:szCs w:val="21"/>
              </w:rPr>
            </w:pPr>
            <w:r>
              <w:rPr>
                <w:rFonts w:hint="eastAsia" w:ascii="宋体" w:hAnsi="宋体" w:cs="宋体"/>
                <w:color w:val="auto"/>
                <w:kern w:val="0"/>
                <w:szCs w:val="21"/>
              </w:rPr>
              <w:t>（4）中标人因自身原因未按中标通知书规定的时限与比选人签订合同的，招标人有权扣除其低价风险担保并取消中标资格。</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（5）低价风险担保的期限：</w:t>
            </w:r>
            <w:r>
              <w:rPr>
                <w:rFonts w:hint="eastAsia" w:ascii="宋体" w:hAnsi="宋体" w:cs="宋体"/>
                <w:color w:val="auto"/>
                <w:kern w:val="0"/>
                <w:szCs w:val="21"/>
                <w:u w:val="single"/>
              </w:rPr>
              <w:t>自低价风险担保生效之日起至竣工验收合格之日止</w:t>
            </w:r>
            <w:r>
              <w:rPr>
                <w:rFonts w:hint="eastAsia" w:ascii="宋体" w:hAnsi="宋体" w:cs="宋体"/>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3、低价风险担保的退还时间：</w:t>
            </w:r>
            <w:r>
              <w:rPr>
                <w:rFonts w:hint="eastAsia" w:ascii="宋体" w:hAnsi="宋体" w:eastAsia="宋体" w:cs="宋体"/>
                <w:color w:val="auto"/>
                <w:kern w:val="0"/>
                <w:szCs w:val="21"/>
                <w:lang w:val="en-US" w:eastAsia="zh-CN"/>
              </w:rPr>
              <w:t>工程竣工后，并提交全套工程资料后30日内一次性不计息退还。</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4、采用经评审最低投标价法的项目，拟中标人或者中标人放弃中标项目，无正当理由不与比选人签订合同，在签订合同时向比选人提出附加条件或者更改合同实质性内容，或者拒不按照比选文件规定提交低价风险担保或履约担保的，取消其中标资格，投标保证金不予退还，给比选人造成的损失超过投标保证金数额的，拟中标人或中标人应对超过部分予以赔偿。</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备注：当中标人或拟中标人未按时提交低价风险担保，且属于可以延长低价风险担保提交期限的特殊情形时，经招标人同意，可适当延长低价风险担保的提交期限。</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highlight w:val="none"/>
                <w:lang w:eastAsia="zh-CN"/>
              </w:rPr>
            </w:pPr>
            <w:r>
              <w:rPr>
                <w:rFonts w:hint="eastAsia" w:ascii="宋体" w:hAnsi="宋体" w:eastAsia="宋体" w:cs="宋体"/>
                <w:color w:val="auto"/>
                <w:kern w:val="0"/>
                <w:szCs w:val="21"/>
              </w:rPr>
              <w:t>5、投标总报价低于最高限价85%的，投标人应在编制投标文件时，在投标函部分中递交低价风险担保提交承诺书。承诺书格式详见第八章投标文件格式。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cs="宋体"/>
                <w:color w:val="auto"/>
                <w:kern w:val="0"/>
                <w:szCs w:val="21"/>
                <w:highlight w:val="none"/>
                <w:lang w:val="en-US" w:eastAsia="zh-CN"/>
              </w:rPr>
              <w:t>3</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工程款支付</w:t>
            </w:r>
          </w:p>
        </w:tc>
        <w:tc>
          <w:tcPr>
            <w:tcW w:w="7189" w:type="dxa"/>
            <w:vAlign w:val="center"/>
          </w:tcPr>
          <w:p>
            <w:pPr>
              <w:keepNext w:val="0"/>
              <w:keepLines w:val="0"/>
              <w:pageBreakBefore w:val="0"/>
              <w:widowControl/>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本项目无预付款，工程竣工验收合格且审计结束后支至审计金额的97%，留审定金额的3%作为质保金，缺陷责任期一年，缺陷责任期满如无质量问题，到期后一次性无息退还质保金。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135"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cs="宋体"/>
                <w:color w:val="auto"/>
                <w:kern w:val="0"/>
                <w:szCs w:val="21"/>
                <w:highlight w:val="none"/>
                <w:lang w:val="en-US" w:eastAsia="zh-CN"/>
              </w:rPr>
              <w:t>4</w:t>
            </w:r>
          </w:p>
        </w:tc>
        <w:tc>
          <w:tcPr>
            <w:tcW w:w="1500"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比选代理</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服务费</w:t>
            </w:r>
          </w:p>
        </w:tc>
        <w:tc>
          <w:tcPr>
            <w:tcW w:w="7189" w:type="dxa"/>
            <w:vAlign w:val="center"/>
          </w:tcPr>
          <w:p>
            <w:pPr>
              <w:keepNext w:val="0"/>
              <w:keepLines w:val="0"/>
              <w:pageBreakBefore w:val="0"/>
              <w:kinsoku/>
              <w:wordWrap/>
              <w:overflowPunct/>
              <w:topLinePunct w:val="0"/>
              <w:autoSpaceDE/>
              <w:autoSpaceDN/>
              <w:bidi w:val="0"/>
              <w:adjustRightInd/>
              <w:snapToGrid w:val="0"/>
              <w:spacing w:line="400" w:lineRule="exact"/>
              <w:ind w:firstLine="105" w:firstLineChars="5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.本项目招标代理服务费由中标人支付。</w:t>
            </w:r>
          </w:p>
          <w:p>
            <w:pPr>
              <w:keepNext w:val="0"/>
              <w:keepLines w:val="0"/>
              <w:pageBreakBefore w:val="0"/>
              <w:kinsoku/>
              <w:wordWrap/>
              <w:overflowPunct/>
              <w:topLinePunct w:val="0"/>
              <w:autoSpaceDE/>
              <w:autoSpaceDN/>
              <w:bidi w:val="0"/>
              <w:adjustRightInd/>
              <w:snapToGrid w:val="0"/>
              <w:spacing w:line="400" w:lineRule="exact"/>
              <w:ind w:firstLine="105" w:firstLineChars="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2.比选代理服务费金额：</w:t>
            </w:r>
            <w:r>
              <w:rPr>
                <w:rFonts w:hint="eastAsia" w:ascii="宋体" w:hAnsi="宋体" w:cs="宋体"/>
                <w:b/>
                <w:bCs/>
                <w:color w:val="auto"/>
                <w:kern w:val="0"/>
                <w:szCs w:val="21"/>
                <w:highlight w:val="none"/>
                <w:lang w:val="en-US" w:eastAsia="zh-CN"/>
              </w:rPr>
              <w:t>3000</w:t>
            </w:r>
            <w:r>
              <w:rPr>
                <w:rFonts w:hint="eastAsia" w:ascii="宋体" w:hAnsi="宋体" w:eastAsia="宋体" w:cs="宋体"/>
                <w:b/>
                <w:color w:val="auto"/>
                <w:kern w:val="0"/>
                <w:szCs w:val="21"/>
                <w:highlight w:val="none"/>
              </w:rPr>
              <w:t>元（大写：</w:t>
            </w:r>
            <w:r>
              <w:rPr>
                <w:rFonts w:hint="eastAsia" w:ascii="宋体" w:hAnsi="宋体" w:cs="宋体"/>
                <w:b/>
                <w:color w:val="auto"/>
                <w:kern w:val="0"/>
                <w:szCs w:val="21"/>
                <w:highlight w:val="none"/>
                <w:lang w:val="en-US" w:eastAsia="zh-CN"/>
              </w:rPr>
              <w:t>叁仟</w:t>
            </w:r>
            <w:r>
              <w:rPr>
                <w:rFonts w:hint="eastAsia" w:ascii="宋体" w:hAnsi="宋体" w:eastAsia="宋体" w:cs="宋体"/>
                <w:b/>
                <w:color w:val="auto"/>
                <w:kern w:val="0"/>
                <w:szCs w:val="21"/>
                <w:highlight w:val="none"/>
              </w:rPr>
              <w:t>元整）。</w:t>
            </w:r>
          </w:p>
          <w:p>
            <w:pPr>
              <w:keepNext w:val="0"/>
              <w:keepLines w:val="0"/>
              <w:pageBreakBefore w:val="0"/>
              <w:kinsoku/>
              <w:wordWrap/>
              <w:overflowPunct/>
              <w:topLinePunct w:val="0"/>
              <w:autoSpaceDE/>
              <w:autoSpaceDN/>
              <w:bidi w:val="0"/>
              <w:adjustRightInd/>
              <w:snapToGrid w:val="0"/>
              <w:spacing w:line="400" w:lineRule="exact"/>
              <w:ind w:firstLine="105" w:firstLineChars="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3.支付时间：在中标通知书发出前由中标人一次性支付比选代理机构。</w:t>
            </w:r>
          </w:p>
        </w:tc>
      </w:tr>
    </w:tbl>
    <w:p>
      <w:pPr>
        <w:autoSpaceDE w:val="0"/>
        <w:autoSpaceDN w:val="0"/>
        <w:adjustRightInd w:val="0"/>
        <w:snapToGrid w:val="0"/>
        <w:spacing w:line="380" w:lineRule="exact"/>
        <w:jc w:val="left"/>
        <w:rPr>
          <w:rFonts w:ascii="宋体" w:hAnsi="宋体"/>
          <w:b/>
          <w:snapToGrid w:val="0"/>
          <w:color w:val="auto"/>
          <w:kern w:val="0"/>
          <w:szCs w:val="21"/>
        </w:rPr>
      </w:pPr>
      <w:bookmarkStart w:id="36" w:name="_Toc277082552"/>
      <w:bookmarkStart w:id="37" w:name="_Toc909"/>
      <w:bookmarkStart w:id="38" w:name="_Toc287607746"/>
      <w:bookmarkStart w:id="39" w:name="_Toc452058682"/>
      <w:bookmarkStart w:id="40" w:name="_Toc200513126"/>
      <w:bookmarkStart w:id="41" w:name="_Toc386029647"/>
      <w:bookmarkStart w:id="42" w:name="_Toc224103317"/>
      <w:bookmarkStart w:id="43" w:name="_Toc13995"/>
      <w:r>
        <w:rPr>
          <w:rFonts w:hint="eastAsia" w:ascii="宋体" w:hAnsi="宋体"/>
          <w:b/>
          <w:snapToGrid w:val="0"/>
          <w:color w:val="auto"/>
          <w:kern w:val="0"/>
          <w:szCs w:val="21"/>
        </w:rPr>
        <w:t>注：如投标人须知前附表与正文内容不一致时，以投标人须知前附表内容为准。</w:t>
      </w:r>
    </w:p>
    <w:p>
      <w:pPr>
        <w:autoSpaceDE w:val="0"/>
        <w:autoSpaceDN w:val="0"/>
        <w:adjustRightInd w:val="0"/>
        <w:snapToGrid w:val="0"/>
        <w:spacing w:line="380" w:lineRule="exact"/>
        <w:jc w:val="left"/>
        <w:rPr>
          <w:rFonts w:ascii="宋体" w:hAnsi="宋体"/>
          <w:b/>
          <w:snapToGrid w:val="0"/>
          <w:color w:val="auto"/>
          <w:kern w:val="0"/>
        </w:rPr>
      </w:pPr>
      <w:r>
        <w:rPr>
          <w:rFonts w:ascii="宋体" w:hAnsi="宋体"/>
          <w:b/>
          <w:snapToGrid w:val="0"/>
          <w:color w:val="auto"/>
          <w:kern w:val="0"/>
        </w:rPr>
        <w:t xml:space="preserve">1.  </w:t>
      </w:r>
      <w:r>
        <w:rPr>
          <w:rFonts w:hint="eastAsia" w:ascii="宋体" w:hAnsi="宋体"/>
          <w:b/>
          <w:snapToGrid w:val="0"/>
          <w:color w:val="auto"/>
          <w:kern w:val="0"/>
        </w:rPr>
        <w:t>总则</w:t>
      </w:r>
      <w:bookmarkEnd w:id="36"/>
      <w:bookmarkEnd w:id="37"/>
      <w:bookmarkEnd w:id="38"/>
      <w:bookmarkEnd w:id="39"/>
      <w:bookmarkEnd w:id="40"/>
      <w:bookmarkEnd w:id="41"/>
      <w:bookmarkEnd w:id="42"/>
      <w:bookmarkEnd w:id="43"/>
    </w:p>
    <w:p>
      <w:pPr>
        <w:autoSpaceDE w:val="0"/>
        <w:autoSpaceDN w:val="0"/>
        <w:adjustRightInd w:val="0"/>
        <w:snapToGrid w:val="0"/>
        <w:spacing w:line="380" w:lineRule="exact"/>
        <w:jc w:val="left"/>
        <w:rPr>
          <w:rFonts w:ascii="宋体" w:hAnsi="宋体"/>
          <w:b/>
          <w:snapToGrid w:val="0"/>
          <w:color w:val="auto"/>
          <w:kern w:val="0"/>
        </w:rPr>
      </w:pPr>
      <w:bookmarkStart w:id="44" w:name="_Toc277082553"/>
      <w:bookmarkStart w:id="45" w:name="_Toc386029648"/>
      <w:bookmarkStart w:id="46" w:name="_Toc287620686"/>
      <w:bookmarkStart w:id="47" w:name="_Toc200513127"/>
      <w:bookmarkStart w:id="48" w:name="_Toc26024"/>
      <w:bookmarkStart w:id="49" w:name="_Toc224103318"/>
      <w:bookmarkStart w:id="50" w:name="_Toc287607747"/>
      <w:bookmarkStart w:id="51" w:name="_Toc452058683"/>
      <w:r>
        <w:rPr>
          <w:rFonts w:ascii="宋体" w:hAnsi="宋体"/>
          <w:b/>
          <w:snapToGrid w:val="0"/>
          <w:color w:val="auto"/>
          <w:kern w:val="0"/>
        </w:rPr>
        <w:t xml:space="preserve">1.1  </w:t>
      </w:r>
      <w:r>
        <w:rPr>
          <w:rFonts w:hint="eastAsia" w:ascii="宋体" w:hAnsi="宋体"/>
          <w:b/>
          <w:snapToGrid w:val="0"/>
          <w:color w:val="auto"/>
          <w:kern w:val="0"/>
        </w:rPr>
        <w:t>项目概况</w:t>
      </w:r>
      <w:bookmarkEnd w:id="44"/>
      <w:bookmarkEnd w:id="45"/>
      <w:bookmarkEnd w:id="46"/>
      <w:bookmarkEnd w:id="47"/>
      <w:bookmarkEnd w:id="48"/>
      <w:bookmarkEnd w:id="49"/>
      <w:bookmarkEnd w:id="50"/>
      <w:bookmarkEnd w:id="51"/>
    </w:p>
    <w:p>
      <w:pPr>
        <w:autoSpaceDE w:val="0"/>
        <w:autoSpaceDN w:val="0"/>
        <w:adjustRightInd w:val="0"/>
        <w:snapToGrid w:val="0"/>
        <w:spacing w:line="380" w:lineRule="exact"/>
        <w:ind w:firstLine="357" w:firstLineChars="170"/>
        <w:jc w:val="left"/>
        <w:rPr>
          <w:rFonts w:ascii="宋体" w:hAnsi="宋体"/>
          <w:snapToGrid w:val="0"/>
          <w:color w:val="auto"/>
          <w:kern w:val="0"/>
          <w:szCs w:val="21"/>
        </w:rPr>
      </w:pPr>
      <w:r>
        <w:rPr>
          <w:rFonts w:ascii="宋体" w:hAnsi="宋体"/>
          <w:snapToGrid w:val="0"/>
          <w:color w:val="auto"/>
          <w:kern w:val="0"/>
          <w:szCs w:val="21"/>
        </w:rPr>
        <w:t xml:space="preserve">1.1.1  </w:t>
      </w:r>
      <w:r>
        <w:rPr>
          <w:rFonts w:hint="eastAsia" w:ascii="宋体" w:hAnsi="宋体"/>
          <w:snapToGrid w:val="0"/>
          <w:color w:val="auto"/>
          <w:kern w:val="0"/>
          <w:szCs w:val="21"/>
        </w:rPr>
        <w:t>根据《中华人民共和国招标投标法》等有关法律、法规和规章的规定，本招标项目已具备招标条件，现对本标段施工进行竞争性比选。</w:t>
      </w:r>
    </w:p>
    <w:p>
      <w:pPr>
        <w:autoSpaceDE w:val="0"/>
        <w:autoSpaceDN w:val="0"/>
        <w:adjustRightInd w:val="0"/>
        <w:snapToGrid w:val="0"/>
        <w:spacing w:line="380" w:lineRule="exact"/>
        <w:ind w:firstLine="357" w:firstLineChars="170"/>
        <w:jc w:val="left"/>
        <w:rPr>
          <w:rFonts w:ascii="宋体" w:hAnsi="宋体"/>
          <w:snapToGrid w:val="0"/>
          <w:color w:val="auto"/>
          <w:kern w:val="0"/>
          <w:szCs w:val="21"/>
        </w:rPr>
      </w:pPr>
      <w:r>
        <w:rPr>
          <w:rFonts w:ascii="宋体" w:hAnsi="宋体"/>
          <w:snapToGrid w:val="0"/>
          <w:color w:val="auto"/>
          <w:kern w:val="0"/>
          <w:szCs w:val="21"/>
        </w:rPr>
        <w:t xml:space="preserve">1.1.2  </w:t>
      </w:r>
      <w:r>
        <w:rPr>
          <w:rFonts w:hint="eastAsia" w:ascii="宋体" w:hAnsi="宋体"/>
          <w:snapToGrid w:val="0"/>
          <w:color w:val="auto"/>
          <w:kern w:val="0"/>
          <w:szCs w:val="21"/>
        </w:rPr>
        <w:t>本招标项目</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：见投标人须知前附表。</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1.1.3  </w:t>
      </w:r>
      <w:r>
        <w:rPr>
          <w:rFonts w:hint="eastAsia" w:ascii="宋体" w:hAnsi="宋体" w:cs="MingLiU"/>
          <w:snapToGrid w:val="0"/>
          <w:color w:val="auto"/>
          <w:kern w:val="0"/>
          <w:szCs w:val="21"/>
        </w:rPr>
        <w:t>本标段</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代理机构：见投标人须知前附表。</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1.1.4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项目名称：见投标人须知前附表。</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1.1.5  </w:t>
      </w:r>
      <w:r>
        <w:rPr>
          <w:rFonts w:hint="eastAsia" w:ascii="宋体" w:hAnsi="宋体" w:cs="MingLiU"/>
          <w:snapToGrid w:val="0"/>
          <w:color w:val="auto"/>
          <w:kern w:val="0"/>
          <w:szCs w:val="21"/>
        </w:rPr>
        <w:t>本标段建设地点：见投标人须知前附表。</w:t>
      </w:r>
    </w:p>
    <w:p>
      <w:pPr>
        <w:autoSpaceDE w:val="0"/>
        <w:autoSpaceDN w:val="0"/>
        <w:adjustRightInd w:val="0"/>
        <w:snapToGrid w:val="0"/>
        <w:spacing w:line="380" w:lineRule="exact"/>
        <w:jc w:val="left"/>
        <w:rPr>
          <w:rFonts w:ascii="宋体" w:hAnsi="宋体"/>
          <w:b/>
          <w:snapToGrid w:val="0"/>
          <w:color w:val="auto"/>
          <w:kern w:val="0"/>
        </w:rPr>
      </w:pPr>
      <w:bookmarkStart w:id="52" w:name="_Toc386029649"/>
      <w:bookmarkStart w:id="53" w:name="_Toc200513128"/>
      <w:bookmarkStart w:id="54" w:name="_Toc287620687"/>
      <w:bookmarkStart w:id="55" w:name="_Toc287607748"/>
      <w:bookmarkStart w:id="56" w:name="_Toc277082554"/>
      <w:bookmarkStart w:id="57" w:name="_Toc224103319"/>
      <w:bookmarkStart w:id="58" w:name="_Toc452058684"/>
      <w:bookmarkStart w:id="59" w:name="_Toc11476"/>
      <w:r>
        <w:rPr>
          <w:rFonts w:ascii="宋体" w:hAnsi="宋体"/>
          <w:b/>
          <w:snapToGrid w:val="0"/>
          <w:color w:val="auto"/>
          <w:kern w:val="0"/>
        </w:rPr>
        <w:t xml:space="preserve">1.2  </w:t>
      </w:r>
      <w:r>
        <w:rPr>
          <w:rFonts w:hint="eastAsia" w:ascii="宋体" w:hAnsi="宋体"/>
          <w:b/>
          <w:snapToGrid w:val="0"/>
          <w:color w:val="auto"/>
          <w:kern w:val="0"/>
        </w:rPr>
        <w:t>资金来源和落实情况</w:t>
      </w:r>
      <w:bookmarkEnd w:id="52"/>
      <w:bookmarkEnd w:id="53"/>
      <w:bookmarkEnd w:id="54"/>
      <w:bookmarkEnd w:id="55"/>
      <w:bookmarkEnd w:id="56"/>
      <w:bookmarkEnd w:id="57"/>
      <w:bookmarkEnd w:id="58"/>
      <w:bookmarkEnd w:id="59"/>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1.2.1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项目的资金来源：见投标人须知前附表。</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1.2.2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项目的出资比例：见投标人须知前附表。</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1.2.3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项目的资金落实情况：见投标人须知前附表。</w:t>
      </w:r>
    </w:p>
    <w:p>
      <w:pPr>
        <w:autoSpaceDE w:val="0"/>
        <w:autoSpaceDN w:val="0"/>
        <w:adjustRightInd w:val="0"/>
        <w:snapToGrid w:val="0"/>
        <w:spacing w:line="380" w:lineRule="exact"/>
        <w:jc w:val="left"/>
        <w:rPr>
          <w:rFonts w:ascii="宋体" w:hAnsi="宋体"/>
          <w:b/>
          <w:snapToGrid w:val="0"/>
          <w:color w:val="auto"/>
          <w:kern w:val="0"/>
        </w:rPr>
      </w:pPr>
      <w:bookmarkStart w:id="60" w:name="_Toc386029650"/>
      <w:bookmarkStart w:id="61" w:name="_Toc287620688"/>
      <w:bookmarkStart w:id="62" w:name="_Toc277082555"/>
      <w:bookmarkStart w:id="63" w:name="_Toc200513129"/>
      <w:bookmarkStart w:id="64" w:name="_Toc22034"/>
      <w:bookmarkStart w:id="65" w:name="_Toc452058685"/>
      <w:bookmarkStart w:id="66" w:name="_Toc287607749"/>
      <w:bookmarkStart w:id="67" w:name="_Toc224103320"/>
      <w:r>
        <w:rPr>
          <w:rFonts w:ascii="宋体" w:hAnsi="宋体"/>
          <w:b/>
          <w:snapToGrid w:val="0"/>
          <w:color w:val="auto"/>
          <w:kern w:val="0"/>
        </w:rPr>
        <w:t xml:space="preserve">1.3  </w:t>
      </w:r>
      <w:r>
        <w:rPr>
          <w:rFonts w:hint="eastAsia" w:ascii="宋体" w:hAnsi="宋体"/>
          <w:b/>
          <w:snapToGrid w:val="0"/>
          <w:color w:val="auto"/>
          <w:kern w:val="0"/>
        </w:rPr>
        <w:t>比选范围、计划工期和质量要求</w:t>
      </w:r>
      <w:bookmarkEnd w:id="60"/>
      <w:bookmarkEnd w:id="61"/>
      <w:bookmarkEnd w:id="62"/>
      <w:bookmarkEnd w:id="63"/>
      <w:bookmarkEnd w:id="64"/>
      <w:bookmarkEnd w:id="65"/>
      <w:bookmarkEnd w:id="66"/>
      <w:bookmarkEnd w:id="67"/>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1.3.1  </w:t>
      </w:r>
      <w:r>
        <w:rPr>
          <w:rFonts w:hint="eastAsia" w:ascii="宋体" w:hAnsi="宋体" w:cs="MingLiU"/>
          <w:snapToGrid w:val="0"/>
          <w:color w:val="auto"/>
          <w:kern w:val="0"/>
          <w:szCs w:val="21"/>
        </w:rPr>
        <w:t>本次</w:t>
      </w:r>
      <w:r>
        <w:rPr>
          <w:rFonts w:hint="eastAsia" w:ascii="宋体" w:hAnsi="宋体"/>
          <w:snapToGrid w:val="0"/>
          <w:color w:val="auto"/>
          <w:kern w:val="0"/>
          <w:szCs w:val="21"/>
        </w:rPr>
        <w:t>比选</w:t>
      </w:r>
      <w:r>
        <w:rPr>
          <w:rFonts w:hint="eastAsia" w:ascii="宋体" w:hAnsi="宋体" w:cs="MingLiU"/>
          <w:snapToGrid w:val="0"/>
          <w:color w:val="auto"/>
          <w:kern w:val="0"/>
          <w:szCs w:val="21"/>
        </w:rPr>
        <w:t>范围：见投标人须知前附表。</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1.3.2  </w:t>
      </w:r>
      <w:r>
        <w:rPr>
          <w:rFonts w:hint="eastAsia" w:ascii="宋体" w:hAnsi="宋体" w:cs="MingLiU"/>
          <w:snapToGrid w:val="0"/>
          <w:color w:val="auto"/>
          <w:kern w:val="0"/>
          <w:szCs w:val="21"/>
        </w:rPr>
        <w:t>本标段的计划工期：见投标人须知前附表。</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1.3.3  </w:t>
      </w:r>
      <w:r>
        <w:rPr>
          <w:rFonts w:hint="eastAsia" w:ascii="宋体" w:hAnsi="宋体" w:cs="MingLiU"/>
          <w:snapToGrid w:val="0"/>
          <w:color w:val="auto"/>
          <w:kern w:val="0"/>
          <w:szCs w:val="21"/>
        </w:rPr>
        <w:t>本标段的质量要求：见投标人须知前附表。</w:t>
      </w:r>
    </w:p>
    <w:p>
      <w:pPr>
        <w:autoSpaceDE w:val="0"/>
        <w:autoSpaceDN w:val="0"/>
        <w:adjustRightInd w:val="0"/>
        <w:snapToGrid w:val="0"/>
        <w:spacing w:line="380" w:lineRule="exact"/>
        <w:jc w:val="left"/>
        <w:rPr>
          <w:rFonts w:ascii="宋体" w:hAnsi="宋体"/>
          <w:b/>
          <w:snapToGrid w:val="0"/>
          <w:color w:val="auto"/>
          <w:kern w:val="0"/>
        </w:rPr>
      </w:pPr>
      <w:bookmarkStart w:id="68" w:name="_Toc287620690"/>
      <w:bookmarkStart w:id="69" w:name="_Toc386029651"/>
      <w:bookmarkStart w:id="70" w:name="_Toc452058686"/>
      <w:bookmarkStart w:id="71" w:name="_Toc200513131"/>
      <w:bookmarkStart w:id="72" w:name="_Toc277082557"/>
      <w:bookmarkStart w:id="73" w:name="_Toc224103322"/>
      <w:bookmarkStart w:id="74" w:name="_Toc287607751"/>
      <w:bookmarkStart w:id="75" w:name="_Toc11398"/>
      <w:r>
        <w:rPr>
          <w:rFonts w:ascii="宋体" w:hAnsi="宋体"/>
          <w:b/>
          <w:snapToGrid w:val="0"/>
          <w:color w:val="auto"/>
          <w:kern w:val="0"/>
        </w:rPr>
        <w:t xml:space="preserve">1.4  </w:t>
      </w:r>
      <w:r>
        <w:rPr>
          <w:rFonts w:hint="eastAsia" w:ascii="宋体" w:hAnsi="宋体"/>
          <w:b/>
          <w:snapToGrid w:val="0"/>
          <w:color w:val="auto"/>
          <w:kern w:val="0"/>
        </w:rPr>
        <w:t>投标人资格要求</w:t>
      </w:r>
      <w:bookmarkEnd w:id="68"/>
      <w:bookmarkEnd w:id="69"/>
      <w:bookmarkEnd w:id="70"/>
      <w:bookmarkEnd w:id="71"/>
      <w:bookmarkEnd w:id="72"/>
      <w:bookmarkEnd w:id="73"/>
      <w:bookmarkEnd w:id="74"/>
      <w:bookmarkEnd w:id="75"/>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ascii="宋体" w:hAnsi="宋体"/>
          <w:snapToGrid w:val="0"/>
          <w:color w:val="auto"/>
          <w:kern w:val="0"/>
          <w:szCs w:val="21"/>
        </w:rPr>
        <w:t xml:space="preserve">1.4.1 </w:t>
      </w:r>
      <w:r>
        <w:rPr>
          <w:rFonts w:hint="eastAsia" w:ascii="宋体" w:hAnsi="宋体" w:cs="MingLiU"/>
          <w:snapToGrid w:val="0"/>
          <w:color w:val="auto"/>
          <w:kern w:val="0"/>
          <w:szCs w:val="21"/>
        </w:rPr>
        <w:t>投标人应具备承担本标段施工的资质条件、能力和信誉。</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w:t>
      </w:r>
      <w:r>
        <w:rPr>
          <w:rFonts w:hint="eastAsia" w:ascii="宋体" w:hAnsi="宋体"/>
          <w:color w:val="auto"/>
          <w:szCs w:val="21"/>
        </w:rPr>
        <w:t>资质条件、营业执照及安全生产条件</w:t>
      </w:r>
      <w:r>
        <w:rPr>
          <w:rFonts w:hint="eastAsia" w:ascii="宋体" w:hAnsi="宋体" w:cs="MingLiU"/>
          <w:snapToGrid w:val="0"/>
          <w:color w:val="auto"/>
          <w:kern w:val="0"/>
          <w:szCs w:val="21"/>
        </w:rPr>
        <w:t>：见投标人须知前附表；</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（2）投标截止日投标资格情况：见投标人须知前附表；</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 xml:space="preserve">（3）项目经理资格要求：见投标人须知前附表； </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hint="eastAsia" w:ascii="宋体" w:hAnsi="宋体"/>
          <w:snapToGrid w:val="0"/>
          <w:color w:val="auto"/>
          <w:kern w:val="0"/>
          <w:szCs w:val="21"/>
        </w:rPr>
        <w:t>4</w:t>
      </w:r>
      <w:r>
        <w:rPr>
          <w:rFonts w:hint="eastAsia" w:ascii="宋体" w:hAnsi="宋体" w:cs="MingLiU"/>
          <w:snapToGrid w:val="0"/>
          <w:color w:val="auto"/>
          <w:kern w:val="0"/>
          <w:szCs w:val="21"/>
        </w:rPr>
        <w:t>）其他要求：见投标人须知前附表。</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ascii="宋体" w:hAnsi="宋体"/>
          <w:snapToGrid w:val="0"/>
          <w:color w:val="auto"/>
          <w:kern w:val="0"/>
          <w:szCs w:val="21"/>
        </w:rPr>
        <w:t xml:space="preserve">1.4.2  </w:t>
      </w:r>
      <w:r>
        <w:rPr>
          <w:rFonts w:hint="eastAsia" w:ascii="宋体" w:hAnsi="宋体" w:cs="MingLiU"/>
          <w:snapToGrid w:val="0"/>
          <w:color w:val="auto"/>
          <w:kern w:val="0"/>
          <w:szCs w:val="21"/>
        </w:rPr>
        <w:t>本工程不接受联合体投标。</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ascii="宋体" w:hAnsi="宋体"/>
          <w:snapToGrid w:val="0"/>
          <w:color w:val="auto"/>
          <w:kern w:val="0"/>
          <w:szCs w:val="21"/>
        </w:rPr>
        <w:t xml:space="preserve">1.4.3  </w:t>
      </w:r>
      <w:r>
        <w:rPr>
          <w:rFonts w:hint="eastAsia" w:ascii="宋体" w:hAnsi="宋体" w:cs="MingLiU"/>
          <w:snapToGrid w:val="0"/>
          <w:color w:val="auto"/>
          <w:kern w:val="0"/>
          <w:szCs w:val="21"/>
        </w:rPr>
        <w:t>投标人不得存在下列情形之一：</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position w:val="-2"/>
          <w:szCs w:val="21"/>
        </w:rPr>
        <w:t>（</w:t>
      </w:r>
      <w:r>
        <w:rPr>
          <w:rFonts w:ascii="宋体" w:hAnsi="宋体"/>
          <w:snapToGrid w:val="0"/>
          <w:color w:val="auto"/>
          <w:kern w:val="0"/>
          <w:position w:val="-2"/>
          <w:szCs w:val="21"/>
        </w:rPr>
        <w:t>1</w:t>
      </w:r>
      <w:r>
        <w:rPr>
          <w:rFonts w:hint="eastAsia" w:ascii="宋体" w:hAnsi="宋体" w:cs="MingLiU"/>
          <w:snapToGrid w:val="0"/>
          <w:color w:val="auto"/>
          <w:kern w:val="0"/>
          <w:position w:val="-2"/>
          <w:szCs w:val="21"/>
        </w:rPr>
        <w:t>）与</w:t>
      </w:r>
      <w:r>
        <w:rPr>
          <w:rFonts w:hint="eastAsia" w:ascii="宋体" w:hAnsi="宋体"/>
          <w:snapToGrid w:val="0"/>
          <w:color w:val="auto"/>
          <w:kern w:val="0"/>
          <w:szCs w:val="21"/>
          <w:lang w:eastAsia="zh-CN"/>
        </w:rPr>
        <w:t>比选人</w:t>
      </w:r>
      <w:r>
        <w:rPr>
          <w:rFonts w:hint="eastAsia" w:ascii="宋体" w:hAnsi="宋体" w:cs="MingLiU"/>
          <w:snapToGrid w:val="0"/>
          <w:color w:val="auto"/>
          <w:kern w:val="0"/>
          <w:position w:val="-2"/>
          <w:szCs w:val="21"/>
        </w:rPr>
        <w:t>存在利害关系可能影响招标公正性的法人、其他组织或者个人；</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）为本标段前期准备提供设计或咨询服务的，但设计施工总承包的除外；</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3</w:t>
      </w:r>
      <w:r>
        <w:rPr>
          <w:rFonts w:hint="eastAsia" w:ascii="宋体" w:hAnsi="宋体" w:cs="MingLiU"/>
          <w:snapToGrid w:val="0"/>
          <w:color w:val="auto"/>
          <w:kern w:val="0"/>
          <w:szCs w:val="21"/>
        </w:rPr>
        <w:t>）为本标段的监理人；</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4</w:t>
      </w:r>
      <w:r>
        <w:rPr>
          <w:rFonts w:hint="eastAsia" w:ascii="宋体" w:hAnsi="宋体" w:cs="MingLiU"/>
          <w:snapToGrid w:val="0"/>
          <w:color w:val="auto"/>
          <w:kern w:val="0"/>
          <w:szCs w:val="21"/>
        </w:rPr>
        <w:t>）为本标段的代建人；</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5</w:t>
      </w:r>
      <w:r>
        <w:rPr>
          <w:rFonts w:hint="eastAsia" w:ascii="宋体" w:hAnsi="宋体" w:cs="MingLiU"/>
          <w:snapToGrid w:val="0"/>
          <w:color w:val="auto"/>
          <w:kern w:val="0"/>
          <w:szCs w:val="21"/>
        </w:rPr>
        <w:t>）为本标段提供</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代理服务的；</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6</w:t>
      </w:r>
      <w:r>
        <w:rPr>
          <w:rFonts w:hint="eastAsia" w:ascii="宋体" w:hAnsi="宋体" w:cs="MingLiU"/>
          <w:snapToGrid w:val="0"/>
          <w:color w:val="auto"/>
          <w:kern w:val="0"/>
          <w:szCs w:val="21"/>
        </w:rPr>
        <w:t>）与本标段的监理人或代建人或</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代理机构同为一个法定代表人的；</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7</w:t>
      </w:r>
      <w:r>
        <w:rPr>
          <w:rFonts w:hint="eastAsia" w:ascii="宋体" w:hAnsi="宋体" w:cs="MingLiU"/>
          <w:snapToGrid w:val="0"/>
          <w:color w:val="auto"/>
          <w:kern w:val="0"/>
          <w:szCs w:val="21"/>
        </w:rPr>
        <w:t>）与本标段的监理人或代建人或</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代理机构相互控股或参股的；</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8</w:t>
      </w:r>
      <w:r>
        <w:rPr>
          <w:rFonts w:hint="eastAsia" w:ascii="宋体" w:hAnsi="宋体" w:cs="MingLiU"/>
          <w:snapToGrid w:val="0"/>
          <w:color w:val="auto"/>
          <w:kern w:val="0"/>
          <w:szCs w:val="21"/>
        </w:rPr>
        <w:t>）与本标段的监理人或代建人或</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代理机构相互任职或工作的；</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9</w:t>
      </w:r>
      <w:r>
        <w:rPr>
          <w:rFonts w:hint="eastAsia" w:ascii="宋体" w:hAnsi="宋体" w:cs="MingLiU"/>
          <w:snapToGrid w:val="0"/>
          <w:color w:val="auto"/>
          <w:kern w:val="0"/>
          <w:szCs w:val="21"/>
        </w:rPr>
        <w:t>）被责令停业的；</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10</w:t>
      </w:r>
      <w:r>
        <w:rPr>
          <w:rFonts w:hint="eastAsia" w:ascii="宋体" w:hAnsi="宋体" w:cs="MingLiU"/>
          <w:snapToGrid w:val="0"/>
          <w:color w:val="auto"/>
          <w:kern w:val="0"/>
          <w:szCs w:val="21"/>
        </w:rPr>
        <w:t>）被暂停或取消投标资格的；</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11</w:t>
      </w:r>
      <w:r>
        <w:rPr>
          <w:rFonts w:hint="eastAsia" w:ascii="宋体" w:hAnsi="宋体" w:cs="MingLiU"/>
          <w:snapToGrid w:val="0"/>
          <w:color w:val="auto"/>
          <w:kern w:val="0"/>
          <w:szCs w:val="21"/>
        </w:rPr>
        <w:t>）财产被接管或冻结的；</w:t>
      </w:r>
    </w:p>
    <w:p>
      <w:pPr>
        <w:autoSpaceDE w:val="0"/>
        <w:autoSpaceDN w:val="0"/>
        <w:adjustRightInd w:val="0"/>
        <w:snapToGrid w:val="0"/>
        <w:spacing w:line="380" w:lineRule="exact"/>
        <w:ind w:firstLine="359" w:firstLine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12</w:t>
      </w:r>
      <w:r>
        <w:rPr>
          <w:rFonts w:hint="eastAsia" w:ascii="宋体" w:hAnsi="宋体" w:cs="MingLiU"/>
          <w:snapToGrid w:val="0"/>
          <w:color w:val="auto"/>
          <w:kern w:val="0"/>
          <w:szCs w:val="21"/>
        </w:rPr>
        <w:t>）</w:t>
      </w:r>
      <w:r>
        <w:rPr>
          <w:rFonts w:hint="eastAsia"/>
          <w:color w:val="auto"/>
          <w:sz w:val="22"/>
          <w:szCs w:val="22"/>
        </w:rPr>
        <w:t>单位负责人为同一人或者存在控股、管理关系的不同单位</w:t>
      </w:r>
      <w:r>
        <w:rPr>
          <w:color w:val="auto"/>
          <w:sz w:val="22"/>
          <w:szCs w:val="22"/>
        </w:rPr>
        <w:t>，不得在同一标段中同时投标</w:t>
      </w:r>
      <w:r>
        <w:rPr>
          <w:rFonts w:hint="eastAsia" w:ascii="宋体" w:hAnsi="宋体" w:cs="MingLiU"/>
          <w:snapToGrid w:val="0"/>
          <w:color w:val="auto"/>
          <w:kern w:val="0"/>
          <w:szCs w:val="21"/>
        </w:rPr>
        <w:t>。</w:t>
      </w:r>
    </w:p>
    <w:p>
      <w:pPr>
        <w:autoSpaceDE w:val="0"/>
        <w:autoSpaceDN w:val="0"/>
        <w:adjustRightInd w:val="0"/>
        <w:snapToGrid w:val="0"/>
        <w:spacing w:line="380" w:lineRule="exact"/>
        <w:jc w:val="left"/>
        <w:rPr>
          <w:rFonts w:ascii="宋体" w:hAnsi="宋体"/>
          <w:b/>
          <w:snapToGrid w:val="0"/>
          <w:color w:val="auto"/>
          <w:kern w:val="0"/>
        </w:rPr>
      </w:pPr>
      <w:bookmarkStart w:id="76" w:name="_Toc386029652"/>
      <w:bookmarkStart w:id="77" w:name="_Toc224103323"/>
      <w:bookmarkStart w:id="78" w:name="_Toc200513132"/>
      <w:bookmarkStart w:id="79" w:name="_Toc277082558"/>
      <w:bookmarkStart w:id="80" w:name="_Toc287620691"/>
      <w:bookmarkStart w:id="81" w:name="_Toc1875"/>
      <w:bookmarkStart w:id="82" w:name="_Toc287607752"/>
      <w:bookmarkStart w:id="83" w:name="_Toc452058687"/>
      <w:r>
        <w:rPr>
          <w:rFonts w:ascii="宋体" w:hAnsi="宋体"/>
          <w:b/>
          <w:snapToGrid w:val="0"/>
          <w:color w:val="auto"/>
          <w:kern w:val="0"/>
        </w:rPr>
        <w:t xml:space="preserve">1.5  </w:t>
      </w:r>
      <w:r>
        <w:rPr>
          <w:rFonts w:hint="eastAsia" w:ascii="宋体" w:hAnsi="宋体"/>
          <w:b/>
          <w:snapToGrid w:val="0"/>
          <w:color w:val="auto"/>
          <w:kern w:val="0"/>
        </w:rPr>
        <w:t>费用承担</w:t>
      </w:r>
      <w:bookmarkEnd w:id="76"/>
      <w:bookmarkEnd w:id="77"/>
      <w:bookmarkEnd w:id="78"/>
      <w:bookmarkEnd w:id="79"/>
      <w:bookmarkEnd w:id="80"/>
      <w:bookmarkEnd w:id="81"/>
      <w:bookmarkEnd w:id="82"/>
      <w:bookmarkEnd w:id="83"/>
    </w:p>
    <w:p>
      <w:pPr>
        <w:autoSpaceDE w:val="0"/>
        <w:autoSpaceDN w:val="0"/>
        <w:adjustRightInd w:val="0"/>
        <w:snapToGrid w:val="0"/>
        <w:spacing w:line="380" w:lineRule="exact"/>
        <w:ind w:firstLine="420" w:firstLineChars="200"/>
        <w:jc w:val="left"/>
        <w:rPr>
          <w:rFonts w:ascii="宋体" w:hAnsi="宋体" w:cs="MingLiU"/>
          <w:snapToGrid w:val="0"/>
          <w:color w:val="auto"/>
          <w:kern w:val="0"/>
          <w:szCs w:val="21"/>
        </w:rPr>
      </w:pPr>
      <w:r>
        <w:rPr>
          <w:rFonts w:hint="eastAsia" w:ascii="宋体" w:hAnsi="宋体" w:cs="MingLiU"/>
          <w:snapToGrid w:val="0"/>
          <w:color w:val="auto"/>
          <w:kern w:val="0"/>
          <w:szCs w:val="21"/>
        </w:rPr>
        <w:t>投标人准备和参加投标活动发生的费用自理。</w:t>
      </w:r>
    </w:p>
    <w:p>
      <w:pPr>
        <w:autoSpaceDE w:val="0"/>
        <w:autoSpaceDN w:val="0"/>
        <w:adjustRightInd w:val="0"/>
        <w:snapToGrid w:val="0"/>
        <w:spacing w:line="380" w:lineRule="exact"/>
        <w:jc w:val="left"/>
        <w:rPr>
          <w:rFonts w:ascii="宋体" w:hAnsi="宋体"/>
          <w:b/>
          <w:snapToGrid w:val="0"/>
          <w:color w:val="auto"/>
          <w:kern w:val="0"/>
        </w:rPr>
      </w:pPr>
      <w:bookmarkStart w:id="84" w:name="_Toc287607753"/>
      <w:bookmarkStart w:id="85" w:name="_Toc7780"/>
      <w:bookmarkStart w:id="86" w:name="_Toc200513133"/>
      <w:bookmarkStart w:id="87" w:name="_Toc452058688"/>
      <w:bookmarkStart w:id="88" w:name="_Toc224103324"/>
      <w:bookmarkStart w:id="89" w:name="_Toc287620692"/>
      <w:bookmarkStart w:id="90" w:name="_Toc277082559"/>
      <w:bookmarkStart w:id="91" w:name="_Toc386029653"/>
      <w:r>
        <w:rPr>
          <w:rFonts w:ascii="宋体" w:hAnsi="宋体"/>
          <w:b/>
          <w:snapToGrid w:val="0"/>
          <w:color w:val="auto"/>
          <w:kern w:val="0"/>
        </w:rPr>
        <w:t xml:space="preserve">1.6  </w:t>
      </w:r>
      <w:r>
        <w:rPr>
          <w:rFonts w:hint="eastAsia" w:ascii="宋体" w:hAnsi="宋体"/>
          <w:b/>
          <w:snapToGrid w:val="0"/>
          <w:color w:val="auto"/>
          <w:kern w:val="0"/>
        </w:rPr>
        <w:t>保密</w:t>
      </w:r>
      <w:bookmarkEnd w:id="84"/>
      <w:bookmarkEnd w:id="85"/>
      <w:bookmarkEnd w:id="86"/>
      <w:bookmarkEnd w:id="87"/>
      <w:bookmarkEnd w:id="88"/>
      <w:bookmarkEnd w:id="89"/>
      <w:bookmarkEnd w:id="90"/>
      <w:bookmarkEnd w:id="91"/>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hint="eastAsia" w:ascii="宋体" w:hAnsi="宋体" w:cs="MingLiU"/>
          <w:snapToGrid w:val="0"/>
          <w:color w:val="auto"/>
          <w:kern w:val="0"/>
          <w:szCs w:val="21"/>
        </w:rPr>
        <w:t>参与招标投标活动的各方应对</w:t>
      </w:r>
      <w:r>
        <w:rPr>
          <w:rFonts w:hint="eastAsia" w:ascii="宋体" w:hAnsi="宋体"/>
          <w:snapToGrid w:val="0"/>
          <w:color w:val="auto"/>
          <w:kern w:val="0"/>
          <w:szCs w:val="21"/>
        </w:rPr>
        <w:t>比选</w:t>
      </w:r>
      <w:r>
        <w:rPr>
          <w:rFonts w:hint="eastAsia" w:ascii="宋体" w:hAnsi="宋体" w:cs="MingLiU"/>
          <w:snapToGrid w:val="0"/>
          <w:color w:val="auto"/>
          <w:kern w:val="0"/>
          <w:szCs w:val="21"/>
        </w:rPr>
        <w:t>文件和投标文件中的商业和技术等秘密保密，违者应对由此造成的后果承担法律责任。</w:t>
      </w:r>
    </w:p>
    <w:p>
      <w:pPr>
        <w:autoSpaceDE w:val="0"/>
        <w:autoSpaceDN w:val="0"/>
        <w:adjustRightInd w:val="0"/>
        <w:snapToGrid w:val="0"/>
        <w:spacing w:line="380" w:lineRule="exact"/>
        <w:jc w:val="left"/>
        <w:rPr>
          <w:rFonts w:ascii="宋体" w:hAnsi="宋体"/>
          <w:b/>
          <w:snapToGrid w:val="0"/>
          <w:color w:val="auto"/>
          <w:kern w:val="0"/>
        </w:rPr>
      </w:pPr>
      <w:bookmarkStart w:id="92" w:name="_Toc224103325"/>
      <w:bookmarkStart w:id="93" w:name="_Toc287620693"/>
      <w:bookmarkStart w:id="94" w:name="_Toc386029654"/>
      <w:bookmarkStart w:id="95" w:name="_Toc277082560"/>
      <w:bookmarkStart w:id="96" w:name="_Toc452058689"/>
      <w:bookmarkStart w:id="97" w:name="_Toc287607754"/>
      <w:bookmarkStart w:id="98" w:name="_Toc23797"/>
      <w:bookmarkStart w:id="99" w:name="_Toc200513134"/>
      <w:r>
        <w:rPr>
          <w:rFonts w:ascii="宋体" w:hAnsi="宋体"/>
          <w:b/>
          <w:snapToGrid w:val="0"/>
          <w:color w:val="auto"/>
          <w:kern w:val="0"/>
        </w:rPr>
        <w:t xml:space="preserve">1.7  </w:t>
      </w:r>
      <w:r>
        <w:rPr>
          <w:rFonts w:hint="eastAsia" w:ascii="宋体" w:hAnsi="宋体"/>
          <w:b/>
          <w:snapToGrid w:val="0"/>
          <w:color w:val="auto"/>
          <w:kern w:val="0"/>
        </w:rPr>
        <w:t>语言文字</w:t>
      </w:r>
      <w:bookmarkEnd w:id="92"/>
      <w:bookmarkEnd w:id="93"/>
      <w:bookmarkEnd w:id="94"/>
      <w:bookmarkEnd w:id="95"/>
      <w:bookmarkEnd w:id="96"/>
      <w:bookmarkEnd w:id="97"/>
      <w:bookmarkEnd w:id="98"/>
      <w:bookmarkEnd w:id="99"/>
    </w:p>
    <w:p>
      <w:pPr>
        <w:autoSpaceDE w:val="0"/>
        <w:autoSpaceDN w:val="0"/>
        <w:adjustRightInd w:val="0"/>
        <w:snapToGrid w:val="0"/>
        <w:spacing w:line="380" w:lineRule="exact"/>
        <w:ind w:firstLine="420" w:firstLineChars="200"/>
        <w:jc w:val="left"/>
        <w:rPr>
          <w:rFonts w:ascii="宋体" w:hAnsi="宋体" w:cs="MingLiU"/>
          <w:snapToGrid w:val="0"/>
          <w:color w:val="auto"/>
          <w:kern w:val="0"/>
          <w:szCs w:val="21"/>
        </w:rPr>
      </w:pPr>
      <w:r>
        <w:rPr>
          <w:rFonts w:hint="eastAsia" w:ascii="宋体" w:hAnsi="宋体" w:cs="MingLiU"/>
          <w:snapToGrid w:val="0"/>
          <w:color w:val="auto"/>
          <w:kern w:val="0"/>
          <w:szCs w:val="21"/>
        </w:rPr>
        <w:t>除专用术语外，与招标投标有关的语言均使用中文。必要时专用术语应附有中文注释。</w:t>
      </w:r>
    </w:p>
    <w:p>
      <w:pPr>
        <w:autoSpaceDE w:val="0"/>
        <w:autoSpaceDN w:val="0"/>
        <w:adjustRightInd w:val="0"/>
        <w:snapToGrid w:val="0"/>
        <w:spacing w:line="380" w:lineRule="exact"/>
        <w:jc w:val="left"/>
        <w:rPr>
          <w:rFonts w:ascii="宋体" w:hAnsi="宋体"/>
          <w:b/>
          <w:snapToGrid w:val="0"/>
          <w:color w:val="auto"/>
          <w:kern w:val="0"/>
        </w:rPr>
      </w:pPr>
      <w:bookmarkStart w:id="100" w:name="_Toc452058690"/>
      <w:bookmarkStart w:id="101" w:name="_Toc224103326"/>
      <w:bookmarkStart w:id="102" w:name="_Toc386029655"/>
      <w:bookmarkStart w:id="103" w:name="_Toc287620694"/>
      <w:bookmarkStart w:id="104" w:name="_Toc26466"/>
      <w:bookmarkStart w:id="105" w:name="_Toc200513135"/>
      <w:bookmarkStart w:id="106" w:name="_Toc287607755"/>
      <w:bookmarkStart w:id="107" w:name="_Toc277082561"/>
      <w:r>
        <w:rPr>
          <w:rFonts w:ascii="宋体" w:hAnsi="宋体"/>
          <w:b/>
          <w:snapToGrid w:val="0"/>
          <w:color w:val="auto"/>
          <w:kern w:val="0"/>
        </w:rPr>
        <w:t xml:space="preserve">1.8  </w:t>
      </w:r>
      <w:r>
        <w:rPr>
          <w:rFonts w:hint="eastAsia" w:ascii="宋体" w:hAnsi="宋体"/>
          <w:b/>
          <w:snapToGrid w:val="0"/>
          <w:color w:val="auto"/>
          <w:kern w:val="0"/>
        </w:rPr>
        <w:t>计量单位</w:t>
      </w:r>
      <w:bookmarkEnd w:id="100"/>
      <w:bookmarkEnd w:id="101"/>
      <w:bookmarkEnd w:id="102"/>
      <w:bookmarkEnd w:id="103"/>
      <w:bookmarkEnd w:id="104"/>
      <w:bookmarkEnd w:id="105"/>
      <w:bookmarkEnd w:id="106"/>
      <w:bookmarkEnd w:id="107"/>
    </w:p>
    <w:p>
      <w:pPr>
        <w:autoSpaceDE w:val="0"/>
        <w:autoSpaceDN w:val="0"/>
        <w:adjustRightInd w:val="0"/>
        <w:snapToGrid w:val="0"/>
        <w:spacing w:line="380" w:lineRule="exact"/>
        <w:ind w:firstLine="424" w:firstLineChars="202"/>
        <w:jc w:val="left"/>
        <w:rPr>
          <w:rFonts w:ascii="宋体" w:hAnsi="宋体" w:cs="MingLiU"/>
          <w:snapToGrid w:val="0"/>
          <w:color w:val="auto"/>
          <w:kern w:val="0"/>
          <w:szCs w:val="21"/>
        </w:rPr>
      </w:pPr>
      <w:r>
        <w:rPr>
          <w:rFonts w:hint="eastAsia" w:ascii="宋体" w:hAnsi="宋体" w:cs="MingLiU"/>
          <w:snapToGrid w:val="0"/>
          <w:color w:val="auto"/>
          <w:kern w:val="0"/>
          <w:szCs w:val="21"/>
        </w:rPr>
        <w:t>所有计量均采用中华人民共和国法定计量单位。</w:t>
      </w:r>
    </w:p>
    <w:p>
      <w:pPr>
        <w:autoSpaceDE w:val="0"/>
        <w:autoSpaceDN w:val="0"/>
        <w:adjustRightInd w:val="0"/>
        <w:snapToGrid w:val="0"/>
        <w:spacing w:line="380" w:lineRule="exact"/>
        <w:jc w:val="left"/>
        <w:rPr>
          <w:rFonts w:ascii="宋体" w:hAnsi="宋体"/>
          <w:b/>
          <w:snapToGrid w:val="0"/>
          <w:color w:val="auto"/>
          <w:kern w:val="0"/>
        </w:rPr>
      </w:pPr>
      <w:bookmarkStart w:id="108" w:name="_Toc200513136"/>
      <w:bookmarkStart w:id="109" w:name="_Toc452058691"/>
      <w:bookmarkStart w:id="110" w:name="_Toc386029656"/>
      <w:bookmarkStart w:id="111" w:name="_Toc224103327"/>
      <w:bookmarkStart w:id="112" w:name="_Toc287620695"/>
      <w:bookmarkStart w:id="113" w:name="_Toc287607756"/>
      <w:bookmarkStart w:id="114" w:name="_Toc16750"/>
      <w:bookmarkStart w:id="115" w:name="_Toc277082562"/>
      <w:r>
        <w:rPr>
          <w:rFonts w:ascii="宋体" w:hAnsi="宋体"/>
          <w:b/>
          <w:snapToGrid w:val="0"/>
          <w:color w:val="auto"/>
          <w:kern w:val="0"/>
        </w:rPr>
        <w:t xml:space="preserve">1.9  </w:t>
      </w:r>
      <w:r>
        <w:rPr>
          <w:rFonts w:hint="eastAsia" w:ascii="宋体" w:hAnsi="宋体"/>
          <w:b/>
          <w:snapToGrid w:val="0"/>
          <w:color w:val="auto"/>
          <w:kern w:val="0"/>
        </w:rPr>
        <w:t>踏勘现场</w:t>
      </w:r>
      <w:bookmarkEnd w:id="108"/>
      <w:bookmarkEnd w:id="109"/>
      <w:bookmarkEnd w:id="110"/>
      <w:bookmarkEnd w:id="111"/>
      <w:bookmarkEnd w:id="112"/>
      <w:bookmarkEnd w:id="113"/>
      <w:bookmarkEnd w:id="114"/>
      <w:bookmarkEnd w:id="115"/>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ascii="宋体" w:hAnsi="宋体" w:cs="MingLiU"/>
          <w:snapToGrid w:val="0"/>
          <w:color w:val="auto"/>
          <w:kern w:val="0"/>
          <w:szCs w:val="21"/>
        </w:rPr>
        <w:t xml:space="preserve">1.9.1  </w:t>
      </w:r>
      <w:r>
        <w:rPr>
          <w:rFonts w:hint="eastAsia" w:ascii="宋体" w:hAnsi="宋体" w:cs="MingLiU"/>
          <w:snapToGrid w:val="0"/>
          <w:color w:val="auto"/>
          <w:kern w:val="0"/>
          <w:szCs w:val="21"/>
        </w:rPr>
        <w:t>由投标人自行踏勘项目现场。</w:t>
      </w:r>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ascii="宋体" w:hAnsi="宋体" w:cs="MingLiU"/>
          <w:snapToGrid w:val="0"/>
          <w:color w:val="auto"/>
          <w:kern w:val="0"/>
          <w:szCs w:val="21"/>
        </w:rPr>
        <w:t xml:space="preserve">1.9.2  </w:t>
      </w:r>
      <w:r>
        <w:rPr>
          <w:rFonts w:hint="eastAsia" w:ascii="宋体" w:hAnsi="宋体" w:cs="MingLiU"/>
          <w:snapToGrid w:val="0"/>
          <w:color w:val="auto"/>
          <w:kern w:val="0"/>
          <w:szCs w:val="21"/>
        </w:rPr>
        <w:t>投标人踏勘现场发生的费用自理。</w:t>
      </w:r>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ascii="宋体" w:hAnsi="宋体" w:cs="MingLiU"/>
          <w:snapToGrid w:val="0"/>
          <w:color w:val="auto"/>
          <w:kern w:val="0"/>
          <w:szCs w:val="21"/>
        </w:rPr>
        <w:t xml:space="preserve">1.9.3 </w:t>
      </w:r>
      <w:r>
        <w:rPr>
          <w:rFonts w:hint="eastAsia" w:ascii="宋体" w:hAnsi="宋体" w:cs="MingLiU"/>
          <w:snapToGrid w:val="0"/>
          <w:color w:val="auto"/>
          <w:kern w:val="0"/>
          <w:szCs w:val="21"/>
        </w:rPr>
        <w:t xml:space="preserve"> 投标人自行负责在踏勘现场中所发生的人员伤亡和财产损失。</w:t>
      </w:r>
    </w:p>
    <w:p>
      <w:pPr>
        <w:autoSpaceDE w:val="0"/>
        <w:autoSpaceDN w:val="0"/>
        <w:adjustRightInd w:val="0"/>
        <w:snapToGrid w:val="0"/>
        <w:spacing w:line="380" w:lineRule="exact"/>
        <w:jc w:val="left"/>
        <w:rPr>
          <w:rFonts w:ascii="宋体" w:hAnsi="宋体"/>
          <w:b/>
          <w:snapToGrid w:val="0"/>
          <w:color w:val="auto"/>
          <w:kern w:val="0"/>
        </w:rPr>
      </w:pPr>
      <w:bookmarkStart w:id="116" w:name="_Toc200513137"/>
      <w:bookmarkStart w:id="117" w:name="_Toc9283"/>
      <w:bookmarkStart w:id="118" w:name="_Toc287620696"/>
      <w:bookmarkStart w:id="119" w:name="_Toc287607757"/>
      <w:bookmarkStart w:id="120" w:name="_Toc224103328"/>
      <w:bookmarkStart w:id="121" w:name="_Toc277082563"/>
      <w:bookmarkStart w:id="122" w:name="_Toc386029657"/>
      <w:bookmarkStart w:id="123" w:name="_Toc452058692"/>
      <w:r>
        <w:rPr>
          <w:rFonts w:ascii="宋体" w:hAnsi="宋体"/>
          <w:b/>
          <w:snapToGrid w:val="0"/>
          <w:color w:val="auto"/>
          <w:kern w:val="0"/>
        </w:rPr>
        <w:t xml:space="preserve">1.10  </w:t>
      </w:r>
      <w:r>
        <w:rPr>
          <w:rFonts w:hint="eastAsia" w:ascii="宋体" w:hAnsi="宋体"/>
          <w:b/>
          <w:snapToGrid w:val="0"/>
          <w:color w:val="auto"/>
          <w:kern w:val="0"/>
        </w:rPr>
        <w:t>投标预备会</w:t>
      </w:r>
      <w:bookmarkEnd w:id="116"/>
      <w:bookmarkEnd w:id="117"/>
      <w:bookmarkEnd w:id="118"/>
      <w:bookmarkEnd w:id="119"/>
      <w:bookmarkEnd w:id="120"/>
      <w:bookmarkEnd w:id="121"/>
      <w:bookmarkEnd w:id="122"/>
      <w:bookmarkEnd w:id="123"/>
      <w:bookmarkStart w:id="124" w:name="_Toc277082564"/>
      <w:bookmarkStart w:id="125" w:name="_Toc200513138"/>
      <w:bookmarkStart w:id="126" w:name="_Toc287607758"/>
      <w:bookmarkStart w:id="127" w:name="_Toc287620697"/>
      <w:bookmarkStart w:id="128" w:name="_Toc224103329"/>
    </w:p>
    <w:p>
      <w:pPr>
        <w:spacing w:line="380" w:lineRule="exact"/>
        <w:ind w:firstLine="420" w:firstLineChars="200"/>
        <w:rPr>
          <w:rFonts w:ascii="宋体" w:hAnsi="宋体" w:cs="宋体"/>
          <w:snapToGrid w:val="0"/>
          <w:color w:val="auto"/>
          <w:kern w:val="0"/>
          <w:sz w:val="24"/>
        </w:rPr>
      </w:pPr>
      <w:r>
        <w:rPr>
          <w:rFonts w:hint="eastAsia" w:ascii="宋体" w:hAnsi="宋体"/>
          <w:color w:val="auto"/>
          <w:szCs w:val="21"/>
        </w:rPr>
        <w:t>本工程不召开投标预备会。</w:t>
      </w:r>
    </w:p>
    <w:p>
      <w:pPr>
        <w:autoSpaceDE w:val="0"/>
        <w:autoSpaceDN w:val="0"/>
        <w:adjustRightInd w:val="0"/>
        <w:snapToGrid w:val="0"/>
        <w:spacing w:line="380" w:lineRule="exact"/>
        <w:jc w:val="left"/>
        <w:rPr>
          <w:rFonts w:ascii="宋体" w:hAnsi="宋体"/>
          <w:b/>
          <w:snapToGrid w:val="0"/>
          <w:color w:val="auto"/>
          <w:kern w:val="0"/>
        </w:rPr>
      </w:pPr>
      <w:bookmarkStart w:id="129" w:name="_Toc452058693"/>
      <w:bookmarkStart w:id="130" w:name="_Toc386029658"/>
      <w:bookmarkStart w:id="131" w:name="_Toc21003"/>
      <w:r>
        <w:rPr>
          <w:rFonts w:ascii="宋体" w:hAnsi="宋体"/>
          <w:b/>
          <w:snapToGrid w:val="0"/>
          <w:color w:val="auto"/>
          <w:kern w:val="0"/>
        </w:rPr>
        <w:t xml:space="preserve">1.11  </w:t>
      </w:r>
      <w:r>
        <w:rPr>
          <w:rFonts w:hint="eastAsia" w:ascii="宋体" w:hAnsi="宋体"/>
          <w:b/>
          <w:snapToGrid w:val="0"/>
          <w:color w:val="auto"/>
          <w:kern w:val="0"/>
        </w:rPr>
        <w:t>分包</w:t>
      </w:r>
      <w:bookmarkEnd w:id="124"/>
      <w:bookmarkEnd w:id="125"/>
      <w:bookmarkEnd w:id="126"/>
      <w:bookmarkEnd w:id="127"/>
      <w:bookmarkEnd w:id="128"/>
      <w:bookmarkEnd w:id="129"/>
      <w:bookmarkEnd w:id="130"/>
      <w:bookmarkEnd w:id="131"/>
    </w:p>
    <w:p>
      <w:pPr>
        <w:spacing w:line="380" w:lineRule="exact"/>
        <w:ind w:firstLine="420" w:firstLineChars="200"/>
        <w:rPr>
          <w:rFonts w:ascii="宋体" w:hAnsi="宋体"/>
          <w:color w:val="auto"/>
          <w:szCs w:val="21"/>
        </w:rPr>
      </w:pPr>
      <w:bookmarkStart w:id="132" w:name="_Toc277082565"/>
      <w:bookmarkStart w:id="133" w:name="_Toc287607759"/>
      <w:bookmarkStart w:id="134" w:name="_Toc2639"/>
      <w:bookmarkStart w:id="135" w:name="_Toc386029659"/>
      <w:bookmarkStart w:id="136" w:name="_Toc200513139"/>
      <w:bookmarkStart w:id="137" w:name="_Toc224103330"/>
      <w:bookmarkStart w:id="138" w:name="_Toc287620698"/>
      <w:r>
        <w:rPr>
          <w:rFonts w:hint="eastAsia" w:ascii="宋体" w:hAnsi="宋体"/>
          <w:color w:val="auto"/>
          <w:szCs w:val="21"/>
        </w:rPr>
        <w:t>本工程不允许分包。</w:t>
      </w:r>
    </w:p>
    <w:p>
      <w:pPr>
        <w:autoSpaceDE w:val="0"/>
        <w:autoSpaceDN w:val="0"/>
        <w:adjustRightInd w:val="0"/>
        <w:snapToGrid w:val="0"/>
        <w:spacing w:line="380" w:lineRule="exact"/>
        <w:jc w:val="left"/>
        <w:rPr>
          <w:rFonts w:ascii="宋体" w:hAnsi="宋体"/>
          <w:b/>
          <w:snapToGrid w:val="0"/>
          <w:color w:val="auto"/>
          <w:kern w:val="0"/>
        </w:rPr>
      </w:pPr>
      <w:bookmarkStart w:id="139" w:name="_Toc452058694"/>
      <w:r>
        <w:rPr>
          <w:rFonts w:ascii="宋体" w:hAnsi="宋体"/>
          <w:b/>
          <w:snapToGrid w:val="0"/>
          <w:color w:val="auto"/>
          <w:kern w:val="0"/>
        </w:rPr>
        <w:t xml:space="preserve">1.12  </w:t>
      </w:r>
      <w:r>
        <w:rPr>
          <w:rFonts w:hint="eastAsia" w:ascii="宋体" w:hAnsi="宋体"/>
          <w:b/>
          <w:snapToGrid w:val="0"/>
          <w:color w:val="auto"/>
          <w:kern w:val="0"/>
        </w:rPr>
        <w:t>偏离</w:t>
      </w:r>
      <w:bookmarkEnd w:id="132"/>
      <w:bookmarkEnd w:id="133"/>
      <w:bookmarkEnd w:id="134"/>
      <w:bookmarkEnd w:id="135"/>
      <w:bookmarkEnd w:id="136"/>
      <w:bookmarkEnd w:id="137"/>
      <w:bookmarkEnd w:id="138"/>
      <w:bookmarkEnd w:id="139"/>
    </w:p>
    <w:p>
      <w:pPr>
        <w:autoSpaceDE w:val="0"/>
        <w:autoSpaceDN w:val="0"/>
        <w:adjustRightInd w:val="0"/>
        <w:snapToGrid w:val="0"/>
        <w:spacing w:line="380" w:lineRule="exact"/>
        <w:ind w:firstLine="425"/>
        <w:jc w:val="left"/>
        <w:rPr>
          <w:rFonts w:ascii="宋体" w:hAnsi="宋体" w:cs="宋体"/>
          <w:snapToGrid w:val="0"/>
          <w:color w:val="auto"/>
          <w:kern w:val="0"/>
          <w:sz w:val="24"/>
        </w:rPr>
      </w:pPr>
      <w:bookmarkStart w:id="140" w:name="_Toc277082566"/>
      <w:bookmarkStart w:id="141" w:name="_Toc3930"/>
      <w:bookmarkStart w:id="142" w:name="_Toc386029660"/>
      <w:bookmarkStart w:id="143" w:name="_Toc200513140"/>
      <w:bookmarkStart w:id="144" w:name="_Toc224103331"/>
      <w:bookmarkStart w:id="145" w:name="_Toc287607760"/>
      <w:bookmarkStart w:id="146" w:name="_Toc8538"/>
      <w:r>
        <w:rPr>
          <w:rFonts w:hint="eastAsia" w:ascii="宋体" w:hAnsi="宋体" w:cs="MingLiU"/>
          <w:snapToGrid w:val="0"/>
          <w:color w:val="auto"/>
          <w:kern w:val="0"/>
          <w:szCs w:val="21"/>
        </w:rPr>
        <w:t>投标人须知前附表允许投标文件偏离</w:t>
      </w:r>
      <w:r>
        <w:rPr>
          <w:rFonts w:hint="eastAsia" w:ascii="宋体" w:hAnsi="宋体" w:cs="宋体"/>
          <w:color w:val="auto"/>
          <w:szCs w:val="21"/>
          <w:lang w:val="en-US" w:eastAsia="zh-CN"/>
        </w:rPr>
        <w:t>比选</w:t>
      </w:r>
      <w:r>
        <w:rPr>
          <w:rFonts w:hint="eastAsia" w:ascii="宋体" w:hAnsi="宋体" w:cs="MingLiU"/>
          <w:snapToGrid w:val="0"/>
          <w:color w:val="auto"/>
          <w:kern w:val="0"/>
          <w:szCs w:val="21"/>
        </w:rPr>
        <w:t>文件某些要求的，偏离应当符合</w:t>
      </w:r>
      <w:r>
        <w:rPr>
          <w:rFonts w:hint="eastAsia" w:ascii="宋体" w:hAnsi="宋体"/>
          <w:snapToGrid w:val="0"/>
          <w:color w:val="auto"/>
          <w:kern w:val="0"/>
          <w:szCs w:val="21"/>
        </w:rPr>
        <w:t>比选</w:t>
      </w:r>
      <w:r>
        <w:rPr>
          <w:rFonts w:hint="eastAsia" w:ascii="宋体" w:hAnsi="宋体" w:cs="MingLiU"/>
          <w:snapToGrid w:val="0"/>
          <w:color w:val="auto"/>
          <w:kern w:val="0"/>
          <w:szCs w:val="21"/>
        </w:rPr>
        <w:t>文件规定的偏离范围和幅度。</w:t>
      </w:r>
    </w:p>
    <w:p>
      <w:pPr>
        <w:autoSpaceDE w:val="0"/>
        <w:autoSpaceDN w:val="0"/>
        <w:adjustRightInd w:val="0"/>
        <w:snapToGrid w:val="0"/>
        <w:spacing w:line="380" w:lineRule="exact"/>
        <w:jc w:val="left"/>
        <w:rPr>
          <w:rFonts w:ascii="宋体" w:hAnsi="宋体"/>
          <w:b/>
          <w:snapToGrid w:val="0"/>
          <w:color w:val="auto"/>
          <w:kern w:val="0"/>
        </w:rPr>
      </w:pPr>
      <w:bookmarkStart w:id="147" w:name="_Toc452058695"/>
      <w:r>
        <w:rPr>
          <w:rFonts w:ascii="宋体" w:hAnsi="宋体"/>
          <w:b/>
          <w:snapToGrid w:val="0"/>
          <w:color w:val="auto"/>
          <w:kern w:val="0"/>
        </w:rPr>
        <w:t xml:space="preserve">2.  </w:t>
      </w:r>
      <w:r>
        <w:rPr>
          <w:rFonts w:hint="eastAsia" w:ascii="宋体" w:hAnsi="宋体"/>
          <w:b/>
          <w:snapToGrid w:val="0"/>
          <w:color w:val="auto"/>
          <w:kern w:val="0"/>
        </w:rPr>
        <w:t>竞争性比选文件</w:t>
      </w:r>
      <w:bookmarkEnd w:id="140"/>
      <w:bookmarkEnd w:id="141"/>
      <w:bookmarkEnd w:id="142"/>
      <w:bookmarkEnd w:id="143"/>
      <w:bookmarkEnd w:id="144"/>
      <w:bookmarkEnd w:id="145"/>
      <w:bookmarkEnd w:id="146"/>
      <w:bookmarkEnd w:id="147"/>
    </w:p>
    <w:p>
      <w:pPr>
        <w:autoSpaceDE w:val="0"/>
        <w:autoSpaceDN w:val="0"/>
        <w:adjustRightInd w:val="0"/>
        <w:snapToGrid w:val="0"/>
        <w:spacing w:line="380" w:lineRule="exact"/>
        <w:jc w:val="left"/>
        <w:rPr>
          <w:rFonts w:ascii="宋体" w:hAnsi="宋体"/>
          <w:b/>
          <w:snapToGrid w:val="0"/>
          <w:color w:val="auto"/>
          <w:kern w:val="0"/>
        </w:rPr>
      </w:pPr>
      <w:bookmarkStart w:id="148" w:name="_Toc277082567"/>
      <w:bookmarkStart w:id="149" w:name="_Toc287607761"/>
      <w:bookmarkStart w:id="150" w:name="_Toc200513141"/>
      <w:bookmarkStart w:id="151" w:name="_Toc287620700"/>
      <w:bookmarkStart w:id="152" w:name="_Toc24222"/>
      <w:bookmarkStart w:id="153" w:name="_Toc386029661"/>
      <w:bookmarkStart w:id="154" w:name="_Toc224103332"/>
      <w:bookmarkStart w:id="155" w:name="_Toc452058696"/>
      <w:r>
        <w:rPr>
          <w:rFonts w:ascii="宋体" w:hAnsi="宋体"/>
          <w:b/>
          <w:snapToGrid w:val="0"/>
          <w:color w:val="auto"/>
          <w:kern w:val="0"/>
        </w:rPr>
        <w:t xml:space="preserve">2.1  </w:t>
      </w:r>
      <w:r>
        <w:rPr>
          <w:rFonts w:hint="eastAsia" w:ascii="宋体" w:hAnsi="宋体"/>
          <w:b/>
          <w:snapToGrid w:val="0"/>
          <w:color w:val="auto"/>
          <w:kern w:val="0"/>
        </w:rPr>
        <w:t>竞争性比选文件的组成</w:t>
      </w:r>
      <w:bookmarkEnd w:id="148"/>
      <w:bookmarkEnd w:id="149"/>
      <w:bookmarkEnd w:id="150"/>
      <w:bookmarkEnd w:id="151"/>
      <w:bookmarkEnd w:id="152"/>
      <w:bookmarkEnd w:id="153"/>
      <w:bookmarkEnd w:id="154"/>
      <w:bookmarkEnd w:id="155"/>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本</w:t>
      </w:r>
      <w:r>
        <w:rPr>
          <w:rFonts w:hint="eastAsia" w:ascii="宋体" w:hAnsi="宋体" w:cs="MingLiU"/>
          <w:snapToGrid w:val="0"/>
          <w:color w:val="auto"/>
          <w:kern w:val="0"/>
          <w:szCs w:val="21"/>
          <w:lang w:val="en-US" w:eastAsia="zh-CN"/>
        </w:rPr>
        <w:t>竞争性比选</w:t>
      </w:r>
      <w:r>
        <w:rPr>
          <w:rFonts w:hint="eastAsia" w:ascii="宋体" w:hAnsi="宋体" w:cs="MingLiU"/>
          <w:snapToGrid w:val="0"/>
          <w:color w:val="auto"/>
          <w:kern w:val="0"/>
          <w:szCs w:val="21"/>
        </w:rPr>
        <w:t>文件包括：</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）竞争性比选公告；</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）投标人须知；</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3</w:t>
      </w:r>
      <w:r>
        <w:rPr>
          <w:rFonts w:hint="eastAsia" w:ascii="宋体" w:hAnsi="宋体" w:cs="MingLiU"/>
          <w:snapToGrid w:val="0"/>
          <w:color w:val="auto"/>
          <w:kern w:val="0"/>
          <w:szCs w:val="21"/>
        </w:rPr>
        <w:t>）评标办法；</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4</w:t>
      </w:r>
      <w:r>
        <w:rPr>
          <w:rFonts w:hint="eastAsia" w:ascii="宋体" w:hAnsi="宋体" w:cs="MingLiU"/>
          <w:snapToGrid w:val="0"/>
          <w:color w:val="auto"/>
          <w:kern w:val="0"/>
          <w:szCs w:val="21"/>
        </w:rPr>
        <w:t>）合同条款及格式；</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5</w:t>
      </w:r>
      <w:r>
        <w:rPr>
          <w:rFonts w:hint="eastAsia" w:ascii="宋体" w:hAnsi="宋体" w:cs="MingLiU"/>
          <w:snapToGrid w:val="0"/>
          <w:color w:val="auto"/>
          <w:kern w:val="0"/>
          <w:szCs w:val="21"/>
        </w:rPr>
        <w:t>）工程量清单；</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6</w:t>
      </w:r>
      <w:r>
        <w:rPr>
          <w:rFonts w:hint="eastAsia" w:ascii="宋体" w:hAnsi="宋体" w:cs="MingLiU"/>
          <w:snapToGrid w:val="0"/>
          <w:color w:val="auto"/>
          <w:kern w:val="0"/>
          <w:szCs w:val="21"/>
        </w:rPr>
        <w:t>）图纸；</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7</w:t>
      </w:r>
      <w:r>
        <w:rPr>
          <w:rFonts w:hint="eastAsia" w:ascii="宋体" w:hAnsi="宋体" w:cs="MingLiU"/>
          <w:snapToGrid w:val="0"/>
          <w:color w:val="auto"/>
          <w:kern w:val="0"/>
          <w:szCs w:val="21"/>
        </w:rPr>
        <w:t>）技术标准和要求；</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8</w:t>
      </w:r>
      <w:r>
        <w:rPr>
          <w:rFonts w:hint="eastAsia" w:ascii="宋体" w:hAnsi="宋体" w:cs="MingLiU"/>
          <w:snapToGrid w:val="0"/>
          <w:color w:val="auto"/>
          <w:kern w:val="0"/>
          <w:szCs w:val="21"/>
        </w:rPr>
        <w:t>）投标文件格式；</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9</w:t>
      </w:r>
      <w:r>
        <w:rPr>
          <w:rFonts w:hint="eastAsia" w:ascii="宋体" w:hAnsi="宋体" w:cs="MingLiU"/>
          <w:snapToGrid w:val="0"/>
          <w:color w:val="auto"/>
          <w:kern w:val="0"/>
          <w:szCs w:val="21"/>
        </w:rPr>
        <w:t>）投标人须知前附表规定的其他材料。</w:t>
      </w:r>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hint="eastAsia" w:ascii="宋体" w:hAnsi="宋体" w:cs="MingLiU"/>
          <w:snapToGrid w:val="0"/>
          <w:color w:val="auto"/>
          <w:kern w:val="0"/>
          <w:szCs w:val="21"/>
        </w:rPr>
        <w:t>根据本章第</w:t>
      </w:r>
      <w:r>
        <w:rPr>
          <w:rFonts w:ascii="宋体" w:hAnsi="宋体"/>
          <w:snapToGrid w:val="0"/>
          <w:color w:val="auto"/>
          <w:kern w:val="0"/>
          <w:szCs w:val="21"/>
        </w:rPr>
        <w:t>1.10</w:t>
      </w:r>
      <w:r>
        <w:rPr>
          <w:rFonts w:hint="eastAsia" w:ascii="宋体" w:hAnsi="宋体" w:cs="MingLiU"/>
          <w:snapToGrid w:val="0"/>
          <w:color w:val="auto"/>
          <w:kern w:val="0"/>
          <w:szCs w:val="21"/>
        </w:rPr>
        <w:t>款、第</w:t>
      </w:r>
      <w:r>
        <w:rPr>
          <w:rFonts w:ascii="宋体" w:hAnsi="宋体"/>
          <w:snapToGrid w:val="0"/>
          <w:color w:val="auto"/>
          <w:kern w:val="0"/>
          <w:szCs w:val="21"/>
        </w:rPr>
        <w:t>2.2</w:t>
      </w:r>
      <w:r>
        <w:rPr>
          <w:rFonts w:hint="eastAsia" w:ascii="宋体" w:hAnsi="宋体" w:cs="MingLiU"/>
          <w:snapToGrid w:val="0"/>
          <w:color w:val="auto"/>
          <w:kern w:val="0"/>
          <w:szCs w:val="21"/>
        </w:rPr>
        <w:t>款和第</w:t>
      </w:r>
      <w:r>
        <w:rPr>
          <w:rFonts w:ascii="宋体" w:hAnsi="宋体"/>
          <w:snapToGrid w:val="0"/>
          <w:color w:val="auto"/>
          <w:kern w:val="0"/>
          <w:szCs w:val="21"/>
        </w:rPr>
        <w:t>2.3</w:t>
      </w:r>
      <w:r>
        <w:rPr>
          <w:rFonts w:hint="eastAsia" w:ascii="宋体" w:hAnsi="宋体" w:cs="MingLiU"/>
          <w:snapToGrid w:val="0"/>
          <w:color w:val="auto"/>
          <w:kern w:val="0"/>
          <w:szCs w:val="21"/>
        </w:rPr>
        <w:t>款对竞争性比选文件所作的澄清、修改，构成</w:t>
      </w:r>
      <w:r>
        <w:rPr>
          <w:rFonts w:hint="eastAsia" w:ascii="宋体" w:hAnsi="宋体" w:cs="MingLiU"/>
          <w:snapToGrid w:val="0"/>
          <w:color w:val="auto"/>
          <w:kern w:val="0"/>
          <w:szCs w:val="21"/>
          <w:lang w:val="en-US" w:eastAsia="zh-CN"/>
        </w:rPr>
        <w:t>竞争性比选</w:t>
      </w:r>
      <w:r>
        <w:rPr>
          <w:rFonts w:hint="eastAsia" w:ascii="宋体" w:hAnsi="宋体" w:cs="MingLiU"/>
          <w:snapToGrid w:val="0"/>
          <w:color w:val="auto"/>
          <w:kern w:val="0"/>
          <w:szCs w:val="21"/>
        </w:rPr>
        <w:t>文件的组成部分。</w:t>
      </w:r>
    </w:p>
    <w:p>
      <w:pPr>
        <w:autoSpaceDE w:val="0"/>
        <w:autoSpaceDN w:val="0"/>
        <w:adjustRightInd w:val="0"/>
        <w:snapToGrid w:val="0"/>
        <w:spacing w:line="380" w:lineRule="exact"/>
        <w:jc w:val="left"/>
        <w:rPr>
          <w:rFonts w:ascii="宋体" w:hAnsi="宋体"/>
          <w:b/>
          <w:snapToGrid w:val="0"/>
          <w:color w:val="auto"/>
          <w:kern w:val="0"/>
        </w:rPr>
      </w:pPr>
      <w:bookmarkStart w:id="156" w:name="_Toc386029662"/>
      <w:bookmarkStart w:id="157" w:name="_Toc287607762"/>
      <w:bookmarkStart w:id="158" w:name="_Toc287620701"/>
      <w:bookmarkStart w:id="159" w:name="_Toc224103333"/>
      <w:bookmarkStart w:id="160" w:name="_Toc277082568"/>
      <w:bookmarkStart w:id="161" w:name="_Toc200513142"/>
      <w:bookmarkStart w:id="162" w:name="_Toc24022"/>
      <w:bookmarkStart w:id="163" w:name="_Toc452058697"/>
      <w:r>
        <w:rPr>
          <w:rFonts w:ascii="宋体" w:hAnsi="宋体"/>
          <w:b/>
          <w:snapToGrid w:val="0"/>
          <w:color w:val="auto"/>
          <w:kern w:val="0"/>
        </w:rPr>
        <w:t xml:space="preserve">2.2 </w:t>
      </w:r>
      <w:r>
        <w:rPr>
          <w:rFonts w:hint="eastAsia" w:ascii="宋体" w:hAnsi="宋体"/>
          <w:b/>
          <w:snapToGrid w:val="0"/>
          <w:color w:val="auto"/>
          <w:kern w:val="0"/>
        </w:rPr>
        <w:t xml:space="preserve"> 竞争性比选文件的澄清</w:t>
      </w:r>
      <w:bookmarkEnd w:id="156"/>
      <w:bookmarkEnd w:id="157"/>
      <w:bookmarkEnd w:id="158"/>
      <w:bookmarkEnd w:id="159"/>
      <w:bookmarkEnd w:id="160"/>
      <w:bookmarkEnd w:id="161"/>
      <w:bookmarkEnd w:id="162"/>
      <w:bookmarkEnd w:id="163"/>
    </w:p>
    <w:p>
      <w:pPr>
        <w:autoSpaceDE w:val="0"/>
        <w:autoSpaceDN w:val="0"/>
        <w:adjustRightInd w:val="0"/>
        <w:snapToGrid w:val="0"/>
        <w:spacing w:line="380" w:lineRule="exact"/>
        <w:ind w:firstLine="420"/>
        <w:rPr>
          <w:rFonts w:ascii="宋体" w:hAnsi="宋体"/>
          <w:snapToGrid w:val="0"/>
          <w:color w:val="auto"/>
          <w:kern w:val="0"/>
        </w:rPr>
      </w:pPr>
      <w:bookmarkStart w:id="164" w:name="_Toc224103334"/>
      <w:bookmarkStart w:id="165" w:name="_Toc277082569"/>
      <w:bookmarkStart w:id="166" w:name="_Toc287607763"/>
      <w:bookmarkStart w:id="167" w:name="_Toc287620702"/>
      <w:bookmarkStart w:id="168" w:name="_Toc200513143"/>
      <w:r>
        <w:rPr>
          <w:rFonts w:hint="eastAsia" w:ascii="宋体" w:hAnsi="宋体"/>
          <w:snapToGrid w:val="0"/>
          <w:color w:val="auto"/>
          <w:kern w:val="0"/>
        </w:rPr>
        <w:t>2.2.1 投标人应仔细阅读和检查比选文件的全部内容。如发现缺页或附件不全，应在投标人须知前附表规定的时间前，及时将其质疑以匿名传真至</w:t>
      </w:r>
      <w:r>
        <w:rPr>
          <w:rFonts w:hint="eastAsia" w:ascii="宋体" w:hAnsi="宋体" w:cs="宋体"/>
          <w:color w:val="auto"/>
          <w:szCs w:val="21"/>
          <w:lang w:val="en-US" w:eastAsia="zh-CN"/>
        </w:rPr>
        <w:t>比选</w:t>
      </w:r>
      <w:r>
        <w:rPr>
          <w:rFonts w:hint="eastAsia" w:ascii="宋体" w:hAnsi="宋体"/>
          <w:snapToGrid w:val="0"/>
          <w:color w:val="auto"/>
          <w:kern w:val="0"/>
        </w:rPr>
        <w:t>代理机构</w:t>
      </w:r>
      <w:r>
        <w:rPr>
          <w:rFonts w:hint="eastAsia" w:ascii="宋体" w:hAnsi="宋体"/>
          <w:bCs/>
          <w:snapToGrid w:val="0"/>
          <w:color w:val="auto"/>
          <w:kern w:val="0"/>
        </w:rPr>
        <w:t>，</w:t>
      </w:r>
      <w:r>
        <w:rPr>
          <w:rFonts w:hint="eastAsia" w:ascii="宋体" w:hAnsi="宋体"/>
          <w:snapToGrid w:val="0"/>
          <w:color w:val="auto"/>
          <w:kern w:val="0"/>
        </w:rPr>
        <w:t>要求</w:t>
      </w:r>
      <w:r>
        <w:rPr>
          <w:rFonts w:hint="eastAsia" w:ascii="宋体" w:hAnsi="宋体"/>
          <w:snapToGrid w:val="0"/>
          <w:color w:val="auto"/>
          <w:kern w:val="0"/>
          <w:lang w:eastAsia="zh-CN"/>
        </w:rPr>
        <w:t>比选人</w:t>
      </w:r>
      <w:r>
        <w:rPr>
          <w:rFonts w:hint="eastAsia" w:ascii="宋体" w:hAnsi="宋体"/>
          <w:snapToGrid w:val="0"/>
          <w:color w:val="auto"/>
          <w:kern w:val="0"/>
        </w:rPr>
        <w:t>对比选文件予以澄清。</w:t>
      </w:r>
    </w:p>
    <w:p>
      <w:pPr>
        <w:autoSpaceDE w:val="0"/>
        <w:autoSpaceDN w:val="0"/>
        <w:adjustRightInd w:val="0"/>
        <w:snapToGrid w:val="0"/>
        <w:spacing w:line="380" w:lineRule="exact"/>
        <w:ind w:firstLine="420"/>
        <w:rPr>
          <w:rFonts w:ascii="宋体" w:hAnsi="宋体"/>
          <w:color w:val="auto"/>
        </w:rPr>
      </w:pPr>
      <w:r>
        <w:rPr>
          <w:rFonts w:ascii="宋体" w:hAnsi="宋体"/>
          <w:snapToGrid w:val="0"/>
          <w:color w:val="auto"/>
          <w:kern w:val="0"/>
          <w:szCs w:val="21"/>
        </w:rPr>
        <w:t xml:space="preserve">2.2.2 </w:t>
      </w:r>
      <w:r>
        <w:rPr>
          <w:rFonts w:hint="eastAsia" w:ascii="宋体" w:hAnsi="宋体"/>
          <w:color w:val="auto"/>
        </w:rPr>
        <w:t>比选文件的澄清将在投标人须知前附表规定的投标截止时间3天前，在</w:t>
      </w:r>
      <w:r>
        <w:rPr>
          <w:rFonts w:hint="eastAsia" w:ascii="宋体" w:hAnsi="宋体" w:cs="宋体"/>
          <w:color w:val="auto"/>
          <w:kern w:val="0"/>
          <w:szCs w:val="21"/>
          <w:lang w:eastAsia="zh-CN"/>
        </w:rPr>
        <w:t>重庆市铜梁区福果镇人民政府公告栏</w:t>
      </w:r>
      <w:r>
        <w:rPr>
          <w:rFonts w:hint="eastAsia" w:ascii="宋体" w:hAnsi="宋体"/>
          <w:color w:val="auto"/>
        </w:rPr>
        <w:t>上公告，但不指明澄清问题的来源。如果澄清发出的时间距投标截止时间不足3天且影响投标文件编制的，相应延长投标截止时间。</w:t>
      </w:r>
    </w:p>
    <w:p>
      <w:pPr>
        <w:autoSpaceDE w:val="0"/>
        <w:autoSpaceDN w:val="0"/>
        <w:adjustRightInd w:val="0"/>
        <w:snapToGrid w:val="0"/>
        <w:spacing w:line="380" w:lineRule="exact"/>
        <w:ind w:firstLine="420"/>
        <w:rPr>
          <w:rFonts w:ascii="宋体" w:hAnsi="宋体"/>
          <w:color w:val="auto"/>
        </w:rPr>
      </w:pPr>
      <w:r>
        <w:rPr>
          <w:rFonts w:ascii="宋体" w:hAnsi="宋体"/>
          <w:snapToGrid w:val="0"/>
          <w:color w:val="auto"/>
          <w:kern w:val="0"/>
          <w:position w:val="-2"/>
          <w:szCs w:val="21"/>
        </w:rPr>
        <w:t xml:space="preserve">2.2.3 </w:t>
      </w:r>
      <w:bookmarkStart w:id="169" w:name="_Toc16533"/>
      <w:bookmarkStart w:id="170" w:name="_Toc386029663"/>
      <w:r>
        <w:rPr>
          <w:rFonts w:hint="eastAsia" w:ascii="宋体" w:hAnsi="宋体"/>
          <w:color w:val="auto"/>
        </w:rPr>
        <w:t>凡有意参加投标者，从本项目比选公告发布之日起，请随时关注</w:t>
      </w:r>
      <w:r>
        <w:rPr>
          <w:rFonts w:hint="eastAsia" w:ascii="宋体" w:hAnsi="宋体" w:cs="宋体"/>
          <w:color w:val="auto"/>
          <w:kern w:val="0"/>
          <w:szCs w:val="21"/>
          <w:lang w:eastAsia="zh-CN"/>
        </w:rPr>
        <w:t>重庆市铜梁区福果镇人民政府公告栏</w:t>
      </w:r>
      <w:r>
        <w:rPr>
          <w:rFonts w:hint="eastAsia" w:ascii="宋体" w:hAnsi="宋体"/>
          <w:color w:val="auto"/>
        </w:rPr>
        <w:t>，并查阅本招标项目的比选澄清等开标前资料，</w:t>
      </w:r>
      <w:r>
        <w:rPr>
          <w:rFonts w:hint="eastAsia" w:ascii="宋体" w:hAnsi="宋体"/>
          <w:color w:val="auto"/>
          <w:lang w:eastAsia="zh-CN"/>
        </w:rPr>
        <w:t>比选人</w:t>
      </w:r>
      <w:r>
        <w:rPr>
          <w:rFonts w:hint="eastAsia" w:ascii="宋体" w:hAnsi="宋体"/>
          <w:color w:val="auto"/>
        </w:rPr>
        <w:t>不再另行通知，不论投标人是否查阅，</w:t>
      </w:r>
      <w:r>
        <w:rPr>
          <w:rFonts w:hint="eastAsia" w:ascii="宋体" w:hAnsi="宋体"/>
          <w:color w:val="auto"/>
          <w:lang w:eastAsia="zh-CN"/>
        </w:rPr>
        <w:t>比选人</w:t>
      </w:r>
      <w:r>
        <w:rPr>
          <w:rFonts w:hint="eastAsia" w:ascii="宋体" w:hAnsi="宋体"/>
          <w:color w:val="auto"/>
        </w:rPr>
        <w:t>和比选代理机构均视为投标人已知晓</w:t>
      </w:r>
      <w:r>
        <w:rPr>
          <w:rFonts w:hint="eastAsia" w:ascii="宋体" w:hAnsi="宋体"/>
          <w:color w:val="auto"/>
          <w:lang w:eastAsia="zh-CN"/>
        </w:rPr>
        <w:t>比选人</w:t>
      </w:r>
      <w:r>
        <w:rPr>
          <w:rFonts w:hint="eastAsia" w:ascii="宋体" w:hAnsi="宋体"/>
          <w:color w:val="auto"/>
        </w:rPr>
        <w:t>对比选文件作出的澄清。</w:t>
      </w:r>
    </w:p>
    <w:p>
      <w:pPr>
        <w:autoSpaceDE w:val="0"/>
        <w:autoSpaceDN w:val="0"/>
        <w:adjustRightInd w:val="0"/>
        <w:snapToGrid w:val="0"/>
        <w:spacing w:line="380" w:lineRule="exact"/>
        <w:jc w:val="left"/>
        <w:rPr>
          <w:rFonts w:ascii="宋体" w:hAnsi="宋体"/>
          <w:b/>
          <w:snapToGrid w:val="0"/>
          <w:color w:val="auto"/>
          <w:kern w:val="0"/>
        </w:rPr>
      </w:pPr>
      <w:bookmarkStart w:id="171" w:name="_Toc452058698"/>
      <w:r>
        <w:rPr>
          <w:rFonts w:ascii="宋体" w:hAnsi="宋体"/>
          <w:b/>
          <w:snapToGrid w:val="0"/>
          <w:color w:val="auto"/>
          <w:kern w:val="0"/>
        </w:rPr>
        <w:t xml:space="preserve">2.3 </w:t>
      </w:r>
      <w:r>
        <w:rPr>
          <w:rFonts w:hint="eastAsia" w:ascii="宋体" w:hAnsi="宋体"/>
          <w:b/>
          <w:snapToGrid w:val="0"/>
          <w:color w:val="auto"/>
          <w:kern w:val="0"/>
        </w:rPr>
        <w:t>比选文件的修改</w:t>
      </w:r>
      <w:bookmarkEnd w:id="164"/>
      <w:bookmarkEnd w:id="165"/>
      <w:bookmarkEnd w:id="166"/>
      <w:bookmarkEnd w:id="167"/>
      <w:bookmarkEnd w:id="168"/>
      <w:bookmarkEnd w:id="169"/>
      <w:bookmarkEnd w:id="170"/>
      <w:bookmarkEnd w:id="171"/>
    </w:p>
    <w:p>
      <w:pPr>
        <w:spacing w:line="380" w:lineRule="exact"/>
        <w:ind w:firstLine="420" w:firstLineChars="200"/>
        <w:jc w:val="left"/>
        <w:rPr>
          <w:rFonts w:ascii="宋体" w:hAnsi="宋体"/>
          <w:color w:val="auto"/>
        </w:rPr>
      </w:pPr>
      <w:bookmarkStart w:id="172" w:name="_Toc224103335"/>
      <w:bookmarkStart w:id="173" w:name="_Toc287607764"/>
      <w:bookmarkStart w:id="174" w:name="_Toc277082570"/>
      <w:bookmarkStart w:id="175" w:name="_Toc200513144"/>
      <w:r>
        <w:rPr>
          <w:rFonts w:ascii="宋体" w:hAnsi="宋体"/>
          <w:color w:val="auto"/>
        </w:rPr>
        <w:t>2.3.1</w:t>
      </w:r>
      <w:r>
        <w:rPr>
          <w:rFonts w:hint="eastAsia" w:ascii="宋体" w:hAnsi="宋体"/>
          <w:color w:val="auto"/>
        </w:rPr>
        <w:t>比选文件的修改在</w:t>
      </w:r>
      <w:r>
        <w:rPr>
          <w:rFonts w:hint="eastAsia" w:ascii="宋体" w:hAnsi="宋体" w:cs="宋体"/>
          <w:color w:val="auto"/>
          <w:kern w:val="0"/>
          <w:szCs w:val="21"/>
          <w:lang w:eastAsia="zh-CN"/>
        </w:rPr>
        <w:t>重庆市铜梁区福果镇人民政府公告栏</w:t>
      </w:r>
      <w:r>
        <w:rPr>
          <w:rFonts w:hint="eastAsia" w:ascii="宋体" w:hAnsi="宋体"/>
          <w:snapToGrid w:val="0"/>
          <w:color w:val="auto"/>
          <w:kern w:val="0"/>
        </w:rPr>
        <w:t>上</w:t>
      </w:r>
      <w:r>
        <w:rPr>
          <w:rFonts w:hint="eastAsia" w:ascii="宋体" w:hAnsi="宋体"/>
          <w:color w:val="auto"/>
        </w:rPr>
        <w:t>公告。如果修改比选文件的时间距投标截止时间不足3天且影响投标文件编制的，相应延长投标截止时间。</w:t>
      </w:r>
    </w:p>
    <w:p>
      <w:pPr>
        <w:spacing w:line="380" w:lineRule="exact"/>
        <w:ind w:firstLine="420" w:firstLineChars="200"/>
        <w:jc w:val="left"/>
        <w:rPr>
          <w:rFonts w:ascii="宋体" w:hAnsi="宋体"/>
          <w:color w:val="auto"/>
        </w:rPr>
      </w:pPr>
      <w:bookmarkStart w:id="176" w:name="_Toc32055"/>
      <w:bookmarkStart w:id="177" w:name="_Toc16595"/>
      <w:bookmarkStart w:id="178" w:name="_Toc386029664"/>
      <w:r>
        <w:rPr>
          <w:rFonts w:ascii="宋体" w:hAnsi="宋体"/>
          <w:color w:val="auto"/>
        </w:rPr>
        <w:t xml:space="preserve">2.3.2 </w:t>
      </w:r>
      <w:r>
        <w:rPr>
          <w:rFonts w:hint="eastAsia" w:ascii="宋体" w:hAnsi="宋体"/>
          <w:color w:val="auto"/>
        </w:rPr>
        <w:t>凡有意参加投标者，从本项目比选公告发布之日起，请随时关注</w:t>
      </w:r>
      <w:r>
        <w:rPr>
          <w:rFonts w:hint="eastAsia" w:ascii="宋体" w:hAnsi="宋体" w:cs="宋体"/>
          <w:color w:val="auto"/>
          <w:kern w:val="0"/>
          <w:szCs w:val="21"/>
          <w:lang w:eastAsia="zh-CN"/>
        </w:rPr>
        <w:t>重庆市铜梁区福果镇人民政府公告栏</w:t>
      </w:r>
      <w:r>
        <w:rPr>
          <w:rFonts w:hint="eastAsia" w:ascii="宋体" w:hAnsi="宋体"/>
          <w:color w:val="auto"/>
        </w:rPr>
        <w:t>，并查阅本比选项目的比选修改内容等开标前资料，</w:t>
      </w:r>
      <w:r>
        <w:rPr>
          <w:rFonts w:hint="eastAsia" w:ascii="宋体" w:hAnsi="宋体"/>
          <w:color w:val="auto"/>
          <w:lang w:eastAsia="zh-CN"/>
        </w:rPr>
        <w:t>比选人</w:t>
      </w:r>
      <w:r>
        <w:rPr>
          <w:rFonts w:hint="eastAsia" w:ascii="宋体" w:hAnsi="宋体"/>
          <w:color w:val="auto"/>
        </w:rPr>
        <w:t>不再另行通知，不论投标人是否查阅，</w:t>
      </w:r>
      <w:r>
        <w:rPr>
          <w:rFonts w:hint="eastAsia" w:ascii="宋体" w:hAnsi="宋体"/>
          <w:color w:val="auto"/>
          <w:lang w:eastAsia="zh-CN"/>
        </w:rPr>
        <w:t>比选人</w:t>
      </w:r>
      <w:r>
        <w:rPr>
          <w:rFonts w:hint="eastAsia" w:ascii="宋体" w:hAnsi="宋体"/>
          <w:color w:val="auto"/>
        </w:rPr>
        <w:t>和比选代理机构都视为投标人已知晓</w:t>
      </w:r>
      <w:r>
        <w:rPr>
          <w:rFonts w:hint="eastAsia" w:ascii="宋体" w:hAnsi="宋体"/>
          <w:color w:val="auto"/>
          <w:lang w:eastAsia="zh-CN"/>
        </w:rPr>
        <w:t>比选人</w:t>
      </w:r>
      <w:r>
        <w:rPr>
          <w:rFonts w:hint="eastAsia" w:ascii="宋体" w:hAnsi="宋体"/>
          <w:color w:val="auto"/>
        </w:rPr>
        <w:t>对比选文件作出的修改。</w:t>
      </w:r>
    </w:p>
    <w:p>
      <w:pPr>
        <w:autoSpaceDE w:val="0"/>
        <w:autoSpaceDN w:val="0"/>
        <w:adjustRightInd w:val="0"/>
        <w:snapToGrid w:val="0"/>
        <w:spacing w:line="380" w:lineRule="exact"/>
        <w:jc w:val="left"/>
        <w:rPr>
          <w:rFonts w:ascii="宋体" w:hAnsi="宋体"/>
          <w:b/>
          <w:snapToGrid w:val="0"/>
          <w:color w:val="auto"/>
          <w:kern w:val="0"/>
        </w:rPr>
      </w:pPr>
      <w:bookmarkStart w:id="179" w:name="_Toc452058699"/>
      <w:r>
        <w:rPr>
          <w:rFonts w:ascii="宋体" w:hAnsi="宋体"/>
          <w:b/>
          <w:snapToGrid w:val="0"/>
          <w:color w:val="auto"/>
          <w:kern w:val="0"/>
        </w:rPr>
        <w:t xml:space="preserve">3.  </w:t>
      </w:r>
      <w:r>
        <w:rPr>
          <w:rFonts w:hint="eastAsia" w:ascii="宋体" w:hAnsi="宋体"/>
          <w:b/>
          <w:snapToGrid w:val="0"/>
          <w:color w:val="auto"/>
          <w:kern w:val="0"/>
        </w:rPr>
        <w:t>投标文件</w:t>
      </w:r>
      <w:bookmarkEnd w:id="172"/>
      <w:bookmarkEnd w:id="173"/>
      <w:bookmarkEnd w:id="174"/>
      <w:bookmarkEnd w:id="175"/>
      <w:bookmarkEnd w:id="176"/>
      <w:bookmarkEnd w:id="177"/>
      <w:bookmarkEnd w:id="178"/>
      <w:bookmarkEnd w:id="179"/>
    </w:p>
    <w:p>
      <w:pPr>
        <w:autoSpaceDE w:val="0"/>
        <w:autoSpaceDN w:val="0"/>
        <w:adjustRightInd w:val="0"/>
        <w:snapToGrid w:val="0"/>
        <w:spacing w:line="380" w:lineRule="exact"/>
        <w:jc w:val="left"/>
        <w:rPr>
          <w:rFonts w:ascii="宋体" w:hAnsi="宋体"/>
          <w:b/>
          <w:snapToGrid w:val="0"/>
          <w:color w:val="auto"/>
          <w:kern w:val="0"/>
        </w:rPr>
      </w:pPr>
      <w:bookmarkStart w:id="180" w:name="_Toc10647"/>
      <w:bookmarkStart w:id="181" w:name="_Toc224103336"/>
      <w:bookmarkStart w:id="182" w:name="_Toc287620704"/>
      <w:bookmarkStart w:id="183" w:name="_Toc200513145"/>
      <w:bookmarkStart w:id="184" w:name="_Toc386029665"/>
      <w:bookmarkStart w:id="185" w:name="_Toc277082571"/>
      <w:bookmarkStart w:id="186" w:name="_Toc452058700"/>
      <w:bookmarkStart w:id="187" w:name="_Toc287607765"/>
      <w:r>
        <w:rPr>
          <w:rFonts w:ascii="宋体" w:hAnsi="宋体"/>
          <w:b/>
          <w:snapToGrid w:val="0"/>
          <w:color w:val="auto"/>
          <w:kern w:val="0"/>
        </w:rPr>
        <w:t xml:space="preserve">3.1  </w:t>
      </w:r>
      <w:r>
        <w:rPr>
          <w:rFonts w:hint="eastAsia" w:ascii="宋体" w:hAnsi="宋体"/>
          <w:b/>
          <w:snapToGrid w:val="0"/>
          <w:color w:val="auto"/>
          <w:kern w:val="0"/>
        </w:rPr>
        <w:t>投标文件的组成</w:t>
      </w:r>
      <w:bookmarkEnd w:id="180"/>
      <w:bookmarkEnd w:id="181"/>
      <w:bookmarkEnd w:id="182"/>
      <w:bookmarkEnd w:id="183"/>
      <w:bookmarkEnd w:id="184"/>
      <w:bookmarkEnd w:id="185"/>
      <w:bookmarkEnd w:id="186"/>
      <w:bookmarkEnd w:id="187"/>
    </w:p>
    <w:p>
      <w:pPr>
        <w:autoSpaceDE w:val="0"/>
        <w:autoSpaceDN w:val="0"/>
        <w:adjustRightInd w:val="0"/>
        <w:snapToGrid w:val="0"/>
        <w:spacing w:line="400" w:lineRule="exact"/>
        <w:ind w:firstLine="420" w:firstLineChars="200"/>
        <w:rPr>
          <w:rFonts w:ascii="宋体" w:hAnsi="宋体"/>
          <w:snapToGrid w:val="0"/>
          <w:color w:val="auto"/>
          <w:kern w:val="0"/>
          <w:szCs w:val="21"/>
        </w:rPr>
      </w:pPr>
      <w:r>
        <w:rPr>
          <w:rFonts w:ascii="宋体" w:hAnsi="宋体"/>
          <w:snapToGrid w:val="0"/>
          <w:color w:val="auto"/>
          <w:kern w:val="0"/>
          <w:szCs w:val="21"/>
        </w:rPr>
        <w:t>3.1.1 投标文件应包括下列内容：</w:t>
      </w:r>
    </w:p>
    <w:p>
      <w:pPr>
        <w:spacing w:line="400" w:lineRule="exact"/>
        <w:ind w:firstLine="420" w:firstLineChars="200"/>
        <w:rPr>
          <w:rFonts w:ascii="宋体" w:hAnsi="宋体"/>
          <w:color w:val="auto"/>
        </w:rPr>
      </w:pPr>
      <w:r>
        <w:rPr>
          <w:rFonts w:hint="eastAsia" w:ascii="宋体" w:hAnsi="宋体"/>
          <w:color w:val="auto"/>
        </w:rPr>
        <w:t>3.1.1.1投标函部分</w:t>
      </w:r>
    </w:p>
    <w:p>
      <w:pPr>
        <w:spacing w:line="400" w:lineRule="exact"/>
        <w:ind w:firstLine="420" w:firstLineChars="200"/>
        <w:rPr>
          <w:rFonts w:ascii="宋体" w:hAnsi="宋体"/>
          <w:color w:val="auto"/>
        </w:rPr>
      </w:pPr>
      <w:r>
        <w:rPr>
          <w:rFonts w:hint="eastAsia" w:ascii="宋体" w:hAnsi="宋体"/>
          <w:color w:val="auto"/>
        </w:rPr>
        <w:t>（1）投标函</w:t>
      </w:r>
    </w:p>
    <w:p>
      <w:pPr>
        <w:spacing w:line="400" w:lineRule="exact"/>
        <w:ind w:firstLine="420" w:firstLineChars="200"/>
        <w:rPr>
          <w:rFonts w:ascii="宋体" w:hAnsi="宋体"/>
          <w:color w:val="auto"/>
        </w:rPr>
      </w:pPr>
      <w:r>
        <w:rPr>
          <w:rFonts w:hint="eastAsia" w:ascii="宋体" w:hAnsi="宋体"/>
          <w:color w:val="auto"/>
        </w:rPr>
        <w:t>（2）投标函附录</w:t>
      </w:r>
    </w:p>
    <w:p>
      <w:pPr>
        <w:spacing w:line="400" w:lineRule="exact"/>
        <w:ind w:firstLine="420" w:firstLineChars="200"/>
        <w:rPr>
          <w:rFonts w:ascii="宋体" w:hAnsi="宋体"/>
          <w:color w:val="auto"/>
        </w:rPr>
      </w:pPr>
      <w:r>
        <w:rPr>
          <w:rFonts w:hint="eastAsia" w:ascii="宋体" w:hAnsi="宋体"/>
          <w:color w:val="auto"/>
        </w:rPr>
        <w:t>（3）法定代表人身份证明或附有法定代表人身份证明的授权委托书</w:t>
      </w:r>
    </w:p>
    <w:p>
      <w:pPr>
        <w:spacing w:line="400" w:lineRule="exact"/>
        <w:ind w:firstLine="420" w:firstLineChars="200"/>
        <w:rPr>
          <w:rFonts w:ascii="宋体" w:hAnsi="宋体"/>
          <w:color w:val="auto"/>
        </w:rPr>
      </w:pPr>
      <w:r>
        <w:rPr>
          <w:rFonts w:hint="eastAsia" w:ascii="宋体" w:hAnsi="宋体"/>
          <w:color w:val="auto"/>
        </w:rPr>
        <w:t>3.1.1.2经济部分</w:t>
      </w:r>
    </w:p>
    <w:p>
      <w:pPr>
        <w:spacing w:line="400" w:lineRule="exact"/>
        <w:ind w:firstLine="420" w:firstLineChars="200"/>
        <w:rPr>
          <w:rFonts w:ascii="宋体" w:hAnsi="宋体"/>
          <w:color w:val="auto"/>
        </w:rPr>
      </w:pPr>
      <w:r>
        <w:rPr>
          <w:rFonts w:hint="eastAsia" w:ascii="宋体" w:hAnsi="宋体"/>
          <w:color w:val="auto"/>
        </w:rPr>
        <w:t>（1）已标价工程量清单</w:t>
      </w:r>
    </w:p>
    <w:p>
      <w:pPr>
        <w:spacing w:line="400" w:lineRule="exact"/>
        <w:ind w:firstLine="420" w:firstLineChars="200"/>
        <w:rPr>
          <w:rFonts w:ascii="宋体" w:hAnsi="宋体"/>
          <w:color w:val="auto"/>
        </w:rPr>
      </w:pPr>
      <w:r>
        <w:rPr>
          <w:rFonts w:hint="eastAsia" w:ascii="宋体" w:hAnsi="宋体"/>
          <w:color w:val="auto"/>
        </w:rPr>
        <w:t>3.1.1.3资格审查部分</w:t>
      </w:r>
    </w:p>
    <w:p>
      <w:pPr>
        <w:spacing w:line="400" w:lineRule="exact"/>
        <w:ind w:firstLine="420" w:firstLineChars="200"/>
        <w:rPr>
          <w:rFonts w:ascii="宋体" w:hAnsi="宋体"/>
          <w:color w:val="auto"/>
        </w:rPr>
      </w:pPr>
      <w:r>
        <w:rPr>
          <w:rFonts w:hint="eastAsia" w:ascii="宋体" w:hAnsi="宋体"/>
          <w:color w:val="auto"/>
        </w:rPr>
        <w:t>（1）法定代表人身份证明或附有法定代表人身份证明的授权委托书</w:t>
      </w:r>
    </w:p>
    <w:p>
      <w:pPr>
        <w:spacing w:line="400" w:lineRule="exact"/>
        <w:ind w:firstLine="420" w:firstLineChars="200"/>
        <w:rPr>
          <w:rFonts w:ascii="宋体" w:hAnsi="宋体"/>
          <w:color w:val="auto"/>
        </w:rPr>
      </w:pPr>
      <w:r>
        <w:rPr>
          <w:rFonts w:hint="eastAsia" w:ascii="宋体" w:hAnsi="宋体"/>
          <w:color w:val="auto"/>
        </w:rPr>
        <w:t>（2）投标人基本情况表</w:t>
      </w:r>
    </w:p>
    <w:p>
      <w:pPr>
        <w:spacing w:line="400" w:lineRule="exact"/>
        <w:ind w:firstLine="420" w:firstLineChars="200"/>
        <w:rPr>
          <w:rFonts w:ascii="宋体" w:hAnsi="宋体"/>
          <w:color w:val="auto"/>
        </w:rPr>
      </w:pPr>
      <w:r>
        <w:rPr>
          <w:rFonts w:hint="eastAsia" w:ascii="宋体" w:hAnsi="宋体"/>
          <w:color w:val="auto"/>
        </w:rPr>
        <w:t>（3）投标人基本情况表</w:t>
      </w:r>
    </w:p>
    <w:p>
      <w:pPr>
        <w:spacing w:line="400" w:lineRule="exact"/>
        <w:ind w:firstLine="420" w:firstLineChars="200"/>
        <w:rPr>
          <w:rFonts w:ascii="宋体" w:hAnsi="宋体"/>
          <w:color w:val="auto"/>
        </w:rPr>
      </w:pPr>
      <w:r>
        <w:rPr>
          <w:rFonts w:hint="eastAsia" w:ascii="宋体" w:hAnsi="宋体"/>
          <w:color w:val="auto"/>
        </w:rPr>
        <w:t>（4）承诺</w:t>
      </w:r>
    </w:p>
    <w:p>
      <w:pPr>
        <w:spacing w:line="400" w:lineRule="exact"/>
        <w:ind w:firstLine="420" w:firstLineChars="200"/>
        <w:rPr>
          <w:rFonts w:ascii="宋体" w:hAnsi="宋体"/>
          <w:color w:val="auto"/>
        </w:rPr>
      </w:pPr>
      <w:r>
        <w:rPr>
          <w:rFonts w:hint="eastAsia" w:ascii="宋体" w:hAnsi="宋体"/>
          <w:color w:val="auto"/>
        </w:rPr>
        <w:t>（5）其他资料</w:t>
      </w:r>
    </w:p>
    <w:p>
      <w:pPr>
        <w:autoSpaceDE w:val="0"/>
        <w:autoSpaceDN w:val="0"/>
        <w:adjustRightInd w:val="0"/>
        <w:snapToGrid w:val="0"/>
        <w:spacing w:line="380" w:lineRule="exact"/>
        <w:jc w:val="left"/>
        <w:rPr>
          <w:rFonts w:ascii="宋体" w:hAnsi="宋体"/>
          <w:b/>
          <w:snapToGrid w:val="0"/>
          <w:color w:val="auto"/>
          <w:kern w:val="0"/>
        </w:rPr>
      </w:pPr>
      <w:bookmarkStart w:id="188" w:name="_Toc18950"/>
      <w:bookmarkStart w:id="189" w:name="_Toc277082572"/>
      <w:bookmarkStart w:id="190" w:name="_Toc287607766"/>
      <w:bookmarkStart w:id="191" w:name="_Toc386029666"/>
      <w:bookmarkStart w:id="192" w:name="_Toc452058701"/>
      <w:bookmarkStart w:id="193" w:name="_Toc287620705"/>
      <w:bookmarkStart w:id="194" w:name="_Toc224103337"/>
      <w:bookmarkStart w:id="195" w:name="_Toc200513146"/>
      <w:r>
        <w:rPr>
          <w:rFonts w:ascii="宋体" w:hAnsi="宋体"/>
          <w:b/>
          <w:snapToGrid w:val="0"/>
          <w:color w:val="auto"/>
          <w:kern w:val="0"/>
        </w:rPr>
        <w:t xml:space="preserve">3.2  </w:t>
      </w:r>
      <w:r>
        <w:rPr>
          <w:rFonts w:hint="eastAsia" w:ascii="宋体" w:hAnsi="宋体"/>
          <w:b/>
          <w:snapToGrid w:val="0"/>
          <w:color w:val="auto"/>
          <w:kern w:val="0"/>
        </w:rPr>
        <w:t>投标报价</w:t>
      </w:r>
      <w:bookmarkEnd w:id="188"/>
      <w:bookmarkEnd w:id="189"/>
      <w:bookmarkEnd w:id="190"/>
      <w:bookmarkEnd w:id="191"/>
      <w:bookmarkEnd w:id="192"/>
      <w:bookmarkEnd w:id="193"/>
      <w:bookmarkEnd w:id="194"/>
      <w:bookmarkEnd w:id="195"/>
    </w:p>
    <w:p>
      <w:pPr>
        <w:autoSpaceDE w:val="0"/>
        <w:autoSpaceDN w:val="0"/>
        <w:adjustRightInd w:val="0"/>
        <w:snapToGrid w:val="0"/>
        <w:spacing w:line="380" w:lineRule="exact"/>
        <w:ind w:firstLine="420" w:firstLineChars="200"/>
        <w:jc w:val="left"/>
        <w:rPr>
          <w:rFonts w:ascii="宋体" w:hAnsi="宋体" w:cs="MingLiU"/>
          <w:snapToGrid w:val="0"/>
          <w:color w:val="auto"/>
          <w:kern w:val="0"/>
          <w:szCs w:val="21"/>
        </w:rPr>
      </w:pPr>
      <w:r>
        <w:rPr>
          <w:rFonts w:ascii="宋体" w:hAnsi="宋体"/>
          <w:snapToGrid w:val="0"/>
          <w:color w:val="auto"/>
          <w:kern w:val="0"/>
          <w:szCs w:val="21"/>
        </w:rPr>
        <w:t xml:space="preserve">3.2.1  </w:t>
      </w:r>
      <w:r>
        <w:rPr>
          <w:rFonts w:hint="eastAsia" w:ascii="宋体" w:hAnsi="宋体" w:cs="MingLiU"/>
          <w:snapToGrid w:val="0"/>
          <w:color w:val="auto"/>
          <w:kern w:val="0"/>
          <w:szCs w:val="21"/>
        </w:rPr>
        <w:t>投标人应按第二章投标人须知和第五章“工程量清单”的要求填写相应表格。</w:t>
      </w:r>
    </w:p>
    <w:p>
      <w:pPr>
        <w:autoSpaceDE w:val="0"/>
        <w:autoSpaceDN w:val="0"/>
        <w:adjustRightInd w:val="0"/>
        <w:snapToGrid w:val="0"/>
        <w:spacing w:line="380" w:lineRule="exact"/>
        <w:ind w:firstLine="420" w:firstLineChars="200"/>
        <w:jc w:val="left"/>
        <w:rPr>
          <w:rFonts w:ascii="宋体" w:hAnsi="宋体" w:cs="MingLiU"/>
          <w:snapToGrid w:val="0"/>
          <w:color w:val="auto"/>
          <w:kern w:val="0"/>
          <w:szCs w:val="21"/>
        </w:rPr>
      </w:pPr>
      <w:r>
        <w:rPr>
          <w:rFonts w:hint="eastAsia" w:ascii="宋体" w:hAnsi="宋体" w:cs="MingLiU"/>
          <w:snapToGrid w:val="0"/>
          <w:color w:val="auto"/>
          <w:kern w:val="0"/>
          <w:szCs w:val="21"/>
        </w:rPr>
        <w:t>3.2.2  投标人在投标截止时间前修改投标函中的投标总报价，应同时修改第五章“工程量清单”中的相应报价。此修改须符合本章第</w:t>
      </w:r>
      <w:r>
        <w:rPr>
          <w:rFonts w:ascii="宋体" w:hAnsi="宋体"/>
          <w:snapToGrid w:val="0"/>
          <w:color w:val="auto"/>
          <w:kern w:val="0"/>
          <w:szCs w:val="21"/>
        </w:rPr>
        <w:t xml:space="preserve"> 4.3 </w:t>
      </w:r>
      <w:r>
        <w:rPr>
          <w:rFonts w:hint="eastAsia" w:ascii="宋体" w:hAnsi="宋体" w:cs="MingLiU"/>
          <w:snapToGrid w:val="0"/>
          <w:color w:val="auto"/>
          <w:kern w:val="0"/>
          <w:szCs w:val="21"/>
        </w:rPr>
        <w:t>款的有关要求。</w:t>
      </w:r>
    </w:p>
    <w:p>
      <w:pPr>
        <w:autoSpaceDE w:val="0"/>
        <w:autoSpaceDN w:val="0"/>
        <w:adjustRightInd w:val="0"/>
        <w:snapToGrid w:val="0"/>
        <w:spacing w:line="380" w:lineRule="exact"/>
        <w:jc w:val="left"/>
        <w:rPr>
          <w:rFonts w:ascii="宋体" w:hAnsi="宋体"/>
          <w:b/>
          <w:snapToGrid w:val="0"/>
          <w:color w:val="auto"/>
          <w:kern w:val="0"/>
        </w:rPr>
      </w:pPr>
      <w:bookmarkStart w:id="196" w:name="_Toc200513147"/>
      <w:bookmarkStart w:id="197" w:name="_Toc287607767"/>
      <w:bookmarkStart w:id="198" w:name="_Toc452058702"/>
      <w:bookmarkStart w:id="199" w:name="_Toc224103338"/>
      <w:bookmarkStart w:id="200" w:name="_Toc287620706"/>
      <w:bookmarkStart w:id="201" w:name="_Toc277082573"/>
      <w:bookmarkStart w:id="202" w:name="_Toc386029667"/>
      <w:bookmarkStart w:id="203" w:name="_Toc21238"/>
      <w:r>
        <w:rPr>
          <w:rFonts w:ascii="宋体" w:hAnsi="宋体"/>
          <w:b/>
          <w:snapToGrid w:val="0"/>
          <w:color w:val="auto"/>
          <w:kern w:val="0"/>
        </w:rPr>
        <w:t xml:space="preserve">3.3  </w:t>
      </w:r>
      <w:r>
        <w:rPr>
          <w:rFonts w:hint="eastAsia" w:ascii="宋体" w:hAnsi="宋体"/>
          <w:b/>
          <w:snapToGrid w:val="0"/>
          <w:color w:val="auto"/>
          <w:kern w:val="0"/>
        </w:rPr>
        <w:t>投标有效期</w:t>
      </w:r>
      <w:bookmarkEnd w:id="196"/>
      <w:bookmarkEnd w:id="197"/>
      <w:bookmarkEnd w:id="198"/>
      <w:bookmarkEnd w:id="199"/>
      <w:bookmarkEnd w:id="200"/>
      <w:bookmarkEnd w:id="201"/>
      <w:bookmarkEnd w:id="202"/>
      <w:bookmarkEnd w:id="203"/>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ascii="宋体" w:hAnsi="宋体"/>
          <w:snapToGrid w:val="0"/>
          <w:color w:val="auto"/>
          <w:kern w:val="0"/>
          <w:szCs w:val="21"/>
        </w:rPr>
        <w:t xml:space="preserve">3.3.1  </w:t>
      </w:r>
      <w:r>
        <w:rPr>
          <w:rFonts w:hint="eastAsia" w:ascii="宋体" w:hAnsi="宋体" w:cs="MingLiU"/>
          <w:snapToGrid w:val="0"/>
          <w:color w:val="auto"/>
          <w:kern w:val="0"/>
          <w:szCs w:val="21"/>
        </w:rPr>
        <w:t>在投标人须知前附表规定的投标有效期内，投标人不得要求撤销或修改其投标文件。</w:t>
      </w:r>
    </w:p>
    <w:p>
      <w:pPr>
        <w:autoSpaceDE w:val="0"/>
        <w:autoSpaceDN w:val="0"/>
        <w:adjustRightInd w:val="0"/>
        <w:snapToGrid w:val="0"/>
        <w:spacing w:line="380" w:lineRule="exact"/>
        <w:ind w:firstLine="420"/>
        <w:rPr>
          <w:rFonts w:ascii="宋体" w:hAnsi="宋体" w:cs="MingLiU"/>
          <w:snapToGrid w:val="0"/>
          <w:color w:val="auto"/>
          <w:kern w:val="0"/>
          <w:szCs w:val="21"/>
        </w:rPr>
      </w:pPr>
      <w:bookmarkStart w:id="204" w:name="_Toc224103339"/>
      <w:bookmarkStart w:id="205" w:name="_Toc277082574"/>
      <w:bookmarkStart w:id="206" w:name="_Toc287607768"/>
      <w:bookmarkStart w:id="207" w:name="_Toc386029668"/>
      <w:bookmarkStart w:id="208" w:name="_Toc287620707"/>
      <w:bookmarkStart w:id="209" w:name="_Toc18976"/>
      <w:bookmarkStart w:id="210" w:name="_Toc200513148"/>
      <w:r>
        <w:rPr>
          <w:rFonts w:ascii="宋体" w:hAnsi="宋体"/>
          <w:snapToGrid w:val="0"/>
          <w:color w:val="auto"/>
          <w:kern w:val="0"/>
          <w:szCs w:val="21"/>
        </w:rPr>
        <w:t xml:space="preserve">3.3.2  </w:t>
      </w:r>
      <w:r>
        <w:rPr>
          <w:rFonts w:hint="eastAsia" w:ascii="宋体" w:hAnsi="宋体"/>
          <w:snapToGrid w:val="0"/>
          <w:color w:val="auto"/>
          <w:kern w:val="0"/>
        </w:rPr>
        <w:t>在开标前</w:t>
      </w:r>
      <w:r>
        <w:rPr>
          <w:rFonts w:hint="eastAsia" w:ascii="宋体" w:hAnsi="宋体" w:cs="MingLiU"/>
          <w:snapToGrid w:val="0"/>
          <w:color w:val="auto"/>
          <w:kern w:val="0"/>
          <w:szCs w:val="21"/>
        </w:rPr>
        <w:t>出现特殊情况需要延长投标有效期的，</w:t>
      </w:r>
      <w:r>
        <w:rPr>
          <w:rFonts w:hint="eastAsia" w:ascii="宋体" w:hAnsi="宋体"/>
          <w:color w:val="auto"/>
          <w:lang w:eastAsia="zh-CN"/>
        </w:rPr>
        <w:t>比选人</w:t>
      </w:r>
      <w:r>
        <w:rPr>
          <w:rFonts w:hint="eastAsia" w:ascii="宋体" w:hAnsi="宋体"/>
          <w:color w:val="auto"/>
        </w:rPr>
        <w:t>在</w:t>
      </w:r>
      <w:r>
        <w:rPr>
          <w:rFonts w:hint="eastAsia" w:ascii="宋体" w:hAnsi="宋体" w:cs="宋体"/>
          <w:color w:val="auto"/>
          <w:kern w:val="0"/>
          <w:szCs w:val="21"/>
          <w:lang w:eastAsia="zh-CN"/>
        </w:rPr>
        <w:t>重庆市铜梁区福果镇人民政府公告栏</w:t>
      </w:r>
      <w:r>
        <w:rPr>
          <w:rFonts w:hint="eastAsia" w:ascii="宋体" w:hAnsi="宋体"/>
          <w:color w:val="auto"/>
        </w:rPr>
        <w:t>上</w:t>
      </w:r>
      <w:r>
        <w:rPr>
          <w:rFonts w:hint="eastAsia" w:ascii="宋体" w:hAnsi="宋体"/>
          <w:snapToGrid w:val="0"/>
          <w:color w:val="auto"/>
          <w:kern w:val="0"/>
        </w:rPr>
        <w:t>通知所有投标人延长投标有效期。</w:t>
      </w:r>
      <w:r>
        <w:rPr>
          <w:rFonts w:hint="eastAsia" w:ascii="宋体" w:hAnsi="宋体" w:cs="MingLiU"/>
          <w:snapToGrid w:val="0"/>
          <w:color w:val="auto"/>
          <w:kern w:val="0"/>
          <w:szCs w:val="21"/>
        </w:rPr>
        <w:t>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380" w:lineRule="exact"/>
        <w:jc w:val="left"/>
        <w:rPr>
          <w:rFonts w:ascii="宋体" w:hAnsi="宋体"/>
          <w:b/>
          <w:snapToGrid w:val="0"/>
          <w:color w:val="auto"/>
          <w:kern w:val="0"/>
        </w:rPr>
      </w:pPr>
      <w:bookmarkStart w:id="211" w:name="_Toc452058703"/>
      <w:r>
        <w:rPr>
          <w:rFonts w:ascii="宋体" w:hAnsi="宋体"/>
          <w:b/>
          <w:snapToGrid w:val="0"/>
          <w:color w:val="auto"/>
          <w:kern w:val="0"/>
        </w:rPr>
        <w:t xml:space="preserve">3.4  </w:t>
      </w:r>
      <w:r>
        <w:rPr>
          <w:rFonts w:hint="eastAsia" w:ascii="宋体" w:hAnsi="宋体"/>
          <w:b/>
          <w:snapToGrid w:val="0"/>
          <w:color w:val="auto"/>
          <w:kern w:val="0"/>
        </w:rPr>
        <w:t>投标保证金</w:t>
      </w:r>
      <w:bookmarkEnd w:id="204"/>
      <w:bookmarkEnd w:id="205"/>
      <w:bookmarkEnd w:id="206"/>
      <w:bookmarkEnd w:id="207"/>
      <w:bookmarkEnd w:id="208"/>
      <w:bookmarkEnd w:id="209"/>
      <w:bookmarkEnd w:id="210"/>
      <w:bookmarkEnd w:id="211"/>
    </w:p>
    <w:p>
      <w:pPr>
        <w:autoSpaceDE w:val="0"/>
        <w:autoSpaceDN w:val="0"/>
        <w:adjustRightInd w:val="0"/>
        <w:snapToGrid w:val="0"/>
        <w:spacing w:line="380" w:lineRule="exact"/>
        <w:ind w:firstLine="420" w:firstLineChars="200"/>
        <w:rPr>
          <w:rFonts w:ascii="宋体" w:hAnsi="宋体" w:cs="MingLiU"/>
          <w:snapToGrid w:val="0"/>
          <w:color w:val="auto"/>
          <w:kern w:val="0"/>
          <w:szCs w:val="21"/>
        </w:rPr>
      </w:pPr>
      <w:r>
        <w:rPr>
          <w:rFonts w:ascii="宋体" w:hAnsi="宋体" w:cs="MingLiU"/>
          <w:snapToGrid w:val="0"/>
          <w:color w:val="auto"/>
          <w:kern w:val="0"/>
          <w:szCs w:val="21"/>
        </w:rPr>
        <w:t xml:space="preserve">3.4.1  </w:t>
      </w:r>
      <w:r>
        <w:rPr>
          <w:rFonts w:hint="eastAsia" w:ascii="宋体" w:hAnsi="宋体" w:cs="MingLiU"/>
          <w:snapToGrid w:val="0"/>
          <w:color w:val="auto"/>
          <w:kern w:val="0"/>
          <w:szCs w:val="21"/>
        </w:rPr>
        <w:t>投标人在递交投标文件的同时，应按投标人须知前附表规定的金额、形式递交投标保证金，并作为其投标文件的组成部分。</w:t>
      </w:r>
    </w:p>
    <w:p>
      <w:pPr>
        <w:autoSpaceDE w:val="0"/>
        <w:autoSpaceDN w:val="0"/>
        <w:adjustRightInd w:val="0"/>
        <w:snapToGrid w:val="0"/>
        <w:spacing w:line="380" w:lineRule="exact"/>
        <w:ind w:firstLine="420" w:firstLineChars="200"/>
        <w:rPr>
          <w:rFonts w:ascii="宋体" w:hAnsi="宋体" w:cs="MingLiU"/>
          <w:b/>
          <w:snapToGrid w:val="0"/>
          <w:color w:val="auto"/>
          <w:kern w:val="0"/>
          <w:szCs w:val="21"/>
        </w:rPr>
      </w:pPr>
      <w:r>
        <w:rPr>
          <w:rFonts w:ascii="宋体" w:hAnsi="宋体"/>
          <w:snapToGrid w:val="0"/>
          <w:color w:val="auto"/>
          <w:kern w:val="0"/>
          <w:szCs w:val="21"/>
        </w:rPr>
        <w:t xml:space="preserve">3.4.2  </w:t>
      </w:r>
      <w:r>
        <w:rPr>
          <w:rFonts w:hint="eastAsia" w:ascii="宋体" w:hAnsi="宋体" w:cs="MingLiU"/>
          <w:snapToGrid w:val="0"/>
          <w:color w:val="auto"/>
          <w:kern w:val="0"/>
          <w:szCs w:val="21"/>
        </w:rPr>
        <w:t>投标人不按本章第</w:t>
      </w:r>
      <w:r>
        <w:rPr>
          <w:rFonts w:ascii="宋体" w:hAnsi="宋体"/>
          <w:snapToGrid w:val="0"/>
          <w:color w:val="auto"/>
          <w:kern w:val="0"/>
          <w:szCs w:val="21"/>
        </w:rPr>
        <w:t xml:space="preserve"> 3.4.1 </w:t>
      </w:r>
      <w:r>
        <w:rPr>
          <w:rFonts w:hint="eastAsia" w:ascii="宋体" w:hAnsi="宋体" w:cs="MingLiU"/>
          <w:snapToGrid w:val="0"/>
          <w:color w:val="auto"/>
          <w:kern w:val="0"/>
          <w:szCs w:val="21"/>
        </w:rPr>
        <w:t>项要求提交投标保证金的，</w:t>
      </w:r>
      <w:r>
        <w:rPr>
          <w:rFonts w:hint="eastAsia" w:ascii="黑体" w:hAnsi="宋体" w:eastAsia="黑体" w:cs="MingLiU"/>
          <w:b/>
          <w:snapToGrid w:val="0"/>
          <w:color w:val="auto"/>
          <w:kern w:val="0"/>
          <w:szCs w:val="21"/>
        </w:rPr>
        <w:t>其投标文件作否决投标处理。</w:t>
      </w:r>
    </w:p>
    <w:p>
      <w:pPr>
        <w:autoSpaceDE w:val="0"/>
        <w:autoSpaceDN w:val="0"/>
        <w:adjustRightInd w:val="0"/>
        <w:snapToGrid w:val="0"/>
        <w:spacing w:line="380" w:lineRule="exact"/>
        <w:ind w:left="12" w:leftChars="6" w:firstLine="405" w:firstLineChars="193"/>
        <w:jc w:val="left"/>
        <w:rPr>
          <w:rFonts w:ascii="宋体" w:hAnsi="宋体" w:cs="MingLiU"/>
          <w:snapToGrid w:val="0"/>
          <w:color w:val="auto"/>
          <w:kern w:val="0"/>
          <w:szCs w:val="21"/>
        </w:rPr>
      </w:pPr>
      <w:r>
        <w:rPr>
          <w:rFonts w:ascii="宋体" w:hAnsi="宋体"/>
          <w:snapToGrid w:val="0"/>
          <w:color w:val="auto"/>
          <w:kern w:val="0"/>
          <w:szCs w:val="21"/>
        </w:rPr>
        <w:t xml:space="preserve">3.4.3  </w:t>
      </w:r>
      <w:r>
        <w:rPr>
          <w:rFonts w:hint="eastAsia" w:ascii="宋体" w:hAnsi="宋体" w:cs="MingLiU"/>
          <w:snapToGrid w:val="0"/>
          <w:color w:val="auto"/>
          <w:kern w:val="0"/>
          <w:szCs w:val="21"/>
        </w:rPr>
        <w:t>投标</w:t>
      </w:r>
      <w:r>
        <w:rPr>
          <w:rFonts w:hint="eastAsia" w:ascii="宋体" w:hAnsi="宋体" w:cs="MingLiU"/>
          <w:snapToGrid w:val="0"/>
          <w:color w:val="auto"/>
          <w:kern w:val="0"/>
          <w:position w:val="-2"/>
          <w:szCs w:val="21"/>
        </w:rPr>
        <w:t>保证金</w:t>
      </w:r>
      <w:r>
        <w:rPr>
          <w:rFonts w:hint="eastAsia" w:ascii="宋体" w:hAnsi="宋体" w:cs="MingLiU"/>
          <w:snapToGrid w:val="0"/>
          <w:color w:val="auto"/>
          <w:kern w:val="0"/>
          <w:szCs w:val="21"/>
        </w:rPr>
        <w:t>退还：见投标人须知前附表</w:t>
      </w:r>
      <w:r>
        <w:rPr>
          <w:rFonts w:hint="eastAsia" w:ascii="宋体" w:hAnsi="宋体" w:cs="MingLiU"/>
          <w:snapToGrid w:val="0"/>
          <w:color w:val="auto"/>
          <w:kern w:val="0"/>
          <w:position w:val="-2"/>
          <w:szCs w:val="21"/>
        </w:rPr>
        <w:t>。</w:t>
      </w:r>
    </w:p>
    <w:p>
      <w:pPr>
        <w:autoSpaceDE w:val="0"/>
        <w:autoSpaceDN w:val="0"/>
        <w:adjustRightInd w:val="0"/>
        <w:snapToGrid w:val="0"/>
        <w:spacing w:line="380" w:lineRule="exact"/>
        <w:ind w:left="12" w:leftChars="6" w:firstLine="405" w:firstLineChars="193"/>
        <w:jc w:val="left"/>
        <w:rPr>
          <w:rFonts w:ascii="宋体" w:hAnsi="宋体" w:cs="MingLiU"/>
          <w:b/>
          <w:bCs/>
          <w:snapToGrid w:val="0"/>
          <w:color w:val="auto"/>
          <w:kern w:val="0"/>
          <w:position w:val="-2"/>
          <w:szCs w:val="21"/>
        </w:rPr>
      </w:pPr>
      <w:r>
        <w:rPr>
          <w:rFonts w:ascii="宋体" w:hAnsi="宋体"/>
          <w:snapToGrid w:val="0"/>
          <w:color w:val="auto"/>
          <w:kern w:val="0"/>
          <w:szCs w:val="21"/>
        </w:rPr>
        <w:t xml:space="preserve">3.4.4  </w:t>
      </w:r>
      <w:r>
        <w:rPr>
          <w:rFonts w:hint="eastAsia" w:ascii="宋体" w:hAnsi="宋体" w:cs="MingLiU"/>
          <w:snapToGrid w:val="0"/>
          <w:color w:val="auto"/>
          <w:kern w:val="0"/>
          <w:szCs w:val="21"/>
        </w:rPr>
        <w:t>有下列情形之</w:t>
      </w:r>
      <w:r>
        <w:rPr>
          <w:rFonts w:hint="eastAsia" w:ascii="宋体" w:hAnsi="宋体" w:cs="MingLiU"/>
          <w:snapToGrid w:val="0"/>
          <w:color w:val="auto"/>
          <w:kern w:val="0"/>
          <w:position w:val="-2"/>
          <w:szCs w:val="21"/>
        </w:rPr>
        <w:t>一的，</w:t>
      </w:r>
      <w:r>
        <w:rPr>
          <w:rFonts w:hint="eastAsia" w:ascii="宋体" w:hAnsi="宋体" w:cs="MingLiU"/>
          <w:b/>
          <w:bCs/>
          <w:snapToGrid w:val="0"/>
          <w:color w:val="auto"/>
          <w:kern w:val="0"/>
          <w:position w:val="-2"/>
          <w:szCs w:val="21"/>
        </w:rPr>
        <w:t>取消其中标资格，投标保证金将不予退还：</w:t>
      </w:r>
    </w:p>
    <w:p>
      <w:pPr>
        <w:autoSpaceDE w:val="0"/>
        <w:autoSpaceDN w:val="0"/>
        <w:adjustRightInd w:val="0"/>
        <w:snapToGrid w:val="0"/>
        <w:spacing w:line="380" w:lineRule="exact"/>
        <w:ind w:left="12" w:leftChars="6" w:firstLine="405" w:firstLineChars="193"/>
        <w:jc w:val="left"/>
        <w:rPr>
          <w:rFonts w:ascii="宋体" w:hAnsi="宋体" w:cs="MingLiU"/>
          <w:snapToGrid w:val="0"/>
          <w:color w:val="auto"/>
          <w:kern w:val="0"/>
          <w:position w:val="-2"/>
          <w:szCs w:val="21"/>
        </w:rPr>
      </w:pPr>
      <w:r>
        <w:rPr>
          <w:rFonts w:hint="eastAsia" w:ascii="宋体" w:hAnsi="宋体" w:cs="MingLiU"/>
          <w:snapToGrid w:val="0"/>
          <w:color w:val="auto"/>
          <w:kern w:val="0"/>
          <w:position w:val="-2"/>
          <w:szCs w:val="21"/>
        </w:rPr>
        <w:t>（1）投标截止后投标人撤销投标文件的；</w:t>
      </w:r>
    </w:p>
    <w:p>
      <w:pPr>
        <w:autoSpaceDE w:val="0"/>
        <w:autoSpaceDN w:val="0"/>
        <w:adjustRightInd w:val="0"/>
        <w:snapToGrid w:val="0"/>
        <w:spacing w:line="380" w:lineRule="exact"/>
        <w:ind w:left="12" w:leftChars="6" w:firstLine="405" w:firstLineChars="193"/>
        <w:jc w:val="left"/>
        <w:rPr>
          <w:rFonts w:ascii="宋体" w:hAnsi="宋体" w:cs="MingLiU"/>
          <w:snapToGrid w:val="0"/>
          <w:color w:val="auto"/>
          <w:kern w:val="0"/>
          <w:position w:val="-2"/>
          <w:szCs w:val="21"/>
        </w:rPr>
      </w:pPr>
      <w:r>
        <w:rPr>
          <w:rFonts w:hint="eastAsia" w:ascii="宋体" w:hAnsi="宋体" w:cs="MingLiU"/>
          <w:snapToGrid w:val="0"/>
          <w:color w:val="auto"/>
          <w:kern w:val="0"/>
          <w:position w:val="-2"/>
          <w:szCs w:val="21"/>
        </w:rPr>
        <w:t>（2）中标人无正当理由不与</w:t>
      </w:r>
      <w:r>
        <w:rPr>
          <w:rFonts w:hint="eastAsia" w:ascii="宋体" w:hAnsi="宋体" w:cs="宋体"/>
          <w:color w:val="auto"/>
          <w:szCs w:val="21"/>
          <w:lang w:val="en-US" w:eastAsia="zh-CN"/>
        </w:rPr>
        <w:t>比选人</w:t>
      </w:r>
      <w:r>
        <w:rPr>
          <w:rFonts w:hint="eastAsia" w:ascii="宋体" w:hAnsi="宋体" w:cs="MingLiU"/>
          <w:snapToGrid w:val="0"/>
          <w:color w:val="auto"/>
          <w:kern w:val="0"/>
          <w:position w:val="-2"/>
          <w:szCs w:val="21"/>
        </w:rPr>
        <w:t>签订合同，在签订合同时向</w:t>
      </w:r>
      <w:r>
        <w:rPr>
          <w:rFonts w:hint="eastAsia" w:ascii="宋体" w:hAnsi="宋体"/>
          <w:color w:val="auto"/>
          <w:lang w:eastAsia="zh-CN"/>
        </w:rPr>
        <w:t>比选人</w:t>
      </w:r>
      <w:r>
        <w:rPr>
          <w:rFonts w:hint="eastAsia" w:ascii="宋体" w:hAnsi="宋体" w:cs="MingLiU"/>
          <w:snapToGrid w:val="0"/>
          <w:color w:val="auto"/>
          <w:kern w:val="0"/>
          <w:position w:val="-2"/>
          <w:szCs w:val="21"/>
        </w:rPr>
        <w:t>提出附加条件，或者不按</w:t>
      </w:r>
      <w:r>
        <w:rPr>
          <w:rFonts w:hint="eastAsia" w:ascii="宋体" w:hAnsi="宋体"/>
          <w:color w:val="auto"/>
        </w:rPr>
        <w:t>比选</w:t>
      </w:r>
      <w:r>
        <w:rPr>
          <w:rFonts w:hint="eastAsia" w:ascii="宋体" w:hAnsi="宋体" w:cs="MingLiU"/>
          <w:snapToGrid w:val="0"/>
          <w:color w:val="auto"/>
          <w:kern w:val="0"/>
          <w:position w:val="-2"/>
          <w:szCs w:val="21"/>
        </w:rPr>
        <w:t>文件要求提交履约保证金的；</w:t>
      </w:r>
    </w:p>
    <w:p>
      <w:pPr>
        <w:autoSpaceDE w:val="0"/>
        <w:autoSpaceDN w:val="0"/>
        <w:adjustRightInd w:val="0"/>
        <w:snapToGrid w:val="0"/>
        <w:spacing w:line="380" w:lineRule="exact"/>
        <w:ind w:left="12" w:leftChars="6" w:firstLine="405" w:firstLineChars="193"/>
        <w:jc w:val="left"/>
        <w:rPr>
          <w:rFonts w:ascii="宋体" w:hAnsi="宋体" w:cs="MingLiU"/>
          <w:snapToGrid w:val="0"/>
          <w:color w:val="auto"/>
          <w:kern w:val="0"/>
          <w:position w:val="-2"/>
          <w:szCs w:val="21"/>
        </w:rPr>
      </w:pPr>
      <w:r>
        <w:rPr>
          <w:rFonts w:hint="eastAsia" w:ascii="宋体" w:hAnsi="宋体" w:cs="MingLiU"/>
          <w:snapToGrid w:val="0"/>
          <w:color w:val="auto"/>
          <w:kern w:val="0"/>
          <w:position w:val="-2"/>
          <w:szCs w:val="21"/>
        </w:rPr>
        <w:t>（3）相关法律法规规定的其他情形。</w:t>
      </w:r>
    </w:p>
    <w:p>
      <w:pPr>
        <w:autoSpaceDE w:val="0"/>
        <w:autoSpaceDN w:val="0"/>
        <w:adjustRightInd w:val="0"/>
        <w:snapToGrid w:val="0"/>
        <w:spacing w:line="380" w:lineRule="exact"/>
        <w:jc w:val="left"/>
        <w:rPr>
          <w:rFonts w:ascii="宋体" w:hAnsi="宋体" w:cs="MingLiU"/>
          <w:b/>
          <w:bCs/>
          <w:snapToGrid w:val="0"/>
          <w:color w:val="auto"/>
          <w:kern w:val="0"/>
          <w:position w:val="-2"/>
          <w:szCs w:val="21"/>
        </w:rPr>
      </w:pPr>
      <w:bookmarkStart w:id="212" w:name="_Toc200513150"/>
      <w:bookmarkStart w:id="213" w:name="_Toc224103341"/>
      <w:bookmarkStart w:id="214" w:name="_Toc31907"/>
      <w:bookmarkStart w:id="215" w:name="_Toc287620709"/>
      <w:bookmarkStart w:id="216" w:name="_Toc287607770"/>
      <w:bookmarkStart w:id="217" w:name="_Toc277082576"/>
      <w:bookmarkStart w:id="218" w:name="_Toc452058704"/>
      <w:bookmarkStart w:id="219" w:name="_Toc386029669"/>
      <w:r>
        <w:rPr>
          <w:rFonts w:ascii="宋体" w:hAnsi="宋体"/>
          <w:b/>
          <w:snapToGrid w:val="0"/>
          <w:color w:val="auto"/>
          <w:kern w:val="0"/>
        </w:rPr>
        <w:t xml:space="preserve">3.5  </w:t>
      </w:r>
      <w:r>
        <w:rPr>
          <w:rFonts w:hint="eastAsia" w:ascii="宋体" w:hAnsi="宋体"/>
          <w:b/>
          <w:snapToGrid w:val="0"/>
          <w:color w:val="auto"/>
          <w:kern w:val="0"/>
        </w:rPr>
        <w:t>资格审查资料</w:t>
      </w:r>
      <w:bookmarkEnd w:id="212"/>
      <w:bookmarkEnd w:id="213"/>
      <w:bookmarkEnd w:id="214"/>
      <w:bookmarkEnd w:id="215"/>
      <w:bookmarkEnd w:id="216"/>
      <w:bookmarkEnd w:id="217"/>
      <w:bookmarkEnd w:id="218"/>
      <w:bookmarkEnd w:id="219"/>
    </w:p>
    <w:p>
      <w:pPr>
        <w:autoSpaceDE w:val="0"/>
        <w:autoSpaceDN w:val="0"/>
        <w:adjustRightInd w:val="0"/>
        <w:snapToGrid w:val="0"/>
        <w:spacing w:line="380" w:lineRule="exact"/>
        <w:ind w:firstLine="420" w:firstLineChars="200"/>
        <w:jc w:val="left"/>
        <w:rPr>
          <w:rFonts w:ascii="宋体" w:hAnsi="宋体"/>
          <w:color w:val="auto"/>
          <w:szCs w:val="21"/>
        </w:rPr>
      </w:pPr>
      <w:bookmarkStart w:id="220" w:name="_Toc287620710"/>
      <w:bookmarkStart w:id="221" w:name="_Toc277082577"/>
      <w:bookmarkStart w:id="222" w:name="_Toc200513151"/>
      <w:bookmarkStart w:id="223" w:name="_Toc386029670"/>
      <w:bookmarkStart w:id="224" w:name="_Toc29514"/>
      <w:bookmarkStart w:id="225" w:name="_Toc287607771"/>
      <w:bookmarkStart w:id="226" w:name="_Toc452058705"/>
      <w:bookmarkStart w:id="227" w:name="_Toc224103342"/>
      <w:r>
        <w:rPr>
          <w:rFonts w:ascii="宋体" w:hAnsi="宋体"/>
          <w:color w:val="auto"/>
          <w:szCs w:val="21"/>
        </w:rPr>
        <w:t>投标人</w:t>
      </w:r>
      <w:r>
        <w:rPr>
          <w:rFonts w:hint="eastAsia" w:ascii="宋体" w:hAnsi="宋体"/>
          <w:color w:val="auto"/>
          <w:szCs w:val="21"/>
        </w:rPr>
        <w:t>应附</w:t>
      </w:r>
      <w:r>
        <w:rPr>
          <w:rFonts w:hint="eastAsia" w:ascii="宋体" w:hAnsi="宋体"/>
          <w:color w:val="auto"/>
          <w:kern w:val="0"/>
          <w:szCs w:val="21"/>
        </w:rPr>
        <w:t>投标人须知前附表第1</w:t>
      </w:r>
      <w:r>
        <w:rPr>
          <w:rFonts w:ascii="宋体" w:hAnsi="宋体"/>
          <w:color w:val="auto"/>
          <w:kern w:val="0"/>
          <w:szCs w:val="21"/>
        </w:rPr>
        <w:t>.4.1</w:t>
      </w:r>
      <w:r>
        <w:rPr>
          <w:rFonts w:hint="eastAsia" w:ascii="宋体" w:hAnsi="宋体"/>
          <w:color w:val="auto"/>
          <w:kern w:val="0"/>
          <w:szCs w:val="21"/>
        </w:rPr>
        <w:t>项中要求的相关证明材料</w:t>
      </w:r>
      <w:r>
        <w:rPr>
          <w:rFonts w:ascii="宋体" w:hAnsi="宋体"/>
          <w:color w:val="auto"/>
          <w:szCs w:val="21"/>
        </w:rPr>
        <w:t>。</w:t>
      </w:r>
    </w:p>
    <w:p>
      <w:pPr>
        <w:autoSpaceDE w:val="0"/>
        <w:autoSpaceDN w:val="0"/>
        <w:adjustRightInd w:val="0"/>
        <w:snapToGrid w:val="0"/>
        <w:spacing w:line="380" w:lineRule="exact"/>
        <w:jc w:val="left"/>
        <w:rPr>
          <w:rFonts w:ascii="宋体" w:hAnsi="宋体"/>
          <w:b/>
          <w:snapToGrid w:val="0"/>
          <w:color w:val="auto"/>
          <w:kern w:val="0"/>
        </w:rPr>
      </w:pPr>
      <w:r>
        <w:rPr>
          <w:rFonts w:ascii="宋体" w:hAnsi="宋体"/>
          <w:b/>
          <w:snapToGrid w:val="0"/>
          <w:color w:val="auto"/>
          <w:kern w:val="0"/>
        </w:rPr>
        <w:t xml:space="preserve">3.6  </w:t>
      </w:r>
      <w:r>
        <w:rPr>
          <w:rFonts w:hint="eastAsia" w:ascii="宋体" w:hAnsi="宋体"/>
          <w:b/>
          <w:snapToGrid w:val="0"/>
          <w:color w:val="auto"/>
          <w:kern w:val="0"/>
        </w:rPr>
        <w:t>备选投标方案</w:t>
      </w:r>
      <w:bookmarkEnd w:id="220"/>
      <w:bookmarkEnd w:id="221"/>
      <w:bookmarkEnd w:id="222"/>
      <w:bookmarkEnd w:id="223"/>
      <w:bookmarkEnd w:id="224"/>
      <w:bookmarkEnd w:id="225"/>
      <w:bookmarkEnd w:id="226"/>
      <w:bookmarkEnd w:id="227"/>
    </w:p>
    <w:p>
      <w:pPr>
        <w:autoSpaceDE w:val="0"/>
        <w:autoSpaceDN w:val="0"/>
        <w:adjustRightInd w:val="0"/>
        <w:snapToGrid w:val="0"/>
        <w:spacing w:line="380" w:lineRule="exact"/>
        <w:ind w:firstLine="420"/>
        <w:jc w:val="left"/>
        <w:rPr>
          <w:rFonts w:ascii="宋体" w:hAnsi="宋体" w:cs="MingLiU"/>
          <w:snapToGrid w:val="0"/>
          <w:color w:val="auto"/>
          <w:kern w:val="0"/>
          <w:szCs w:val="21"/>
        </w:rPr>
      </w:pPr>
      <w:bookmarkStart w:id="228" w:name="_Toc8755"/>
      <w:bookmarkStart w:id="229" w:name="_Toc287607772"/>
      <w:bookmarkStart w:id="230" w:name="_Toc200513152"/>
      <w:bookmarkStart w:id="231" w:name="_Toc224103343"/>
      <w:bookmarkStart w:id="232" w:name="_Toc287620711"/>
      <w:bookmarkStart w:id="233" w:name="_Toc386029671"/>
      <w:bookmarkStart w:id="234" w:name="_Toc277082578"/>
      <w:r>
        <w:rPr>
          <w:rFonts w:hint="eastAsia" w:ascii="宋体" w:hAnsi="宋体" w:cs="MingLiU"/>
          <w:snapToGrid w:val="0"/>
          <w:color w:val="auto"/>
          <w:kern w:val="0"/>
          <w:szCs w:val="21"/>
        </w:rPr>
        <w:t>投标人不得递交备选投标方案。</w:t>
      </w:r>
    </w:p>
    <w:p>
      <w:pPr>
        <w:autoSpaceDE w:val="0"/>
        <w:autoSpaceDN w:val="0"/>
        <w:adjustRightInd w:val="0"/>
        <w:snapToGrid w:val="0"/>
        <w:spacing w:line="380" w:lineRule="exact"/>
        <w:jc w:val="left"/>
        <w:rPr>
          <w:rFonts w:ascii="宋体" w:hAnsi="宋体"/>
          <w:b/>
          <w:snapToGrid w:val="0"/>
          <w:color w:val="auto"/>
          <w:kern w:val="0"/>
        </w:rPr>
      </w:pPr>
      <w:bookmarkStart w:id="235" w:name="_Toc452058706"/>
      <w:r>
        <w:rPr>
          <w:rFonts w:ascii="宋体" w:hAnsi="宋体"/>
          <w:b/>
          <w:snapToGrid w:val="0"/>
          <w:color w:val="auto"/>
          <w:kern w:val="0"/>
        </w:rPr>
        <w:t>3</w:t>
      </w:r>
      <w:r>
        <w:rPr>
          <w:rFonts w:hint="eastAsia" w:ascii="宋体" w:hAnsi="宋体"/>
          <w:b/>
          <w:snapToGrid w:val="0"/>
          <w:color w:val="auto"/>
          <w:kern w:val="0"/>
        </w:rPr>
        <w:t>.</w:t>
      </w:r>
      <w:r>
        <w:rPr>
          <w:rFonts w:ascii="宋体" w:hAnsi="宋体"/>
          <w:b/>
          <w:snapToGrid w:val="0"/>
          <w:color w:val="auto"/>
          <w:kern w:val="0"/>
        </w:rPr>
        <w:t xml:space="preserve">7  </w:t>
      </w:r>
      <w:r>
        <w:rPr>
          <w:rFonts w:hint="eastAsia" w:ascii="宋体" w:hAnsi="宋体"/>
          <w:b/>
          <w:snapToGrid w:val="0"/>
          <w:color w:val="auto"/>
          <w:kern w:val="0"/>
        </w:rPr>
        <w:t>投标文件的编制</w:t>
      </w:r>
      <w:bookmarkEnd w:id="228"/>
      <w:bookmarkEnd w:id="229"/>
      <w:bookmarkEnd w:id="230"/>
      <w:bookmarkEnd w:id="231"/>
      <w:bookmarkEnd w:id="232"/>
      <w:bookmarkEnd w:id="233"/>
      <w:bookmarkEnd w:id="234"/>
      <w:bookmarkEnd w:id="235"/>
    </w:p>
    <w:p>
      <w:pPr>
        <w:spacing w:line="380" w:lineRule="exact"/>
        <w:ind w:firstLine="420" w:firstLineChars="200"/>
        <w:rPr>
          <w:rFonts w:ascii="宋体" w:hAnsi="宋体" w:cs="MingLiU"/>
          <w:snapToGrid w:val="0"/>
          <w:color w:val="auto"/>
          <w:kern w:val="0"/>
          <w:szCs w:val="21"/>
        </w:rPr>
      </w:pPr>
      <w:bookmarkStart w:id="236" w:name="_Toc6920"/>
      <w:bookmarkStart w:id="237" w:name="_Toc25740"/>
      <w:bookmarkStart w:id="238" w:name="_Toc277082579"/>
      <w:bookmarkStart w:id="239" w:name="_Toc200513153"/>
      <w:bookmarkStart w:id="240" w:name="_Toc386029672"/>
      <w:bookmarkStart w:id="241" w:name="_Toc287607773"/>
      <w:bookmarkStart w:id="242" w:name="_Toc224103344"/>
      <w:r>
        <w:rPr>
          <w:rFonts w:hint="eastAsia" w:ascii="宋体" w:hAnsi="宋体" w:cs="MingLiU"/>
          <w:snapToGrid w:val="0"/>
          <w:color w:val="auto"/>
          <w:kern w:val="0"/>
          <w:szCs w:val="21"/>
        </w:rPr>
        <w:t>3.7.1  投标文件应按第八章“投标文件格式”进行编写，如有必要，可以增加附页，作为投标文件的组成部分。其中，投标函附录在满足比选文件实质性要求的基础上，可以提出比竞争性比选文件要求更有利于</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的承诺。</w:t>
      </w:r>
    </w:p>
    <w:p>
      <w:pPr>
        <w:spacing w:line="380" w:lineRule="exact"/>
        <w:ind w:firstLine="420" w:firstLineChars="200"/>
        <w:rPr>
          <w:rFonts w:ascii="宋体" w:hAnsi="宋体" w:cs="MingLiU"/>
          <w:snapToGrid w:val="0"/>
          <w:color w:val="auto"/>
          <w:kern w:val="0"/>
          <w:szCs w:val="21"/>
        </w:rPr>
      </w:pPr>
      <w:r>
        <w:rPr>
          <w:rFonts w:hint="eastAsia" w:ascii="宋体" w:hAnsi="宋体" w:cs="MingLiU"/>
          <w:snapToGrid w:val="0"/>
          <w:color w:val="auto"/>
          <w:kern w:val="0"/>
          <w:szCs w:val="21"/>
        </w:rPr>
        <w:t>3.7.2  投标文件应当对比选文件有关工期、投标有效期、质量要求、技术标准和要求、</w:t>
      </w:r>
      <w:r>
        <w:rPr>
          <w:rFonts w:hint="eastAsia" w:ascii="宋体" w:hAnsi="宋体" w:cs="宋体"/>
          <w:color w:val="auto"/>
          <w:szCs w:val="21"/>
          <w:lang w:val="en-US" w:eastAsia="zh-CN"/>
        </w:rPr>
        <w:t>比选</w:t>
      </w:r>
      <w:r>
        <w:rPr>
          <w:rFonts w:hint="eastAsia" w:ascii="宋体" w:hAnsi="宋体" w:cs="MingLiU"/>
          <w:snapToGrid w:val="0"/>
          <w:color w:val="auto"/>
          <w:kern w:val="0"/>
          <w:szCs w:val="21"/>
        </w:rPr>
        <w:t>范围等实质性内容作出响应。</w:t>
      </w:r>
    </w:p>
    <w:p>
      <w:pPr>
        <w:spacing w:line="380" w:lineRule="exact"/>
        <w:ind w:firstLine="420" w:firstLineChars="200"/>
        <w:rPr>
          <w:rFonts w:ascii="宋体" w:hAnsi="宋体" w:cs="MingLiU"/>
          <w:snapToGrid w:val="0"/>
          <w:color w:val="auto"/>
          <w:kern w:val="0"/>
          <w:szCs w:val="21"/>
        </w:rPr>
      </w:pPr>
      <w:r>
        <w:rPr>
          <w:rFonts w:hint="eastAsia" w:ascii="宋体" w:hAnsi="宋体" w:cs="MingLiU"/>
          <w:snapToGrid w:val="0"/>
          <w:color w:val="auto"/>
          <w:kern w:val="0"/>
          <w:szCs w:val="21"/>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spacing w:line="380" w:lineRule="exact"/>
        <w:ind w:firstLine="420" w:firstLineChars="200"/>
        <w:rPr>
          <w:rFonts w:ascii="宋体" w:hAnsi="宋体" w:cs="MingLiU"/>
          <w:snapToGrid w:val="0"/>
          <w:color w:val="auto"/>
          <w:kern w:val="0"/>
          <w:szCs w:val="21"/>
        </w:rPr>
      </w:pPr>
      <w:r>
        <w:rPr>
          <w:rFonts w:hint="eastAsia" w:ascii="宋体" w:hAnsi="宋体" w:cs="MingLiU"/>
          <w:snapToGrid w:val="0"/>
          <w:color w:val="auto"/>
          <w:kern w:val="0"/>
          <w:szCs w:val="21"/>
        </w:rPr>
        <w:t>3.7.4  投标文件正本一份，副本份数见投标人须知前附表。正本和副本的封面上应清楚地标记“正本”或“副本”的字样。正本和副本封面均须加盖单位公章（鲜章）。当副本和正本不一致时，以正本为准。</w:t>
      </w:r>
    </w:p>
    <w:p>
      <w:pPr>
        <w:spacing w:line="380" w:lineRule="exact"/>
        <w:ind w:firstLine="420" w:firstLineChars="200"/>
        <w:rPr>
          <w:rFonts w:ascii="宋体" w:hAnsi="宋体" w:cs="MingLiU"/>
          <w:snapToGrid w:val="0"/>
          <w:color w:val="auto"/>
          <w:kern w:val="0"/>
          <w:szCs w:val="21"/>
        </w:rPr>
      </w:pPr>
      <w:r>
        <w:rPr>
          <w:rFonts w:hint="eastAsia" w:ascii="宋体" w:hAnsi="宋体" w:cs="MingLiU"/>
          <w:snapToGrid w:val="0"/>
          <w:color w:val="auto"/>
          <w:kern w:val="0"/>
          <w:szCs w:val="21"/>
        </w:rPr>
        <w:t>3.7.5  投标文件的正本与副本应分别装订成册，并编制目录，具体装订要求见投标人须知前附表规定。</w:t>
      </w:r>
    </w:p>
    <w:p>
      <w:pPr>
        <w:autoSpaceDE w:val="0"/>
        <w:autoSpaceDN w:val="0"/>
        <w:adjustRightInd w:val="0"/>
        <w:snapToGrid w:val="0"/>
        <w:spacing w:line="380" w:lineRule="exact"/>
        <w:jc w:val="left"/>
        <w:rPr>
          <w:rFonts w:ascii="宋体" w:hAnsi="宋体"/>
          <w:b/>
          <w:snapToGrid w:val="0"/>
          <w:color w:val="auto"/>
          <w:kern w:val="0"/>
        </w:rPr>
      </w:pPr>
      <w:bookmarkStart w:id="243" w:name="_Toc452058707"/>
      <w:r>
        <w:rPr>
          <w:rFonts w:ascii="宋体" w:hAnsi="宋体"/>
          <w:b/>
          <w:snapToGrid w:val="0"/>
          <w:color w:val="auto"/>
          <w:kern w:val="0"/>
        </w:rPr>
        <w:t xml:space="preserve">4.  </w:t>
      </w:r>
      <w:r>
        <w:rPr>
          <w:rFonts w:hint="eastAsia" w:ascii="宋体" w:hAnsi="宋体"/>
          <w:b/>
          <w:snapToGrid w:val="0"/>
          <w:color w:val="auto"/>
          <w:kern w:val="0"/>
        </w:rPr>
        <w:t>投标</w:t>
      </w:r>
      <w:bookmarkEnd w:id="236"/>
      <w:bookmarkEnd w:id="237"/>
      <w:bookmarkEnd w:id="238"/>
      <w:bookmarkEnd w:id="239"/>
      <w:bookmarkEnd w:id="240"/>
      <w:bookmarkEnd w:id="241"/>
      <w:bookmarkEnd w:id="242"/>
      <w:bookmarkEnd w:id="243"/>
    </w:p>
    <w:p>
      <w:pPr>
        <w:autoSpaceDE w:val="0"/>
        <w:autoSpaceDN w:val="0"/>
        <w:adjustRightInd w:val="0"/>
        <w:snapToGrid w:val="0"/>
        <w:spacing w:line="380" w:lineRule="exact"/>
        <w:jc w:val="left"/>
        <w:rPr>
          <w:rFonts w:ascii="宋体" w:hAnsi="宋体"/>
          <w:b/>
          <w:snapToGrid w:val="0"/>
          <w:color w:val="auto"/>
          <w:kern w:val="0"/>
        </w:rPr>
      </w:pPr>
      <w:bookmarkStart w:id="244" w:name="_Toc224103345"/>
      <w:bookmarkStart w:id="245" w:name="_Toc287620713"/>
      <w:bookmarkStart w:id="246" w:name="_Toc277082580"/>
      <w:bookmarkStart w:id="247" w:name="_Toc452058708"/>
      <w:bookmarkStart w:id="248" w:name="_Toc386029673"/>
      <w:bookmarkStart w:id="249" w:name="_Toc200513154"/>
      <w:bookmarkStart w:id="250" w:name="_Toc22832"/>
      <w:bookmarkStart w:id="251" w:name="_Toc287607774"/>
      <w:r>
        <w:rPr>
          <w:rFonts w:ascii="宋体" w:hAnsi="宋体"/>
          <w:b/>
          <w:snapToGrid w:val="0"/>
          <w:color w:val="auto"/>
          <w:kern w:val="0"/>
        </w:rPr>
        <w:t xml:space="preserve">4.1  </w:t>
      </w:r>
      <w:r>
        <w:rPr>
          <w:rFonts w:hint="eastAsia" w:ascii="宋体" w:hAnsi="宋体"/>
          <w:b/>
          <w:snapToGrid w:val="0"/>
          <w:color w:val="auto"/>
          <w:kern w:val="0"/>
        </w:rPr>
        <w:t>投标文件的密封和标记</w:t>
      </w:r>
      <w:bookmarkEnd w:id="244"/>
      <w:bookmarkEnd w:id="245"/>
      <w:bookmarkEnd w:id="246"/>
      <w:bookmarkEnd w:id="247"/>
      <w:bookmarkEnd w:id="248"/>
      <w:bookmarkEnd w:id="249"/>
      <w:bookmarkEnd w:id="250"/>
      <w:bookmarkEnd w:id="251"/>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bookmarkStart w:id="252" w:name="_Toc200513155"/>
      <w:r>
        <w:rPr>
          <w:rFonts w:hint="eastAsia" w:ascii="宋体" w:hAnsi="宋体" w:cs="MingLiU"/>
          <w:snapToGrid w:val="0"/>
          <w:color w:val="auto"/>
          <w:kern w:val="0"/>
          <w:szCs w:val="21"/>
        </w:rPr>
        <w:t>4.1.1  投标文件的正本与副本密封见投标人须知前附表。</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4.1.2  投标文件的封套上应写明的内容见投标人须知前附表。</w:t>
      </w:r>
    </w:p>
    <w:p>
      <w:pPr>
        <w:autoSpaceDE w:val="0"/>
        <w:autoSpaceDN w:val="0"/>
        <w:adjustRightInd w:val="0"/>
        <w:snapToGrid w:val="0"/>
        <w:spacing w:line="380" w:lineRule="exact"/>
        <w:ind w:left="12" w:leftChars="6" w:firstLine="344" w:firstLineChars="164"/>
        <w:jc w:val="left"/>
        <w:rPr>
          <w:rFonts w:ascii="宋体" w:hAnsi="宋体" w:cs="MingLiU"/>
          <w:snapToGrid w:val="0"/>
          <w:color w:val="auto"/>
          <w:kern w:val="0"/>
          <w:szCs w:val="21"/>
        </w:rPr>
      </w:pPr>
      <w:r>
        <w:rPr>
          <w:rFonts w:ascii="宋体" w:hAnsi="宋体" w:cs="MingLiU"/>
          <w:snapToGrid w:val="0"/>
          <w:color w:val="auto"/>
          <w:kern w:val="0"/>
          <w:szCs w:val="21"/>
        </w:rPr>
        <w:t xml:space="preserve">4.1.3  </w:t>
      </w:r>
      <w:r>
        <w:rPr>
          <w:rFonts w:hint="eastAsia" w:ascii="宋体" w:hAnsi="宋体" w:cs="MingLiU"/>
          <w:snapToGrid w:val="0"/>
          <w:color w:val="auto"/>
          <w:kern w:val="0"/>
          <w:szCs w:val="21"/>
        </w:rPr>
        <w:t>未按本章第</w:t>
      </w:r>
      <w:r>
        <w:rPr>
          <w:rFonts w:ascii="宋体" w:hAnsi="宋体" w:cs="MingLiU"/>
          <w:snapToGrid w:val="0"/>
          <w:color w:val="auto"/>
          <w:kern w:val="0"/>
          <w:szCs w:val="21"/>
        </w:rPr>
        <w:t xml:space="preserve"> 4.1.1 </w:t>
      </w:r>
      <w:r>
        <w:rPr>
          <w:rFonts w:hint="eastAsia" w:ascii="宋体" w:hAnsi="宋体" w:cs="MingLiU"/>
          <w:snapToGrid w:val="0"/>
          <w:color w:val="auto"/>
          <w:kern w:val="0"/>
          <w:szCs w:val="21"/>
        </w:rPr>
        <w:t>项或第</w:t>
      </w:r>
      <w:r>
        <w:rPr>
          <w:rFonts w:ascii="宋体" w:hAnsi="宋体" w:cs="MingLiU"/>
          <w:snapToGrid w:val="0"/>
          <w:color w:val="auto"/>
          <w:kern w:val="0"/>
          <w:szCs w:val="21"/>
        </w:rPr>
        <w:t xml:space="preserve"> 4.1.2 </w:t>
      </w:r>
      <w:r>
        <w:rPr>
          <w:rFonts w:hint="eastAsia" w:ascii="宋体" w:hAnsi="宋体" w:cs="MingLiU"/>
          <w:snapToGrid w:val="0"/>
          <w:color w:val="auto"/>
          <w:kern w:val="0"/>
          <w:szCs w:val="21"/>
        </w:rPr>
        <w:t>项要求密封和加写标记的投标文件，</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不予受理。</w:t>
      </w:r>
    </w:p>
    <w:p>
      <w:pPr>
        <w:autoSpaceDE w:val="0"/>
        <w:autoSpaceDN w:val="0"/>
        <w:adjustRightInd w:val="0"/>
        <w:snapToGrid w:val="0"/>
        <w:spacing w:line="380" w:lineRule="exact"/>
        <w:jc w:val="left"/>
        <w:rPr>
          <w:rFonts w:ascii="宋体" w:hAnsi="宋体"/>
          <w:b/>
          <w:snapToGrid w:val="0"/>
          <w:color w:val="auto"/>
          <w:kern w:val="0"/>
        </w:rPr>
      </w:pPr>
      <w:bookmarkStart w:id="253" w:name="_Toc386029674"/>
      <w:bookmarkStart w:id="254" w:name="_Toc3430"/>
      <w:bookmarkStart w:id="255" w:name="_Toc277082581"/>
      <w:bookmarkStart w:id="256" w:name="_Toc224103346"/>
      <w:bookmarkStart w:id="257" w:name="_Toc452058709"/>
      <w:bookmarkStart w:id="258" w:name="_Toc287607775"/>
      <w:bookmarkStart w:id="259" w:name="_Toc287620714"/>
      <w:r>
        <w:rPr>
          <w:rFonts w:ascii="宋体" w:hAnsi="宋体"/>
          <w:b/>
          <w:snapToGrid w:val="0"/>
          <w:color w:val="auto"/>
          <w:kern w:val="0"/>
        </w:rPr>
        <w:t xml:space="preserve">4.2  </w:t>
      </w:r>
      <w:r>
        <w:rPr>
          <w:rFonts w:hint="eastAsia" w:ascii="宋体" w:hAnsi="宋体"/>
          <w:b/>
          <w:snapToGrid w:val="0"/>
          <w:color w:val="auto"/>
          <w:kern w:val="0"/>
        </w:rPr>
        <w:t>投标文件的递交</w:t>
      </w:r>
      <w:bookmarkEnd w:id="252"/>
      <w:bookmarkEnd w:id="253"/>
      <w:bookmarkEnd w:id="254"/>
      <w:bookmarkEnd w:id="255"/>
      <w:bookmarkEnd w:id="256"/>
      <w:bookmarkEnd w:id="257"/>
      <w:bookmarkEnd w:id="258"/>
      <w:bookmarkEnd w:id="259"/>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4.2.1  </w:t>
      </w:r>
      <w:r>
        <w:rPr>
          <w:rFonts w:hint="eastAsia" w:ascii="宋体" w:hAnsi="宋体" w:cs="MingLiU"/>
          <w:snapToGrid w:val="0"/>
          <w:color w:val="auto"/>
          <w:kern w:val="0"/>
          <w:szCs w:val="21"/>
        </w:rPr>
        <w:t>投标人应在本章第</w:t>
      </w:r>
      <w:r>
        <w:rPr>
          <w:rFonts w:ascii="宋体" w:hAnsi="宋体"/>
          <w:snapToGrid w:val="0"/>
          <w:color w:val="auto"/>
          <w:kern w:val="0"/>
          <w:szCs w:val="21"/>
        </w:rPr>
        <w:t xml:space="preserve"> 2.2.2 </w:t>
      </w:r>
      <w:r>
        <w:rPr>
          <w:rFonts w:hint="eastAsia" w:ascii="宋体" w:hAnsi="宋体" w:cs="MingLiU"/>
          <w:snapToGrid w:val="0"/>
          <w:color w:val="auto"/>
          <w:kern w:val="0"/>
          <w:szCs w:val="21"/>
        </w:rPr>
        <w:t>项规定的投标截止时间前递交投标文件。</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4.2.2  </w:t>
      </w:r>
      <w:r>
        <w:rPr>
          <w:rFonts w:hint="eastAsia" w:ascii="宋体" w:hAnsi="宋体" w:cs="MingLiU"/>
          <w:snapToGrid w:val="0"/>
          <w:color w:val="auto"/>
          <w:kern w:val="0"/>
          <w:szCs w:val="21"/>
        </w:rPr>
        <w:t>投标人递交投标文件的地点：见投标人须知前附表。</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4.2.3  </w:t>
      </w:r>
      <w:r>
        <w:rPr>
          <w:rFonts w:hint="eastAsia" w:ascii="宋体" w:hAnsi="宋体" w:cs="MingLiU"/>
          <w:snapToGrid w:val="0"/>
          <w:color w:val="auto"/>
          <w:kern w:val="0"/>
          <w:szCs w:val="21"/>
        </w:rPr>
        <w:t>除投标人须知前附表另有规定外，投标人所递交的投标文件不予退还。</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4.2.4  </w:t>
      </w:r>
      <w:r>
        <w:rPr>
          <w:rFonts w:hint="eastAsia" w:ascii="宋体" w:hAnsi="宋体" w:cs="宋体"/>
          <w:color w:val="auto"/>
          <w:szCs w:val="21"/>
          <w:lang w:val="en-US" w:eastAsia="zh-CN"/>
        </w:rPr>
        <w:t>比选人</w:t>
      </w:r>
      <w:r>
        <w:rPr>
          <w:rFonts w:hint="eastAsia" w:ascii="宋体" w:hAnsi="宋体" w:cs="MingLiU"/>
          <w:snapToGrid w:val="0"/>
          <w:color w:val="auto"/>
          <w:kern w:val="0"/>
          <w:szCs w:val="21"/>
        </w:rPr>
        <w:t>收到投标文件后，向投标人出具签收凭证。</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ascii="宋体" w:hAnsi="宋体"/>
          <w:snapToGrid w:val="0"/>
          <w:color w:val="auto"/>
          <w:kern w:val="0"/>
          <w:szCs w:val="21"/>
        </w:rPr>
        <w:t xml:space="preserve">4.2.5  </w:t>
      </w:r>
      <w:r>
        <w:rPr>
          <w:rFonts w:hint="eastAsia" w:ascii="宋体" w:hAnsi="宋体" w:cs="MingLiU"/>
          <w:snapToGrid w:val="0"/>
          <w:color w:val="auto"/>
          <w:kern w:val="0"/>
          <w:szCs w:val="21"/>
        </w:rPr>
        <w:t>逾期送达的或者未送达指定地点的投标文件，</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不予受理。</w:t>
      </w:r>
    </w:p>
    <w:p>
      <w:pPr>
        <w:autoSpaceDE w:val="0"/>
        <w:autoSpaceDN w:val="0"/>
        <w:adjustRightInd w:val="0"/>
        <w:snapToGrid w:val="0"/>
        <w:spacing w:line="380" w:lineRule="exact"/>
        <w:jc w:val="left"/>
        <w:rPr>
          <w:rFonts w:ascii="宋体" w:hAnsi="宋体"/>
          <w:b/>
          <w:snapToGrid w:val="0"/>
          <w:color w:val="auto"/>
          <w:kern w:val="0"/>
        </w:rPr>
      </w:pPr>
      <w:bookmarkStart w:id="260" w:name="_Toc277082582"/>
      <w:bookmarkStart w:id="261" w:name="_Toc386029675"/>
      <w:bookmarkStart w:id="262" w:name="_Toc452058710"/>
      <w:bookmarkStart w:id="263" w:name="_Toc200513156"/>
      <w:bookmarkStart w:id="264" w:name="_Toc10962"/>
      <w:bookmarkStart w:id="265" w:name="_Toc224103347"/>
      <w:bookmarkStart w:id="266" w:name="_Toc287620715"/>
      <w:bookmarkStart w:id="267" w:name="_Toc287607776"/>
      <w:r>
        <w:rPr>
          <w:rFonts w:ascii="宋体" w:hAnsi="宋体"/>
          <w:b/>
          <w:snapToGrid w:val="0"/>
          <w:color w:val="auto"/>
          <w:kern w:val="0"/>
        </w:rPr>
        <w:t xml:space="preserve">4.3  </w:t>
      </w:r>
      <w:r>
        <w:rPr>
          <w:rFonts w:hint="eastAsia" w:ascii="宋体" w:hAnsi="宋体"/>
          <w:b/>
          <w:snapToGrid w:val="0"/>
          <w:color w:val="auto"/>
          <w:kern w:val="0"/>
        </w:rPr>
        <w:t>投标文件的修改与撤回</w:t>
      </w:r>
      <w:bookmarkEnd w:id="260"/>
      <w:bookmarkEnd w:id="261"/>
      <w:bookmarkEnd w:id="262"/>
      <w:bookmarkEnd w:id="263"/>
      <w:bookmarkEnd w:id="264"/>
      <w:bookmarkEnd w:id="265"/>
      <w:bookmarkEnd w:id="266"/>
      <w:bookmarkEnd w:id="267"/>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ascii="宋体" w:hAnsi="宋体"/>
          <w:snapToGrid w:val="0"/>
          <w:color w:val="auto"/>
          <w:kern w:val="0"/>
          <w:szCs w:val="21"/>
        </w:rPr>
        <w:t xml:space="preserve">4.3.1  </w:t>
      </w:r>
      <w:r>
        <w:rPr>
          <w:rFonts w:hint="eastAsia" w:ascii="宋体" w:hAnsi="宋体" w:cs="MingLiU"/>
          <w:snapToGrid w:val="0"/>
          <w:color w:val="auto"/>
          <w:kern w:val="0"/>
          <w:szCs w:val="21"/>
        </w:rPr>
        <w:t>在本章第</w:t>
      </w:r>
      <w:r>
        <w:rPr>
          <w:rFonts w:ascii="宋体" w:hAnsi="宋体"/>
          <w:snapToGrid w:val="0"/>
          <w:color w:val="auto"/>
          <w:kern w:val="0"/>
          <w:szCs w:val="21"/>
        </w:rPr>
        <w:t>2.2.2</w:t>
      </w:r>
      <w:r>
        <w:rPr>
          <w:rFonts w:hint="eastAsia" w:ascii="宋体" w:hAnsi="宋体" w:cs="MingLiU"/>
          <w:snapToGrid w:val="0"/>
          <w:color w:val="auto"/>
          <w:kern w:val="0"/>
          <w:szCs w:val="21"/>
        </w:rPr>
        <w:t>项规定的投标截止时间前，投标人可以修改或撤回已递交的投标文件，但应以书面形式通知</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w:t>
      </w:r>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ascii="宋体" w:hAnsi="宋体"/>
          <w:snapToGrid w:val="0"/>
          <w:color w:val="auto"/>
          <w:kern w:val="0"/>
          <w:szCs w:val="21"/>
        </w:rPr>
        <w:t xml:space="preserve">4.3.2  </w:t>
      </w:r>
      <w:r>
        <w:rPr>
          <w:rFonts w:hint="eastAsia" w:ascii="宋体" w:hAnsi="宋体" w:cs="MingLiU"/>
          <w:snapToGrid w:val="0"/>
          <w:color w:val="auto"/>
          <w:kern w:val="0"/>
          <w:szCs w:val="21"/>
        </w:rPr>
        <w:t>投标人修改或撤回已递交投标文件的书面通知应按照本章第</w:t>
      </w:r>
      <w:r>
        <w:rPr>
          <w:rFonts w:ascii="宋体" w:hAnsi="宋体"/>
          <w:snapToGrid w:val="0"/>
          <w:color w:val="auto"/>
          <w:kern w:val="0"/>
          <w:szCs w:val="21"/>
        </w:rPr>
        <w:t>3.7.3</w:t>
      </w:r>
      <w:r>
        <w:rPr>
          <w:rFonts w:hint="eastAsia" w:ascii="宋体" w:hAnsi="宋体" w:cs="MingLiU"/>
          <w:snapToGrid w:val="0"/>
          <w:color w:val="auto"/>
          <w:kern w:val="0"/>
          <w:szCs w:val="21"/>
        </w:rPr>
        <w:t>项的要求签字或盖章。</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收到书面通知后，向投标人出具签收凭证。</w:t>
      </w:r>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ascii="宋体" w:hAnsi="宋体"/>
          <w:snapToGrid w:val="0"/>
          <w:color w:val="auto"/>
          <w:kern w:val="0"/>
          <w:szCs w:val="21"/>
        </w:rPr>
        <w:t xml:space="preserve">4.3.3  </w:t>
      </w:r>
      <w:r>
        <w:rPr>
          <w:rFonts w:hint="eastAsia" w:ascii="宋体" w:hAnsi="宋体" w:cs="MingLiU"/>
          <w:snapToGrid w:val="0"/>
          <w:color w:val="auto"/>
          <w:kern w:val="0"/>
          <w:szCs w:val="21"/>
        </w:rPr>
        <w:t>修改的内容为投标文件的组成部分。修改的投标文件应按照本章第</w:t>
      </w:r>
      <w:r>
        <w:rPr>
          <w:rFonts w:ascii="宋体" w:hAnsi="宋体"/>
          <w:snapToGrid w:val="0"/>
          <w:color w:val="auto"/>
          <w:kern w:val="0"/>
          <w:szCs w:val="21"/>
        </w:rPr>
        <w:t>3</w:t>
      </w:r>
      <w:r>
        <w:rPr>
          <w:rFonts w:hint="eastAsia" w:ascii="宋体" w:hAnsi="宋体" w:cs="MingLiU"/>
          <w:snapToGrid w:val="0"/>
          <w:color w:val="auto"/>
          <w:kern w:val="0"/>
          <w:szCs w:val="21"/>
        </w:rPr>
        <w:t>条、第</w:t>
      </w:r>
      <w:r>
        <w:rPr>
          <w:rFonts w:hint="eastAsia" w:ascii="宋体" w:hAnsi="宋体"/>
          <w:snapToGrid w:val="0"/>
          <w:color w:val="auto"/>
          <w:kern w:val="0"/>
          <w:szCs w:val="21"/>
        </w:rPr>
        <w:t>4</w:t>
      </w:r>
      <w:r>
        <w:rPr>
          <w:rFonts w:hint="eastAsia" w:ascii="宋体" w:hAnsi="宋体" w:cs="MingLiU"/>
          <w:snapToGrid w:val="0"/>
          <w:color w:val="auto"/>
          <w:kern w:val="0"/>
          <w:szCs w:val="21"/>
        </w:rPr>
        <w:t>条规定进行编制、密封、标记和递交，并标明“修改”字样。</w:t>
      </w:r>
    </w:p>
    <w:p>
      <w:pPr>
        <w:autoSpaceDE w:val="0"/>
        <w:autoSpaceDN w:val="0"/>
        <w:adjustRightInd w:val="0"/>
        <w:snapToGrid w:val="0"/>
        <w:spacing w:line="380" w:lineRule="exact"/>
        <w:jc w:val="left"/>
        <w:rPr>
          <w:rFonts w:ascii="宋体" w:hAnsi="宋体"/>
          <w:b/>
          <w:snapToGrid w:val="0"/>
          <w:color w:val="auto"/>
          <w:kern w:val="0"/>
        </w:rPr>
      </w:pPr>
      <w:bookmarkStart w:id="268" w:name="_Toc277082583"/>
      <w:bookmarkStart w:id="269" w:name="_Toc287607777"/>
      <w:bookmarkStart w:id="270" w:name="_Toc224103348"/>
      <w:bookmarkStart w:id="271" w:name="_Toc4890"/>
      <w:bookmarkStart w:id="272" w:name="_Toc386029676"/>
      <w:bookmarkStart w:id="273" w:name="_Toc31180"/>
      <w:bookmarkStart w:id="274" w:name="_Toc200513157"/>
      <w:bookmarkStart w:id="275" w:name="_Toc452058711"/>
      <w:r>
        <w:rPr>
          <w:rFonts w:ascii="宋体" w:hAnsi="宋体"/>
          <w:b/>
          <w:snapToGrid w:val="0"/>
          <w:color w:val="auto"/>
          <w:kern w:val="0"/>
        </w:rPr>
        <w:t xml:space="preserve">5.  </w:t>
      </w:r>
      <w:r>
        <w:rPr>
          <w:rFonts w:hint="eastAsia" w:ascii="宋体" w:hAnsi="宋体"/>
          <w:b/>
          <w:snapToGrid w:val="0"/>
          <w:color w:val="auto"/>
          <w:kern w:val="0"/>
        </w:rPr>
        <w:t>开标</w:t>
      </w:r>
      <w:bookmarkEnd w:id="268"/>
      <w:bookmarkEnd w:id="269"/>
      <w:bookmarkEnd w:id="270"/>
      <w:bookmarkEnd w:id="271"/>
      <w:bookmarkEnd w:id="272"/>
      <w:bookmarkEnd w:id="273"/>
      <w:bookmarkEnd w:id="274"/>
      <w:bookmarkEnd w:id="275"/>
    </w:p>
    <w:p>
      <w:pPr>
        <w:autoSpaceDE w:val="0"/>
        <w:autoSpaceDN w:val="0"/>
        <w:adjustRightInd w:val="0"/>
        <w:snapToGrid w:val="0"/>
        <w:spacing w:line="380" w:lineRule="exact"/>
        <w:jc w:val="left"/>
        <w:rPr>
          <w:rFonts w:ascii="宋体" w:hAnsi="宋体"/>
          <w:b/>
          <w:snapToGrid w:val="0"/>
          <w:color w:val="auto"/>
          <w:kern w:val="0"/>
        </w:rPr>
      </w:pPr>
      <w:bookmarkStart w:id="276" w:name="_Toc386029677"/>
      <w:bookmarkStart w:id="277" w:name="_Toc200513158"/>
      <w:bookmarkStart w:id="278" w:name="_Toc452058712"/>
      <w:bookmarkStart w:id="279" w:name="_Toc3212"/>
      <w:bookmarkStart w:id="280" w:name="_Toc287607778"/>
      <w:bookmarkStart w:id="281" w:name="_Toc277082584"/>
      <w:bookmarkStart w:id="282" w:name="_Toc224103349"/>
      <w:bookmarkStart w:id="283" w:name="_Toc287620717"/>
      <w:r>
        <w:rPr>
          <w:rFonts w:hint="eastAsia" w:ascii="宋体" w:hAnsi="宋体"/>
          <w:b/>
          <w:snapToGrid w:val="0"/>
          <w:color w:val="auto"/>
          <w:kern w:val="0"/>
        </w:rPr>
        <w:t>5.1  开标时间和地点</w:t>
      </w:r>
      <w:bookmarkEnd w:id="276"/>
      <w:bookmarkEnd w:id="277"/>
      <w:bookmarkEnd w:id="278"/>
      <w:bookmarkEnd w:id="279"/>
      <w:bookmarkEnd w:id="280"/>
      <w:bookmarkEnd w:id="281"/>
      <w:bookmarkEnd w:id="282"/>
      <w:bookmarkEnd w:id="283"/>
    </w:p>
    <w:p>
      <w:pPr>
        <w:autoSpaceDE w:val="0"/>
        <w:autoSpaceDN w:val="0"/>
        <w:adjustRightInd w:val="0"/>
        <w:snapToGrid w:val="0"/>
        <w:spacing w:line="380" w:lineRule="exact"/>
        <w:ind w:firstLine="420"/>
        <w:jc w:val="left"/>
        <w:rPr>
          <w:rFonts w:ascii="宋体" w:hAnsi="宋体" w:cs="MingLiU"/>
          <w:snapToGrid w:val="0"/>
          <w:color w:val="auto"/>
          <w:kern w:val="0"/>
          <w:szCs w:val="21"/>
        </w:rPr>
      </w:pPr>
      <w:bookmarkStart w:id="284" w:name="_Toc287620718"/>
      <w:bookmarkStart w:id="285" w:name="_Toc277082585"/>
      <w:bookmarkStart w:id="286" w:name="_Toc224103350"/>
      <w:bookmarkStart w:id="287" w:name="_Toc287607779"/>
      <w:bookmarkStart w:id="288" w:name="_Toc200513159"/>
      <w:bookmarkStart w:id="289" w:name="_Toc28038"/>
      <w:bookmarkStart w:id="290" w:name="_Toc386029678"/>
      <w:r>
        <w:rPr>
          <w:rFonts w:hint="eastAsia" w:ascii="宋体" w:hAnsi="宋体" w:cs="宋体"/>
          <w:color w:val="auto"/>
          <w:szCs w:val="21"/>
          <w:lang w:val="en-US" w:eastAsia="zh-CN"/>
        </w:rPr>
        <w:t>比选人</w:t>
      </w:r>
      <w:r>
        <w:rPr>
          <w:rFonts w:hint="eastAsia" w:ascii="宋体" w:hAnsi="宋体" w:cs="MingLiU"/>
          <w:snapToGrid w:val="0"/>
          <w:color w:val="auto"/>
          <w:kern w:val="0"/>
          <w:szCs w:val="21"/>
        </w:rPr>
        <w:t>在本章第 2.2.2 项规定的投标截止时间（开标时间）和投标人须知前附表规定的地点公开开标。</w:t>
      </w:r>
    </w:p>
    <w:p>
      <w:pPr>
        <w:autoSpaceDE w:val="0"/>
        <w:autoSpaceDN w:val="0"/>
        <w:adjustRightInd w:val="0"/>
        <w:snapToGrid w:val="0"/>
        <w:spacing w:line="380" w:lineRule="exact"/>
        <w:jc w:val="left"/>
        <w:rPr>
          <w:rFonts w:ascii="宋体" w:hAnsi="宋体"/>
          <w:b/>
          <w:snapToGrid w:val="0"/>
          <w:color w:val="auto"/>
          <w:kern w:val="0"/>
        </w:rPr>
      </w:pPr>
      <w:bookmarkStart w:id="291" w:name="_Toc452058713"/>
      <w:r>
        <w:rPr>
          <w:rFonts w:ascii="宋体" w:hAnsi="宋体"/>
          <w:b/>
          <w:snapToGrid w:val="0"/>
          <w:color w:val="auto"/>
          <w:kern w:val="0"/>
        </w:rPr>
        <w:t xml:space="preserve">5.2  </w:t>
      </w:r>
      <w:r>
        <w:rPr>
          <w:rFonts w:hint="eastAsia" w:ascii="宋体" w:hAnsi="宋体"/>
          <w:b/>
          <w:snapToGrid w:val="0"/>
          <w:color w:val="auto"/>
          <w:kern w:val="0"/>
        </w:rPr>
        <w:t>开标程序</w:t>
      </w:r>
      <w:bookmarkEnd w:id="284"/>
      <w:bookmarkEnd w:id="285"/>
      <w:bookmarkEnd w:id="286"/>
      <w:bookmarkEnd w:id="287"/>
      <w:bookmarkEnd w:id="288"/>
      <w:bookmarkEnd w:id="291"/>
    </w:p>
    <w:p>
      <w:pPr>
        <w:autoSpaceDE w:val="0"/>
        <w:autoSpaceDN w:val="0"/>
        <w:adjustRightInd w:val="0"/>
        <w:snapToGrid w:val="0"/>
        <w:spacing w:line="380" w:lineRule="exact"/>
        <w:ind w:firstLine="420"/>
        <w:rPr>
          <w:rFonts w:ascii="宋体" w:hAnsi="宋体"/>
          <w:snapToGrid w:val="0"/>
          <w:color w:val="auto"/>
          <w:kern w:val="0"/>
          <w:szCs w:val="21"/>
        </w:rPr>
      </w:pPr>
      <w:r>
        <w:rPr>
          <w:rFonts w:hint="eastAsia" w:ascii="宋体" w:hAnsi="宋体"/>
          <w:snapToGrid w:val="0"/>
          <w:color w:val="auto"/>
          <w:kern w:val="0"/>
          <w:szCs w:val="21"/>
        </w:rPr>
        <w:t>见投标人须知前附表</w:t>
      </w:r>
      <w:bookmarkEnd w:id="289"/>
      <w:bookmarkEnd w:id="290"/>
      <w:r>
        <w:rPr>
          <w:rFonts w:hint="eastAsia" w:ascii="宋体" w:hAnsi="宋体"/>
          <w:snapToGrid w:val="0"/>
          <w:color w:val="auto"/>
          <w:kern w:val="0"/>
          <w:szCs w:val="21"/>
        </w:rPr>
        <w:t>。</w:t>
      </w:r>
    </w:p>
    <w:p>
      <w:pPr>
        <w:autoSpaceDE w:val="0"/>
        <w:autoSpaceDN w:val="0"/>
        <w:adjustRightInd w:val="0"/>
        <w:snapToGrid w:val="0"/>
        <w:spacing w:line="380" w:lineRule="exact"/>
        <w:jc w:val="left"/>
        <w:rPr>
          <w:rFonts w:ascii="宋体" w:hAnsi="宋体"/>
          <w:b/>
          <w:snapToGrid w:val="0"/>
          <w:color w:val="auto"/>
          <w:kern w:val="0"/>
        </w:rPr>
      </w:pPr>
      <w:bookmarkStart w:id="292" w:name="_Toc224103351"/>
      <w:bookmarkStart w:id="293" w:name="_Toc287607780"/>
      <w:bookmarkStart w:id="294" w:name="_Toc452058714"/>
      <w:bookmarkStart w:id="295" w:name="_Toc200513160"/>
      <w:bookmarkStart w:id="296" w:name="_Toc30237"/>
      <w:bookmarkStart w:id="297" w:name="_Toc3979"/>
      <w:bookmarkStart w:id="298" w:name="_Toc277082586"/>
      <w:bookmarkStart w:id="299" w:name="_Toc386029679"/>
      <w:r>
        <w:rPr>
          <w:rFonts w:ascii="宋体" w:hAnsi="宋体"/>
          <w:b/>
          <w:snapToGrid w:val="0"/>
          <w:color w:val="auto"/>
          <w:kern w:val="0"/>
        </w:rPr>
        <w:t xml:space="preserve">6.  </w:t>
      </w:r>
      <w:r>
        <w:rPr>
          <w:rFonts w:hint="eastAsia" w:ascii="宋体" w:hAnsi="宋体"/>
          <w:b/>
          <w:snapToGrid w:val="0"/>
          <w:color w:val="auto"/>
          <w:kern w:val="0"/>
        </w:rPr>
        <w:t>评标</w:t>
      </w:r>
      <w:bookmarkEnd w:id="292"/>
      <w:bookmarkEnd w:id="293"/>
      <w:bookmarkEnd w:id="294"/>
      <w:bookmarkEnd w:id="295"/>
      <w:bookmarkEnd w:id="296"/>
      <w:bookmarkEnd w:id="297"/>
      <w:bookmarkEnd w:id="298"/>
      <w:bookmarkEnd w:id="299"/>
    </w:p>
    <w:p>
      <w:pPr>
        <w:autoSpaceDE w:val="0"/>
        <w:autoSpaceDN w:val="0"/>
        <w:adjustRightInd w:val="0"/>
        <w:snapToGrid w:val="0"/>
        <w:spacing w:line="380" w:lineRule="exact"/>
        <w:jc w:val="left"/>
        <w:rPr>
          <w:rFonts w:ascii="宋体" w:hAnsi="宋体"/>
          <w:b/>
          <w:snapToGrid w:val="0"/>
          <w:color w:val="auto"/>
          <w:kern w:val="0"/>
        </w:rPr>
      </w:pPr>
      <w:bookmarkStart w:id="300" w:name="_Toc386029680"/>
      <w:bookmarkStart w:id="301" w:name="_Toc224103352"/>
      <w:bookmarkStart w:id="302" w:name="_Toc287607781"/>
      <w:bookmarkStart w:id="303" w:name="_Toc24437"/>
      <w:bookmarkStart w:id="304" w:name="_Toc200513161"/>
      <w:bookmarkStart w:id="305" w:name="_Toc277082587"/>
      <w:bookmarkStart w:id="306" w:name="_Toc452058715"/>
      <w:bookmarkStart w:id="307" w:name="_Toc287620720"/>
      <w:r>
        <w:rPr>
          <w:rFonts w:ascii="宋体" w:hAnsi="宋体"/>
          <w:b/>
          <w:snapToGrid w:val="0"/>
          <w:color w:val="auto"/>
          <w:kern w:val="0"/>
        </w:rPr>
        <w:t xml:space="preserve">6.1  </w:t>
      </w:r>
      <w:r>
        <w:rPr>
          <w:rFonts w:hint="eastAsia" w:ascii="宋体" w:hAnsi="宋体"/>
          <w:b/>
          <w:snapToGrid w:val="0"/>
          <w:color w:val="auto"/>
          <w:kern w:val="0"/>
        </w:rPr>
        <w:t>评标委员会</w:t>
      </w:r>
      <w:bookmarkEnd w:id="300"/>
      <w:bookmarkEnd w:id="301"/>
      <w:bookmarkEnd w:id="302"/>
      <w:bookmarkEnd w:id="303"/>
      <w:bookmarkEnd w:id="304"/>
      <w:bookmarkEnd w:id="305"/>
      <w:bookmarkEnd w:id="306"/>
      <w:bookmarkEnd w:id="307"/>
    </w:p>
    <w:p>
      <w:pPr>
        <w:autoSpaceDE w:val="0"/>
        <w:autoSpaceDN w:val="0"/>
        <w:adjustRightInd w:val="0"/>
        <w:snapToGrid w:val="0"/>
        <w:spacing w:line="380" w:lineRule="exact"/>
        <w:ind w:firstLine="420"/>
        <w:rPr>
          <w:rFonts w:ascii="宋体" w:hAnsi="宋体" w:cs="MingLiU"/>
          <w:snapToGrid w:val="0"/>
          <w:color w:val="auto"/>
          <w:kern w:val="0"/>
          <w:szCs w:val="21"/>
        </w:rPr>
      </w:pPr>
      <w:r>
        <w:rPr>
          <w:rFonts w:ascii="宋体" w:hAnsi="宋体"/>
          <w:snapToGrid w:val="0"/>
          <w:color w:val="auto"/>
          <w:kern w:val="0"/>
          <w:szCs w:val="21"/>
        </w:rPr>
        <w:t xml:space="preserve">6.1.1  </w:t>
      </w:r>
      <w:r>
        <w:rPr>
          <w:rFonts w:hint="eastAsia" w:ascii="宋体" w:hAnsi="宋体" w:cs="MingLiU"/>
          <w:snapToGrid w:val="0"/>
          <w:color w:val="auto"/>
          <w:kern w:val="0"/>
          <w:szCs w:val="21"/>
        </w:rPr>
        <w:t>评标由</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依法组建的评标委员会负责。评标委员会由有关技术、经济等方面的专家组成。评标委员会成员人数以及技术、经济等方面专家的确定方式见投标人须知前附表。</w:t>
      </w:r>
    </w:p>
    <w:p>
      <w:pPr>
        <w:autoSpaceDE w:val="0"/>
        <w:autoSpaceDN w:val="0"/>
        <w:adjustRightInd w:val="0"/>
        <w:snapToGrid w:val="0"/>
        <w:spacing w:line="380" w:lineRule="exact"/>
        <w:ind w:firstLine="420" w:firstLineChars="200"/>
        <w:jc w:val="left"/>
        <w:rPr>
          <w:rFonts w:ascii="宋体" w:hAnsi="宋体" w:cs="MingLiU"/>
          <w:snapToGrid w:val="0"/>
          <w:color w:val="auto"/>
          <w:kern w:val="0"/>
          <w:szCs w:val="21"/>
        </w:rPr>
      </w:pPr>
      <w:r>
        <w:rPr>
          <w:rFonts w:ascii="宋体" w:hAnsi="宋体"/>
          <w:snapToGrid w:val="0"/>
          <w:color w:val="auto"/>
          <w:kern w:val="0"/>
          <w:szCs w:val="21"/>
        </w:rPr>
        <w:t xml:space="preserve">6.1.2  </w:t>
      </w:r>
      <w:r>
        <w:rPr>
          <w:rFonts w:hint="eastAsia" w:ascii="宋体" w:hAnsi="宋体" w:cs="MingLiU"/>
          <w:snapToGrid w:val="0"/>
          <w:color w:val="auto"/>
          <w:kern w:val="0"/>
          <w:szCs w:val="21"/>
        </w:rPr>
        <w:t>评标委员会成员有下列情形之一的，应当回避：</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1</w:t>
      </w:r>
      <w:r>
        <w:rPr>
          <w:rFonts w:hint="eastAsia" w:ascii="宋体" w:hAnsi="宋体" w:cs="MingLiU"/>
          <w:snapToGrid w:val="0"/>
          <w:color w:val="auto"/>
          <w:kern w:val="0"/>
          <w:szCs w:val="21"/>
        </w:rPr>
        <w:t>）</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代表除外）或投标人的在职员工及主要负责人的近亲属；</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2</w:t>
      </w:r>
      <w:r>
        <w:rPr>
          <w:rFonts w:hint="eastAsia" w:ascii="宋体" w:hAnsi="宋体" w:cs="MingLiU"/>
          <w:snapToGrid w:val="0"/>
          <w:color w:val="auto"/>
          <w:kern w:val="0"/>
          <w:szCs w:val="21"/>
        </w:rPr>
        <w:t>）项目的主管部门或者行政监督部门的人员；</w:t>
      </w:r>
    </w:p>
    <w:p>
      <w:pPr>
        <w:autoSpaceDE w:val="0"/>
        <w:autoSpaceDN w:val="0"/>
        <w:adjustRightInd w:val="0"/>
        <w:snapToGrid w:val="0"/>
        <w:spacing w:line="380" w:lineRule="exact"/>
        <w:ind w:left="359" w:leftChars="171"/>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3</w:t>
      </w:r>
      <w:r>
        <w:rPr>
          <w:rFonts w:hint="eastAsia" w:ascii="宋体" w:hAnsi="宋体" w:cs="MingLiU"/>
          <w:snapToGrid w:val="0"/>
          <w:color w:val="auto"/>
          <w:kern w:val="0"/>
          <w:szCs w:val="21"/>
        </w:rPr>
        <w:t>）与投标人有利害关系，可能影响对投标公正评审的；</w:t>
      </w:r>
    </w:p>
    <w:p>
      <w:pPr>
        <w:autoSpaceDE w:val="0"/>
        <w:autoSpaceDN w:val="0"/>
        <w:adjustRightInd w:val="0"/>
        <w:snapToGrid w:val="0"/>
        <w:spacing w:line="380" w:lineRule="exact"/>
        <w:ind w:firstLine="363" w:firstLineChars="173"/>
        <w:jc w:val="left"/>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4</w:t>
      </w:r>
      <w:r>
        <w:rPr>
          <w:rFonts w:hint="eastAsia" w:ascii="宋体" w:hAnsi="宋体" w:cs="MingLiU"/>
          <w:snapToGrid w:val="0"/>
          <w:color w:val="auto"/>
          <w:kern w:val="0"/>
          <w:szCs w:val="21"/>
        </w:rPr>
        <w:t>）曾因在招标、评标以及其他与招标投标有关活动中从事违法行为而受过行政处罚或刑事处罚的。</w:t>
      </w:r>
    </w:p>
    <w:p>
      <w:pPr>
        <w:autoSpaceDE w:val="0"/>
        <w:autoSpaceDN w:val="0"/>
        <w:adjustRightInd w:val="0"/>
        <w:snapToGrid w:val="0"/>
        <w:spacing w:line="380" w:lineRule="exact"/>
        <w:jc w:val="left"/>
        <w:rPr>
          <w:rFonts w:ascii="宋体" w:hAnsi="宋体"/>
          <w:b/>
          <w:snapToGrid w:val="0"/>
          <w:color w:val="auto"/>
          <w:kern w:val="0"/>
        </w:rPr>
      </w:pPr>
      <w:bookmarkStart w:id="308" w:name="_Toc18690"/>
      <w:bookmarkStart w:id="309" w:name="_Toc386029681"/>
      <w:bookmarkStart w:id="310" w:name="_Toc277082588"/>
      <w:bookmarkStart w:id="311" w:name="_Toc452058716"/>
      <w:bookmarkStart w:id="312" w:name="_Toc224103353"/>
      <w:bookmarkStart w:id="313" w:name="_Toc287620721"/>
      <w:bookmarkStart w:id="314" w:name="_Toc200513162"/>
      <w:bookmarkStart w:id="315" w:name="_Toc287607782"/>
      <w:r>
        <w:rPr>
          <w:rFonts w:ascii="宋体" w:hAnsi="宋体"/>
          <w:b/>
          <w:snapToGrid w:val="0"/>
          <w:color w:val="auto"/>
          <w:kern w:val="0"/>
        </w:rPr>
        <w:t xml:space="preserve">6.2  </w:t>
      </w:r>
      <w:r>
        <w:rPr>
          <w:rFonts w:hint="eastAsia" w:ascii="宋体" w:hAnsi="宋体"/>
          <w:b/>
          <w:snapToGrid w:val="0"/>
          <w:color w:val="auto"/>
          <w:kern w:val="0"/>
        </w:rPr>
        <w:t>评标原则</w:t>
      </w:r>
      <w:bookmarkEnd w:id="308"/>
      <w:bookmarkEnd w:id="309"/>
      <w:bookmarkEnd w:id="310"/>
      <w:bookmarkEnd w:id="311"/>
      <w:bookmarkEnd w:id="312"/>
      <w:bookmarkEnd w:id="313"/>
      <w:bookmarkEnd w:id="314"/>
      <w:bookmarkEnd w:id="315"/>
    </w:p>
    <w:p>
      <w:pPr>
        <w:autoSpaceDE w:val="0"/>
        <w:autoSpaceDN w:val="0"/>
        <w:adjustRightInd w:val="0"/>
        <w:snapToGrid w:val="0"/>
        <w:spacing w:line="380" w:lineRule="exact"/>
        <w:jc w:val="left"/>
        <w:rPr>
          <w:rFonts w:ascii="宋体" w:hAnsi="宋体" w:cs="MingLiU"/>
          <w:snapToGrid w:val="0"/>
          <w:color w:val="auto"/>
          <w:kern w:val="0"/>
          <w:szCs w:val="21"/>
        </w:rPr>
      </w:pPr>
      <w:r>
        <w:rPr>
          <w:rFonts w:hint="eastAsia" w:ascii="宋体" w:hAnsi="宋体" w:cs="MingLiU"/>
          <w:snapToGrid w:val="0"/>
          <w:color w:val="auto"/>
          <w:kern w:val="0"/>
          <w:szCs w:val="21"/>
        </w:rPr>
        <w:t xml:space="preserve">    评标活动遵循公平、公正、科学和择优的原则。</w:t>
      </w:r>
    </w:p>
    <w:p>
      <w:pPr>
        <w:autoSpaceDE w:val="0"/>
        <w:autoSpaceDN w:val="0"/>
        <w:adjustRightInd w:val="0"/>
        <w:snapToGrid w:val="0"/>
        <w:spacing w:line="380" w:lineRule="exact"/>
        <w:jc w:val="left"/>
        <w:rPr>
          <w:rFonts w:ascii="宋体" w:hAnsi="宋体"/>
          <w:b/>
          <w:snapToGrid w:val="0"/>
          <w:color w:val="auto"/>
          <w:kern w:val="0"/>
        </w:rPr>
      </w:pPr>
      <w:bookmarkStart w:id="316" w:name="_Toc287607783"/>
      <w:bookmarkStart w:id="317" w:name="_Toc20177"/>
      <w:bookmarkStart w:id="318" w:name="_Toc200513163"/>
      <w:bookmarkStart w:id="319" w:name="_Toc277082589"/>
      <w:bookmarkStart w:id="320" w:name="_Toc224103354"/>
      <w:bookmarkStart w:id="321" w:name="_Toc452058717"/>
      <w:bookmarkStart w:id="322" w:name="_Toc386029682"/>
      <w:bookmarkStart w:id="323" w:name="_Toc287620722"/>
      <w:r>
        <w:rPr>
          <w:rFonts w:ascii="宋体" w:hAnsi="宋体"/>
          <w:b/>
          <w:snapToGrid w:val="0"/>
          <w:color w:val="auto"/>
          <w:kern w:val="0"/>
        </w:rPr>
        <w:t xml:space="preserve">6.3  </w:t>
      </w:r>
      <w:r>
        <w:rPr>
          <w:rFonts w:hint="eastAsia" w:ascii="宋体" w:hAnsi="宋体"/>
          <w:b/>
          <w:snapToGrid w:val="0"/>
          <w:color w:val="auto"/>
          <w:kern w:val="0"/>
        </w:rPr>
        <w:t>评标</w:t>
      </w:r>
      <w:bookmarkEnd w:id="316"/>
      <w:bookmarkEnd w:id="317"/>
      <w:bookmarkEnd w:id="318"/>
      <w:bookmarkEnd w:id="319"/>
      <w:bookmarkEnd w:id="320"/>
      <w:bookmarkEnd w:id="321"/>
      <w:bookmarkEnd w:id="322"/>
      <w:bookmarkEnd w:id="323"/>
    </w:p>
    <w:p>
      <w:pPr>
        <w:autoSpaceDE w:val="0"/>
        <w:autoSpaceDN w:val="0"/>
        <w:adjustRightInd w:val="0"/>
        <w:snapToGrid w:val="0"/>
        <w:spacing w:line="380" w:lineRule="exact"/>
        <w:ind w:firstLine="420"/>
        <w:jc w:val="left"/>
        <w:rPr>
          <w:rFonts w:ascii="宋体" w:hAnsi="宋体"/>
          <w:snapToGrid w:val="0"/>
          <w:color w:val="auto"/>
          <w:kern w:val="0"/>
        </w:rPr>
      </w:pPr>
      <w:r>
        <w:rPr>
          <w:rFonts w:hint="eastAsia" w:ascii="宋体" w:hAnsi="宋体"/>
          <w:snapToGrid w:val="0"/>
          <w:color w:val="auto"/>
          <w:kern w:val="0"/>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80" w:lineRule="exact"/>
        <w:jc w:val="left"/>
        <w:rPr>
          <w:rFonts w:ascii="宋体" w:hAnsi="宋体"/>
          <w:b/>
          <w:snapToGrid w:val="0"/>
          <w:color w:val="auto"/>
          <w:kern w:val="0"/>
        </w:rPr>
      </w:pPr>
      <w:bookmarkStart w:id="324" w:name="_Toc386029683"/>
      <w:bookmarkStart w:id="325" w:name="_Toc26653"/>
      <w:bookmarkStart w:id="326" w:name="_Toc7278"/>
      <w:bookmarkStart w:id="327" w:name="_Toc452058718"/>
      <w:bookmarkStart w:id="328" w:name="_Toc224103355"/>
      <w:bookmarkStart w:id="329" w:name="_Toc200513164"/>
      <w:bookmarkStart w:id="330" w:name="_Toc287607784"/>
      <w:bookmarkStart w:id="331" w:name="_Toc277082590"/>
      <w:r>
        <w:rPr>
          <w:rFonts w:ascii="宋体" w:hAnsi="宋体"/>
          <w:b/>
          <w:snapToGrid w:val="0"/>
          <w:color w:val="auto"/>
          <w:kern w:val="0"/>
        </w:rPr>
        <w:t xml:space="preserve">7.  </w:t>
      </w:r>
      <w:r>
        <w:rPr>
          <w:rFonts w:hint="eastAsia" w:ascii="宋体" w:hAnsi="宋体"/>
          <w:b/>
          <w:snapToGrid w:val="0"/>
          <w:color w:val="auto"/>
          <w:kern w:val="0"/>
        </w:rPr>
        <w:t>合同授予</w:t>
      </w:r>
      <w:bookmarkEnd w:id="324"/>
      <w:bookmarkEnd w:id="325"/>
      <w:bookmarkEnd w:id="326"/>
      <w:bookmarkEnd w:id="327"/>
      <w:bookmarkEnd w:id="328"/>
      <w:bookmarkEnd w:id="329"/>
      <w:bookmarkEnd w:id="330"/>
      <w:bookmarkEnd w:id="331"/>
    </w:p>
    <w:p>
      <w:pPr>
        <w:autoSpaceDE w:val="0"/>
        <w:autoSpaceDN w:val="0"/>
        <w:adjustRightInd w:val="0"/>
        <w:snapToGrid w:val="0"/>
        <w:spacing w:line="380" w:lineRule="exact"/>
        <w:jc w:val="left"/>
        <w:rPr>
          <w:rFonts w:ascii="宋体" w:hAnsi="宋体"/>
          <w:b/>
          <w:snapToGrid w:val="0"/>
          <w:color w:val="auto"/>
          <w:kern w:val="0"/>
        </w:rPr>
      </w:pPr>
      <w:bookmarkStart w:id="332" w:name="_Toc25382"/>
      <w:bookmarkStart w:id="333" w:name="_Toc200513165"/>
      <w:bookmarkStart w:id="334" w:name="_Toc287607785"/>
      <w:bookmarkStart w:id="335" w:name="_Toc386029684"/>
      <w:bookmarkStart w:id="336" w:name="_Toc452058719"/>
      <w:bookmarkStart w:id="337" w:name="_Toc277082591"/>
      <w:bookmarkStart w:id="338" w:name="_Toc224103356"/>
      <w:bookmarkStart w:id="339" w:name="_Toc287620724"/>
      <w:r>
        <w:rPr>
          <w:rFonts w:ascii="宋体" w:hAnsi="宋体"/>
          <w:b/>
          <w:snapToGrid w:val="0"/>
          <w:color w:val="auto"/>
          <w:kern w:val="0"/>
        </w:rPr>
        <w:t xml:space="preserve">7.1  </w:t>
      </w:r>
      <w:r>
        <w:rPr>
          <w:rFonts w:hint="eastAsia" w:ascii="宋体" w:hAnsi="宋体"/>
          <w:b/>
          <w:snapToGrid w:val="0"/>
          <w:color w:val="auto"/>
          <w:kern w:val="0"/>
        </w:rPr>
        <w:t>定标方式</w:t>
      </w:r>
      <w:bookmarkEnd w:id="332"/>
      <w:bookmarkEnd w:id="333"/>
      <w:bookmarkEnd w:id="334"/>
      <w:bookmarkEnd w:id="335"/>
      <w:bookmarkEnd w:id="336"/>
      <w:bookmarkEnd w:id="337"/>
      <w:bookmarkEnd w:id="338"/>
      <w:bookmarkEnd w:id="339"/>
    </w:p>
    <w:p>
      <w:pPr>
        <w:autoSpaceDE w:val="0"/>
        <w:autoSpaceDN w:val="0"/>
        <w:adjustRightInd w:val="0"/>
        <w:snapToGrid w:val="0"/>
        <w:spacing w:line="380" w:lineRule="exact"/>
        <w:ind w:firstLine="420" w:firstLineChars="200"/>
        <w:jc w:val="left"/>
        <w:rPr>
          <w:rFonts w:ascii="宋体" w:hAnsi="宋体"/>
          <w:color w:val="auto"/>
          <w:szCs w:val="21"/>
        </w:rPr>
      </w:pPr>
      <w:bookmarkStart w:id="340" w:name="_Toc277082592"/>
      <w:bookmarkStart w:id="341" w:name="_Toc224103357"/>
      <w:bookmarkStart w:id="342" w:name="_Toc200513166"/>
      <w:bookmarkStart w:id="343" w:name="_Toc386029685"/>
      <w:bookmarkStart w:id="344" w:name="_Toc287607786"/>
      <w:bookmarkStart w:id="345" w:name="_Toc23110"/>
      <w:bookmarkStart w:id="346" w:name="_Toc287620725"/>
      <w:r>
        <w:rPr>
          <w:rFonts w:hint="eastAsia" w:ascii="宋体" w:hAnsi="宋体"/>
          <w:color w:val="auto"/>
          <w:szCs w:val="21"/>
        </w:rPr>
        <w:t>7.1.1 除投标人须知前附表规定评标委员会直接确定中标人外，</w:t>
      </w:r>
      <w:r>
        <w:rPr>
          <w:rFonts w:hint="eastAsia" w:ascii="宋体" w:hAnsi="宋体"/>
          <w:color w:val="auto"/>
          <w:szCs w:val="21"/>
          <w:lang w:eastAsia="zh-CN"/>
        </w:rPr>
        <w:t>比选人</w:t>
      </w:r>
      <w:r>
        <w:rPr>
          <w:rFonts w:hint="eastAsia" w:ascii="宋体" w:hAnsi="宋体"/>
          <w:color w:val="auto"/>
          <w:szCs w:val="21"/>
        </w:rPr>
        <w:t>依据评标委员会推荐的中标候选人确定中标人，评标委员会推荐中标候选人的人数见投标人须知前附表。</w:t>
      </w:r>
    </w:p>
    <w:p>
      <w:pPr>
        <w:autoSpaceDE w:val="0"/>
        <w:autoSpaceDN w:val="0"/>
        <w:adjustRightInd w:val="0"/>
        <w:snapToGrid w:val="0"/>
        <w:spacing w:line="380" w:lineRule="exact"/>
        <w:ind w:firstLine="420" w:firstLineChars="200"/>
        <w:jc w:val="left"/>
        <w:rPr>
          <w:rFonts w:ascii="宋体" w:hAnsi="宋体"/>
          <w:color w:val="auto"/>
          <w:szCs w:val="21"/>
        </w:rPr>
      </w:pPr>
      <w:r>
        <w:rPr>
          <w:rFonts w:hint="eastAsia" w:ascii="宋体" w:hAnsi="宋体"/>
          <w:color w:val="auto"/>
          <w:szCs w:val="21"/>
        </w:rPr>
        <w:t xml:space="preserve">7.1.2 </w:t>
      </w:r>
      <w:r>
        <w:rPr>
          <w:rFonts w:hint="eastAsia" w:ascii="宋体" w:hAnsi="宋体"/>
          <w:color w:val="auto"/>
          <w:szCs w:val="21"/>
          <w:lang w:eastAsia="zh-CN"/>
        </w:rPr>
        <w:t>比选人</w:t>
      </w:r>
      <w:r>
        <w:rPr>
          <w:rFonts w:hint="eastAsia" w:ascii="宋体" w:hAnsi="宋体"/>
          <w:color w:val="auto"/>
          <w:szCs w:val="21"/>
        </w:rPr>
        <w:t>应当确定排名第一的中标候选人为中标人。排名第一的中标候选人放弃中标、因不可抗力不能履行合同、不按照</w:t>
      </w:r>
      <w:r>
        <w:rPr>
          <w:rFonts w:hint="eastAsia" w:ascii="宋体" w:hAnsi="宋体" w:cs="宋体"/>
          <w:color w:val="auto"/>
          <w:szCs w:val="21"/>
          <w:lang w:val="en-US" w:eastAsia="zh-CN"/>
        </w:rPr>
        <w:t>比选</w:t>
      </w:r>
      <w:r>
        <w:rPr>
          <w:rFonts w:hint="eastAsia" w:ascii="宋体" w:hAnsi="宋体"/>
          <w:color w:val="auto"/>
          <w:szCs w:val="21"/>
        </w:rPr>
        <w:t>文件要求提交履约保证金，或者被查实存在影响中标结果的违法行为等情形，不符合中标条件的，</w:t>
      </w:r>
      <w:r>
        <w:rPr>
          <w:rFonts w:hint="eastAsia" w:ascii="宋体" w:hAnsi="宋体" w:cs="MingLiU"/>
          <w:snapToGrid w:val="0"/>
          <w:color w:val="auto"/>
          <w:kern w:val="0"/>
          <w:szCs w:val="21"/>
          <w:lang w:eastAsia="zh-CN"/>
        </w:rPr>
        <w:t>比选人</w:t>
      </w:r>
      <w:r>
        <w:rPr>
          <w:rFonts w:hint="eastAsia" w:ascii="宋体" w:hAnsi="宋体"/>
          <w:color w:val="auto"/>
          <w:szCs w:val="21"/>
        </w:rPr>
        <w:t>可以按照评标委员会提出的中标候选人名单排序依次确定其他中标候选人为中标人，</w:t>
      </w:r>
      <w:r>
        <w:rPr>
          <w:rFonts w:hint="eastAsia" w:ascii="宋体" w:hAnsi="宋体"/>
          <w:b/>
          <w:color w:val="auto"/>
          <w:szCs w:val="21"/>
        </w:rPr>
        <w:t>也可以重新比选。</w:t>
      </w:r>
      <w:r>
        <w:rPr>
          <w:rFonts w:hint="eastAsia" w:ascii="宋体" w:hAnsi="宋体"/>
          <w:color w:val="auto"/>
          <w:szCs w:val="21"/>
        </w:rPr>
        <w:t>排名第一的中标候选人放弃中标后，排名第二或第三的中标候选人按次序确定为中标人的，其投标报价高于第一中标候选人投标报价的，须以第一中标候选人的投标价格为中标价格，其投标价格低于第一中标候选人投标报价的，以其实际投标价格为中标价格。</w:t>
      </w:r>
    </w:p>
    <w:bookmarkEnd w:id="340"/>
    <w:bookmarkEnd w:id="341"/>
    <w:bookmarkEnd w:id="342"/>
    <w:bookmarkEnd w:id="343"/>
    <w:bookmarkEnd w:id="344"/>
    <w:bookmarkEnd w:id="345"/>
    <w:bookmarkEnd w:id="346"/>
    <w:p>
      <w:pPr>
        <w:autoSpaceDE w:val="0"/>
        <w:autoSpaceDN w:val="0"/>
        <w:adjustRightInd w:val="0"/>
        <w:snapToGrid w:val="0"/>
        <w:spacing w:line="380" w:lineRule="exact"/>
        <w:jc w:val="left"/>
        <w:rPr>
          <w:rFonts w:ascii="宋体" w:hAnsi="宋体"/>
          <w:b/>
          <w:snapToGrid w:val="0"/>
          <w:color w:val="auto"/>
          <w:kern w:val="0"/>
        </w:rPr>
      </w:pPr>
      <w:bookmarkStart w:id="347" w:name="_Toc452058720"/>
      <w:bookmarkStart w:id="348" w:name="_Toc200513167"/>
      <w:bookmarkStart w:id="349" w:name="_Toc224103358"/>
      <w:bookmarkStart w:id="350" w:name="_Toc287620726"/>
      <w:bookmarkStart w:id="351" w:name="_Toc287607787"/>
      <w:bookmarkStart w:id="352" w:name="_Toc386029686"/>
      <w:bookmarkStart w:id="353" w:name="_Toc17730"/>
      <w:bookmarkStart w:id="354" w:name="_Toc277082593"/>
      <w:r>
        <w:rPr>
          <w:rFonts w:ascii="宋体" w:hAnsi="宋体"/>
          <w:b/>
          <w:snapToGrid w:val="0"/>
          <w:color w:val="auto"/>
          <w:kern w:val="0"/>
        </w:rPr>
        <w:t xml:space="preserve">7.2  </w:t>
      </w:r>
      <w:r>
        <w:rPr>
          <w:rFonts w:hint="eastAsia" w:ascii="宋体" w:hAnsi="宋体"/>
          <w:b/>
          <w:snapToGrid w:val="0"/>
          <w:color w:val="auto"/>
          <w:kern w:val="0"/>
        </w:rPr>
        <w:t>中标公示及中标通知</w:t>
      </w:r>
      <w:bookmarkEnd w:id="347"/>
    </w:p>
    <w:p>
      <w:pPr>
        <w:autoSpaceDE w:val="0"/>
        <w:autoSpaceDN w:val="0"/>
        <w:adjustRightInd w:val="0"/>
        <w:snapToGrid w:val="0"/>
        <w:spacing w:line="380" w:lineRule="exact"/>
        <w:ind w:firstLine="420"/>
        <w:rPr>
          <w:rFonts w:ascii="宋体" w:hAnsi="宋体"/>
          <w:snapToGrid w:val="0"/>
          <w:color w:val="auto"/>
          <w:kern w:val="0"/>
          <w:szCs w:val="21"/>
        </w:rPr>
      </w:pPr>
      <w:r>
        <w:rPr>
          <w:rFonts w:hint="eastAsia" w:ascii="宋体" w:hAnsi="宋体" w:cs="MingLiU"/>
          <w:snapToGrid w:val="0"/>
          <w:color w:val="auto"/>
          <w:kern w:val="0"/>
          <w:szCs w:val="21"/>
          <w:lang w:eastAsia="zh-CN"/>
        </w:rPr>
        <w:t>比选人</w:t>
      </w:r>
      <w:r>
        <w:rPr>
          <w:rFonts w:hint="eastAsia" w:ascii="宋体" w:hAnsi="宋体"/>
          <w:snapToGrid w:val="0"/>
          <w:color w:val="auto"/>
          <w:kern w:val="0"/>
          <w:szCs w:val="21"/>
        </w:rPr>
        <w:t>应当在</w:t>
      </w:r>
      <w:r>
        <w:rPr>
          <w:rFonts w:hint="eastAsia"/>
          <w:color w:val="auto"/>
        </w:rPr>
        <w:t>评标结束后</w:t>
      </w:r>
      <w:r>
        <w:rPr>
          <w:rFonts w:ascii="宋体" w:hAnsi="宋体"/>
          <w:snapToGrid w:val="0"/>
          <w:color w:val="auto"/>
          <w:kern w:val="0"/>
          <w:szCs w:val="21"/>
        </w:rPr>
        <w:t>3</w:t>
      </w:r>
      <w:r>
        <w:rPr>
          <w:rFonts w:hint="eastAsia" w:ascii="宋体" w:hAnsi="宋体"/>
          <w:snapToGrid w:val="0"/>
          <w:color w:val="auto"/>
          <w:kern w:val="0"/>
          <w:szCs w:val="21"/>
        </w:rPr>
        <w:t>日内公示中标候选人，公示期不得少于</w:t>
      </w:r>
      <w:r>
        <w:rPr>
          <w:rFonts w:ascii="宋体" w:hAnsi="宋体"/>
          <w:snapToGrid w:val="0"/>
          <w:color w:val="auto"/>
          <w:kern w:val="0"/>
          <w:szCs w:val="21"/>
        </w:rPr>
        <w:t>3</w:t>
      </w:r>
      <w:r>
        <w:rPr>
          <w:rFonts w:hint="eastAsia" w:ascii="宋体" w:hAnsi="宋体"/>
          <w:snapToGrid w:val="0"/>
          <w:color w:val="auto"/>
          <w:kern w:val="0"/>
          <w:szCs w:val="21"/>
        </w:rPr>
        <w:t>日。</w:t>
      </w:r>
    </w:p>
    <w:p>
      <w:pPr>
        <w:autoSpaceDE w:val="0"/>
        <w:autoSpaceDN w:val="0"/>
        <w:adjustRightInd w:val="0"/>
        <w:snapToGrid w:val="0"/>
        <w:spacing w:line="380" w:lineRule="exact"/>
        <w:ind w:firstLine="420"/>
        <w:rPr>
          <w:rFonts w:ascii="宋体" w:hAnsi="宋体"/>
          <w:snapToGrid w:val="0"/>
          <w:color w:val="auto"/>
          <w:kern w:val="0"/>
          <w:szCs w:val="21"/>
        </w:rPr>
      </w:pPr>
      <w:r>
        <w:rPr>
          <w:rFonts w:hint="eastAsia" w:ascii="宋体" w:hAnsi="宋体"/>
          <w:snapToGrid w:val="0"/>
          <w:color w:val="auto"/>
          <w:kern w:val="0"/>
          <w:szCs w:val="21"/>
        </w:rPr>
        <w:t>在本章第</w:t>
      </w:r>
      <w:r>
        <w:rPr>
          <w:rFonts w:ascii="宋体" w:hAnsi="宋体"/>
          <w:snapToGrid w:val="0"/>
          <w:color w:val="auto"/>
          <w:kern w:val="0"/>
          <w:szCs w:val="21"/>
        </w:rPr>
        <w:t xml:space="preserve"> 3.3 </w:t>
      </w:r>
      <w:r>
        <w:rPr>
          <w:rFonts w:hint="eastAsia" w:ascii="宋体" w:hAnsi="宋体"/>
          <w:snapToGrid w:val="0"/>
          <w:color w:val="auto"/>
          <w:kern w:val="0"/>
          <w:szCs w:val="21"/>
        </w:rPr>
        <w:t>款规定的投标有效期内，且未有投标人的异议与投诉，</w:t>
      </w:r>
      <w:r>
        <w:rPr>
          <w:rFonts w:hint="eastAsia" w:ascii="宋体" w:hAnsi="宋体" w:cs="MingLiU"/>
          <w:snapToGrid w:val="0"/>
          <w:color w:val="auto"/>
          <w:kern w:val="0"/>
          <w:szCs w:val="21"/>
          <w:lang w:eastAsia="zh-CN"/>
        </w:rPr>
        <w:t>比选人</w:t>
      </w:r>
      <w:r>
        <w:rPr>
          <w:rFonts w:hint="eastAsia" w:ascii="宋体" w:hAnsi="宋体"/>
          <w:snapToGrid w:val="0"/>
          <w:color w:val="auto"/>
          <w:kern w:val="0"/>
          <w:szCs w:val="21"/>
        </w:rPr>
        <w:t>以书面形式向中标人发出中标通知书。</w:t>
      </w:r>
    </w:p>
    <w:p>
      <w:pPr>
        <w:autoSpaceDE w:val="0"/>
        <w:autoSpaceDN w:val="0"/>
        <w:adjustRightInd w:val="0"/>
        <w:snapToGrid w:val="0"/>
        <w:spacing w:line="380" w:lineRule="exact"/>
        <w:jc w:val="left"/>
        <w:rPr>
          <w:rFonts w:ascii="宋体" w:hAnsi="宋体"/>
          <w:b/>
          <w:snapToGrid w:val="0"/>
          <w:color w:val="auto"/>
          <w:kern w:val="0"/>
        </w:rPr>
      </w:pPr>
      <w:bookmarkStart w:id="355" w:name="_Toc452058721"/>
      <w:r>
        <w:rPr>
          <w:rFonts w:ascii="宋体" w:hAnsi="宋体"/>
          <w:b/>
          <w:snapToGrid w:val="0"/>
          <w:color w:val="auto"/>
          <w:kern w:val="0"/>
        </w:rPr>
        <w:t xml:space="preserve">7.3  </w:t>
      </w:r>
      <w:r>
        <w:rPr>
          <w:rFonts w:hint="eastAsia" w:ascii="宋体" w:hAnsi="宋体"/>
          <w:b/>
          <w:snapToGrid w:val="0"/>
          <w:color w:val="auto"/>
          <w:kern w:val="0"/>
        </w:rPr>
        <w:t>履约</w:t>
      </w:r>
      <w:bookmarkEnd w:id="348"/>
      <w:bookmarkEnd w:id="349"/>
      <w:bookmarkEnd w:id="350"/>
      <w:bookmarkEnd w:id="351"/>
      <w:bookmarkEnd w:id="352"/>
      <w:bookmarkEnd w:id="353"/>
      <w:bookmarkEnd w:id="354"/>
      <w:r>
        <w:rPr>
          <w:rFonts w:hint="eastAsia" w:ascii="宋体" w:hAnsi="宋体"/>
          <w:b/>
          <w:snapToGrid w:val="0"/>
          <w:color w:val="auto"/>
          <w:kern w:val="0"/>
        </w:rPr>
        <w:t>保证金</w:t>
      </w:r>
      <w:bookmarkEnd w:id="355"/>
    </w:p>
    <w:p>
      <w:pPr>
        <w:autoSpaceDE w:val="0"/>
        <w:autoSpaceDN w:val="0"/>
        <w:adjustRightInd w:val="0"/>
        <w:snapToGrid w:val="0"/>
        <w:spacing w:line="380" w:lineRule="exact"/>
        <w:ind w:firstLine="420"/>
        <w:rPr>
          <w:color w:val="auto"/>
        </w:rPr>
      </w:pPr>
      <w:bookmarkStart w:id="356" w:name="_Toc224103359"/>
      <w:bookmarkStart w:id="357" w:name="_Toc287607788"/>
      <w:bookmarkStart w:id="358" w:name="_Toc386029687"/>
      <w:bookmarkStart w:id="359" w:name="_Toc15530"/>
      <w:bookmarkStart w:id="360" w:name="_Toc287620727"/>
      <w:bookmarkStart w:id="361" w:name="_Toc200513168"/>
      <w:bookmarkStart w:id="362" w:name="_Toc277082594"/>
      <w:r>
        <w:rPr>
          <w:rFonts w:hint="eastAsia"/>
          <w:color w:val="auto"/>
        </w:rPr>
        <w:t>7.3.1中标人应在收到中标通知书后</w:t>
      </w:r>
      <w:r>
        <w:rPr>
          <w:rFonts w:hint="eastAsia"/>
          <w:color w:val="auto"/>
          <w:lang w:val="en-US" w:eastAsia="zh-CN"/>
        </w:rPr>
        <w:t>7</w:t>
      </w:r>
      <w:r>
        <w:rPr>
          <w:rFonts w:hint="eastAsia"/>
          <w:color w:val="auto"/>
        </w:rPr>
        <w:t>日内，施工合同签订前按照</w:t>
      </w:r>
      <w:r>
        <w:rPr>
          <w:rFonts w:hint="eastAsia"/>
          <w:color w:val="auto"/>
          <w:lang w:eastAsia="zh-CN"/>
        </w:rPr>
        <w:t>比选人</w:t>
      </w:r>
      <w:r>
        <w:rPr>
          <w:rFonts w:hint="eastAsia"/>
          <w:color w:val="auto"/>
        </w:rPr>
        <w:t>指定方式提交履约保证金。</w:t>
      </w:r>
    </w:p>
    <w:p>
      <w:pPr>
        <w:autoSpaceDE w:val="0"/>
        <w:autoSpaceDN w:val="0"/>
        <w:adjustRightInd w:val="0"/>
        <w:snapToGrid w:val="0"/>
        <w:spacing w:line="380" w:lineRule="exact"/>
        <w:ind w:firstLine="420"/>
        <w:rPr>
          <w:rFonts w:ascii="宋体" w:hAnsi="宋体"/>
          <w:snapToGrid w:val="0"/>
          <w:color w:val="auto"/>
          <w:kern w:val="0"/>
          <w:szCs w:val="21"/>
        </w:rPr>
      </w:pPr>
      <w:r>
        <w:rPr>
          <w:rFonts w:hint="eastAsia" w:ascii="宋体" w:hAnsi="宋体"/>
          <w:snapToGrid w:val="0"/>
          <w:color w:val="auto"/>
          <w:kern w:val="0"/>
          <w:szCs w:val="21"/>
        </w:rPr>
        <w:t>7.3.2  中标人不能按本章第 7.3.1 项要求提交履约保证金，视为放弃中标，其投标保证金不予退还，给</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造成的损失超过投标保证金数额的，中标人还应当对超过部分予以赔偿。</w:t>
      </w:r>
    </w:p>
    <w:p>
      <w:pPr>
        <w:autoSpaceDE w:val="0"/>
        <w:autoSpaceDN w:val="0"/>
        <w:adjustRightInd w:val="0"/>
        <w:snapToGrid w:val="0"/>
        <w:spacing w:line="380" w:lineRule="exact"/>
        <w:jc w:val="left"/>
        <w:rPr>
          <w:rFonts w:ascii="宋体" w:hAnsi="宋体"/>
          <w:b/>
          <w:snapToGrid w:val="0"/>
          <w:color w:val="auto"/>
          <w:kern w:val="0"/>
        </w:rPr>
      </w:pPr>
      <w:bookmarkStart w:id="363" w:name="_Toc452058722"/>
      <w:r>
        <w:rPr>
          <w:rFonts w:ascii="宋体" w:hAnsi="宋体"/>
          <w:b/>
          <w:snapToGrid w:val="0"/>
          <w:color w:val="auto"/>
          <w:kern w:val="0"/>
        </w:rPr>
        <w:t xml:space="preserve">7.4  </w:t>
      </w:r>
      <w:r>
        <w:rPr>
          <w:rFonts w:hint="eastAsia" w:ascii="宋体" w:hAnsi="宋体"/>
          <w:b/>
          <w:snapToGrid w:val="0"/>
          <w:color w:val="auto"/>
          <w:kern w:val="0"/>
        </w:rPr>
        <w:t>签订合同</w:t>
      </w:r>
      <w:bookmarkEnd w:id="356"/>
      <w:bookmarkEnd w:id="357"/>
      <w:bookmarkEnd w:id="358"/>
      <w:bookmarkEnd w:id="359"/>
      <w:bookmarkEnd w:id="360"/>
      <w:bookmarkEnd w:id="361"/>
      <w:bookmarkEnd w:id="362"/>
      <w:bookmarkEnd w:id="363"/>
    </w:p>
    <w:p>
      <w:pPr>
        <w:autoSpaceDE w:val="0"/>
        <w:autoSpaceDN w:val="0"/>
        <w:adjustRightInd w:val="0"/>
        <w:snapToGrid w:val="0"/>
        <w:spacing w:line="380" w:lineRule="exact"/>
        <w:ind w:firstLine="420"/>
        <w:rPr>
          <w:rFonts w:ascii="宋体" w:hAnsi="宋体" w:cs="MingLiU"/>
          <w:snapToGrid w:val="0"/>
          <w:color w:val="auto"/>
          <w:kern w:val="0"/>
          <w:szCs w:val="21"/>
        </w:rPr>
      </w:pPr>
      <w:bookmarkStart w:id="364" w:name="_Toc224103360"/>
      <w:bookmarkStart w:id="365" w:name="_Toc28937"/>
      <w:bookmarkStart w:id="366" w:name="_Toc200513169"/>
      <w:bookmarkStart w:id="367" w:name="_Toc287607789"/>
      <w:bookmarkStart w:id="368" w:name="_Toc277082595"/>
      <w:bookmarkStart w:id="369" w:name="_Toc16683"/>
      <w:bookmarkStart w:id="370" w:name="_Toc386029688"/>
      <w:r>
        <w:rPr>
          <w:rFonts w:ascii="宋体" w:hAnsi="宋体"/>
          <w:snapToGrid w:val="0"/>
          <w:color w:val="auto"/>
          <w:kern w:val="0"/>
          <w:szCs w:val="21"/>
        </w:rPr>
        <w:t xml:space="preserve">7.4.1 </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和中标人应当自中标通知书发出之日起</w:t>
      </w:r>
      <w:r>
        <w:rPr>
          <w:rFonts w:hint="eastAsia" w:ascii="黑体" w:hAnsi="黑体" w:eastAsia="黑体"/>
          <w:b/>
          <w:snapToGrid w:val="0"/>
          <w:color w:val="auto"/>
          <w:kern w:val="0"/>
          <w:szCs w:val="21"/>
        </w:rPr>
        <w:t>10</w:t>
      </w:r>
      <w:r>
        <w:rPr>
          <w:rFonts w:hint="eastAsia" w:ascii="黑体" w:hAnsi="黑体" w:eastAsia="黑体" w:cs="MingLiU"/>
          <w:b/>
          <w:snapToGrid w:val="0"/>
          <w:color w:val="auto"/>
          <w:kern w:val="0"/>
          <w:szCs w:val="21"/>
        </w:rPr>
        <w:t>天内</w:t>
      </w:r>
      <w:r>
        <w:rPr>
          <w:rFonts w:hint="eastAsia" w:ascii="宋体" w:hAnsi="宋体" w:cs="MingLiU"/>
          <w:snapToGrid w:val="0"/>
          <w:color w:val="auto"/>
          <w:kern w:val="0"/>
          <w:szCs w:val="21"/>
        </w:rPr>
        <w:t>，根据比选文件和中标人的投标文件订立书面合同。中标人无正当理由拒签合同的，</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取消其中标资格，其投标保证金不予退还；给</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造成的损失超过投标保证金数额的，中标人还应当对超过部分予以赔偿。</w:t>
      </w:r>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ascii="宋体" w:hAnsi="宋体"/>
          <w:snapToGrid w:val="0"/>
          <w:color w:val="auto"/>
          <w:kern w:val="0"/>
          <w:szCs w:val="21"/>
        </w:rPr>
        <w:t xml:space="preserve">7.4.2  </w:t>
      </w:r>
      <w:r>
        <w:rPr>
          <w:rFonts w:hint="eastAsia" w:ascii="宋体" w:hAnsi="宋体" w:cs="MingLiU"/>
          <w:snapToGrid w:val="0"/>
          <w:color w:val="auto"/>
          <w:kern w:val="0"/>
          <w:szCs w:val="21"/>
        </w:rPr>
        <w:t>发出中标通知书后，</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无正当理由拒签合同的，</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向中标人退还投标保证金；给中标人造成损失的，还应当赔偿损失。</w:t>
      </w:r>
    </w:p>
    <w:p>
      <w:pPr>
        <w:autoSpaceDE w:val="0"/>
        <w:autoSpaceDN w:val="0"/>
        <w:adjustRightInd w:val="0"/>
        <w:snapToGrid w:val="0"/>
        <w:spacing w:line="380" w:lineRule="exact"/>
        <w:jc w:val="left"/>
        <w:rPr>
          <w:rFonts w:ascii="宋体" w:hAnsi="宋体"/>
          <w:b/>
          <w:snapToGrid w:val="0"/>
          <w:color w:val="auto"/>
          <w:kern w:val="0"/>
        </w:rPr>
      </w:pPr>
      <w:bookmarkStart w:id="371" w:name="_Toc452058723"/>
      <w:r>
        <w:rPr>
          <w:rFonts w:ascii="宋体" w:hAnsi="宋体"/>
          <w:b/>
          <w:snapToGrid w:val="0"/>
          <w:color w:val="auto"/>
          <w:kern w:val="0"/>
        </w:rPr>
        <w:t xml:space="preserve">8.  </w:t>
      </w:r>
      <w:r>
        <w:rPr>
          <w:rFonts w:hint="eastAsia" w:ascii="宋体" w:hAnsi="宋体"/>
          <w:b/>
          <w:snapToGrid w:val="0"/>
          <w:color w:val="auto"/>
          <w:kern w:val="0"/>
        </w:rPr>
        <w:t>重新比选和不再</w:t>
      </w:r>
      <w:bookmarkEnd w:id="364"/>
      <w:bookmarkEnd w:id="365"/>
      <w:bookmarkEnd w:id="366"/>
      <w:bookmarkEnd w:id="367"/>
      <w:bookmarkEnd w:id="368"/>
      <w:bookmarkEnd w:id="369"/>
      <w:bookmarkEnd w:id="370"/>
      <w:bookmarkEnd w:id="371"/>
      <w:r>
        <w:rPr>
          <w:rFonts w:hint="eastAsia" w:ascii="宋体" w:hAnsi="宋体"/>
          <w:b/>
          <w:snapToGrid w:val="0"/>
          <w:color w:val="auto"/>
          <w:kern w:val="0"/>
        </w:rPr>
        <w:t>比选</w:t>
      </w:r>
    </w:p>
    <w:p>
      <w:pPr>
        <w:autoSpaceDE w:val="0"/>
        <w:autoSpaceDN w:val="0"/>
        <w:adjustRightInd w:val="0"/>
        <w:snapToGrid w:val="0"/>
        <w:spacing w:line="380" w:lineRule="exact"/>
        <w:jc w:val="left"/>
        <w:rPr>
          <w:rFonts w:ascii="宋体" w:hAnsi="宋体"/>
          <w:b/>
          <w:snapToGrid w:val="0"/>
          <w:color w:val="auto"/>
          <w:kern w:val="0"/>
        </w:rPr>
      </w:pPr>
      <w:bookmarkStart w:id="372" w:name="_Toc452058724"/>
      <w:bookmarkStart w:id="373" w:name="_Toc287620729"/>
      <w:bookmarkStart w:id="374" w:name="_Toc277082596"/>
      <w:bookmarkStart w:id="375" w:name="_Toc200513170"/>
      <w:bookmarkStart w:id="376" w:name="_Toc386029689"/>
      <w:bookmarkStart w:id="377" w:name="_Toc287607790"/>
      <w:bookmarkStart w:id="378" w:name="_Toc30995"/>
      <w:bookmarkStart w:id="379" w:name="_Toc224103361"/>
      <w:r>
        <w:rPr>
          <w:rFonts w:ascii="宋体" w:hAnsi="宋体"/>
          <w:b/>
          <w:snapToGrid w:val="0"/>
          <w:color w:val="auto"/>
          <w:kern w:val="0"/>
        </w:rPr>
        <w:t xml:space="preserve">8.1 </w:t>
      </w:r>
      <w:r>
        <w:rPr>
          <w:rFonts w:hint="eastAsia" w:ascii="宋体" w:hAnsi="宋体"/>
          <w:b/>
          <w:snapToGrid w:val="0"/>
          <w:color w:val="auto"/>
          <w:kern w:val="0"/>
        </w:rPr>
        <w:t>重新</w:t>
      </w:r>
      <w:bookmarkEnd w:id="372"/>
      <w:bookmarkEnd w:id="373"/>
      <w:bookmarkEnd w:id="374"/>
      <w:bookmarkEnd w:id="375"/>
      <w:bookmarkEnd w:id="376"/>
      <w:bookmarkEnd w:id="377"/>
      <w:bookmarkEnd w:id="378"/>
      <w:bookmarkEnd w:id="379"/>
      <w:r>
        <w:rPr>
          <w:rFonts w:hint="eastAsia" w:ascii="宋体" w:hAnsi="宋体"/>
          <w:b/>
          <w:snapToGrid w:val="0"/>
          <w:color w:val="auto"/>
          <w:kern w:val="0"/>
        </w:rPr>
        <w:t>比选</w:t>
      </w:r>
    </w:p>
    <w:p>
      <w:pPr>
        <w:autoSpaceDE w:val="0"/>
        <w:autoSpaceDN w:val="0"/>
        <w:adjustRightInd w:val="0"/>
        <w:snapToGrid w:val="0"/>
        <w:spacing w:line="380" w:lineRule="exact"/>
        <w:ind w:firstLine="420"/>
        <w:rPr>
          <w:rFonts w:ascii="宋体" w:hAnsi="宋体" w:cs="MingLiU"/>
          <w:snapToGrid w:val="0"/>
          <w:color w:val="auto"/>
          <w:kern w:val="0"/>
          <w:szCs w:val="21"/>
        </w:rPr>
      </w:pPr>
      <w:r>
        <w:rPr>
          <w:rFonts w:hint="eastAsia" w:ascii="宋体" w:hAnsi="宋体" w:cs="MingLiU"/>
          <w:snapToGrid w:val="0"/>
          <w:color w:val="auto"/>
          <w:kern w:val="0"/>
          <w:szCs w:val="21"/>
        </w:rPr>
        <w:t>有下列情形之一的，</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将重新比选：</w:t>
      </w:r>
    </w:p>
    <w:p>
      <w:pPr>
        <w:autoSpaceDE w:val="0"/>
        <w:autoSpaceDN w:val="0"/>
        <w:adjustRightInd w:val="0"/>
        <w:snapToGrid w:val="0"/>
        <w:spacing w:line="380" w:lineRule="exact"/>
        <w:ind w:firstLine="420"/>
        <w:rPr>
          <w:rFonts w:ascii="宋体" w:hAnsi="宋体" w:cs="MingLiU"/>
          <w:snapToGrid w:val="0"/>
          <w:color w:val="auto"/>
          <w:kern w:val="0"/>
          <w:szCs w:val="21"/>
        </w:rPr>
      </w:pPr>
      <w:r>
        <w:rPr>
          <w:rFonts w:hint="eastAsia" w:ascii="宋体" w:hAnsi="宋体" w:cs="MingLiU"/>
          <w:snapToGrid w:val="0"/>
          <w:color w:val="auto"/>
          <w:kern w:val="0"/>
          <w:szCs w:val="21"/>
        </w:rPr>
        <w:t>（1）投标截止时间止，投标人少于 3 个的；</w:t>
      </w:r>
    </w:p>
    <w:p>
      <w:pPr>
        <w:autoSpaceDE w:val="0"/>
        <w:autoSpaceDN w:val="0"/>
        <w:adjustRightInd w:val="0"/>
        <w:snapToGrid w:val="0"/>
        <w:spacing w:line="380" w:lineRule="exact"/>
        <w:ind w:firstLine="420"/>
        <w:rPr>
          <w:rFonts w:ascii="宋体" w:hAnsi="宋体" w:cs="MingLiU"/>
          <w:snapToGrid w:val="0"/>
          <w:color w:val="auto"/>
          <w:kern w:val="0"/>
          <w:szCs w:val="21"/>
        </w:rPr>
      </w:pPr>
      <w:r>
        <w:rPr>
          <w:rFonts w:hint="eastAsia" w:ascii="宋体" w:hAnsi="宋体" w:cs="MingLiU"/>
          <w:snapToGrid w:val="0"/>
          <w:color w:val="auto"/>
          <w:kern w:val="0"/>
          <w:szCs w:val="21"/>
        </w:rPr>
        <w:t>（2）经评标委员会评审后否决所有投标的；</w:t>
      </w:r>
    </w:p>
    <w:p>
      <w:pPr>
        <w:autoSpaceDE w:val="0"/>
        <w:autoSpaceDN w:val="0"/>
        <w:adjustRightInd w:val="0"/>
        <w:snapToGrid w:val="0"/>
        <w:spacing w:line="380" w:lineRule="exact"/>
        <w:ind w:firstLine="420"/>
        <w:rPr>
          <w:rFonts w:ascii="宋体" w:hAnsi="宋体" w:cs="MingLiU"/>
          <w:snapToGrid w:val="0"/>
          <w:color w:val="auto"/>
          <w:kern w:val="0"/>
          <w:szCs w:val="21"/>
        </w:rPr>
      </w:pPr>
      <w:r>
        <w:rPr>
          <w:rFonts w:hint="eastAsia" w:ascii="宋体" w:hAnsi="宋体" w:cs="MingLiU"/>
          <w:snapToGrid w:val="0"/>
          <w:color w:val="auto"/>
          <w:kern w:val="0"/>
          <w:szCs w:val="21"/>
        </w:rPr>
        <w:t>（3）经评审后，如合格的投标人少于三个的，且明显缺乏竞争的，评标委员会可以否决全部投标，</w:t>
      </w: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将重新组织比选。</w:t>
      </w:r>
    </w:p>
    <w:p>
      <w:pPr>
        <w:autoSpaceDE w:val="0"/>
        <w:autoSpaceDN w:val="0"/>
        <w:adjustRightInd w:val="0"/>
        <w:snapToGrid w:val="0"/>
        <w:spacing w:line="380" w:lineRule="exact"/>
        <w:ind w:firstLine="420"/>
        <w:rPr>
          <w:rFonts w:ascii="宋体" w:hAnsi="宋体" w:cs="MingLiU"/>
          <w:snapToGrid w:val="0"/>
          <w:color w:val="auto"/>
          <w:kern w:val="0"/>
          <w:szCs w:val="21"/>
        </w:rPr>
      </w:pPr>
      <w:r>
        <w:rPr>
          <w:rFonts w:hint="eastAsia" w:ascii="宋体" w:hAnsi="宋体" w:cs="MingLiU"/>
          <w:snapToGrid w:val="0"/>
          <w:color w:val="auto"/>
          <w:kern w:val="0"/>
          <w:szCs w:val="21"/>
        </w:rPr>
        <w:t>（4）法律法规规定的其他情形。</w:t>
      </w:r>
    </w:p>
    <w:p>
      <w:pPr>
        <w:autoSpaceDE w:val="0"/>
        <w:autoSpaceDN w:val="0"/>
        <w:adjustRightInd w:val="0"/>
        <w:snapToGrid w:val="0"/>
        <w:spacing w:line="380" w:lineRule="exact"/>
        <w:jc w:val="left"/>
        <w:rPr>
          <w:rFonts w:ascii="宋体" w:hAnsi="宋体"/>
          <w:b/>
          <w:snapToGrid w:val="0"/>
          <w:color w:val="auto"/>
          <w:kern w:val="0"/>
        </w:rPr>
      </w:pPr>
      <w:bookmarkStart w:id="380" w:name="_Toc277082597"/>
      <w:bookmarkStart w:id="381" w:name="_Toc21171"/>
      <w:bookmarkStart w:id="382" w:name="_Toc224103362"/>
      <w:bookmarkStart w:id="383" w:name="_Toc452058725"/>
      <w:bookmarkStart w:id="384" w:name="_Toc287607791"/>
      <w:bookmarkStart w:id="385" w:name="_Toc287620730"/>
      <w:bookmarkStart w:id="386" w:name="_Toc200513171"/>
      <w:bookmarkStart w:id="387" w:name="_Toc386029690"/>
      <w:r>
        <w:rPr>
          <w:rFonts w:ascii="宋体" w:hAnsi="宋体"/>
          <w:b/>
          <w:snapToGrid w:val="0"/>
          <w:color w:val="auto"/>
          <w:kern w:val="0"/>
        </w:rPr>
        <w:t xml:space="preserve">8.2 </w:t>
      </w:r>
      <w:r>
        <w:rPr>
          <w:rFonts w:hint="eastAsia" w:ascii="宋体" w:hAnsi="宋体"/>
          <w:b/>
          <w:snapToGrid w:val="0"/>
          <w:color w:val="auto"/>
          <w:kern w:val="0"/>
        </w:rPr>
        <w:t>二次比选和不再</w:t>
      </w:r>
      <w:bookmarkEnd w:id="380"/>
      <w:bookmarkEnd w:id="381"/>
      <w:bookmarkEnd w:id="382"/>
      <w:bookmarkEnd w:id="383"/>
      <w:bookmarkEnd w:id="384"/>
      <w:bookmarkEnd w:id="385"/>
      <w:bookmarkEnd w:id="386"/>
      <w:bookmarkEnd w:id="387"/>
      <w:r>
        <w:rPr>
          <w:rFonts w:hint="eastAsia" w:ascii="宋体" w:hAnsi="宋体"/>
          <w:b/>
          <w:snapToGrid w:val="0"/>
          <w:color w:val="auto"/>
          <w:kern w:val="0"/>
        </w:rPr>
        <w:t>比选</w:t>
      </w:r>
    </w:p>
    <w:p>
      <w:pPr>
        <w:autoSpaceDE w:val="0"/>
        <w:autoSpaceDN w:val="0"/>
        <w:adjustRightInd w:val="0"/>
        <w:snapToGrid w:val="0"/>
        <w:spacing w:line="380" w:lineRule="exact"/>
        <w:ind w:firstLine="420"/>
        <w:rPr>
          <w:rFonts w:ascii="宋体" w:hAnsi="宋体" w:cs="MingLiU"/>
          <w:snapToGrid w:val="0"/>
          <w:color w:val="auto"/>
          <w:kern w:val="0"/>
          <w:szCs w:val="21"/>
        </w:rPr>
      </w:pPr>
      <w:bookmarkStart w:id="388" w:name="_Toc287607792"/>
      <w:bookmarkStart w:id="389" w:name="_Toc386029691"/>
      <w:bookmarkStart w:id="390" w:name="_Toc224103363"/>
      <w:bookmarkStart w:id="391" w:name="_Toc15649"/>
      <w:bookmarkStart w:id="392" w:name="_Toc277082598"/>
      <w:bookmarkStart w:id="393" w:name="_Toc200513172"/>
      <w:bookmarkStart w:id="394" w:name="_Toc3340"/>
      <w:r>
        <w:rPr>
          <w:rFonts w:hint="eastAsia" w:ascii="宋体" w:hAnsi="宋体" w:cs="MingLiU"/>
          <w:snapToGrid w:val="0"/>
          <w:color w:val="auto"/>
          <w:kern w:val="0"/>
          <w:szCs w:val="21"/>
        </w:rPr>
        <w:t>重新招标后投标人仍少于3个，按法定程序开标和评标，确定中标人。经评审无合格投标人，属于必须审批或核准的工程建设项目，经原审批或核准部门批准后不再进行招标。</w:t>
      </w:r>
    </w:p>
    <w:p>
      <w:pPr>
        <w:autoSpaceDE w:val="0"/>
        <w:autoSpaceDN w:val="0"/>
        <w:adjustRightInd w:val="0"/>
        <w:snapToGrid w:val="0"/>
        <w:spacing w:line="380" w:lineRule="exact"/>
        <w:jc w:val="left"/>
        <w:rPr>
          <w:rFonts w:ascii="宋体" w:hAnsi="宋体"/>
          <w:b/>
          <w:snapToGrid w:val="0"/>
          <w:color w:val="auto"/>
          <w:kern w:val="0"/>
        </w:rPr>
      </w:pPr>
      <w:r>
        <w:rPr>
          <w:rFonts w:ascii="宋体" w:hAnsi="宋体"/>
          <w:b/>
          <w:snapToGrid w:val="0"/>
          <w:color w:val="auto"/>
          <w:kern w:val="0"/>
        </w:rPr>
        <w:t xml:space="preserve">9.  </w:t>
      </w:r>
      <w:r>
        <w:rPr>
          <w:rFonts w:hint="eastAsia" w:ascii="宋体" w:hAnsi="宋体"/>
          <w:b/>
          <w:snapToGrid w:val="0"/>
          <w:color w:val="auto"/>
          <w:kern w:val="0"/>
        </w:rPr>
        <w:t>纪律和监督</w:t>
      </w:r>
      <w:bookmarkEnd w:id="388"/>
      <w:bookmarkEnd w:id="389"/>
      <w:bookmarkEnd w:id="390"/>
      <w:bookmarkEnd w:id="391"/>
      <w:bookmarkEnd w:id="392"/>
      <w:bookmarkEnd w:id="393"/>
      <w:bookmarkEnd w:id="394"/>
    </w:p>
    <w:p>
      <w:pPr>
        <w:autoSpaceDE w:val="0"/>
        <w:autoSpaceDN w:val="0"/>
        <w:adjustRightInd w:val="0"/>
        <w:snapToGrid w:val="0"/>
        <w:spacing w:line="380" w:lineRule="exact"/>
        <w:jc w:val="left"/>
        <w:rPr>
          <w:rFonts w:ascii="宋体" w:hAnsi="宋体"/>
          <w:b/>
          <w:snapToGrid w:val="0"/>
          <w:color w:val="auto"/>
          <w:kern w:val="0"/>
        </w:rPr>
      </w:pPr>
      <w:bookmarkStart w:id="395" w:name="_Toc224103364"/>
      <w:bookmarkStart w:id="396" w:name="_Toc386029692"/>
      <w:bookmarkStart w:id="397" w:name="_Toc29442"/>
      <w:bookmarkStart w:id="398" w:name="_Toc452058726"/>
      <w:bookmarkStart w:id="399" w:name="_Toc287620732"/>
      <w:bookmarkStart w:id="400" w:name="_Toc200513173"/>
      <w:bookmarkStart w:id="401" w:name="_Toc277082599"/>
      <w:bookmarkStart w:id="402" w:name="_Toc287607793"/>
      <w:r>
        <w:rPr>
          <w:rFonts w:ascii="宋体" w:hAnsi="宋体"/>
          <w:b/>
          <w:snapToGrid w:val="0"/>
          <w:color w:val="auto"/>
          <w:kern w:val="0"/>
        </w:rPr>
        <w:t xml:space="preserve">9.1 </w:t>
      </w:r>
      <w:r>
        <w:rPr>
          <w:rFonts w:hint="eastAsia" w:ascii="宋体" w:hAnsi="宋体"/>
          <w:b/>
          <w:snapToGrid w:val="0"/>
          <w:color w:val="auto"/>
          <w:kern w:val="0"/>
        </w:rPr>
        <w:t>对</w:t>
      </w:r>
      <w:r>
        <w:rPr>
          <w:rFonts w:hint="eastAsia" w:ascii="宋体" w:hAnsi="宋体"/>
          <w:b/>
          <w:snapToGrid w:val="0"/>
          <w:color w:val="auto"/>
          <w:kern w:val="0"/>
          <w:lang w:eastAsia="zh-CN"/>
        </w:rPr>
        <w:t>比选人</w:t>
      </w:r>
      <w:r>
        <w:rPr>
          <w:rFonts w:hint="eastAsia" w:ascii="宋体" w:hAnsi="宋体"/>
          <w:b/>
          <w:snapToGrid w:val="0"/>
          <w:color w:val="auto"/>
          <w:kern w:val="0"/>
        </w:rPr>
        <w:t>的纪律要求</w:t>
      </w:r>
      <w:bookmarkEnd w:id="395"/>
      <w:bookmarkEnd w:id="396"/>
      <w:bookmarkEnd w:id="397"/>
      <w:bookmarkEnd w:id="398"/>
      <w:bookmarkEnd w:id="399"/>
      <w:bookmarkEnd w:id="400"/>
      <w:bookmarkEnd w:id="401"/>
      <w:bookmarkEnd w:id="402"/>
    </w:p>
    <w:p>
      <w:pPr>
        <w:autoSpaceDE w:val="0"/>
        <w:autoSpaceDN w:val="0"/>
        <w:adjustRightInd w:val="0"/>
        <w:snapToGrid w:val="0"/>
        <w:spacing w:line="380" w:lineRule="exact"/>
        <w:ind w:firstLine="420"/>
        <w:jc w:val="left"/>
        <w:rPr>
          <w:rFonts w:hint="eastAsia" w:eastAsia="宋体"/>
          <w:color w:val="auto"/>
          <w:lang w:eastAsia="zh-CN"/>
        </w:rPr>
      </w:pPr>
      <w:r>
        <w:rPr>
          <w:rFonts w:hint="eastAsia" w:ascii="宋体" w:hAnsi="宋体" w:cs="MingLiU"/>
          <w:snapToGrid w:val="0"/>
          <w:color w:val="auto"/>
          <w:kern w:val="0"/>
          <w:szCs w:val="21"/>
          <w:lang w:eastAsia="zh-CN"/>
        </w:rPr>
        <w:t>比选人</w:t>
      </w:r>
      <w:r>
        <w:rPr>
          <w:rFonts w:hint="eastAsia" w:ascii="宋体" w:hAnsi="宋体" w:cs="MingLiU"/>
          <w:snapToGrid w:val="0"/>
          <w:color w:val="auto"/>
          <w:kern w:val="0"/>
          <w:szCs w:val="21"/>
        </w:rPr>
        <w:t>不得泄露招标投标活动中应当保密的情况和资料，不得与投标人串通损害国家利益、社会公共利益或者他人合法权益，</w:t>
      </w:r>
      <w:r>
        <w:rPr>
          <w:rFonts w:hint="eastAsia"/>
          <w:color w:val="auto"/>
        </w:rPr>
        <w:t>禁止</w:t>
      </w:r>
      <w:r>
        <w:rPr>
          <w:rFonts w:hint="eastAsia" w:ascii="宋体" w:hAnsi="宋体" w:cs="MingLiU"/>
          <w:snapToGrid w:val="0"/>
          <w:color w:val="auto"/>
          <w:kern w:val="0"/>
          <w:szCs w:val="21"/>
          <w:lang w:eastAsia="zh-CN"/>
        </w:rPr>
        <w:t>比选人</w:t>
      </w:r>
      <w:r>
        <w:rPr>
          <w:rFonts w:hint="eastAsia"/>
          <w:color w:val="auto"/>
        </w:rPr>
        <w:t>与投标人串通投标。</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有下列情形之一的，属于</w:t>
      </w:r>
      <w:r>
        <w:rPr>
          <w:rFonts w:hint="eastAsia" w:ascii="宋体" w:hAnsi="宋体" w:cs="MingLiU"/>
          <w:snapToGrid w:val="0"/>
          <w:color w:val="auto"/>
          <w:kern w:val="0"/>
          <w:szCs w:val="21"/>
          <w:lang w:eastAsia="zh-CN"/>
        </w:rPr>
        <w:t>比选人</w:t>
      </w:r>
      <w:r>
        <w:rPr>
          <w:rFonts w:hint="eastAsia"/>
          <w:color w:val="auto"/>
        </w:rPr>
        <w:t>与投标人串通投标：</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（1）</w:t>
      </w:r>
      <w:r>
        <w:rPr>
          <w:rFonts w:hint="eastAsia" w:ascii="宋体" w:hAnsi="宋体" w:cs="MingLiU"/>
          <w:snapToGrid w:val="0"/>
          <w:color w:val="auto"/>
          <w:kern w:val="0"/>
          <w:szCs w:val="21"/>
          <w:lang w:eastAsia="zh-CN"/>
        </w:rPr>
        <w:t>比选人</w:t>
      </w:r>
      <w:r>
        <w:rPr>
          <w:rFonts w:hint="eastAsia"/>
          <w:color w:val="auto"/>
        </w:rPr>
        <w:t>在开标前开启投标文件并将有关信息泄露给其他投标人；</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（2）</w:t>
      </w:r>
      <w:r>
        <w:rPr>
          <w:rFonts w:hint="eastAsia" w:ascii="宋体" w:hAnsi="宋体" w:cs="MingLiU"/>
          <w:snapToGrid w:val="0"/>
          <w:color w:val="auto"/>
          <w:kern w:val="0"/>
          <w:szCs w:val="21"/>
          <w:lang w:eastAsia="zh-CN"/>
        </w:rPr>
        <w:t>比选人</w:t>
      </w:r>
      <w:r>
        <w:rPr>
          <w:rFonts w:hint="eastAsia"/>
          <w:color w:val="auto"/>
        </w:rPr>
        <w:t>直接或者间接向投标人泄露标底、评标委员会成员等信息；</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（3）</w:t>
      </w:r>
      <w:r>
        <w:rPr>
          <w:rFonts w:hint="eastAsia" w:ascii="宋体" w:hAnsi="宋体" w:cs="MingLiU"/>
          <w:snapToGrid w:val="0"/>
          <w:color w:val="auto"/>
          <w:kern w:val="0"/>
          <w:szCs w:val="21"/>
          <w:lang w:eastAsia="zh-CN"/>
        </w:rPr>
        <w:t>比选人</w:t>
      </w:r>
      <w:r>
        <w:rPr>
          <w:rFonts w:hint="eastAsia"/>
          <w:color w:val="auto"/>
        </w:rPr>
        <w:t>明示或者暗示投标人压低或者抬高投标报价；</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（4）</w:t>
      </w:r>
      <w:r>
        <w:rPr>
          <w:rFonts w:hint="eastAsia" w:ascii="宋体" w:hAnsi="宋体" w:cs="MingLiU"/>
          <w:snapToGrid w:val="0"/>
          <w:color w:val="auto"/>
          <w:kern w:val="0"/>
          <w:szCs w:val="21"/>
          <w:lang w:eastAsia="zh-CN"/>
        </w:rPr>
        <w:t>比选人</w:t>
      </w:r>
      <w:r>
        <w:rPr>
          <w:rFonts w:hint="eastAsia"/>
          <w:color w:val="auto"/>
        </w:rPr>
        <w:t>授意投标人撤换、修改投标文件；</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（5）</w:t>
      </w:r>
      <w:r>
        <w:rPr>
          <w:rFonts w:hint="eastAsia" w:ascii="宋体" w:hAnsi="宋体" w:cs="MingLiU"/>
          <w:snapToGrid w:val="0"/>
          <w:color w:val="auto"/>
          <w:kern w:val="0"/>
          <w:szCs w:val="21"/>
          <w:lang w:eastAsia="zh-CN"/>
        </w:rPr>
        <w:t>比选人</w:t>
      </w:r>
      <w:r>
        <w:rPr>
          <w:rFonts w:hint="eastAsia"/>
          <w:color w:val="auto"/>
        </w:rPr>
        <w:t>明示或者暗示投标人为特定投标人中标提供方便；</w:t>
      </w:r>
    </w:p>
    <w:p>
      <w:pPr>
        <w:autoSpaceDE w:val="0"/>
        <w:autoSpaceDN w:val="0"/>
        <w:adjustRightInd w:val="0"/>
        <w:snapToGrid w:val="0"/>
        <w:spacing w:line="380" w:lineRule="exact"/>
        <w:ind w:firstLine="420"/>
        <w:jc w:val="left"/>
        <w:rPr>
          <w:rFonts w:ascii="宋体" w:hAnsi="宋体" w:cs="MingLiU"/>
          <w:snapToGrid w:val="0"/>
          <w:color w:val="auto"/>
          <w:kern w:val="0"/>
          <w:szCs w:val="21"/>
        </w:rPr>
      </w:pPr>
      <w:r>
        <w:rPr>
          <w:rFonts w:hint="eastAsia"/>
          <w:color w:val="auto"/>
        </w:rPr>
        <w:t>    （6）</w:t>
      </w:r>
      <w:r>
        <w:rPr>
          <w:rFonts w:hint="eastAsia" w:ascii="宋体" w:hAnsi="宋体" w:cs="MingLiU"/>
          <w:snapToGrid w:val="0"/>
          <w:color w:val="auto"/>
          <w:kern w:val="0"/>
          <w:szCs w:val="21"/>
          <w:lang w:eastAsia="zh-CN"/>
        </w:rPr>
        <w:t>比选人</w:t>
      </w:r>
      <w:r>
        <w:rPr>
          <w:rFonts w:hint="eastAsia"/>
          <w:color w:val="auto"/>
        </w:rPr>
        <w:t>与投标人为谋求特定投标人中标而采取的其他串通行为。</w:t>
      </w:r>
    </w:p>
    <w:p>
      <w:pPr>
        <w:autoSpaceDE w:val="0"/>
        <w:autoSpaceDN w:val="0"/>
        <w:adjustRightInd w:val="0"/>
        <w:snapToGrid w:val="0"/>
        <w:spacing w:line="380" w:lineRule="exact"/>
        <w:jc w:val="left"/>
        <w:rPr>
          <w:rFonts w:ascii="宋体" w:hAnsi="宋体"/>
          <w:b/>
          <w:snapToGrid w:val="0"/>
          <w:color w:val="auto"/>
          <w:kern w:val="0"/>
        </w:rPr>
      </w:pPr>
      <w:bookmarkStart w:id="403" w:name="_Toc452058727"/>
      <w:bookmarkStart w:id="404" w:name="_Toc530"/>
      <w:bookmarkStart w:id="405" w:name="_Toc277082600"/>
      <w:bookmarkStart w:id="406" w:name="_Toc287620733"/>
      <w:bookmarkStart w:id="407" w:name="_Toc224103365"/>
      <w:bookmarkStart w:id="408" w:name="_Toc386029693"/>
      <w:bookmarkStart w:id="409" w:name="_Toc287607794"/>
      <w:bookmarkStart w:id="410" w:name="_Toc200513174"/>
      <w:r>
        <w:rPr>
          <w:rFonts w:ascii="宋体" w:hAnsi="宋体"/>
          <w:b/>
          <w:snapToGrid w:val="0"/>
          <w:color w:val="auto"/>
          <w:kern w:val="0"/>
        </w:rPr>
        <w:t xml:space="preserve">9.2  </w:t>
      </w:r>
      <w:r>
        <w:rPr>
          <w:rFonts w:hint="eastAsia" w:ascii="宋体" w:hAnsi="宋体"/>
          <w:b/>
          <w:snapToGrid w:val="0"/>
          <w:color w:val="auto"/>
          <w:kern w:val="0"/>
        </w:rPr>
        <w:t>对投标人的纪律要求</w:t>
      </w:r>
      <w:bookmarkEnd w:id="403"/>
      <w:bookmarkEnd w:id="404"/>
      <w:bookmarkEnd w:id="405"/>
      <w:bookmarkEnd w:id="406"/>
      <w:bookmarkEnd w:id="407"/>
      <w:bookmarkEnd w:id="408"/>
      <w:bookmarkEnd w:id="409"/>
      <w:bookmarkEnd w:id="410"/>
    </w:p>
    <w:p>
      <w:pPr>
        <w:autoSpaceDE w:val="0"/>
        <w:autoSpaceDN w:val="0"/>
        <w:adjustRightInd w:val="0"/>
        <w:snapToGrid w:val="0"/>
        <w:spacing w:line="380" w:lineRule="exact"/>
        <w:ind w:firstLine="420"/>
        <w:jc w:val="left"/>
        <w:rPr>
          <w:rFonts w:hint="eastAsia" w:ascii="宋体" w:hAnsi="宋体" w:eastAsia="宋体" w:cs="MingLiU"/>
          <w:snapToGrid w:val="0"/>
          <w:color w:val="auto"/>
          <w:kern w:val="0"/>
          <w:szCs w:val="21"/>
          <w:lang w:eastAsia="zh-CN"/>
        </w:rPr>
      </w:pPr>
      <w:r>
        <w:rPr>
          <w:rFonts w:hint="eastAsia" w:ascii="宋体" w:hAnsi="宋体" w:cs="MingLiU"/>
          <w:snapToGrid w:val="0"/>
          <w:color w:val="auto"/>
          <w:kern w:val="0"/>
          <w:szCs w:val="21"/>
        </w:rPr>
        <w:t>投标人不得相互串通投标或者与</w:t>
      </w:r>
      <w:r>
        <w:rPr>
          <w:rFonts w:hint="eastAsia" w:ascii="宋体" w:hAnsi="宋体" w:cs="宋体"/>
          <w:color w:val="auto"/>
          <w:szCs w:val="21"/>
          <w:lang w:val="en-US" w:eastAsia="zh-CN"/>
        </w:rPr>
        <w:t>比选人</w:t>
      </w:r>
      <w:r>
        <w:rPr>
          <w:rFonts w:hint="eastAsia" w:ascii="宋体" w:hAnsi="宋体" w:cs="MingLiU"/>
          <w:snapToGrid w:val="0"/>
          <w:color w:val="auto"/>
          <w:kern w:val="0"/>
          <w:szCs w:val="21"/>
        </w:rPr>
        <w:t>串通投标，不得向</w:t>
      </w:r>
      <w:r>
        <w:rPr>
          <w:rFonts w:hint="eastAsia" w:ascii="宋体" w:hAnsi="宋体" w:cs="宋体"/>
          <w:color w:val="auto"/>
          <w:szCs w:val="21"/>
          <w:lang w:val="en-US" w:eastAsia="zh-CN"/>
        </w:rPr>
        <w:t>比选人</w:t>
      </w:r>
      <w:r>
        <w:rPr>
          <w:rFonts w:hint="eastAsia" w:ascii="宋体" w:hAnsi="宋体" w:cs="MingLiU"/>
          <w:snapToGrid w:val="0"/>
          <w:color w:val="auto"/>
          <w:kern w:val="0"/>
          <w:szCs w:val="21"/>
        </w:rPr>
        <w:t>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有下列情形之一的，属于投标人相互串通投标：</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（1）投标人之间协商投标报价等投标文件的实质性内容；</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（2）投标人之间约定中标人；</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（3）投标人之间约定部分投标人放弃投标或者中标；</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（4）属于同一集团、协会、商会等组织成员的投标人按照该组织要求协同投标；</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（5）投标人之间为谋取中标或者排斥特定投标人而采取的其他联合行动。</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有下列情形之一的，视为投标人相互串通投标：</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（1）不同投标人的投标文件由同一单位或者个人编制；</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（2）不同投标人委托同一单位或者个人办理投标事宜；</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（3）不同投标人的投标文件载明的项目管理成员为同一人；</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（4）不同投标人的投标文件异常一致或者投标报价呈规律性差异；</w:t>
      </w:r>
    </w:p>
    <w:p>
      <w:pPr>
        <w:autoSpaceDE w:val="0"/>
        <w:autoSpaceDN w:val="0"/>
        <w:adjustRightInd w:val="0"/>
        <w:snapToGrid w:val="0"/>
        <w:spacing w:line="380" w:lineRule="exact"/>
        <w:ind w:firstLine="420"/>
        <w:jc w:val="left"/>
        <w:rPr>
          <w:rFonts w:hint="eastAsia" w:eastAsia="宋体"/>
          <w:color w:val="auto"/>
          <w:lang w:eastAsia="zh-CN"/>
        </w:rPr>
      </w:pPr>
      <w:r>
        <w:rPr>
          <w:rFonts w:hint="eastAsia"/>
          <w:color w:val="auto"/>
        </w:rPr>
        <w:t>    （5）不同投标人的投标文件相互混装；</w:t>
      </w:r>
    </w:p>
    <w:p>
      <w:pPr>
        <w:autoSpaceDE w:val="0"/>
        <w:autoSpaceDN w:val="0"/>
        <w:adjustRightInd w:val="0"/>
        <w:snapToGrid w:val="0"/>
        <w:spacing w:line="380" w:lineRule="exact"/>
        <w:ind w:firstLine="420"/>
        <w:jc w:val="left"/>
        <w:rPr>
          <w:color w:val="auto"/>
        </w:rPr>
      </w:pPr>
      <w:r>
        <w:rPr>
          <w:rFonts w:hint="eastAsia"/>
          <w:color w:val="auto"/>
        </w:rPr>
        <w:t>    （6）不同投标人的投标保证金从同一单位或者个人的账户转出。</w:t>
      </w:r>
    </w:p>
    <w:p>
      <w:pPr>
        <w:autoSpaceDE w:val="0"/>
        <w:autoSpaceDN w:val="0"/>
        <w:adjustRightInd w:val="0"/>
        <w:snapToGrid w:val="0"/>
        <w:spacing w:line="380" w:lineRule="exact"/>
        <w:ind w:firstLine="315" w:firstLineChars="150"/>
        <w:jc w:val="left"/>
        <w:rPr>
          <w:rFonts w:hint="eastAsia" w:eastAsia="宋体"/>
          <w:color w:val="auto"/>
          <w:lang w:eastAsia="zh-CN"/>
        </w:rPr>
      </w:pPr>
      <w:r>
        <w:rPr>
          <w:rFonts w:hint="eastAsia"/>
          <w:color w:val="auto"/>
        </w:rPr>
        <w:t>使用通过受让或者租借等方式获取的资格、资质证书投标的，属于以他人名义投标。</w:t>
      </w:r>
    </w:p>
    <w:p>
      <w:pPr>
        <w:autoSpaceDE w:val="0"/>
        <w:autoSpaceDN w:val="0"/>
        <w:adjustRightInd w:val="0"/>
        <w:snapToGrid w:val="0"/>
        <w:spacing w:line="380" w:lineRule="exact"/>
        <w:ind w:firstLine="315" w:firstLineChars="150"/>
        <w:jc w:val="left"/>
        <w:rPr>
          <w:rFonts w:hint="eastAsia" w:eastAsia="宋体"/>
          <w:color w:val="auto"/>
          <w:lang w:eastAsia="zh-CN"/>
        </w:rPr>
      </w:pPr>
      <w:r>
        <w:rPr>
          <w:rFonts w:hint="eastAsia"/>
          <w:color w:val="auto"/>
        </w:rPr>
        <w:t>     投标人有下列情形之一的，属于以其他方式弄虚作假的行为：</w:t>
      </w:r>
    </w:p>
    <w:p>
      <w:pPr>
        <w:autoSpaceDE w:val="0"/>
        <w:autoSpaceDN w:val="0"/>
        <w:adjustRightInd w:val="0"/>
        <w:snapToGrid w:val="0"/>
        <w:spacing w:line="380" w:lineRule="exact"/>
        <w:ind w:firstLine="315" w:firstLineChars="150"/>
        <w:jc w:val="left"/>
        <w:rPr>
          <w:rFonts w:hint="eastAsia" w:eastAsia="宋体"/>
          <w:color w:val="auto"/>
          <w:lang w:eastAsia="zh-CN"/>
        </w:rPr>
      </w:pPr>
      <w:r>
        <w:rPr>
          <w:rFonts w:hint="eastAsia"/>
          <w:color w:val="auto"/>
        </w:rPr>
        <w:t>    （1）使用伪造、变造的许可证件；</w:t>
      </w:r>
    </w:p>
    <w:p>
      <w:pPr>
        <w:autoSpaceDE w:val="0"/>
        <w:autoSpaceDN w:val="0"/>
        <w:adjustRightInd w:val="0"/>
        <w:snapToGrid w:val="0"/>
        <w:spacing w:line="380" w:lineRule="exact"/>
        <w:ind w:firstLine="315" w:firstLineChars="150"/>
        <w:jc w:val="left"/>
        <w:rPr>
          <w:rFonts w:hint="eastAsia" w:eastAsia="宋体"/>
          <w:color w:val="auto"/>
          <w:lang w:eastAsia="zh-CN"/>
        </w:rPr>
      </w:pPr>
      <w:r>
        <w:rPr>
          <w:rFonts w:hint="eastAsia"/>
          <w:color w:val="auto"/>
        </w:rPr>
        <w:t>    （2）提供虚假的财务状况或者业绩；</w:t>
      </w:r>
    </w:p>
    <w:p>
      <w:pPr>
        <w:autoSpaceDE w:val="0"/>
        <w:autoSpaceDN w:val="0"/>
        <w:adjustRightInd w:val="0"/>
        <w:snapToGrid w:val="0"/>
        <w:spacing w:line="380" w:lineRule="exact"/>
        <w:ind w:firstLine="315" w:firstLineChars="150"/>
        <w:jc w:val="left"/>
        <w:rPr>
          <w:rFonts w:hint="eastAsia" w:eastAsia="宋体"/>
          <w:color w:val="auto"/>
          <w:lang w:eastAsia="zh-CN"/>
        </w:rPr>
      </w:pPr>
      <w:r>
        <w:rPr>
          <w:rFonts w:hint="eastAsia"/>
          <w:color w:val="auto"/>
        </w:rPr>
        <w:t>    （3）提供虚假的项目负责人或者主要技术人员简历、劳动关系证明；</w:t>
      </w:r>
    </w:p>
    <w:p>
      <w:pPr>
        <w:autoSpaceDE w:val="0"/>
        <w:autoSpaceDN w:val="0"/>
        <w:adjustRightInd w:val="0"/>
        <w:snapToGrid w:val="0"/>
        <w:spacing w:line="380" w:lineRule="exact"/>
        <w:ind w:firstLine="315" w:firstLineChars="150"/>
        <w:jc w:val="left"/>
        <w:rPr>
          <w:rFonts w:hint="eastAsia" w:eastAsia="宋体"/>
          <w:color w:val="auto"/>
          <w:lang w:eastAsia="zh-CN"/>
        </w:rPr>
      </w:pPr>
      <w:r>
        <w:rPr>
          <w:rFonts w:hint="eastAsia"/>
          <w:color w:val="auto"/>
        </w:rPr>
        <w:t>    （4）提供虚假的信用状况；</w:t>
      </w:r>
    </w:p>
    <w:p>
      <w:pPr>
        <w:autoSpaceDE w:val="0"/>
        <w:autoSpaceDN w:val="0"/>
        <w:adjustRightInd w:val="0"/>
        <w:snapToGrid w:val="0"/>
        <w:spacing w:line="380" w:lineRule="exact"/>
        <w:ind w:firstLine="315" w:firstLineChars="150"/>
        <w:jc w:val="left"/>
        <w:rPr>
          <w:rFonts w:ascii="宋体" w:hAnsi="宋体" w:cs="MingLiU"/>
          <w:snapToGrid w:val="0"/>
          <w:color w:val="auto"/>
          <w:kern w:val="0"/>
          <w:szCs w:val="21"/>
        </w:rPr>
      </w:pPr>
      <w:r>
        <w:rPr>
          <w:rFonts w:hint="eastAsia"/>
          <w:color w:val="auto"/>
        </w:rPr>
        <w:t>    （5）其他弄虚作假的行为。</w:t>
      </w:r>
    </w:p>
    <w:p>
      <w:pPr>
        <w:autoSpaceDE w:val="0"/>
        <w:autoSpaceDN w:val="0"/>
        <w:adjustRightInd w:val="0"/>
        <w:snapToGrid w:val="0"/>
        <w:spacing w:line="380" w:lineRule="exact"/>
        <w:jc w:val="left"/>
        <w:rPr>
          <w:rFonts w:ascii="宋体" w:hAnsi="宋体"/>
          <w:b/>
          <w:snapToGrid w:val="0"/>
          <w:color w:val="auto"/>
          <w:kern w:val="0"/>
        </w:rPr>
      </w:pPr>
      <w:bookmarkStart w:id="411" w:name="_Toc277082601"/>
      <w:bookmarkStart w:id="412" w:name="_Toc287607795"/>
      <w:bookmarkStart w:id="413" w:name="_Toc224103366"/>
      <w:bookmarkStart w:id="414" w:name="_Toc287620734"/>
      <w:bookmarkStart w:id="415" w:name="_Toc386029694"/>
      <w:bookmarkStart w:id="416" w:name="_Toc452058728"/>
      <w:bookmarkStart w:id="417" w:name="_Toc21051"/>
      <w:bookmarkStart w:id="418" w:name="_Toc200513175"/>
      <w:r>
        <w:rPr>
          <w:rFonts w:ascii="宋体" w:hAnsi="宋体"/>
          <w:b/>
          <w:snapToGrid w:val="0"/>
          <w:color w:val="auto"/>
          <w:kern w:val="0"/>
        </w:rPr>
        <w:t xml:space="preserve">9.3  </w:t>
      </w:r>
      <w:r>
        <w:rPr>
          <w:rFonts w:hint="eastAsia" w:ascii="宋体" w:hAnsi="宋体"/>
          <w:b/>
          <w:snapToGrid w:val="0"/>
          <w:color w:val="auto"/>
          <w:kern w:val="0"/>
        </w:rPr>
        <w:t>对评标委员会成员的纪律要求</w:t>
      </w:r>
      <w:bookmarkEnd w:id="411"/>
      <w:bookmarkEnd w:id="412"/>
      <w:bookmarkEnd w:id="413"/>
      <w:bookmarkEnd w:id="414"/>
      <w:bookmarkEnd w:id="415"/>
      <w:bookmarkEnd w:id="416"/>
      <w:bookmarkEnd w:id="417"/>
      <w:bookmarkEnd w:id="418"/>
    </w:p>
    <w:p>
      <w:pPr>
        <w:autoSpaceDE w:val="0"/>
        <w:autoSpaceDN w:val="0"/>
        <w:adjustRightInd w:val="0"/>
        <w:snapToGrid w:val="0"/>
        <w:spacing w:line="380" w:lineRule="exact"/>
        <w:ind w:firstLine="420"/>
        <w:rPr>
          <w:rFonts w:ascii="宋体" w:hAnsi="宋体" w:cs="MingLiU"/>
          <w:snapToGrid w:val="0"/>
          <w:color w:val="auto"/>
          <w:kern w:val="0"/>
          <w:szCs w:val="21"/>
        </w:rPr>
      </w:pPr>
      <w:bookmarkStart w:id="419" w:name="_Toc386029695"/>
      <w:bookmarkStart w:id="420" w:name="_Toc287620735"/>
      <w:bookmarkStart w:id="421" w:name="_Toc277082602"/>
      <w:bookmarkStart w:id="422" w:name="_Toc287607796"/>
      <w:bookmarkStart w:id="423" w:name="_Toc200513176"/>
      <w:bookmarkStart w:id="424" w:name="_Toc26916"/>
      <w:bookmarkStart w:id="425" w:name="_Toc224103367"/>
      <w:r>
        <w:rPr>
          <w:rFonts w:hint="eastAsia" w:ascii="宋体" w:hAnsi="宋体" w:cs="MingLiU"/>
          <w:snapToGrid w:val="0"/>
          <w:color w:val="auto"/>
          <w:kern w:val="0"/>
          <w:szCs w:val="21"/>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80" w:lineRule="exact"/>
        <w:jc w:val="left"/>
        <w:rPr>
          <w:rFonts w:ascii="宋体" w:hAnsi="宋体"/>
          <w:b/>
          <w:snapToGrid w:val="0"/>
          <w:color w:val="auto"/>
          <w:kern w:val="0"/>
        </w:rPr>
      </w:pPr>
      <w:bookmarkStart w:id="426" w:name="_Toc452058729"/>
      <w:r>
        <w:rPr>
          <w:rFonts w:ascii="宋体" w:hAnsi="宋体"/>
          <w:b/>
          <w:snapToGrid w:val="0"/>
          <w:color w:val="auto"/>
          <w:kern w:val="0"/>
        </w:rPr>
        <w:t xml:space="preserve">9.4  </w:t>
      </w:r>
      <w:r>
        <w:rPr>
          <w:rFonts w:hint="eastAsia" w:ascii="宋体" w:hAnsi="宋体"/>
          <w:b/>
          <w:snapToGrid w:val="0"/>
          <w:color w:val="auto"/>
          <w:kern w:val="0"/>
        </w:rPr>
        <w:t>对与评标活动有关的工作人员的纪律要求</w:t>
      </w:r>
      <w:bookmarkEnd w:id="419"/>
      <w:bookmarkEnd w:id="420"/>
      <w:bookmarkEnd w:id="421"/>
      <w:bookmarkEnd w:id="422"/>
      <w:bookmarkEnd w:id="423"/>
      <w:bookmarkEnd w:id="424"/>
      <w:bookmarkEnd w:id="425"/>
      <w:bookmarkEnd w:id="426"/>
    </w:p>
    <w:p>
      <w:pPr>
        <w:autoSpaceDE w:val="0"/>
        <w:autoSpaceDN w:val="0"/>
        <w:adjustRightInd w:val="0"/>
        <w:snapToGrid w:val="0"/>
        <w:spacing w:line="380" w:lineRule="exact"/>
        <w:ind w:firstLine="420"/>
        <w:rPr>
          <w:rFonts w:ascii="宋体" w:hAnsi="宋体" w:cs="MingLiU"/>
          <w:snapToGrid w:val="0"/>
          <w:color w:val="auto"/>
          <w:kern w:val="0"/>
          <w:szCs w:val="21"/>
        </w:rPr>
      </w:pPr>
      <w:bookmarkStart w:id="427" w:name="_Toc386029696"/>
      <w:bookmarkStart w:id="428" w:name="_Toc224103368"/>
      <w:bookmarkStart w:id="429" w:name="_Toc20460"/>
      <w:bookmarkStart w:id="430" w:name="_Toc287607797"/>
      <w:bookmarkStart w:id="431" w:name="_Toc277082603"/>
      <w:bookmarkStart w:id="432" w:name="_Toc200513177"/>
      <w:bookmarkStart w:id="433" w:name="_Toc287620736"/>
      <w:r>
        <w:rPr>
          <w:rFonts w:hint="eastAsia" w:ascii="宋体" w:hAnsi="宋体" w:cs="MingLiU"/>
          <w:snapToGrid w:val="0"/>
          <w:color w:val="auto"/>
          <w:kern w:val="0"/>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80" w:lineRule="exact"/>
        <w:jc w:val="left"/>
        <w:rPr>
          <w:rFonts w:ascii="宋体" w:hAnsi="宋体"/>
          <w:b/>
          <w:snapToGrid w:val="0"/>
          <w:color w:val="auto"/>
          <w:kern w:val="0"/>
        </w:rPr>
      </w:pPr>
      <w:bookmarkStart w:id="434" w:name="_Toc452058730"/>
      <w:r>
        <w:rPr>
          <w:rFonts w:ascii="宋体" w:hAnsi="宋体"/>
          <w:b/>
          <w:snapToGrid w:val="0"/>
          <w:color w:val="auto"/>
          <w:kern w:val="0"/>
        </w:rPr>
        <w:t xml:space="preserve">9.5  </w:t>
      </w:r>
      <w:r>
        <w:rPr>
          <w:rFonts w:hint="eastAsia" w:ascii="宋体" w:hAnsi="宋体"/>
          <w:b/>
          <w:snapToGrid w:val="0"/>
          <w:color w:val="auto"/>
          <w:kern w:val="0"/>
        </w:rPr>
        <w:t>投诉</w:t>
      </w:r>
      <w:bookmarkEnd w:id="427"/>
      <w:bookmarkEnd w:id="428"/>
      <w:bookmarkEnd w:id="429"/>
      <w:bookmarkEnd w:id="430"/>
      <w:bookmarkEnd w:id="431"/>
      <w:bookmarkEnd w:id="432"/>
      <w:bookmarkEnd w:id="433"/>
      <w:bookmarkEnd w:id="434"/>
    </w:p>
    <w:p>
      <w:pPr>
        <w:autoSpaceDE w:val="0"/>
        <w:autoSpaceDN w:val="0"/>
        <w:adjustRightInd w:val="0"/>
        <w:snapToGrid w:val="0"/>
        <w:spacing w:line="380" w:lineRule="exact"/>
        <w:ind w:firstLine="420"/>
        <w:rPr>
          <w:rFonts w:ascii="宋体" w:hAnsi="宋体" w:cs="MingLiU"/>
          <w:snapToGrid w:val="0"/>
          <w:color w:val="auto"/>
          <w:kern w:val="0"/>
          <w:szCs w:val="21"/>
        </w:rPr>
      </w:pPr>
      <w:r>
        <w:rPr>
          <w:rFonts w:hint="eastAsia" w:ascii="宋体" w:hAnsi="宋体" w:cs="MingLiU"/>
          <w:snapToGrid w:val="0"/>
          <w:color w:val="auto"/>
          <w:kern w:val="0"/>
          <w:szCs w:val="21"/>
        </w:rPr>
        <w:t>投标人和其他利害关系人认为本次招标活动违反法律、法规和规章规定的，有权向有关行政监督部门投诉。</w:t>
      </w:r>
    </w:p>
    <w:p>
      <w:pPr>
        <w:autoSpaceDE w:val="0"/>
        <w:autoSpaceDN w:val="0"/>
        <w:adjustRightInd w:val="0"/>
        <w:snapToGrid w:val="0"/>
        <w:spacing w:line="380" w:lineRule="exact"/>
        <w:jc w:val="left"/>
        <w:rPr>
          <w:rFonts w:ascii="宋体" w:hAnsi="宋体"/>
          <w:b/>
          <w:snapToGrid w:val="0"/>
          <w:color w:val="auto"/>
          <w:kern w:val="0"/>
        </w:rPr>
      </w:pPr>
      <w:bookmarkStart w:id="435" w:name="_Toc287620737"/>
      <w:bookmarkStart w:id="436" w:name="_Toc25996"/>
      <w:bookmarkStart w:id="437" w:name="_Toc386029697"/>
      <w:bookmarkStart w:id="438" w:name="_Toc5118"/>
      <w:bookmarkStart w:id="439" w:name="_Toc287607798"/>
      <w:bookmarkStart w:id="440" w:name="_Toc224103369"/>
      <w:bookmarkStart w:id="441" w:name="_Toc452058731"/>
      <w:bookmarkStart w:id="442" w:name="_Toc200513178"/>
      <w:bookmarkStart w:id="443" w:name="_Toc277082604"/>
      <w:r>
        <w:rPr>
          <w:rFonts w:ascii="宋体" w:hAnsi="宋体"/>
          <w:b/>
          <w:snapToGrid w:val="0"/>
          <w:color w:val="auto"/>
          <w:kern w:val="0"/>
        </w:rPr>
        <w:t xml:space="preserve">10. </w:t>
      </w:r>
      <w:r>
        <w:rPr>
          <w:rFonts w:hint="eastAsia" w:ascii="宋体" w:hAnsi="宋体"/>
          <w:b/>
          <w:snapToGrid w:val="0"/>
          <w:color w:val="auto"/>
          <w:kern w:val="0"/>
        </w:rPr>
        <w:t>需要补充的其他内容</w:t>
      </w:r>
      <w:bookmarkEnd w:id="435"/>
      <w:bookmarkEnd w:id="436"/>
      <w:bookmarkEnd w:id="437"/>
      <w:bookmarkEnd w:id="438"/>
      <w:bookmarkEnd w:id="439"/>
      <w:bookmarkEnd w:id="440"/>
      <w:bookmarkEnd w:id="441"/>
      <w:bookmarkEnd w:id="442"/>
      <w:bookmarkEnd w:id="443"/>
    </w:p>
    <w:p>
      <w:pPr>
        <w:autoSpaceDE w:val="0"/>
        <w:autoSpaceDN w:val="0"/>
        <w:adjustRightInd w:val="0"/>
        <w:snapToGrid w:val="0"/>
        <w:spacing w:line="380" w:lineRule="exact"/>
        <w:ind w:firstLine="420"/>
        <w:jc w:val="left"/>
        <w:rPr>
          <w:color w:val="auto"/>
        </w:rPr>
      </w:pPr>
      <w:r>
        <w:rPr>
          <w:rFonts w:hint="eastAsia" w:ascii="宋体" w:hAnsi="宋体" w:cs="MingLiU"/>
          <w:snapToGrid w:val="0"/>
          <w:color w:val="auto"/>
          <w:kern w:val="0"/>
          <w:szCs w:val="21"/>
        </w:rPr>
        <w:t>需要补充的其他内容：见投标人须知前附表。</w:t>
      </w:r>
      <w:bookmarkStart w:id="444" w:name="招标文件03章02评标办法综合评估法00"/>
      <w:bookmarkEnd w:id="444"/>
      <w:bookmarkStart w:id="445" w:name="招标文件03章02评标办法综合评估法"/>
      <w:bookmarkEnd w:id="445"/>
      <w:bookmarkStart w:id="446" w:name="_Toc452058732"/>
      <w:bookmarkStart w:id="447" w:name="_Toc513492489"/>
      <w:bookmarkStart w:id="448" w:name="_Toc287607799"/>
      <w:bookmarkStart w:id="449" w:name="_Toc277082605"/>
      <w:bookmarkStart w:id="450" w:name="_Toc31654"/>
      <w:bookmarkStart w:id="451" w:name="_Toc287620738"/>
      <w:bookmarkStart w:id="452" w:name="_Toc287620749"/>
      <w:bookmarkStart w:id="453" w:name="_Toc287607810"/>
    </w:p>
    <w:bookmarkEnd w:id="446"/>
    <w:bookmarkEnd w:id="447"/>
    <w:bookmarkEnd w:id="448"/>
    <w:bookmarkEnd w:id="449"/>
    <w:bookmarkEnd w:id="450"/>
    <w:bookmarkEnd w:id="451"/>
    <w:p>
      <w:pPr>
        <w:pStyle w:val="2"/>
        <w:spacing w:before="0" w:after="0" w:line="400" w:lineRule="exact"/>
        <w:jc w:val="center"/>
        <w:rPr>
          <w:rFonts w:ascii="宋体" w:hAnsi="宋体"/>
          <w:snapToGrid w:val="0"/>
          <w:color w:val="auto"/>
          <w:kern w:val="0"/>
        </w:rPr>
      </w:pPr>
      <w:bookmarkStart w:id="454" w:name="_Toc513492490"/>
      <w:bookmarkStart w:id="455" w:name="_Toc452058737"/>
      <w:r>
        <w:rPr>
          <w:rFonts w:ascii="宋体" w:hAnsi="宋体"/>
          <w:snapToGrid w:val="0"/>
          <w:color w:val="auto"/>
          <w:kern w:val="0"/>
        </w:rPr>
        <w:br w:type="page"/>
      </w:r>
      <w:bookmarkStart w:id="456" w:name="_Toc6580"/>
      <w:r>
        <w:rPr>
          <w:rFonts w:ascii="宋体" w:hAnsi="宋体"/>
          <w:snapToGrid w:val="0"/>
          <w:color w:val="auto"/>
          <w:kern w:val="0"/>
          <w:sz w:val="32"/>
          <w:szCs w:val="32"/>
        </w:rPr>
        <w:t xml:space="preserve">第三章 </w:t>
      </w:r>
      <w:r>
        <w:rPr>
          <w:rFonts w:hint="eastAsia" w:ascii="宋体" w:hAnsi="宋体"/>
          <w:snapToGrid w:val="0"/>
          <w:color w:val="auto"/>
          <w:kern w:val="0"/>
          <w:sz w:val="32"/>
          <w:szCs w:val="32"/>
        </w:rPr>
        <w:t xml:space="preserve"> </w:t>
      </w:r>
      <w:r>
        <w:rPr>
          <w:rFonts w:ascii="宋体" w:hAnsi="宋体"/>
          <w:snapToGrid w:val="0"/>
          <w:color w:val="auto"/>
          <w:kern w:val="0"/>
          <w:sz w:val="32"/>
          <w:szCs w:val="32"/>
        </w:rPr>
        <w:t>评标办法（</w:t>
      </w:r>
      <w:r>
        <w:rPr>
          <w:rFonts w:hint="eastAsia" w:ascii="宋体" w:hAnsi="宋体"/>
          <w:snapToGrid w:val="0"/>
          <w:color w:val="auto"/>
          <w:kern w:val="0"/>
          <w:sz w:val="32"/>
          <w:szCs w:val="32"/>
        </w:rPr>
        <w:t>经评审的最低投标价法</w:t>
      </w:r>
      <w:r>
        <w:rPr>
          <w:rFonts w:ascii="宋体" w:hAnsi="宋体"/>
          <w:snapToGrid w:val="0"/>
          <w:color w:val="auto"/>
          <w:kern w:val="0"/>
          <w:sz w:val="32"/>
          <w:szCs w:val="32"/>
        </w:rPr>
        <w:t>）</w:t>
      </w:r>
      <w:bookmarkEnd w:id="456"/>
    </w:p>
    <w:p>
      <w:pPr>
        <w:keepNext/>
        <w:keepLines/>
        <w:spacing w:line="400" w:lineRule="exact"/>
        <w:outlineLvl w:val="1"/>
        <w:rPr>
          <w:rFonts w:ascii="宋体" w:hAnsi="宋体"/>
          <w:b/>
          <w:color w:val="auto"/>
          <w:sz w:val="28"/>
          <w:szCs w:val="28"/>
        </w:rPr>
      </w:pPr>
      <w:bookmarkStart w:id="457" w:name="_Toc1584"/>
      <w:r>
        <w:rPr>
          <w:rFonts w:hint="eastAsia" w:ascii="宋体" w:hAnsi="宋体"/>
          <w:b/>
          <w:color w:val="auto"/>
          <w:sz w:val="28"/>
          <w:szCs w:val="28"/>
        </w:rPr>
        <w:t>评标办法前附表</w:t>
      </w:r>
      <w:bookmarkEnd w:id="457"/>
    </w:p>
    <w:p>
      <w:pPr>
        <w:spacing w:line="400" w:lineRule="exact"/>
        <w:ind w:firstLine="427" w:firstLineChars="196"/>
        <w:rPr>
          <w:rFonts w:ascii="宋体" w:hAnsi="宋体"/>
          <w:color w:val="auto"/>
          <w:spacing w:val="4"/>
          <w:kern w:val="0"/>
          <w:szCs w:val="21"/>
        </w:rPr>
      </w:pPr>
      <w:bookmarkStart w:id="458" w:name="_Toc13210726"/>
      <w:r>
        <w:rPr>
          <w:rFonts w:ascii="宋体" w:hAnsi="宋体"/>
          <w:color w:val="auto"/>
          <w:spacing w:val="4"/>
          <w:kern w:val="0"/>
          <w:szCs w:val="21"/>
        </w:rPr>
        <w:t>评标办法中的评审内容必须和投标人须知中的对应内容一致，若投标人须知中未作要求的内容，不得列入评标办法作为评定依据。</w:t>
      </w:r>
      <w:bookmarkEnd w:id="458"/>
    </w:p>
    <w:tbl>
      <w:tblPr>
        <w:tblStyle w:val="53"/>
        <w:tblW w:w="973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545"/>
        <w:gridCol w:w="2565"/>
        <w:gridCol w:w="4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900" w:type="dxa"/>
            <w:tcBorders>
              <w:right w:val="single" w:color="auto" w:sz="4" w:space="0"/>
            </w:tcBorders>
            <w:vAlign w:val="center"/>
          </w:tcPr>
          <w:p>
            <w:pPr>
              <w:spacing w:line="400" w:lineRule="exact"/>
              <w:jc w:val="center"/>
              <w:rPr>
                <w:rFonts w:ascii="宋体" w:hAnsi="宋体"/>
                <w:b/>
                <w:color w:val="auto"/>
                <w:kern w:val="0"/>
              </w:rPr>
            </w:pPr>
            <w:r>
              <w:rPr>
                <w:rFonts w:ascii="宋体" w:hAnsi="宋体"/>
                <w:b/>
                <w:color w:val="auto"/>
                <w:kern w:val="0"/>
              </w:rPr>
              <w:t>条款号</w:t>
            </w:r>
          </w:p>
        </w:tc>
        <w:tc>
          <w:tcPr>
            <w:tcW w:w="1545" w:type="dxa"/>
            <w:tcBorders>
              <w:left w:val="single" w:color="auto" w:sz="4" w:space="0"/>
            </w:tcBorders>
            <w:vAlign w:val="center"/>
          </w:tcPr>
          <w:p>
            <w:pPr>
              <w:spacing w:line="400" w:lineRule="exact"/>
              <w:jc w:val="center"/>
              <w:rPr>
                <w:rFonts w:ascii="宋体" w:hAnsi="宋体"/>
                <w:b/>
                <w:color w:val="auto"/>
                <w:kern w:val="0"/>
              </w:rPr>
            </w:pPr>
            <w:r>
              <w:rPr>
                <w:rFonts w:ascii="宋体" w:hAnsi="宋体"/>
                <w:b/>
                <w:color w:val="auto"/>
                <w:kern w:val="0"/>
              </w:rPr>
              <w:t>评审因素</w:t>
            </w:r>
          </w:p>
        </w:tc>
        <w:tc>
          <w:tcPr>
            <w:tcW w:w="7290" w:type="dxa"/>
            <w:gridSpan w:val="2"/>
            <w:vAlign w:val="center"/>
          </w:tcPr>
          <w:p>
            <w:pPr>
              <w:spacing w:line="400" w:lineRule="exact"/>
              <w:jc w:val="center"/>
              <w:rPr>
                <w:rFonts w:ascii="宋体" w:hAnsi="宋体"/>
                <w:b/>
                <w:color w:val="auto"/>
                <w:kern w:val="0"/>
              </w:rPr>
            </w:pPr>
            <w:r>
              <w:rPr>
                <w:rFonts w:ascii="宋体" w:hAnsi="宋体"/>
                <w:b/>
                <w:color w:val="auto"/>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900" w:type="dxa"/>
            <w:tcBorders>
              <w:right w:val="single" w:color="auto" w:sz="4" w:space="0"/>
            </w:tcBorders>
            <w:vAlign w:val="center"/>
          </w:tcPr>
          <w:p>
            <w:pPr>
              <w:pStyle w:val="262"/>
              <w:spacing w:line="400" w:lineRule="exact"/>
              <w:ind w:firstLine="0" w:firstLineChars="0"/>
              <w:jc w:val="center"/>
              <w:rPr>
                <w:color w:val="auto"/>
                <w:sz w:val="21"/>
                <w:szCs w:val="21"/>
              </w:rPr>
            </w:pPr>
            <w:r>
              <w:rPr>
                <w:color w:val="auto"/>
                <w:sz w:val="21"/>
                <w:szCs w:val="21"/>
              </w:rPr>
              <w:t>1</w:t>
            </w:r>
          </w:p>
        </w:tc>
        <w:tc>
          <w:tcPr>
            <w:tcW w:w="1545" w:type="dxa"/>
            <w:tcBorders>
              <w:left w:val="single" w:color="auto" w:sz="4" w:space="0"/>
            </w:tcBorders>
            <w:vAlign w:val="center"/>
          </w:tcPr>
          <w:p>
            <w:pPr>
              <w:pStyle w:val="262"/>
              <w:spacing w:line="400" w:lineRule="exact"/>
              <w:ind w:firstLine="0" w:firstLineChars="0"/>
              <w:jc w:val="center"/>
              <w:rPr>
                <w:color w:val="auto"/>
                <w:sz w:val="21"/>
                <w:szCs w:val="21"/>
              </w:rPr>
            </w:pPr>
            <w:r>
              <w:rPr>
                <w:rFonts w:hint="eastAsia"/>
                <w:color w:val="auto"/>
                <w:sz w:val="21"/>
                <w:szCs w:val="21"/>
              </w:rPr>
              <w:t>评标办法</w:t>
            </w:r>
          </w:p>
        </w:tc>
        <w:tc>
          <w:tcPr>
            <w:tcW w:w="7290" w:type="dxa"/>
            <w:gridSpan w:val="2"/>
            <w:vAlign w:val="center"/>
          </w:tcPr>
          <w:p>
            <w:pPr>
              <w:spacing w:line="400" w:lineRule="exact"/>
              <w:ind w:firstLine="427" w:firstLineChars="196"/>
              <w:rPr>
                <w:rFonts w:ascii="宋体" w:hAnsi="宋体"/>
                <w:color w:val="auto"/>
                <w:spacing w:val="4"/>
                <w:kern w:val="0"/>
                <w:szCs w:val="21"/>
              </w:rPr>
            </w:pPr>
            <w:r>
              <w:rPr>
                <w:rFonts w:hint="eastAsia" w:ascii="宋体" w:hAnsi="宋体"/>
                <w:color w:val="auto"/>
                <w:spacing w:val="4"/>
                <w:kern w:val="0"/>
                <w:szCs w:val="21"/>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s="宋体"/>
                <w:color w:val="auto"/>
                <w:szCs w:val="21"/>
                <w:lang w:val="en-US" w:eastAsia="zh-CN"/>
              </w:rPr>
              <w:t>比选人</w:t>
            </w:r>
            <w:r>
              <w:rPr>
                <w:rFonts w:hint="eastAsia" w:ascii="宋体" w:hAnsi="宋体"/>
                <w:color w:val="auto"/>
                <w:spacing w:val="4"/>
                <w:kern w:val="0"/>
                <w:szCs w:val="21"/>
              </w:rPr>
              <w:t>授权直接确定中标人。若出现投标人投标报价相同的，以“投标人在红名单中优先”的原则排序，投标人是否属于红名单，以开标环节信用状况查询结果为准；投标人均在红名单中或均不在红名单中的，由评标委员会</w:t>
            </w:r>
            <w:r>
              <w:rPr>
                <w:rFonts w:ascii="宋体" w:hAnsi="宋体" w:cs="宋体"/>
                <w:color w:val="auto"/>
                <w:spacing w:val="-7"/>
                <w:u w:val="single"/>
              </w:rPr>
              <w:t>全体成员</w:t>
            </w:r>
            <w:r>
              <w:rPr>
                <w:rFonts w:ascii="宋体" w:hAnsi="宋体" w:cs="宋体"/>
                <w:color w:val="auto"/>
                <w:u w:val="single"/>
              </w:rPr>
              <w:t>投票，并按</w:t>
            </w:r>
            <w:r>
              <w:rPr>
                <w:rFonts w:hint="eastAsia" w:ascii="宋体" w:hAnsi="宋体" w:cs="宋体"/>
                <w:color w:val="auto"/>
                <w:u w:val="single"/>
              </w:rPr>
              <w:t>简单</w:t>
            </w:r>
            <w:r>
              <w:rPr>
                <w:rFonts w:ascii="宋体" w:hAnsi="宋体" w:cs="宋体"/>
                <w:color w:val="auto"/>
                <w:u w:val="single"/>
              </w:rPr>
              <w:t>多数</w:t>
            </w:r>
            <w:r>
              <w:rPr>
                <w:rFonts w:hint="eastAsia" w:ascii="宋体" w:hAnsi="宋体"/>
                <w:color w:val="auto"/>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Borders>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2.1</w:t>
            </w:r>
          </w:p>
        </w:tc>
        <w:tc>
          <w:tcPr>
            <w:tcW w:w="1545" w:type="dxa"/>
            <w:tcBorders>
              <w:left w:val="single" w:color="auto" w:sz="4" w:space="0"/>
              <w:right w:val="single" w:color="auto" w:sz="4" w:space="0"/>
            </w:tcBorders>
            <w:vAlign w:val="center"/>
          </w:tcPr>
          <w:p>
            <w:pPr>
              <w:spacing w:line="400" w:lineRule="exact"/>
              <w:jc w:val="center"/>
              <w:rPr>
                <w:rFonts w:ascii="宋体" w:hAnsi="宋体"/>
                <w:color w:val="auto"/>
                <w:kern w:val="0"/>
              </w:rPr>
            </w:pPr>
            <w:r>
              <w:rPr>
                <w:rFonts w:ascii="宋体" w:hAnsi="宋体"/>
                <w:color w:val="auto"/>
                <w:kern w:val="0"/>
              </w:rPr>
              <w:t>报价</w:t>
            </w:r>
            <w:r>
              <w:rPr>
                <w:rFonts w:hint="eastAsia" w:ascii="宋体" w:hAnsi="宋体"/>
                <w:color w:val="auto"/>
                <w:kern w:val="0"/>
              </w:rPr>
              <w:t>排序</w:t>
            </w:r>
          </w:p>
        </w:tc>
        <w:tc>
          <w:tcPr>
            <w:tcW w:w="7290" w:type="dxa"/>
            <w:gridSpan w:val="2"/>
            <w:tcBorders>
              <w:left w:val="single" w:color="auto" w:sz="4" w:space="0"/>
            </w:tcBorders>
            <w:vAlign w:val="center"/>
          </w:tcPr>
          <w:p>
            <w:pPr>
              <w:spacing w:line="400" w:lineRule="exact"/>
              <w:ind w:firstLine="420" w:firstLineChars="200"/>
              <w:jc w:val="left"/>
              <w:rPr>
                <w:rFonts w:ascii="宋体" w:hAnsi="宋体"/>
                <w:color w:val="auto"/>
                <w:kern w:val="0"/>
              </w:rPr>
            </w:pPr>
            <w:r>
              <w:rPr>
                <w:rFonts w:hint="eastAsia" w:ascii="宋体" w:hAnsi="宋体"/>
                <w:color w:val="auto"/>
                <w:kern w:val="0"/>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Borders>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2.2</w:t>
            </w:r>
          </w:p>
        </w:tc>
        <w:tc>
          <w:tcPr>
            <w:tcW w:w="1545" w:type="dxa"/>
            <w:tcBorders>
              <w:left w:val="single" w:color="auto" w:sz="4" w:space="0"/>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符合性审查</w:t>
            </w:r>
          </w:p>
        </w:tc>
        <w:tc>
          <w:tcPr>
            <w:tcW w:w="7290" w:type="dxa"/>
            <w:gridSpan w:val="2"/>
            <w:tcBorders>
              <w:left w:val="single" w:color="auto" w:sz="4" w:space="0"/>
            </w:tcBorders>
            <w:vAlign w:val="center"/>
          </w:tcPr>
          <w:p>
            <w:pPr>
              <w:spacing w:line="400" w:lineRule="exact"/>
              <w:ind w:firstLine="420" w:firstLineChars="200"/>
              <w:jc w:val="left"/>
              <w:rPr>
                <w:rFonts w:ascii="宋体" w:hAnsi="宋体"/>
                <w:color w:val="auto"/>
                <w:kern w:val="0"/>
              </w:rPr>
            </w:pPr>
            <w:r>
              <w:rPr>
                <w:rFonts w:hint="eastAsia" w:ascii="宋体" w:hAnsi="宋体"/>
                <w:color w:val="auto"/>
                <w:kern w:val="0"/>
              </w:rPr>
              <w:t>取报价排序前</w:t>
            </w:r>
            <w:r>
              <w:rPr>
                <w:rFonts w:hint="eastAsia"/>
                <w:color w:val="auto"/>
                <w:lang w:val="en-US" w:eastAsia="zh-CN"/>
              </w:rPr>
              <w:t>5</w:t>
            </w:r>
            <w:r>
              <w:rPr>
                <w:rFonts w:hint="eastAsia" w:ascii="宋体" w:hAnsi="宋体"/>
                <w:color w:val="auto"/>
                <w:kern w:val="0"/>
              </w:rPr>
              <w:t>名（若实际投标人数量小于勾选数量，</w:t>
            </w:r>
            <w:r>
              <w:rPr>
                <w:rFonts w:hint="eastAsia" w:ascii="宋体" w:hAnsi="宋体"/>
                <w:color w:val="auto"/>
                <w:spacing w:val="4"/>
                <w:kern w:val="0"/>
                <w:szCs w:val="21"/>
              </w:rPr>
              <w:t>则全部纳入）进行符合性审查。符合性审查内容：资格评审、形式评审、响应性评审、投标函部分及经济部分评审。符合性审查</w:t>
            </w:r>
            <w:r>
              <w:rPr>
                <w:rFonts w:hint="eastAsia" w:ascii="宋体" w:hAnsi="宋体"/>
                <w:color w:val="auto"/>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restart"/>
            <w:tcBorders>
              <w:right w:val="single" w:color="auto" w:sz="4" w:space="0"/>
            </w:tcBorders>
            <w:vAlign w:val="center"/>
          </w:tcPr>
          <w:p>
            <w:pPr>
              <w:spacing w:line="400" w:lineRule="exact"/>
              <w:jc w:val="center"/>
              <w:rPr>
                <w:rFonts w:ascii="宋体" w:hAnsi="宋体" w:cs="宋体"/>
                <w:color w:val="auto"/>
                <w:szCs w:val="21"/>
              </w:rPr>
            </w:pPr>
            <w:r>
              <w:rPr>
                <w:rFonts w:hint="eastAsia" w:ascii="宋体" w:hAnsi="宋体" w:cs="宋体"/>
                <w:color w:val="auto"/>
                <w:szCs w:val="21"/>
              </w:rPr>
              <w:t>2.2.2</w:t>
            </w:r>
          </w:p>
        </w:tc>
        <w:tc>
          <w:tcPr>
            <w:tcW w:w="1545"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资格评审标准</w:t>
            </w:r>
          </w:p>
        </w:tc>
        <w:tc>
          <w:tcPr>
            <w:tcW w:w="256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资质条件</w:t>
            </w:r>
          </w:p>
        </w:tc>
        <w:tc>
          <w:tcPr>
            <w:tcW w:w="472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1545"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rPr>
            </w:pPr>
          </w:p>
        </w:tc>
        <w:tc>
          <w:tcPr>
            <w:tcW w:w="256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营业执照</w:t>
            </w:r>
          </w:p>
        </w:tc>
        <w:tc>
          <w:tcPr>
            <w:tcW w:w="472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900"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1545"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rPr>
            </w:pPr>
          </w:p>
        </w:tc>
        <w:tc>
          <w:tcPr>
            <w:tcW w:w="256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color w:val="auto"/>
              </w:rPr>
            </w:pPr>
            <w:r>
              <w:rPr>
                <w:rFonts w:hint="eastAsia"/>
                <w:color w:val="auto"/>
              </w:rPr>
              <w:t>安全生产条件</w:t>
            </w:r>
          </w:p>
        </w:tc>
        <w:tc>
          <w:tcPr>
            <w:tcW w:w="4725" w:type="dxa"/>
            <w:tcBorders>
              <w:top w:val="single" w:color="auto" w:sz="4" w:space="0"/>
              <w:left w:val="single" w:color="auto" w:sz="4" w:space="0"/>
              <w:bottom w:val="single" w:color="auto" w:sz="4" w:space="0"/>
            </w:tcBorders>
            <w:vAlign w:val="center"/>
          </w:tcPr>
          <w:p>
            <w:pPr>
              <w:snapToGrid w:val="0"/>
              <w:spacing w:line="400" w:lineRule="exact"/>
              <w:ind w:firstLine="420" w:firstLineChars="200"/>
              <w:rPr>
                <w:rFonts w:ascii="宋体" w:hAnsi="宋体" w:cs="宋体"/>
                <w:color w:val="auto"/>
              </w:rPr>
            </w:pPr>
            <w:r>
              <w:rPr>
                <w:rFonts w:hint="eastAsia" w:ascii="宋体" w:hAnsi="宋体" w:cs="宋体"/>
                <w:color w:val="auto"/>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1545"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rPr>
            </w:pPr>
          </w:p>
        </w:tc>
        <w:tc>
          <w:tcPr>
            <w:tcW w:w="256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szCs w:val="21"/>
              </w:rPr>
              <w:t>投标截止日投标资格情况</w:t>
            </w:r>
          </w:p>
        </w:tc>
        <w:tc>
          <w:tcPr>
            <w:tcW w:w="472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1545"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rPr>
            </w:pPr>
          </w:p>
        </w:tc>
        <w:tc>
          <w:tcPr>
            <w:tcW w:w="256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项目经理资格要求</w:t>
            </w:r>
          </w:p>
        </w:tc>
        <w:tc>
          <w:tcPr>
            <w:tcW w:w="472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continue"/>
            <w:tcBorders>
              <w:right w:val="single" w:color="auto" w:sz="4" w:space="0"/>
            </w:tcBorders>
            <w:vAlign w:val="center"/>
          </w:tcPr>
          <w:p>
            <w:pPr>
              <w:spacing w:line="400" w:lineRule="exact"/>
              <w:jc w:val="center"/>
              <w:rPr>
                <w:rFonts w:ascii="宋体" w:hAnsi="宋体" w:cs="宋体"/>
                <w:color w:val="auto"/>
                <w:szCs w:val="21"/>
              </w:rPr>
            </w:pPr>
          </w:p>
        </w:tc>
        <w:tc>
          <w:tcPr>
            <w:tcW w:w="1545"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rPr>
            </w:pPr>
          </w:p>
        </w:tc>
        <w:tc>
          <w:tcPr>
            <w:tcW w:w="2565" w:type="dxa"/>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其他要求</w:t>
            </w:r>
          </w:p>
        </w:tc>
        <w:tc>
          <w:tcPr>
            <w:tcW w:w="472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u w:val="single"/>
              </w:rPr>
            </w:pPr>
            <w:r>
              <w:rPr>
                <w:rFonts w:hint="eastAsia" w:ascii="宋体" w:hAnsi="宋体" w:cs="宋体"/>
                <w:color w:val="auto"/>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right w:val="single" w:color="auto" w:sz="4" w:space="0"/>
            </w:tcBorders>
            <w:vAlign w:val="center"/>
          </w:tcPr>
          <w:p>
            <w:pPr>
              <w:spacing w:line="400" w:lineRule="exact"/>
              <w:jc w:val="center"/>
              <w:rPr>
                <w:rFonts w:ascii="宋体" w:hAnsi="宋体"/>
                <w:color w:val="auto"/>
                <w:kern w:val="0"/>
              </w:rPr>
            </w:pPr>
            <w:r>
              <w:rPr>
                <w:rFonts w:ascii="宋体" w:hAnsi="宋体"/>
                <w:color w:val="auto"/>
                <w:kern w:val="0"/>
              </w:rPr>
              <w:t>2.</w:t>
            </w:r>
            <w:r>
              <w:rPr>
                <w:rFonts w:hint="eastAsia" w:ascii="宋体" w:hAnsi="宋体"/>
                <w:color w:val="auto"/>
                <w:kern w:val="0"/>
              </w:rPr>
              <w:t>2</w:t>
            </w:r>
            <w:r>
              <w:rPr>
                <w:rFonts w:ascii="宋体" w:hAnsi="宋体"/>
                <w:color w:val="auto"/>
                <w:kern w:val="0"/>
              </w:rPr>
              <w:t>.</w:t>
            </w:r>
            <w:r>
              <w:rPr>
                <w:rFonts w:hint="eastAsia" w:ascii="宋体" w:hAnsi="宋体"/>
                <w:color w:val="auto"/>
                <w:kern w:val="0"/>
              </w:rPr>
              <w:t>3</w:t>
            </w:r>
          </w:p>
        </w:tc>
        <w:tc>
          <w:tcPr>
            <w:tcW w:w="1545" w:type="dxa"/>
            <w:vMerge w:val="restart"/>
            <w:tcBorders>
              <w:lef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形式评审标准</w:t>
            </w:r>
          </w:p>
        </w:tc>
        <w:tc>
          <w:tcPr>
            <w:tcW w:w="2565" w:type="dxa"/>
            <w:tcBorders>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投标人名称</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b/>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b/>
                <w:color w:val="auto"/>
                <w:kern w:val="0"/>
              </w:rPr>
            </w:pPr>
          </w:p>
        </w:tc>
        <w:tc>
          <w:tcPr>
            <w:tcW w:w="2565" w:type="dxa"/>
            <w:tcBorders>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投标文件格式</w:t>
            </w:r>
          </w:p>
        </w:tc>
        <w:tc>
          <w:tcPr>
            <w:tcW w:w="4725" w:type="dxa"/>
            <w:tcBorders>
              <w:left w:val="single" w:color="auto" w:sz="4" w:space="0"/>
            </w:tcBorders>
            <w:vAlign w:val="center"/>
          </w:tcPr>
          <w:p>
            <w:pPr>
              <w:snapToGrid w:val="0"/>
              <w:spacing w:line="400" w:lineRule="exact"/>
              <w:ind w:firstLine="380" w:firstLineChars="181"/>
              <w:rPr>
                <w:rFonts w:ascii="宋体" w:hAnsi="宋体" w:cs="宋体"/>
                <w:color w:val="auto"/>
                <w:kern w:val="0"/>
              </w:rPr>
            </w:pPr>
            <w:r>
              <w:rPr>
                <w:rFonts w:hint="eastAsia" w:ascii="宋体" w:hAnsi="宋体" w:cs="宋体"/>
                <w:color w:val="auto"/>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b/>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b/>
                <w:color w:val="auto"/>
                <w:kern w:val="0"/>
              </w:rPr>
            </w:pPr>
          </w:p>
        </w:tc>
        <w:tc>
          <w:tcPr>
            <w:tcW w:w="2565" w:type="dxa"/>
            <w:tcBorders>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投标文件的签署</w:t>
            </w:r>
          </w:p>
        </w:tc>
        <w:tc>
          <w:tcPr>
            <w:tcW w:w="472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color w:val="auto"/>
                <w:kern w:val="0"/>
              </w:rPr>
            </w:pPr>
            <w:r>
              <w:rPr>
                <w:rFonts w:hint="eastAsia" w:ascii="宋体" w:hAnsi="宋体" w:cs="宋体"/>
                <w:snapToGrid w:val="0"/>
                <w:color w:val="auto"/>
                <w:kern w:val="0"/>
                <w:szCs w:val="21"/>
              </w:rPr>
              <w:t>若投标单位为联合体，则联合体协议书中各联合体各成员单位签名（或盖章）须齐全，联合体协议书以外的</w:t>
            </w:r>
            <w:r>
              <w:rPr>
                <w:rFonts w:hint="eastAsia" w:ascii="宋体" w:hAnsi="宋体" w:cs="宋体"/>
                <w:color w:val="auto"/>
                <w:kern w:val="0"/>
              </w:rPr>
              <w:t>投标文件格式中，要求</w:t>
            </w:r>
            <w:r>
              <w:rPr>
                <w:rFonts w:hint="eastAsia" w:ascii="宋体" w:hAnsi="宋体" w:cs="宋体"/>
                <w:snapToGrid w:val="0"/>
                <w:color w:val="auto"/>
                <w:kern w:val="0"/>
                <w:szCs w:val="21"/>
              </w:rPr>
              <w:t>联合体牵头人</w:t>
            </w:r>
            <w:r>
              <w:rPr>
                <w:rFonts w:hint="eastAsia" w:ascii="宋体" w:hAnsi="宋体" w:cs="宋体"/>
                <w:color w:val="auto"/>
                <w:kern w:val="0"/>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b/>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b/>
                <w:color w:val="auto"/>
                <w:kern w:val="0"/>
              </w:rPr>
            </w:pPr>
          </w:p>
        </w:tc>
        <w:tc>
          <w:tcPr>
            <w:tcW w:w="2565" w:type="dxa"/>
            <w:tcBorders>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委托代理人</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2.2.4</w:t>
            </w:r>
          </w:p>
        </w:tc>
        <w:tc>
          <w:tcPr>
            <w:tcW w:w="1545"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rPr>
            </w:pPr>
            <w:r>
              <w:rPr>
                <w:rFonts w:ascii="宋体" w:hAnsi="宋体"/>
                <w:color w:val="auto"/>
                <w:kern w:val="0"/>
              </w:rPr>
              <w:t>响应性评审</w:t>
            </w:r>
          </w:p>
          <w:p>
            <w:pPr>
              <w:spacing w:line="400" w:lineRule="exact"/>
              <w:jc w:val="center"/>
              <w:rPr>
                <w:rFonts w:ascii="宋体" w:hAnsi="宋体"/>
                <w:color w:val="auto"/>
                <w:kern w:val="0"/>
              </w:rPr>
            </w:pPr>
            <w:r>
              <w:rPr>
                <w:rFonts w:ascii="宋体" w:hAnsi="宋体"/>
                <w:color w:val="auto"/>
                <w:kern w:val="0"/>
              </w:rPr>
              <w:t>标准</w:t>
            </w: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投标内容</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pacing w:line="400" w:lineRule="exact"/>
              <w:jc w:val="center"/>
              <w:rPr>
                <w:rFonts w:ascii="宋体" w:hAnsi="宋体" w:cs="宋体"/>
                <w:color w:val="auto"/>
                <w:kern w:val="0"/>
              </w:rPr>
            </w:pPr>
            <w:r>
              <w:rPr>
                <w:rFonts w:hint="eastAsia" w:ascii="宋体" w:hAnsi="宋体" w:cs="宋体"/>
                <w:color w:val="auto"/>
                <w:kern w:val="0"/>
              </w:rPr>
              <w:t>投标保证金</w:t>
            </w:r>
          </w:p>
        </w:tc>
        <w:tc>
          <w:tcPr>
            <w:tcW w:w="472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权利义务</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符合第四章“合同条款及格式”规定，投标文件不应附有</w:t>
            </w:r>
            <w:r>
              <w:rPr>
                <w:rFonts w:hint="eastAsia" w:ascii="宋体" w:hAnsi="宋体" w:cs="宋体"/>
                <w:color w:val="auto"/>
                <w:szCs w:val="21"/>
                <w:lang w:val="en-US" w:eastAsia="zh-CN"/>
              </w:rPr>
              <w:t>比选人</w:t>
            </w:r>
            <w:r>
              <w:rPr>
                <w:rFonts w:hint="eastAsia" w:ascii="宋体" w:hAnsi="宋体" w:cs="宋体"/>
                <w:color w:val="auto"/>
                <w:kern w:val="0"/>
              </w:rPr>
              <w:t>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技术标准和要求</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bottom w:val="single" w:color="auto" w:sz="4" w:space="0"/>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bottom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实质性要求</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符合第二章“投标人须知”第1.4.3项规定。</w:t>
            </w:r>
          </w:p>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本次投标不得有串通投标、弄虚作假等其他违反招投标相关法律、法规行为。</w:t>
            </w:r>
          </w:p>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2.2.5</w:t>
            </w:r>
          </w:p>
        </w:tc>
        <w:tc>
          <w:tcPr>
            <w:tcW w:w="1545"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rPr>
            </w:pPr>
            <w:r>
              <w:rPr>
                <w:rFonts w:hint="eastAsia" w:ascii="宋体" w:hAnsi="宋体"/>
                <w:color w:val="auto"/>
                <w:kern w:val="0"/>
              </w:rPr>
              <w:t>投标函部分及经济部分评审标准</w:t>
            </w: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投标函部分的签名盖章</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投标函部分的格式要求法定代表人或其委托代理人签名（或盖章）的须齐全。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工期</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工程质量</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投标有效期</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投标总报价</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1.投标总报价必须与已标价工程量清单总报价一致，且工程量清单总报价与依据单价、工程数量、分部分项工程合价计算出的结果应一致。</w:t>
            </w:r>
          </w:p>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2.投标总报价不得高于</w:t>
            </w:r>
            <w:r>
              <w:rPr>
                <w:rFonts w:hint="eastAsia" w:ascii="宋体" w:hAnsi="宋体" w:cs="宋体"/>
                <w:color w:val="auto"/>
                <w:kern w:val="0"/>
                <w:lang w:eastAsia="zh-CN"/>
              </w:rPr>
              <w:t>比选人</w:t>
            </w:r>
            <w:r>
              <w:rPr>
                <w:rFonts w:hint="eastAsia" w:ascii="宋体" w:hAnsi="宋体" w:cs="宋体"/>
                <w:color w:val="auto"/>
                <w:kern w:val="0"/>
              </w:rPr>
              <w:t>公布的投标总报价最高限价。</w:t>
            </w:r>
          </w:p>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3.投标总报价低于最高限价85%的，投标人应在编制投标文件时，在投标函部分中递交低价风险担保提交承诺书。承诺书格式详见第八章投标文件格式。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暂定金额</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暂列金额、暂估价、安全文明施工费等暂定金额必须按照</w:t>
            </w:r>
            <w:r>
              <w:rPr>
                <w:rFonts w:hint="eastAsia" w:ascii="宋体" w:hAnsi="宋体" w:cs="宋体"/>
                <w:color w:val="auto"/>
                <w:szCs w:val="21"/>
                <w:lang w:val="en-US" w:eastAsia="zh-CN"/>
              </w:rPr>
              <w:t>比选</w:t>
            </w:r>
            <w:r>
              <w:rPr>
                <w:rFonts w:hint="eastAsia" w:ascii="宋体" w:hAnsi="宋体" w:cs="宋体"/>
                <w:color w:val="auto"/>
                <w:kern w:val="0"/>
              </w:rPr>
              <w:t>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报价唯一</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只能有一个有效报价。在</w:t>
            </w:r>
            <w:r>
              <w:rPr>
                <w:rFonts w:hint="eastAsia" w:ascii="宋体" w:hAnsi="宋体" w:cs="宋体"/>
                <w:color w:val="auto"/>
                <w:szCs w:val="21"/>
                <w:lang w:val="en-US" w:eastAsia="zh-CN"/>
              </w:rPr>
              <w:t>比选</w:t>
            </w:r>
            <w:r>
              <w:rPr>
                <w:rFonts w:hint="eastAsia" w:ascii="宋体" w:hAnsi="宋体" w:cs="宋体"/>
                <w:color w:val="auto"/>
                <w:kern w:val="0"/>
              </w:rPr>
              <w:t>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已标价工程量清单</w:t>
            </w:r>
          </w:p>
        </w:tc>
        <w:tc>
          <w:tcPr>
            <w:tcW w:w="4725" w:type="dxa"/>
            <w:tcBorders>
              <w:left w:val="single" w:color="auto" w:sz="4" w:space="0"/>
            </w:tcBorders>
            <w:vAlign w:val="center"/>
          </w:tcPr>
          <w:p>
            <w:pPr>
              <w:spacing w:line="400" w:lineRule="exact"/>
              <w:ind w:firstLine="420" w:firstLineChars="200"/>
              <w:rPr>
                <w:rFonts w:ascii="宋体" w:hAnsi="宋体" w:cs="宋体"/>
                <w:color w:val="auto"/>
                <w:kern w:val="0"/>
              </w:rPr>
            </w:pPr>
            <w:r>
              <w:rPr>
                <w:rFonts w:hint="eastAsia" w:ascii="宋体" w:hAnsi="宋体" w:cs="宋体"/>
                <w:color w:val="auto"/>
                <w:kern w:val="0"/>
              </w:rPr>
              <w:t>1.符合第五章“工程量清单”给出的范围及数量。</w:t>
            </w:r>
          </w:p>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2.</w:t>
            </w:r>
            <w:r>
              <w:rPr>
                <w:rFonts w:hint="eastAsia" w:ascii="宋体" w:hAnsi="宋体" w:cs="宋体"/>
                <w:color w:val="auto"/>
                <w:szCs w:val="21"/>
                <w:lang w:val="en-US" w:eastAsia="zh-CN"/>
              </w:rPr>
              <w:t>比选</w:t>
            </w:r>
            <w:r>
              <w:rPr>
                <w:rFonts w:hint="eastAsia" w:ascii="宋体" w:hAnsi="宋体" w:cs="宋体"/>
                <w:color w:val="auto"/>
                <w:kern w:val="0"/>
              </w:rPr>
              <w:t>文件中规定工程量清单不允许修改的内容不得修改。</w:t>
            </w:r>
          </w:p>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00" w:type="dxa"/>
            <w:vMerge w:val="continue"/>
            <w:tcBorders>
              <w:right w:val="single" w:color="auto" w:sz="4" w:space="0"/>
            </w:tcBorders>
            <w:vAlign w:val="center"/>
          </w:tcPr>
          <w:p>
            <w:pPr>
              <w:spacing w:line="400" w:lineRule="exact"/>
              <w:jc w:val="center"/>
              <w:rPr>
                <w:rFonts w:ascii="宋体" w:hAnsi="宋体"/>
                <w:color w:val="auto"/>
                <w:kern w:val="0"/>
              </w:rPr>
            </w:pPr>
          </w:p>
        </w:tc>
        <w:tc>
          <w:tcPr>
            <w:tcW w:w="1545" w:type="dxa"/>
            <w:vMerge w:val="continue"/>
            <w:tcBorders>
              <w:left w:val="single" w:color="auto" w:sz="4" w:space="0"/>
            </w:tcBorders>
            <w:vAlign w:val="center"/>
          </w:tcPr>
          <w:p>
            <w:pPr>
              <w:spacing w:line="400" w:lineRule="exact"/>
              <w:jc w:val="center"/>
              <w:rPr>
                <w:rFonts w:ascii="宋体" w:hAnsi="宋体"/>
                <w:color w:val="auto"/>
                <w:kern w:val="0"/>
              </w:rPr>
            </w:pPr>
          </w:p>
        </w:tc>
        <w:tc>
          <w:tcPr>
            <w:tcW w:w="2565" w:type="dxa"/>
            <w:tcBorders>
              <w:right w:val="single" w:color="auto" w:sz="4" w:space="0"/>
            </w:tcBorders>
            <w:vAlign w:val="center"/>
          </w:tcPr>
          <w:p>
            <w:pPr>
              <w:snapToGrid w:val="0"/>
              <w:spacing w:line="400" w:lineRule="exact"/>
              <w:jc w:val="center"/>
              <w:rPr>
                <w:rFonts w:ascii="宋体" w:hAnsi="宋体" w:cs="宋体"/>
                <w:color w:val="auto"/>
                <w:kern w:val="0"/>
              </w:rPr>
            </w:pPr>
            <w:r>
              <w:rPr>
                <w:rFonts w:hint="eastAsia" w:ascii="宋体" w:hAnsi="宋体" w:cs="宋体"/>
                <w:color w:val="auto"/>
                <w:kern w:val="0"/>
              </w:rPr>
              <w:t>投标报价算术错误修正</w:t>
            </w:r>
          </w:p>
        </w:tc>
        <w:tc>
          <w:tcPr>
            <w:tcW w:w="4725" w:type="dxa"/>
            <w:tcBorders>
              <w:left w:val="single" w:color="auto" w:sz="4" w:space="0"/>
            </w:tcBorders>
            <w:vAlign w:val="center"/>
          </w:tcPr>
          <w:p>
            <w:pPr>
              <w:snapToGrid w:val="0"/>
              <w:spacing w:line="400" w:lineRule="exact"/>
              <w:ind w:firstLine="420" w:firstLineChars="200"/>
              <w:rPr>
                <w:rFonts w:ascii="宋体" w:hAnsi="宋体" w:cs="宋体"/>
                <w:color w:val="auto"/>
                <w:kern w:val="0"/>
              </w:rPr>
            </w:pPr>
            <w:r>
              <w:rPr>
                <w:rFonts w:hint="eastAsia" w:ascii="宋体" w:hAnsi="宋体" w:cs="宋体"/>
                <w:color w:val="auto"/>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0" w:type="dxa"/>
            <w:tcBorders>
              <w:right w:val="single" w:color="auto" w:sz="4" w:space="0"/>
            </w:tcBorders>
            <w:vAlign w:val="center"/>
          </w:tcPr>
          <w:p>
            <w:pPr>
              <w:spacing w:line="400" w:lineRule="exact"/>
              <w:jc w:val="center"/>
              <w:rPr>
                <w:rFonts w:ascii="宋体" w:hAnsi="宋体"/>
                <w:color w:val="auto"/>
              </w:rPr>
            </w:pPr>
            <w:r>
              <w:rPr>
                <w:rFonts w:ascii="宋体" w:hAnsi="宋体"/>
                <w:color w:val="auto"/>
              </w:rPr>
              <w:t>3</w:t>
            </w:r>
          </w:p>
        </w:tc>
        <w:tc>
          <w:tcPr>
            <w:tcW w:w="1545" w:type="dxa"/>
            <w:tcBorders>
              <w:left w:val="single" w:color="auto" w:sz="4" w:space="0"/>
              <w:right w:val="single" w:color="auto" w:sz="4" w:space="0"/>
            </w:tcBorders>
            <w:vAlign w:val="center"/>
          </w:tcPr>
          <w:p>
            <w:pPr>
              <w:spacing w:line="400" w:lineRule="exact"/>
              <w:jc w:val="center"/>
              <w:rPr>
                <w:rFonts w:ascii="宋体" w:hAnsi="宋体"/>
                <w:color w:val="auto"/>
              </w:rPr>
            </w:pPr>
            <w:r>
              <w:rPr>
                <w:rFonts w:hint="eastAsia" w:ascii="宋体" w:hAnsi="宋体"/>
                <w:color w:val="auto"/>
              </w:rPr>
              <w:t>评标程序</w:t>
            </w:r>
          </w:p>
        </w:tc>
        <w:tc>
          <w:tcPr>
            <w:tcW w:w="7290" w:type="dxa"/>
            <w:gridSpan w:val="2"/>
            <w:tcBorders>
              <w:left w:val="single" w:color="auto" w:sz="4" w:space="0"/>
            </w:tcBorders>
            <w:vAlign w:val="center"/>
          </w:tcPr>
          <w:p>
            <w:pPr>
              <w:spacing w:line="400" w:lineRule="exact"/>
              <w:ind w:firstLine="420" w:firstLineChars="200"/>
              <w:jc w:val="left"/>
              <w:rPr>
                <w:rFonts w:ascii="宋体" w:hAnsi="宋体"/>
                <w:color w:val="auto"/>
                <w:kern w:val="0"/>
                <w:szCs w:val="21"/>
              </w:rPr>
            </w:pPr>
            <w:r>
              <w:rPr>
                <w:rFonts w:hint="eastAsia" w:ascii="宋体" w:hAnsi="宋体"/>
                <w:color w:val="auto"/>
                <w:kern w:val="0"/>
                <w:szCs w:val="21"/>
              </w:rPr>
              <w:t>1.对报价不高于最高限价的所有投标人的投标文件，按照报价由低到高的顺序排序。在投标函部分及经济部分评审前，推送给评标委员会的投标文件不得显示排序。</w:t>
            </w:r>
          </w:p>
          <w:p>
            <w:pPr>
              <w:spacing w:line="400" w:lineRule="exact"/>
              <w:ind w:firstLine="420" w:firstLineChars="200"/>
              <w:jc w:val="left"/>
              <w:rPr>
                <w:rFonts w:ascii="宋体" w:hAnsi="宋体"/>
                <w:color w:val="auto"/>
                <w:kern w:val="0"/>
                <w:szCs w:val="21"/>
              </w:rPr>
            </w:pPr>
            <w:r>
              <w:rPr>
                <w:rFonts w:hint="eastAsia" w:ascii="宋体" w:hAnsi="宋体"/>
                <w:color w:val="auto"/>
                <w:kern w:val="0"/>
                <w:szCs w:val="21"/>
              </w:rPr>
              <w:t>2.根据本章第2.2款约定进行符合性审查</w:t>
            </w:r>
            <w:r>
              <w:rPr>
                <w:rFonts w:hint="eastAsia" w:ascii="宋体" w:hAnsi="宋体"/>
                <w:color w:val="auto"/>
                <w:spacing w:val="4"/>
                <w:kern w:val="0"/>
                <w:szCs w:val="21"/>
              </w:rPr>
              <w:t>。符合性审查</w:t>
            </w:r>
            <w:r>
              <w:rPr>
                <w:rFonts w:hint="eastAsia" w:ascii="宋体" w:hAnsi="宋体"/>
                <w:color w:val="auto"/>
                <w:kern w:val="0"/>
                <w:szCs w:val="21"/>
              </w:rPr>
              <w:t>合格的投标人中，报价最低的成为第一中标候选人，报价次低的成为第二中标候选人，依次类推。</w:t>
            </w:r>
          </w:p>
          <w:p>
            <w:pPr>
              <w:spacing w:line="400" w:lineRule="exact"/>
              <w:ind w:firstLine="420" w:firstLineChars="200"/>
              <w:jc w:val="left"/>
              <w:rPr>
                <w:rFonts w:ascii="宋体" w:hAnsi="宋体"/>
                <w:color w:val="auto"/>
                <w:kern w:val="0"/>
                <w:szCs w:val="21"/>
              </w:rPr>
            </w:pPr>
            <w:r>
              <w:rPr>
                <w:rFonts w:hint="eastAsia" w:ascii="宋体" w:hAnsi="宋体"/>
                <w:color w:val="auto"/>
                <w:kern w:val="0"/>
                <w:szCs w:val="21"/>
              </w:rPr>
              <w:t>3.</w:t>
            </w:r>
            <w:r>
              <w:rPr>
                <w:rFonts w:hint="eastAsia" w:ascii="宋体" w:hAnsi="宋体"/>
                <w:color w:val="auto"/>
                <w:spacing w:val="4"/>
                <w:kern w:val="0"/>
                <w:szCs w:val="21"/>
              </w:rPr>
              <w:t>若上述程序未能评出三名中标候选人</w:t>
            </w:r>
            <w:r>
              <w:rPr>
                <w:rFonts w:hint="eastAsia" w:ascii="宋体" w:hAnsi="宋体"/>
                <w:color w:val="auto"/>
                <w:kern w:val="0"/>
                <w:szCs w:val="21"/>
              </w:rPr>
              <w:t>，则评标委员会对剩余投标文件继续按上述第2条进行评审，直至评出三名中标候选人，或者评审完所有投标文件。</w:t>
            </w:r>
          </w:p>
          <w:p>
            <w:pPr>
              <w:spacing w:line="400" w:lineRule="exact"/>
              <w:ind w:firstLine="420" w:firstLineChars="200"/>
              <w:jc w:val="left"/>
              <w:rPr>
                <w:rFonts w:ascii="宋体" w:hAnsi="宋体"/>
                <w:color w:val="auto"/>
                <w:kern w:val="0"/>
                <w:szCs w:val="21"/>
              </w:rPr>
            </w:pPr>
            <w:r>
              <w:rPr>
                <w:rFonts w:hint="eastAsia" w:ascii="宋体" w:hAnsi="宋体"/>
                <w:color w:val="auto"/>
                <w:kern w:val="0"/>
                <w:szCs w:val="21"/>
              </w:rPr>
              <w:t>4.</w:t>
            </w:r>
            <w:r>
              <w:rPr>
                <w:rFonts w:hint="eastAsia"/>
                <w:color w:val="auto"/>
              </w:rPr>
              <w:t xml:space="preserve"> </w:t>
            </w:r>
            <w:r>
              <w:rPr>
                <w:rFonts w:hint="eastAsia" w:ascii="宋体" w:hAnsi="宋体"/>
                <w:color w:val="auto"/>
                <w:kern w:val="0"/>
                <w:szCs w:val="21"/>
              </w:rPr>
              <w:t>因评标委员会作否决投标处理，导致有效投标人不足三个的，评标委员会应当否决所有投标。但是有效投标人的经济、技术等指标仍然具有市场竞争力，并满足</w:t>
            </w:r>
            <w:r>
              <w:rPr>
                <w:rFonts w:hint="eastAsia" w:ascii="宋体" w:hAnsi="宋体" w:cs="宋体"/>
                <w:color w:val="auto"/>
                <w:szCs w:val="21"/>
                <w:lang w:val="en-US" w:eastAsia="zh-CN"/>
              </w:rPr>
              <w:t>比选</w:t>
            </w:r>
            <w:r>
              <w:rPr>
                <w:rFonts w:hint="eastAsia" w:ascii="宋体" w:hAnsi="宋体"/>
                <w:color w:val="auto"/>
                <w:kern w:val="0"/>
                <w:szCs w:val="21"/>
              </w:rPr>
              <w:t>文件要求的，评标委员会可以继续评标并确定中标候选人。</w:t>
            </w:r>
          </w:p>
          <w:p>
            <w:pPr>
              <w:spacing w:line="400" w:lineRule="exact"/>
              <w:ind w:firstLine="420" w:firstLineChars="200"/>
              <w:jc w:val="left"/>
              <w:rPr>
                <w:rFonts w:ascii="宋体" w:hAnsi="宋体"/>
                <w:color w:val="auto"/>
                <w:kern w:val="0"/>
                <w:szCs w:val="21"/>
              </w:rPr>
            </w:pPr>
            <w:r>
              <w:rPr>
                <w:rFonts w:hint="eastAsia" w:ascii="宋体" w:hAnsi="宋体"/>
                <w:color w:val="auto"/>
                <w:kern w:val="0"/>
                <w:szCs w:val="21"/>
              </w:rPr>
              <w:t>注：若出现投标人投标报价相同的，以“投标人在红名单中优先”的原则排序</w:t>
            </w:r>
            <w:r>
              <w:rPr>
                <w:rFonts w:hint="eastAsia" w:ascii="宋体" w:hAnsi="宋体"/>
                <w:color w:val="auto"/>
                <w:spacing w:val="4"/>
                <w:kern w:val="0"/>
                <w:szCs w:val="21"/>
              </w:rPr>
              <w:t>，投标人是否属于红名单，以开标环节信用状况查询结果为准</w:t>
            </w:r>
            <w:r>
              <w:rPr>
                <w:rFonts w:hint="eastAsia" w:ascii="宋体" w:hAnsi="宋体"/>
                <w:color w:val="auto"/>
                <w:kern w:val="0"/>
                <w:szCs w:val="21"/>
              </w:rPr>
              <w:t>；投标人均在红名单中</w:t>
            </w:r>
            <w:r>
              <w:rPr>
                <w:rFonts w:hint="eastAsia" w:ascii="宋体" w:hAnsi="宋体"/>
                <w:color w:val="auto"/>
                <w:spacing w:val="4"/>
                <w:kern w:val="0"/>
                <w:szCs w:val="21"/>
              </w:rPr>
              <w:t>或均不在红名单中的，由评标委员会</w:t>
            </w:r>
            <w:r>
              <w:rPr>
                <w:rFonts w:hint="eastAsia" w:ascii="宋体" w:hAnsi="宋体"/>
                <w:color w:val="auto"/>
                <w:spacing w:val="-7"/>
                <w:u w:val="single"/>
              </w:rPr>
              <w:t>全体成员</w:t>
            </w:r>
            <w:r>
              <w:rPr>
                <w:rFonts w:hint="eastAsia" w:ascii="宋体" w:hAnsi="宋体"/>
                <w:color w:val="auto"/>
                <w:u w:val="single"/>
              </w:rPr>
              <w:t>投票，并按简单多数</w:t>
            </w:r>
            <w:r>
              <w:rPr>
                <w:rFonts w:hint="eastAsia" w:ascii="宋体" w:hAnsi="宋体"/>
                <w:color w:val="auto"/>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00" w:type="dxa"/>
            <w:tcBorders>
              <w:right w:val="single" w:color="auto" w:sz="4" w:space="0"/>
            </w:tcBorders>
            <w:vAlign w:val="center"/>
          </w:tcPr>
          <w:p>
            <w:pPr>
              <w:spacing w:line="400" w:lineRule="exact"/>
              <w:jc w:val="center"/>
              <w:rPr>
                <w:rFonts w:ascii="宋体" w:hAnsi="宋体"/>
                <w:color w:val="auto"/>
              </w:rPr>
            </w:pPr>
            <w:r>
              <w:rPr>
                <w:rFonts w:hint="eastAsia" w:ascii="宋体" w:hAnsi="宋体"/>
                <w:color w:val="auto"/>
              </w:rPr>
              <w:t>3.4</w:t>
            </w:r>
          </w:p>
        </w:tc>
        <w:tc>
          <w:tcPr>
            <w:tcW w:w="1545" w:type="dxa"/>
            <w:tcBorders>
              <w:left w:val="single" w:color="auto" w:sz="4" w:space="0"/>
              <w:right w:val="single" w:color="auto" w:sz="4" w:space="0"/>
            </w:tcBorders>
            <w:vAlign w:val="center"/>
          </w:tcPr>
          <w:p>
            <w:pPr>
              <w:spacing w:line="400" w:lineRule="exact"/>
              <w:jc w:val="center"/>
              <w:rPr>
                <w:rFonts w:ascii="宋体" w:hAnsi="宋体"/>
                <w:color w:val="auto"/>
              </w:rPr>
            </w:pPr>
            <w:r>
              <w:rPr>
                <w:rFonts w:ascii="宋体" w:hAnsi="宋体"/>
                <w:color w:val="auto"/>
              </w:rPr>
              <w:t>评标结果</w:t>
            </w:r>
          </w:p>
        </w:tc>
        <w:tc>
          <w:tcPr>
            <w:tcW w:w="7290"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rPr>
            </w:pPr>
            <w:r>
              <w:rPr>
                <w:rFonts w:ascii="宋体" w:hAnsi="宋体"/>
                <w:color w:val="auto"/>
                <w:kern w:val="0"/>
                <w:szCs w:val="21"/>
              </w:rPr>
              <w:t>3.</w:t>
            </w:r>
            <w:r>
              <w:rPr>
                <w:rFonts w:ascii="宋体" w:hAnsi="宋体"/>
                <w:color w:val="auto"/>
                <w:spacing w:val="-1"/>
                <w:kern w:val="0"/>
                <w:szCs w:val="21"/>
              </w:rPr>
              <w:t>4</w:t>
            </w:r>
            <w:r>
              <w:rPr>
                <w:rFonts w:ascii="宋体" w:hAnsi="宋体"/>
                <w:color w:val="auto"/>
                <w:kern w:val="0"/>
                <w:szCs w:val="21"/>
              </w:rPr>
              <w:t>.1</w:t>
            </w:r>
            <w:r>
              <w:rPr>
                <w:rFonts w:hint="eastAsia" w:ascii="宋体" w:hAnsi="宋体"/>
                <w:color w:val="auto"/>
                <w:kern w:val="0"/>
                <w:szCs w:val="21"/>
              </w:rPr>
              <w:t xml:space="preserve"> </w:t>
            </w:r>
            <w:r>
              <w:rPr>
                <w:rFonts w:ascii="宋体" w:hAnsi="宋体"/>
                <w:color w:val="auto"/>
                <w:kern w:val="0"/>
                <w:szCs w:val="21"/>
              </w:rPr>
              <w:t>除第二章“投标</w:t>
            </w:r>
            <w:r>
              <w:rPr>
                <w:rFonts w:ascii="宋体" w:hAnsi="宋体"/>
                <w:color w:val="auto"/>
                <w:spacing w:val="1"/>
                <w:kern w:val="0"/>
                <w:szCs w:val="21"/>
              </w:rPr>
              <w:t>人</w:t>
            </w:r>
            <w:r>
              <w:rPr>
                <w:rFonts w:ascii="宋体" w:hAnsi="宋体"/>
                <w:color w:val="auto"/>
                <w:kern w:val="0"/>
                <w:szCs w:val="21"/>
              </w:rPr>
              <w:t>须知”前</w:t>
            </w:r>
            <w:r>
              <w:rPr>
                <w:rFonts w:ascii="宋体" w:hAnsi="宋体"/>
                <w:color w:val="auto"/>
                <w:spacing w:val="1"/>
                <w:kern w:val="0"/>
                <w:szCs w:val="21"/>
              </w:rPr>
              <w:t>附</w:t>
            </w:r>
            <w:r>
              <w:rPr>
                <w:rFonts w:ascii="宋体" w:hAnsi="宋体"/>
                <w:color w:val="auto"/>
                <w:kern w:val="0"/>
                <w:szCs w:val="21"/>
              </w:rPr>
              <w:t>表授权直</w:t>
            </w:r>
            <w:r>
              <w:rPr>
                <w:rFonts w:ascii="宋体" w:hAnsi="宋体"/>
                <w:color w:val="auto"/>
                <w:spacing w:val="1"/>
                <w:kern w:val="0"/>
                <w:szCs w:val="21"/>
              </w:rPr>
              <w:t>接</w:t>
            </w:r>
            <w:r>
              <w:rPr>
                <w:rFonts w:ascii="宋体" w:hAnsi="宋体"/>
                <w:color w:val="auto"/>
                <w:kern w:val="0"/>
                <w:szCs w:val="21"/>
              </w:rPr>
              <w:t>确定中标</w:t>
            </w:r>
            <w:r>
              <w:rPr>
                <w:rFonts w:ascii="宋体" w:hAnsi="宋体"/>
                <w:color w:val="auto"/>
                <w:spacing w:val="1"/>
                <w:kern w:val="0"/>
                <w:szCs w:val="21"/>
              </w:rPr>
              <w:t>人</w:t>
            </w:r>
            <w:r>
              <w:rPr>
                <w:rFonts w:ascii="宋体" w:hAnsi="宋体"/>
                <w:color w:val="auto"/>
                <w:kern w:val="0"/>
                <w:szCs w:val="21"/>
              </w:rPr>
              <w:t>外，评标</w:t>
            </w:r>
            <w:r>
              <w:rPr>
                <w:rFonts w:ascii="宋体" w:hAnsi="宋体"/>
                <w:color w:val="auto"/>
                <w:spacing w:val="1"/>
                <w:kern w:val="0"/>
                <w:szCs w:val="21"/>
              </w:rPr>
              <w:t>委</w:t>
            </w:r>
            <w:r>
              <w:rPr>
                <w:rFonts w:ascii="宋体" w:hAnsi="宋体"/>
                <w:color w:val="auto"/>
                <w:kern w:val="0"/>
                <w:szCs w:val="21"/>
              </w:rPr>
              <w:t>员会</w:t>
            </w:r>
            <w:r>
              <w:rPr>
                <w:rFonts w:hint="eastAsia" w:ascii="宋体" w:hAnsi="宋体"/>
                <w:color w:val="auto"/>
                <w:kern w:val="0"/>
                <w:szCs w:val="21"/>
              </w:rPr>
              <w:t>按经评审的最低投标价法</w:t>
            </w:r>
            <w:r>
              <w:rPr>
                <w:rFonts w:ascii="宋体" w:hAnsi="宋体"/>
                <w:color w:val="auto"/>
                <w:kern w:val="0"/>
                <w:szCs w:val="21"/>
              </w:rPr>
              <w:t>推荐中标候选人。</w:t>
            </w:r>
          </w:p>
          <w:p>
            <w:pPr>
              <w:spacing w:line="400" w:lineRule="exact"/>
              <w:ind w:firstLine="424" w:firstLineChars="200"/>
              <w:rPr>
                <w:rFonts w:ascii="宋体" w:hAnsi="宋体"/>
                <w:color w:val="auto"/>
              </w:rPr>
            </w:pPr>
            <w:r>
              <w:rPr>
                <w:rFonts w:ascii="宋体" w:hAnsi="宋体"/>
                <w:color w:val="auto"/>
                <w:spacing w:val="1"/>
                <w:kern w:val="0"/>
                <w:szCs w:val="21"/>
              </w:rPr>
              <w:t>3</w:t>
            </w:r>
            <w:r>
              <w:rPr>
                <w:rFonts w:ascii="宋体" w:hAnsi="宋体"/>
                <w:color w:val="auto"/>
                <w:kern w:val="0"/>
                <w:szCs w:val="21"/>
              </w:rPr>
              <w:t>.4.2</w:t>
            </w:r>
            <w:r>
              <w:rPr>
                <w:rFonts w:hint="eastAsia" w:ascii="宋体" w:hAnsi="宋体"/>
                <w:color w:val="auto"/>
                <w:kern w:val="0"/>
                <w:szCs w:val="21"/>
              </w:rPr>
              <w:t xml:space="preserve"> </w:t>
            </w:r>
            <w:r>
              <w:rPr>
                <w:rFonts w:ascii="宋体" w:hAnsi="宋体"/>
                <w:color w:val="auto"/>
                <w:kern w:val="0"/>
                <w:szCs w:val="21"/>
              </w:rPr>
              <w:t>评标</w:t>
            </w:r>
            <w:r>
              <w:rPr>
                <w:rFonts w:ascii="宋体" w:hAnsi="宋体"/>
                <w:color w:val="auto"/>
                <w:spacing w:val="-1"/>
                <w:kern w:val="0"/>
                <w:szCs w:val="21"/>
              </w:rPr>
              <w:t>委</w:t>
            </w:r>
            <w:r>
              <w:rPr>
                <w:rFonts w:ascii="宋体" w:hAnsi="宋体"/>
                <w:color w:val="auto"/>
                <w:kern w:val="0"/>
                <w:szCs w:val="21"/>
              </w:rPr>
              <w:t>员会完成评标后，应当向</w:t>
            </w:r>
            <w:r>
              <w:rPr>
                <w:rFonts w:hint="eastAsia" w:ascii="宋体" w:hAnsi="宋体" w:cs="宋体"/>
                <w:color w:val="auto"/>
                <w:szCs w:val="21"/>
                <w:lang w:val="en-US" w:eastAsia="zh-CN"/>
              </w:rPr>
              <w:t>比选人</w:t>
            </w:r>
            <w:r>
              <w:rPr>
                <w:rFonts w:ascii="宋体" w:hAnsi="宋体"/>
                <w:color w:val="auto"/>
                <w:kern w:val="0"/>
                <w:szCs w:val="21"/>
              </w:rPr>
              <w:t>提交书面评标报告。</w:t>
            </w:r>
          </w:p>
        </w:tc>
      </w:tr>
    </w:tbl>
    <w:p>
      <w:pPr>
        <w:pStyle w:val="3"/>
        <w:spacing w:before="0" w:after="0" w:line="500" w:lineRule="exact"/>
        <w:jc w:val="left"/>
        <w:rPr>
          <w:rFonts w:ascii="宋体" w:hAnsi="宋体"/>
          <w:bCs w:val="0"/>
          <w:snapToGrid w:val="0"/>
          <w:color w:val="auto"/>
        </w:rPr>
      </w:pPr>
      <w:r>
        <w:rPr>
          <w:rFonts w:ascii="宋体" w:hAnsi="宋体"/>
          <w:bCs w:val="0"/>
          <w:snapToGrid w:val="0"/>
          <w:color w:val="auto"/>
        </w:rPr>
        <w:br w:type="page"/>
      </w:r>
      <w:bookmarkStart w:id="459" w:name="_Toc57820616"/>
      <w:r>
        <w:rPr>
          <w:rFonts w:ascii="宋体" w:hAnsi="宋体"/>
          <w:b w:val="0"/>
          <w:snapToGrid w:val="0"/>
          <w:color w:val="auto"/>
        </w:rPr>
        <w:t>1.  评标方法</w:t>
      </w:r>
      <w:bookmarkEnd w:id="459"/>
    </w:p>
    <w:p>
      <w:pPr>
        <w:spacing w:line="500" w:lineRule="exact"/>
        <w:ind w:firstLine="420" w:firstLineChars="200"/>
        <w:jc w:val="left"/>
        <w:rPr>
          <w:rFonts w:ascii="宋体" w:hAnsi="宋体"/>
          <w:color w:val="auto"/>
        </w:rPr>
      </w:pPr>
      <w:r>
        <w:rPr>
          <w:rFonts w:hint="eastAsia" w:ascii="宋体" w:hAnsi="宋体"/>
          <w:color w:val="auto"/>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s="宋体"/>
          <w:color w:val="auto"/>
          <w:szCs w:val="21"/>
          <w:lang w:val="en-US" w:eastAsia="zh-CN"/>
        </w:rPr>
        <w:t>比选人</w:t>
      </w:r>
      <w:r>
        <w:rPr>
          <w:rFonts w:hint="eastAsia" w:ascii="宋体" w:hAnsi="宋体"/>
          <w:color w:val="auto"/>
        </w:rPr>
        <w:t>授权直接确定中标人。若出现投标人投标报价相同的，以评标办法前附表约定的原则确定排序。</w:t>
      </w:r>
    </w:p>
    <w:p>
      <w:pPr>
        <w:pStyle w:val="3"/>
        <w:spacing w:before="0" w:after="0" w:line="500" w:lineRule="exact"/>
        <w:jc w:val="left"/>
        <w:rPr>
          <w:rFonts w:ascii="宋体" w:hAnsi="宋体"/>
          <w:b w:val="0"/>
          <w:snapToGrid w:val="0"/>
          <w:color w:val="auto"/>
        </w:rPr>
      </w:pPr>
      <w:bookmarkStart w:id="460" w:name="_Toc57820617"/>
      <w:r>
        <w:rPr>
          <w:rFonts w:ascii="宋体" w:hAnsi="宋体"/>
          <w:b w:val="0"/>
          <w:snapToGrid w:val="0"/>
          <w:color w:val="auto"/>
        </w:rPr>
        <w:t>2.  评审标准</w:t>
      </w:r>
      <w:bookmarkEnd w:id="460"/>
    </w:p>
    <w:p>
      <w:pPr>
        <w:pStyle w:val="4"/>
        <w:spacing w:line="500" w:lineRule="exact"/>
        <w:jc w:val="left"/>
        <w:rPr>
          <w:rFonts w:ascii="宋体" w:hAnsi="宋体" w:cs="宋体"/>
          <w:color w:val="auto"/>
          <w:sz w:val="21"/>
          <w:szCs w:val="21"/>
        </w:rPr>
      </w:pPr>
      <w:bookmarkStart w:id="461" w:name="_Toc57820618"/>
      <w:r>
        <w:rPr>
          <w:rFonts w:ascii="宋体" w:hAnsi="宋体" w:cs="宋体"/>
          <w:color w:val="auto"/>
          <w:sz w:val="21"/>
          <w:szCs w:val="21"/>
        </w:rPr>
        <w:t>2.1</w:t>
      </w:r>
      <w:r>
        <w:rPr>
          <w:rFonts w:hint="eastAsia" w:ascii="宋体" w:hAnsi="宋体" w:cs="宋体"/>
          <w:color w:val="auto"/>
          <w:sz w:val="21"/>
          <w:szCs w:val="21"/>
        </w:rPr>
        <w:t>报价</w:t>
      </w:r>
      <w:r>
        <w:rPr>
          <w:rFonts w:ascii="宋体" w:hAnsi="宋体" w:cs="宋体"/>
          <w:color w:val="auto"/>
          <w:sz w:val="21"/>
          <w:szCs w:val="21"/>
        </w:rPr>
        <w:t>排序</w:t>
      </w:r>
      <w:r>
        <w:rPr>
          <w:rFonts w:hint="eastAsia" w:ascii="宋体" w:hAnsi="宋体" w:cs="宋体"/>
          <w:color w:val="auto"/>
          <w:sz w:val="21"/>
          <w:szCs w:val="21"/>
        </w:rPr>
        <w:t>标准</w:t>
      </w:r>
      <w:bookmarkEnd w:id="461"/>
    </w:p>
    <w:p>
      <w:pPr>
        <w:autoSpaceDE w:val="0"/>
        <w:autoSpaceDN w:val="0"/>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见评标办法前附表。</w:t>
      </w:r>
    </w:p>
    <w:p>
      <w:pPr>
        <w:pStyle w:val="4"/>
        <w:spacing w:line="500" w:lineRule="exact"/>
        <w:jc w:val="left"/>
        <w:rPr>
          <w:rFonts w:ascii="宋体" w:hAnsi="宋体" w:cs="宋体"/>
          <w:color w:val="auto"/>
          <w:sz w:val="21"/>
          <w:szCs w:val="21"/>
        </w:rPr>
      </w:pPr>
      <w:bookmarkStart w:id="462" w:name="_Toc57820619"/>
      <w:r>
        <w:rPr>
          <w:rFonts w:ascii="宋体" w:hAnsi="宋体" w:cs="宋体"/>
          <w:color w:val="auto"/>
          <w:sz w:val="21"/>
          <w:szCs w:val="21"/>
        </w:rPr>
        <w:t>2.</w:t>
      </w:r>
      <w:r>
        <w:rPr>
          <w:rFonts w:hint="eastAsia" w:ascii="宋体" w:hAnsi="宋体" w:cs="宋体"/>
          <w:color w:val="auto"/>
          <w:sz w:val="21"/>
          <w:szCs w:val="21"/>
        </w:rPr>
        <w:t>2符合性审查标准</w:t>
      </w:r>
      <w:bookmarkEnd w:id="462"/>
    </w:p>
    <w:p>
      <w:pPr>
        <w:autoSpaceDE w:val="0"/>
        <w:autoSpaceDN w:val="0"/>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按评标办法前附表约定的投标单位报价排序数量进行符合性审查</w:t>
      </w:r>
      <w:r>
        <w:rPr>
          <w:rFonts w:hint="eastAsia" w:ascii="宋体" w:hAnsi="宋体"/>
          <w:color w:val="auto"/>
          <w:spacing w:val="4"/>
          <w:kern w:val="0"/>
          <w:szCs w:val="21"/>
        </w:rPr>
        <w:t>。符合性审查内容：资格评审、形式评审、响应性、投标函部分及经济部分评审</w:t>
      </w:r>
      <w:r>
        <w:rPr>
          <w:rFonts w:hint="eastAsia" w:ascii="宋体" w:hAnsi="宋体" w:cs="宋体"/>
          <w:color w:val="auto"/>
          <w:szCs w:val="21"/>
        </w:rPr>
        <w:t>。</w:t>
      </w:r>
    </w:p>
    <w:p>
      <w:pPr>
        <w:autoSpaceDE w:val="0"/>
        <w:autoSpaceDN w:val="0"/>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2.2.1  技术方案评审标准：见评标办法前附表。</w:t>
      </w:r>
    </w:p>
    <w:p>
      <w:pPr>
        <w:autoSpaceDE w:val="0"/>
        <w:autoSpaceDN w:val="0"/>
        <w:adjustRightInd w:val="0"/>
        <w:snapToGrid w:val="0"/>
        <w:spacing w:line="500" w:lineRule="exact"/>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2</w:t>
      </w:r>
      <w:r>
        <w:rPr>
          <w:rFonts w:hint="eastAsia" w:ascii="宋体" w:hAnsi="宋体" w:cs="宋体"/>
          <w:color w:val="auto"/>
          <w:szCs w:val="21"/>
          <w:lang w:val="en-US" w:eastAsia="zh-CN"/>
        </w:rPr>
        <w:t xml:space="preserve">  </w:t>
      </w:r>
      <w:r>
        <w:rPr>
          <w:rFonts w:hint="eastAsia" w:ascii="宋体" w:hAnsi="宋体" w:cs="宋体"/>
          <w:color w:val="auto"/>
          <w:szCs w:val="21"/>
        </w:rPr>
        <w:t>资格评审标准：见评标办法前附表。</w:t>
      </w:r>
    </w:p>
    <w:p>
      <w:pPr>
        <w:autoSpaceDE w:val="0"/>
        <w:autoSpaceDN w:val="0"/>
        <w:adjustRightInd w:val="0"/>
        <w:snapToGrid w:val="0"/>
        <w:spacing w:line="500" w:lineRule="exact"/>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3  形式评审标准：见评标办法前附表。</w:t>
      </w:r>
    </w:p>
    <w:p>
      <w:pPr>
        <w:autoSpaceDE w:val="0"/>
        <w:autoSpaceDN w:val="0"/>
        <w:adjustRightInd w:val="0"/>
        <w:snapToGrid w:val="0"/>
        <w:spacing w:line="500" w:lineRule="exact"/>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4  响应性评审标准：见评标办法前附表。</w:t>
      </w:r>
    </w:p>
    <w:p>
      <w:pPr>
        <w:autoSpaceDE w:val="0"/>
        <w:autoSpaceDN w:val="0"/>
        <w:adjustRightInd w:val="0"/>
        <w:snapToGrid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2.2.5  投标函部分及经济部分评审标准：见评标办法前附表。</w:t>
      </w:r>
    </w:p>
    <w:p>
      <w:pPr>
        <w:pStyle w:val="3"/>
        <w:spacing w:before="0" w:after="0" w:line="500" w:lineRule="exact"/>
        <w:jc w:val="left"/>
        <w:rPr>
          <w:rFonts w:ascii="宋体" w:hAnsi="宋体"/>
          <w:b w:val="0"/>
          <w:snapToGrid w:val="0"/>
          <w:color w:val="auto"/>
        </w:rPr>
      </w:pPr>
      <w:bookmarkStart w:id="463" w:name="_Toc57820620"/>
      <w:r>
        <w:rPr>
          <w:rFonts w:ascii="宋体" w:hAnsi="宋体"/>
          <w:b w:val="0"/>
          <w:snapToGrid w:val="0"/>
          <w:color w:val="auto"/>
        </w:rPr>
        <w:t>3.  评标程序</w:t>
      </w:r>
      <w:bookmarkEnd w:id="463"/>
    </w:p>
    <w:p>
      <w:pPr>
        <w:pStyle w:val="4"/>
        <w:spacing w:line="500" w:lineRule="exact"/>
        <w:jc w:val="left"/>
        <w:rPr>
          <w:rFonts w:ascii="宋体" w:hAnsi="宋体" w:cs="宋体"/>
          <w:color w:val="auto"/>
          <w:sz w:val="21"/>
          <w:szCs w:val="21"/>
        </w:rPr>
      </w:pPr>
      <w:bookmarkStart w:id="464" w:name="_Toc57820621"/>
      <w:r>
        <w:rPr>
          <w:rFonts w:ascii="宋体" w:hAnsi="宋体" w:cs="宋体"/>
          <w:color w:val="auto"/>
          <w:sz w:val="21"/>
          <w:szCs w:val="21"/>
        </w:rPr>
        <w:t>3.1</w:t>
      </w:r>
      <w:r>
        <w:rPr>
          <w:rFonts w:hint="eastAsia" w:ascii="宋体" w:hAnsi="宋体" w:cs="宋体"/>
          <w:color w:val="auto"/>
          <w:sz w:val="21"/>
          <w:szCs w:val="21"/>
        </w:rPr>
        <w:t>报价排序</w:t>
      </w:r>
      <w:bookmarkEnd w:id="464"/>
    </w:p>
    <w:p>
      <w:pPr>
        <w:pStyle w:val="4"/>
        <w:spacing w:line="500" w:lineRule="exact"/>
        <w:ind w:firstLine="420" w:firstLineChars="200"/>
        <w:jc w:val="left"/>
        <w:rPr>
          <w:rFonts w:ascii="宋体" w:hAnsi="宋体" w:cs="宋体"/>
          <w:b w:val="0"/>
          <w:bCs w:val="0"/>
          <w:color w:val="auto"/>
          <w:sz w:val="21"/>
          <w:szCs w:val="21"/>
        </w:rPr>
      </w:pPr>
      <w:bookmarkStart w:id="465" w:name="_Toc57820622"/>
      <w:r>
        <w:rPr>
          <w:rFonts w:hint="eastAsia" w:ascii="宋体" w:hAnsi="宋体" w:cs="宋体"/>
          <w:b w:val="0"/>
          <w:bCs w:val="0"/>
          <w:color w:val="auto"/>
          <w:sz w:val="21"/>
          <w:szCs w:val="21"/>
        </w:rPr>
        <w:t>对报价不高于最高限价的所有投标人的投标文件，按照报价由低到高的顺序排列。</w:t>
      </w:r>
    </w:p>
    <w:p>
      <w:pPr>
        <w:pStyle w:val="4"/>
        <w:spacing w:line="500" w:lineRule="exact"/>
        <w:jc w:val="left"/>
        <w:rPr>
          <w:rFonts w:ascii="宋体" w:hAns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2符合性审查</w:t>
      </w:r>
      <w:bookmarkEnd w:id="465"/>
    </w:p>
    <w:p>
      <w:pPr>
        <w:spacing w:line="500" w:lineRule="exact"/>
        <w:ind w:firstLine="413" w:firstLineChars="197"/>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.1评标委员会依据本章第2.</w:t>
      </w:r>
      <w:r>
        <w:rPr>
          <w:rFonts w:hint="eastAsia" w:ascii="宋体" w:hAnsi="宋体" w:cs="宋体"/>
          <w:color w:val="auto"/>
          <w:szCs w:val="21"/>
        </w:rPr>
        <w:t>2</w:t>
      </w:r>
      <w:r>
        <w:rPr>
          <w:rFonts w:ascii="宋体" w:hAnsi="宋体" w:cs="宋体"/>
          <w:color w:val="auto"/>
          <w:szCs w:val="21"/>
        </w:rPr>
        <w:t xml:space="preserve"> </w:t>
      </w:r>
      <w:r>
        <w:rPr>
          <w:rFonts w:hint="eastAsia" w:ascii="宋体" w:hAnsi="宋体" w:cs="宋体"/>
          <w:color w:val="auto"/>
          <w:szCs w:val="21"/>
        </w:rPr>
        <w:t>款规定的标准对投标文件进行符合性审查。符合性审查顺序：资格评审、形式评审、响应性、投标函部分及经济部分评审。</w:t>
      </w:r>
    </w:p>
    <w:p>
      <w:pPr>
        <w:spacing w:line="500" w:lineRule="exact"/>
        <w:ind w:firstLine="420" w:firstLineChars="20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2</w:t>
      </w:r>
      <w:r>
        <w:rPr>
          <w:rFonts w:ascii="宋体" w:hAnsi="宋体" w:cs="宋体"/>
          <w:color w:val="auto"/>
          <w:szCs w:val="21"/>
        </w:rPr>
        <w:t>.2 投标人有以下情形之一的，</w:t>
      </w:r>
      <w:r>
        <w:rPr>
          <w:rFonts w:hint="eastAsia" w:ascii="宋体" w:hAnsi="宋体" w:cs="宋体"/>
          <w:color w:val="auto"/>
          <w:szCs w:val="21"/>
        </w:rPr>
        <w:t>其投标文件将被否决：</w:t>
      </w:r>
    </w:p>
    <w:p>
      <w:pPr>
        <w:spacing w:line="500" w:lineRule="exact"/>
        <w:ind w:firstLine="405" w:firstLineChars="193"/>
        <w:jc w:val="left"/>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）第二章“投标人须知”第1.4.3 </w:t>
      </w:r>
      <w:r>
        <w:rPr>
          <w:rFonts w:hint="eastAsia" w:ascii="宋体" w:hAnsi="宋体" w:cs="宋体"/>
          <w:color w:val="auto"/>
          <w:szCs w:val="21"/>
        </w:rPr>
        <w:t>项</w:t>
      </w:r>
      <w:r>
        <w:rPr>
          <w:rFonts w:ascii="宋体" w:hAnsi="宋体" w:cs="宋体"/>
          <w:color w:val="auto"/>
          <w:szCs w:val="21"/>
        </w:rPr>
        <w:t>规定的任何一种情形的；</w:t>
      </w:r>
    </w:p>
    <w:p>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w:t>
      </w:r>
      <w:r>
        <w:rPr>
          <w:rFonts w:hint="eastAsia" w:ascii="宋体" w:hAnsi="宋体" w:cs="宋体"/>
          <w:color w:val="auto"/>
          <w:szCs w:val="21"/>
        </w:rPr>
        <w:t>本次投标有串通投标、弄虚作假等其他违反招投标相关法律、法规行为的；</w:t>
      </w:r>
    </w:p>
    <w:p>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（3）拒绝按评标委员会要求澄清、说明或补正的。</w:t>
      </w:r>
    </w:p>
    <w:p>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3.2.3 投标报价有算术错误的，评标委员会按以下原则对投标报价进行修正，修正的价格经投标人书面确认后具有约束力，修正原则如下：</w:t>
      </w:r>
    </w:p>
    <w:p>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（1）投标文件中的大写金额与小写金额不一致的，以大写金额为准；</w:t>
      </w:r>
    </w:p>
    <w:p>
      <w:pPr>
        <w:spacing w:line="500" w:lineRule="exact"/>
        <w:ind w:firstLine="420" w:firstLineChars="200"/>
        <w:jc w:val="left"/>
        <w:rPr>
          <w:rFonts w:ascii="宋体" w:hAnsi="宋体" w:cs="宋体"/>
          <w:color w:val="auto"/>
          <w:szCs w:val="21"/>
        </w:rPr>
      </w:pPr>
      <w:r>
        <w:rPr>
          <w:rFonts w:hint="eastAsia" w:ascii="宋体" w:hAnsi="宋体" w:cs="宋体"/>
          <w:color w:val="auto"/>
          <w:szCs w:val="21"/>
        </w:rPr>
        <w:t>（2）投标函中的总报价与已标价工程量清单总报价不一致，且工程量清单总报价与依据单价、工程数量、分部分项工程合价计算出的结果不一致的，由评标委员会作否决投标处理。</w:t>
      </w:r>
    </w:p>
    <w:p>
      <w:pPr>
        <w:pStyle w:val="4"/>
        <w:spacing w:line="500" w:lineRule="exact"/>
        <w:jc w:val="left"/>
        <w:rPr>
          <w:rFonts w:ascii="宋体" w:hAnsi="宋体" w:cs="宋体"/>
          <w:color w:val="auto"/>
          <w:sz w:val="21"/>
          <w:szCs w:val="21"/>
        </w:rPr>
      </w:pPr>
      <w:bookmarkStart w:id="466" w:name="_Toc57820623"/>
      <w:r>
        <w:rPr>
          <w:rFonts w:ascii="宋体" w:hAnsi="宋体" w:cs="宋体"/>
          <w:color w:val="auto"/>
          <w:sz w:val="21"/>
          <w:szCs w:val="21"/>
        </w:rPr>
        <w:t>3.</w:t>
      </w:r>
      <w:r>
        <w:rPr>
          <w:rFonts w:hint="eastAsia" w:ascii="宋体" w:hAnsi="宋体" w:cs="宋体"/>
          <w:color w:val="auto"/>
          <w:sz w:val="21"/>
          <w:szCs w:val="21"/>
        </w:rPr>
        <w:t>3</w:t>
      </w:r>
      <w:r>
        <w:rPr>
          <w:rFonts w:ascii="宋体" w:hAnsi="宋体" w:cs="宋体"/>
          <w:color w:val="auto"/>
          <w:sz w:val="21"/>
          <w:szCs w:val="21"/>
        </w:rPr>
        <w:t xml:space="preserve"> </w:t>
      </w:r>
      <w:r>
        <w:rPr>
          <w:rFonts w:hint="eastAsia" w:ascii="宋体" w:hAnsi="宋体" w:cs="宋体"/>
          <w:color w:val="auto"/>
          <w:sz w:val="21"/>
          <w:szCs w:val="21"/>
        </w:rPr>
        <w:t>投标文件的澄清和补正</w:t>
      </w:r>
      <w:bookmarkEnd w:id="466"/>
    </w:p>
    <w:p>
      <w:pPr>
        <w:spacing w:line="500" w:lineRule="exact"/>
        <w:ind w:firstLine="420" w:firstLineChars="20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.1 </w:t>
      </w:r>
      <w:r>
        <w:rPr>
          <w:rFonts w:hint="eastAsia" w:ascii="宋体" w:hAnsi="宋体" w:cs="宋体"/>
          <w:color w:val="auto"/>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500" w:lineRule="exact"/>
        <w:ind w:firstLine="420" w:firstLineChars="20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.2 </w:t>
      </w:r>
      <w:r>
        <w:rPr>
          <w:rFonts w:hint="eastAsia" w:ascii="宋体" w:hAnsi="宋体" w:cs="宋体"/>
          <w:color w:val="auto"/>
          <w:szCs w:val="21"/>
        </w:rPr>
        <w:t>澄清、说明和补正不得改变投标文件的实质性内容（算术性错误修正的除外）。投标人的书面澄清、说明和补正属于投标文件的组成部分。</w:t>
      </w:r>
    </w:p>
    <w:p>
      <w:pPr>
        <w:spacing w:line="500" w:lineRule="exact"/>
        <w:ind w:firstLine="420" w:firstLineChars="20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3</w:t>
      </w:r>
      <w:r>
        <w:rPr>
          <w:rFonts w:ascii="宋体" w:hAnsi="宋体" w:cs="宋体"/>
          <w:color w:val="auto"/>
          <w:szCs w:val="21"/>
        </w:rPr>
        <w:t xml:space="preserve">.3 </w:t>
      </w:r>
      <w:r>
        <w:rPr>
          <w:rFonts w:hint="eastAsia" w:ascii="宋体" w:hAnsi="宋体" w:cs="宋体"/>
          <w:color w:val="auto"/>
          <w:szCs w:val="21"/>
        </w:rPr>
        <w:t>评标委员会对投标人提交的澄清、说明或补正有疑问的，可以要求投标人进一步澄清、说明或补正，直至满足评标委员会的要求。</w:t>
      </w:r>
    </w:p>
    <w:p>
      <w:pPr>
        <w:pStyle w:val="4"/>
        <w:spacing w:line="500" w:lineRule="exact"/>
        <w:jc w:val="left"/>
        <w:rPr>
          <w:rFonts w:ascii="宋体" w:hAnsi="宋体" w:cs="宋体"/>
          <w:color w:val="auto"/>
          <w:sz w:val="21"/>
          <w:szCs w:val="21"/>
        </w:rPr>
      </w:pPr>
      <w:bookmarkStart w:id="467" w:name="_Toc484465184"/>
      <w:bookmarkStart w:id="468" w:name="_Toc57820624"/>
      <w:bookmarkStart w:id="469" w:name="_Toc479262406"/>
      <w:r>
        <w:rPr>
          <w:rFonts w:ascii="宋体" w:hAnsi="宋体" w:cs="宋体"/>
          <w:color w:val="auto"/>
          <w:sz w:val="21"/>
          <w:szCs w:val="21"/>
        </w:rPr>
        <w:t>3.</w:t>
      </w:r>
      <w:r>
        <w:rPr>
          <w:rFonts w:hint="eastAsia" w:ascii="宋体" w:hAnsi="宋体" w:cs="宋体"/>
          <w:color w:val="auto"/>
          <w:sz w:val="21"/>
          <w:szCs w:val="21"/>
        </w:rPr>
        <w:t>4</w:t>
      </w:r>
      <w:r>
        <w:rPr>
          <w:rFonts w:ascii="宋体" w:hAnsi="宋体" w:cs="宋体"/>
          <w:color w:val="auto"/>
          <w:sz w:val="21"/>
          <w:szCs w:val="21"/>
        </w:rPr>
        <w:t xml:space="preserve"> </w:t>
      </w:r>
      <w:r>
        <w:rPr>
          <w:rFonts w:hint="eastAsia" w:ascii="宋体" w:hAnsi="宋体" w:cs="宋体"/>
          <w:color w:val="auto"/>
          <w:sz w:val="21"/>
          <w:szCs w:val="21"/>
        </w:rPr>
        <w:t>评标结果</w:t>
      </w:r>
      <w:bookmarkEnd w:id="467"/>
      <w:bookmarkEnd w:id="468"/>
      <w:bookmarkEnd w:id="469"/>
    </w:p>
    <w:p>
      <w:pPr>
        <w:autoSpaceDE w:val="0"/>
        <w:autoSpaceDN w:val="0"/>
        <w:adjustRightInd w:val="0"/>
        <w:spacing w:line="500" w:lineRule="exact"/>
        <w:ind w:firstLine="420" w:firstLineChars="200"/>
        <w:jc w:val="left"/>
        <w:rPr>
          <w:rFonts w:ascii="宋体" w:hAnsi="宋体" w:cs="宋体"/>
          <w:color w:val="auto"/>
          <w:kern w:val="0"/>
          <w:szCs w:val="21"/>
        </w:rPr>
      </w:pPr>
      <w:r>
        <w:rPr>
          <w:rFonts w:ascii="宋体" w:hAnsi="宋体" w:cs="宋体"/>
          <w:color w:val="auto"/>
          <w:szCs w:val="21"/>
        </w:rPr>
        <w:t>3.</w:t>
      </w: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 xml:space="preserve"> 评标委员会完成评标后，应当向</w:t>
      </w:r>
      <w:r>
        <w:rPr>
          <w:rFonts w:hint="eastAsia" w:ascii="宋体" w:hAnsi="宋体" w:cs="宋体"/>
          <w:color w:val="auto"/>
          <w:szCs w:val="21"/>
          <w:lang w:val="en-US" w:eastAsia="zh-CN"/>
        </w:rPr>
        <w:t>比选人</w:t>
      </w:r>
      <w:r>
        <w:rPr>
          <w:rFonts w:hint="eastAsia" w:ascii="宋体" w:hAnsi="宋体" w:cs="宋体"/>
          <w:color w:val="auto"/>
          <w:szCs w:val="21"/>
        </w:rPr>
        <w:t>提交书面评标报告和中标候选人名单。</w:t>
      </w:r>
    </w:p>
    <w:p>
      <w:pPr>
        <w:pStyle w:val="38"/>
        <w:spacing w:line="400" w:lineRule="exact"/>
        <w:jc w:val="left"/>
        <w:rPr>
          <w:rFonts w:ascii="宋体" w:hAnsi="宋体"/>
          <w:b/>
          <w:color w:val="auto"/>
          <w:sz w:val="28"/>
          <w:szCs w:val="28"/>
          <w:u w:val="none"/>
          <w:lang w:eastAsia="zh-CN"/>
        </w:rPr>
      </w:pPr>
      <w:r>
        <w:rPr>
          <w:rFonts w:ascii="宋体" w:hAnsi="宋体" w:cs="宋体"/>
          <w:color w:val="auto"/>
          <w:szCs w:val="21"/>
          <w:lang w:eastAsia="zh-CN"/>
        </w:rPr>
        <w:br w:type="page"/>
      </w:r>
      <w:r>
        <w:rPr>
          <w:rFonts w:ascii="宋体" w:hAnsi="宋体"/>
          <w:b/>
          <w:color w:val="auto"/>
          <w:sz w:val="28"/>
          <w:szCs w:val="28"/>
          <w:u w:val="none"/>
          <w:lang w:eastAsia="zh-CN"/>
        </w:rPr>
        <w:t>附件A：</w:t>
      </w:r>
      <w:r>
        <w:rPr>
          <w:rFonts w:hint="eastAsia" w:ascii="宋体" w:hAnsi="宋体"/>
          <w:b/>
          <w:color w:val="auto"/>
          <w:sz w:val="28"/>
          <w:szCs w:val="28"/>
          <w:u w:val="none"/>
          <w:lang w:eastAsia="zh-CN"/>
        </w:rPr>
        <w:t>经评审的最低投标价法</w:t>
      </w:r>
      <w:r>
        <w:rPr>
          <w:rFonts w:ascii="宋体" w:hAnsi="宋体"/>
          <w:b/>
          <w:color w:val="auto"/>
          <w:sz w:val="28"/>
          <w:szCs w:val="28"/>
          <w:u w:val="none"/>
          <w:lang w:eastAsia="zh-CN"/>
        </w:rPr>
        <w:t>否决投标情况一览表</w:t>
      </w:r>
    </w:p>
    <w:p>
      <w:pPr>
        <w:pStyle w:val="38"/>
        <w:spacing w:line="400" w:lineRule="exact"/>
        <w:ind w:firstLine="420" w:firstLineChars="200"/>
        <w:jc w:val="both"/>
        <w:rPr>
          <w:rFonts w:ascii="宋体" w:hAnsi="宋体"/>
          <w:color w:val="auto"/>
          <w:szCs w:val="21"/>
          <w:u w:val="none"/>
          <w:lang w:eastAsia="zh-CN"/>
        </w:rPr>
      </w:pPr>
      <w:r>
        <w:rPr>
          <w:rFonts w:hint="eastAsia" w:ascii="宋体" w:hAnsi="宋体"/>
          <w:color w:val="auto"/>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Cs w:val="21"/>
          <w:u w:val="none"/>
          <w:lang w:eastAsia="zh-CN"/>
        </w:rPr>
        <w:t>。</w:t>
      </w:r>
    </w:p>
    <w:tbl>
      <w:tblPr>
        <w:tblStyle w:val="53"/>
        <w:tblW w:w="973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189"/>
        <w:gridCol w:w="1695"/>
        <w:gridCol w:w="6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89" w:type="dxa"/>
            <w:vAlign w:val="center"/>
          </w:tcPr>
          <w:p>
            <w:pPr>
              <w:spacing w:line="400" w:lineRule="exact"/>
              <w:jc w:val="center"/>
              <w:rPr>
                <w:rFonts w:ascii="宋体" w:hAnsi="宋体"/>
                <w:b/>
                <w:color w:val="auto"/>
                <w:szCs w:val="21"/>
              </w:rPr>
            </w:pPr>
            <w:r>
              <w:rPr>
                <w:rFonts w:ascii="宋体" w:hAnsi="宋体"/>
                <w:b/>
                <w:color w:val="auto"/>
                <w:szCs w:val="21"/>
              </w:rPr>
              <w:t>章节号</w:t>
            </w:r>
          </w:p>
        </w:tc>
        <w:tc>
          <w:tcPr>
            <w:tcW w:w="1695" w:type="dxa"/>
            <w:vAlign w:val="center"/>
          </w:tcPr>
          <w:p>
            <w:pPr>
              <w:spacing w:line="400" w:lineRule="exact"/>
              <w:jc w:val="center"/>
              <w:rPr>
                <w:rFonts w:ascii="宋体" w:hAnsi="宋体"/>
                <w:b/>
                <w:color w:val="auto"/>
                <w:szCs w:val="21"/>
              </w:rPr>
            </w:pPr>
            <w:r>
              <w:rPr>
                <w:rFonts w:ascii="宋体" w:hAnsi="宋体"/>
                <w:b/>
                <w:color w:val="auto"/>
                <w:szCs w:val="21"/>
              </w:rPr>
              <w:t>条款名称</w:t>
            </w:r>
          </w:p>
        </w:tc>
        <w:tc>
          <w:tcPr>
            <w:tcW w:w="6850" w:type="dxa"/>
            <w:vAlign w:val="center"/>
          </w:tcPr>
          <w:p>
            <w:pPr>
              <w:spacing w:line="400" w:lineRule="exact"/>
              <w:jc w:val="center"/>
              <w:rPr>
                <w:rFonts w:ascii="宋体" w:hAnsi="宋体"/>
                <w:b/>
                <w:color w:val="auto"/>
                <w:szCs w:val="21"/>
              </w:rPr>
            </w:pPr>
            <w:r>
              <w:rPr>
                <w:rFonts w:ascii="宋体" w:hAnsi="宋体"/>
                <w:b/>
                <w:color w:val="auto"/>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第三章</w:t>
            </w:r>
          </w:p>
        </w:tc>
        <w:tc>
          <w:tcPr>
            <w:tcW w:w="1695" w:type="dxa"/>
            <w:tcBorders>
              <w:bottom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技术方案评审</w:t>
            </w:r>
          </w:p>
          <w:p>
            <w:pPr>
              <w:spacing w:line="400" w:lineRule="exact"/>
              <w:jc w:val="center"/>
              <w:rPr>
                <w:rFonts w:ascii="宋体" w:hAnsi="宋体"/>
                <w:color w:val="auto"/>
                <w:szCs w:val="21"/>
              </w:rPr>
            </w:pPr>
            <w:r>
              <w:rPr>
                <w:rFonts w:hint="eastAsia" w:ascii="宋体" w:hAnsi="宋体"/>
                <w:color w:val="auto"/>
                <w:szCs w:val="21"/>
              </w:rPr>
              <w:t>（如有）</w:t>
            </w: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A-1投标人的技术方案综合性评审不合格，由评标委员会作否决投标处理。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restart"/>
            <w:tcBorders>
              <w:top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资格评审</w:t>
            </w: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A-5投标人的投标截止日投标资格情况须满足投标人须知前附表第1.4.1项第4条的要求，否则由评标委员会作否决投标处理。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A-8若有联合体投标人，则：</w:t>
            </w:r>
          </w:p>
          <w:p>
            <w:pPr>
              <w:spacing w:line="400" w:lineRule="exact"/>
              <w:ind w:firstLine="420" w:firstLineChars="200"/>
              <w:rPr>
                <w:rFonts w:ascii="宋体" w:hAnsi="宋体"/>
                <w:color w:val="auto"/>
                <w:szCs w:val="21"/>
              </w:rPr>
            </w:pPr>
            <w:r>
              <w:rPr>
                <w:rFonts w:hint="eastAsia" w:ascii="宋体" w:hAnsi="宋体"/>
                <w:color w:val="auto"/>
                <w:szCs w:val="21"/>
              </w:rPr>
              <w:t>（1）联合体各方应按照</w:t>
            </w:r>
            <w:r>
              <w:rPr>
                <w:rFonts w:hint="eastAsia" w:ascii="宋体" w:hAnsi="宋体" w:cs="宋体"/>
                <w:color w:val="auto"/>
                <w:szCs w:val="21"/>
                <w:lang w:val="en-US" w:eastAsia="zh-CN"/>
              </w:rPr>
              <w:t>比选</w:t>
            </w:r>
            <w:r>
              <w:rPr>
                <w:rFonts w:hint="eastAsia" w:ascii="宋体" w:hAnsi="宋体"/>
                <w:color w:val="auto"/>
                <w:szCs w:val="21"/>
              </w:rPr>
              <w:t>文件提供的格式签订联合体协议书，明确联合体牵头人和各方权利义务；</w:t>
            </w:r>
          </w:p>
          <w:p>
            <w:pPr>
              <w:spacing w:line="400" w:lineRule="exact"/>
              <w:ind w:firstLine="420" w:firstLineChars="200"/>
              <w:rPr>
                <w:rFonts w:ascii="宋体" w:hAnsi="宋体"/>
                <w:color w:val="auto"/>
                <w:szCs w:val="21"/>
              </w:rPr>
            </w:pPr>
            <w:r>
              <w:rPr>
                <w:rFonts w:hint="eastAsia" w:ascii="宋体" w:hAnsi="宋体"/>
                <w:color w:val="auto"/>
                <w:szCs w:val="21"/>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rPr>
            </w:pPr>
            <w:r>
              <w:rPr>
                <w:rFonts w:hint="eastAsia" w:ascii="宋体" w:hAnsi="宋体"/>
                <w:color w:val="auto"/>
                <w:szCs w:val="21"/>
              </w:rPr>
              <w:t>（3）联合体各方不得再以自己名义单独或参加其他联合体在同一标段中投标。</w:t>
            </w:r>
          </w:p>
          <w:p>
            <w:pPr>
              <w:spacing w:line="400" w:lineRule="exact"/>
              <w:ind w:firstLine="420" w:firstLineChars="200"/>
              <w:rPr>
                <w:rFonts w:ascii="宋体" w:hAnsi="宋体"/>
                <w:color w:val="auto"/>
                <w:szCs w:val="21"/>
              </w:rPr>
            </w:pPr>
            <w:r>
              <w:rPr>
                <w:rFonts w:hint="eastAsia" w:ascii="宋体" w:hAnsi="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形式评审</w:t>
            </w:r>
          </w:p>
        </w:tc>
        <w:tc>
          <w:tcPr>
            <w:tcW w:w="6850" w:type="dxa"/>
          </w:tcPr>
          <w:p>
            <w:pPr>
              <w:spacing w:line="400" w:lineRule="exact"/>
              <w:ind w:firstLine="420" w:firstLineChars="200"/>
              <w:rPr>
                <w:rFonts w:ascii="宋体" w:hAnsi="宋体"/>
                <w:color w:val="auto"/>
                <w:szCs w:val="21"/>
              </w:rPr>
            </w:pPr>
            <w:r>
              <w:rPr>
                <w:rFonts w:hint="eastAsia" w:ascii="宋体" w:hAnsi="宋体"/>
                <w:color w:val="auto"/>
                <w:szCs w:val="21"/>
              </w:rPr>
              <w:t>A-9投标人名称必须与营业执照、资质证书、安全生产许可证一致，依法变更名称的应提交相应证明材料，</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tcPr>
          <w:p>
            <w:pPr>
              <w:spacing w:line="400" w:lineRule="exact"/>
              <w:ind w:firstLine="420" w:firstLineChars="200"/>
              <w:rPr>
                <w:rFonts w:ascii="宋体" w:hAnsi="宋体"/>
                <w:color w:val="auto"/>
                <w:szCs w:val="21"/>
              </w:rPr>
            </w:pPr>
            <w:r>
              <w:rPr>
                <w:rFonts w:hint="eastAsia" w:ascii="宋体" w:hAnsi="宋体"/>
                <w:color w:val="auto"/>
                <w:szCs w:val="21"/>
              </w:rPr>
              <w:t>A-10投标文件格式（不含投标函部分）符合第二章“投标人须知”第3.7款的要求，否则由评标委员会作否决投标处理。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rPr>
            </w:pPr>
            <w:r>
              <w:rPr>
                <w:rFonts w:hint="eastAsia" w:ascii="宋体" w:hAnsi="宋体"/>
                <w:color w:val="auto"/>
                <w:kern w:val="0"/>
                <w:szCs w:val="21"/>
              </w:rPr>
              <w:t>编制投标文件时不得对第八章“投标文件格式”的相应要素作实质性修改，否则</w:t>
            </w:r>
            <w:r>
              <w:rPr>
                <w:rFonts w:hint="eastAsia" w:ascii="宋体" w:hAnsi="宋体"/>
                <w:color w:val="auto"/>
                <w:szCs w:val="21"/>
              </w:rPr>
              <w:t>视为重大偏差，</w:t>
            </w:r>
            <w:r>
              <w:rPr>
                <w:rFonts w:hint="eastAsia" w:ascii="宋体" w:hAnsi="宋体"/>
                <w:color w:val="auto"/>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tcPr>
          <w:p>
            <w:pPr>
              <w:spacing w:line="400" w:lineRule="exact"/>
              <w:ind w:firstLine="420" w:firstLineChars="200"/>
              <w:rPr>
                <w:rFonts w:ascii="宋体" w:hAnsi="宋体"/>
                <w:color w:val="auto"/>
                <w:szCs w:val="21"/>
              </w:rPr>
            </w:pPr>
            <w:r>
              <w:rPr>
                <w:rFonts w:hint="eastAsia" w:ascii="宋体" w:hAnsi="宋体"/>
                <w:color w:val="auto"/>
                <w:szCs w:val="21"/>
              </w:rPr>
              <w:t>A-11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tcPr>
          <w:p>
            <w:pPr>
              <w:spacing w:line="400" w:lineRule="exact"/>
              <w:ind w:firstLine="420" w:firstLineChars="200"/>
              <w:rPr>
                <w:rFonts w:ascii="宋体" w:hAnsi="宋体"/>
                <w:color w:val="auto"/>
                <w:szCs w:val="21"/>
              </w:rPr>
            </w:pPr>
            <w:r>
              <w:rPr>
                <w:rFonts w:hint="eastAsia" w:ascii="宋体" w:hAnsi="宋体"/>
                <w:color w:val="auto"/>
                <w:szCs w:val="21"/>
              </w:rPr>
              <w:t>A-12第八章 投标文件格式（不含投标函部分）要求法定代表人或其委托代理人签名（或盖章）的须齐全，否则由评标委员会作否决投标处理。</w:t>
            </w:r>
          </w:p>
          <w:p>
            <w:pPr>
              <w:spacing w:line="400" w:lineRule="exact"/>
              <w:ind w:firstLine="420" w:firstLineChars="200"/>
              <w:rPr>
                <w:rFonts w:ascii="宋体" w:hAnsi="宋体"/>
                <w:color w:val="auto"/>
                <w:szCs w:val="21"/>
              </w:rPr>
            </w:pPr>
            <w:r>
              <w:rPr>
                <w:rFonts w:hint="eastAsia" w:ascii="宋体" w:hAnsi="宋体"/>
                <w:color w:val="auto"/>
                <w:szCs w:val="21"/>
              </w:rPr>
              <w:t>若投标单位为联合体，则联合体协议书中各联合体成员单位签名（或盖章）须齐全，联合体协议书以外的投标文件格式中，要求法定代表人或其委托代理人签名（或盖章）的均由联合体牵头人法定代表人或其委托代理人签名（或盖章），否则由评标委员会作否决投标处理。</w:t>
            </w:r>
          </w:p>
          <w:p>
            <w:pPr>
              <w:spacing w:line="400" w:lineRule="exact"/>
              <w:ind w:firstLine="420" w:firstLineChars="200"/>
              <w:rPr>
                <w:rFonts w:ascii="宋体" w:hAnsi="宋体"/>
                <w:color w:val="auto"/>
                <w:szCs w:val="21"/>
              </w:rPr>
            </w:pPr>
            <w:r>
              <w:rPr>
                <w:rFonts w:hint="eastAsia" w:ascii="宋体" w:hAnsi="宋体"/>
                <w:color w:val="auto"/>
                <w:szCs w:val="21"/>
              </w:rPr>
              <w:t>第八章 投标文件格式（不含投标函部分）要求加盖单位法人章的</w:t>
            </w:r>
            <w:r>
              <w:rPr>
                <w:rFonts w:hint="eastAsia" w:ascii="宋体" w:hAnsi="宋体" w:cs="宋体"/>
                <w:color w:val="auto"/>
                <w:kern w:val="0"/>
              </w:rPr>
              <w:t>须齐全</w:t>
            </w:r>
            <w:r>
              <w:rPr>
                <w:rFonts w:hint="eastAsia" w:ascii="宋体" w:hAnsi="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tcPr>
          <w:p>
            <w:pPr>
              <w:spacing w:line="400" w:lineRule="exact"/>
              <w:ind w:firstLine="420" w:firstLineChars="200"/>
              <w:rPr>
                <w:rFonts w:ascii="宋体" w:hAnsi="宋体"/>
                <w:color w:val="auto"/>
                <w:szCs w:val="21"/>
              </w:rPr>
            </w:pPr>
            <w:r>
              <w:rPr>
                <w:rFonts w:hint="eastAsia" w:ascii="宋体" w:hAnsi="宋体"/>
                <w:color w:val="auto"/>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响应性评审</w:t>
            </w: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A-15投标人应按投标人须知前附表第3.4款规定递交投标保证金，并作为其投标文件的组成部分，否则由评标委员会作否决投标处理。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A-16符合第四章“合同条款及格式”规定，投标文件不应附有</w:t>
            </w:r>
            <w:r>
              <w:rPr>
                <w:rFonts w:hint="eastAsia" w:ascii="宋体" w:hAnsi="宋体" w:cs="宋体"/>
                <w:color w:val="auto"/>
                <w:szCs w:val="21"/>
                <w:lang w:val="en-US" w:eastAsia="zh-CN"/>
              </w:rPr>
              <w:t>比选人</w:t>
            </w:r>
            <w:r>
              <w:rPr>
                <w:rFonts w:hint="eastAsia" w:ascii="宋体" w:hAnsi="宋体"/>
                <w:color w:val="auto"/>
                <w:szCs w:val="21"/>
              </w:rPr>
              <w:t>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A-18投标人有以下情形之一的，其投标文件由评标委员会</w:t>
            </w:r>
            <w:r>
              <w:rPr>
                <w:rFonts w:ascii="宋体" w:hAnsi="宋体"/>
                <w:color w:val="auto"/>
                <w:szCs w:val="21"/>
              </w:rPr>
              <w:t>作否决投标处理</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1.第二章“投标人须知”第1.4.3项规定的任何一种情形的；</w:t>
            </w:r>
          </w:p>
          <w:p>
            <w:pPr>
              <w:spacing w:line="400" w:lineRule="exact"/>
              <w:ind w:firstLine="420" w:firstLineChars="200"/>
              <w:rPr>
                <w:rFonts w:ascii="宋体" w:hAnsi="宋体"/>
                <w:color w:val="auto"/>
                <w:szCs w:val="21"/>
              </w:rPr>
            </w:pPr>
            <w:r>
              <w:rPr>
                <w:rFonts w:hint="eastAsia" w:ascii="宋体" w:hAnsi="宋体"/>
                <w:color w:val="auto"/>
                <w:szCs w:val="21"/>
              </w:rPr>
              <w:t>2.本次投标有串通投标、弄虚作假等违反招投标相关法律、法规的行为的；</w:t>
            </w:r>
          </w:p>
          <w:p>
            <w:pPr>
              <w:spacing w:line="400" w:lineRule="exact"/>
              <w:ind w:firstLine="420" w:firstLineChars="200"/>
              <w:rPr>
                <w:rFonts w:ascii="宋体" w:hAnsi="宋体"/>
                <w:color w:val="auto"/>
                <w:szCs w:val="21"/>
              </w:rPr>
            </w:pPr>
            <w:r>
              <w:rPr>
                <w:rFonts w:hint="eastAsia" w:ascii="宋体" w:hAnsi="宋体"/>
                <w:color w:val="auto"/>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restart"/>
            <w:vAlign w:val="center"/>
          </w:tcPr>
          <w:p>
            <w:pPr>
              <w:spacing w:line="400" w:lineRule="exact"/>
              <w:jc w:val="center"/>
              <w:rPr>
                <w:rFonts w:ascii="宋体" w:hAnsi="宋体"/>
                <w:color w:val="auto"/>
                <w:szCs w:val="21"/>
              </w:rPr>
            </w:pPr>
            <w:r>
              <w:rPr>
                <w:rFonts w:ascii="宋体" w:hAnsi="宋体"/>
                <w:color w:val="auto"/>
                <w:szCs w:val="21"/>
              </w:rPr>
              <w:t>投标函部分及经济部分评审</w:t>
            </w: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A-19</w:t>
            </w:r>
            <w:r>
              <w:rPr>
                <w:rFonts w:hint="eastAsia" w:ascii="宋体" w:hAnsi="宋体" w:cs="宋体"/>
                <w:color w:val="auto"/>
                <w:kern w:val="0"/>
              </w:rPr>
              <w:t>投标函部分的格式要求法定代表人或其委托代理人签名（或盖章）的须齐全，要求加盖单位法人章的须齐全</w:t>
            </w:r>
            <w:r>
              <w:rPr>
                <w:rFonts w:hint="eastAsia" w:ascii="宋体" w:hAnsi="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A-20工期符合第二章“投标人须知”第1.3.2项规定，否则由评标委员会作否决投标处理。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A-21工程质量符合第二章“投标人须知”第1.3.3项规定，否则由评标委员会作否决投标处理。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A-22投标有效期符合第二章“投标人须知”第3.3.1项规定，否则由评标委员会作否决投标处理。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A-23投标函中的总报价必须与已标价工程量清单总报价一致，且工程量清单总报价与依据单价、工程数量、分部分项工程合价计算出的结果应一致，否则由评标委员会作否决投标处理。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A-24 投标函中的总报价不得高于</w:t>
            </w:r>
            <w:r>
              <w:rPr>
                <w:rFonts w:hint="eastAsia" w:ascii="宋体" w:hAnsi="宋体" w:cs="宋体"/>
                <w:color w:val="auto"/>
                <w:szCs w:val="21"/>
                <w:lang w:val="en-US" w:eastAsia="zh-CN"/>
              </w:rPr>
              <w:t>比选人</w:t>
            </w:r>
            <w:r>
              <w:rPr>
                <w:rFonts w:hint="eastAsia" w:ascii="宋体" w:hAnsi="宋体"/>
                <w:color w:val="auto"/>
                <w:szCs w:val="21"/>
              </w:rPr>
              <w:t>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A-25投标总报价低于最高限价85%的，投标人应在编制投标文件时，在投标函部分中递交低价风险担保提交承诺书。承诺书格式详见第八章投标文件格式，否则由评标委员会作否决投标处理。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A-26投标函中的安全文明施工费必须按照</w:t>
            </w:r>
            <w:r>
              <w:rPr>
                <w:rFonts w:hint="eastAsia" w:ascii="宋体" w:hAnsi="宋体" w:cs="宋体"/>
                <w:color w:val="auto"/>
                <w:szCs w:val="21"/>
                <w:lang w:val="en-US" w:eastAsia="zh-CN"/>
              </w:rPr>
              <w:t>比选人</w:t>
            </w:r>
            <w:r>
              <w:rPr>
                <w:rFonts w:hint="eastAsia" w:ascii="宋体" w:hAnsi="宋体"/>
                <w:color w:val="auto"/>
                <w:szCs w:val="21"/>
              </w:rPr>
              <w:t>给出的暂定金额填报，否则视为对</w:t>
            </w:r>
            <w:r>
              <w:rPr>
                <w:rFonts w:hint="eastAsia" w:ascii="宋体" w:hAnsi="宋体" w:cs="宋体"/>
                <w:color w:val="auto"/>
                <w:szCs w:val="21"/>
                <w:lang w:val="en-US" w:eastAsia="zh-CN"/>
              </w:rPr>
              <w:t>比选</w:t>
            </w:r>
            <w:r>
              <w:rPr>
                <w:rFonts w:hint="eastAsia" w:ascii="宋体" w:hAnsi="宋体"/>
                <w:color w:val="auto"/>
                <w:szCs w:val="21"/>
              </w:rPr>
              <w:t>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A-27只能有一个有效报价。在</w:t>
            </w:r>
            <w:r>
              <w:rPr>
                <w:rFonts w:hint="eastAsia" w:ascii="宋体" w:hAnsi="宋体" w:cs="宋体"/>
                <w:color w:val="auto"/>
                <w:szCs w:val="21"/>
                <w:lang w:val="en-US" w:eastAsia="zh-CN"/>
              </w:rPr>
              <w:t>比选</w:t>
            </w:r>
            <w:r>
              <w:rPr>
                <w:rFonts w:hint="eastAsia" w:ascii="宋体" w:hAnsi="宋体"/>
                <w:color w:val="auto"/>
                <w:szCs w:val="21"/>
              </w:rPr>
              <w:t>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A-28投标人必须按</w:t>
            </w:r>
            <w:r>
              <w:rPr>
                <w:rFonts w:hint="eastAsia" w:ascii="宋体" w:hAnsi="宋体" w:cs="宋体"/>
                <w:color w:val="auto"/>
                <w:szCs w:val="21"/>
                <w:lang w:val="en-US" w:eastAsia="zh-CN"/>
              </w:rPr>
              <w:t>比选</w:t>
            </w:r>
            <w:r>
              <w:rPr>
                <w:rFonts w:hint="eastAsia" w:ascii="宋体" w:hAnsi="宋体"/>
                <w:color w:val="auto"/>
                <w:szCs w:val="21"/>
              </w:rPr>
              <w:t>工程量清单填报价格。项目编码、项目名称、项目特征、计量单位、工程量必须与</w:t>
            </w:r>
            <w:r>
              <w:rPr>
                <w:rFonts w:hint="eastAsia" w:ascii="宋体" w:hAnsi="宋体" w:cs="宋体"/>
                <w:color w:val="auto"/>
                <w:szCs w:val="21"/>
                <w:lang w:val="en-US" w:eastAsia="zh-CN"/>
              </w:rPr>
              <w:t>比选</w:t>
            </w:r>
            <w:r>
              <w:rPr>
                <w:rFonts w:hint="eastAsia" w:ascii="宋体" w:hAnsi="宋体"/>
                <w:color w:val="auto"/>
                <w:szCs w:val="21"/>
              </w:rPr>
              <w:t>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A-29</w:t>
            </w:r>
            <w:r>
              <w:rPr>
                <w:rFonts w:hint="eastAsia" w:ascii="宋体" w:hAnsi="宋体" w:cs="宋体"/>
                <w:color w:val="auto"/>
                <w:szCs w:val="21"/>
                <w:lang w:val="en-US" w:eastAsia="zh-CN"/>
              </w:rPr>
              <w:t>比选人</w:t>
            </w:r>
            <w:r>
              <w:rPr>
                <w:rFonts w:hint="eastAsia" w:ascii="宋体" w:hAnsi="宋体"/>
                <w:color w:val="auto"/>
                <w:szCs w:val="21"/>
              </w:rPr>
              <w:t>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A-30投标人的每项清单综合单价报价不得超过每项清单综合单价最高限价，否则由评标委员会作否决投标处理。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vAlign w:val="center"/>
          </w:tcPr>
          <w:p>
            <w:pPr>
              <w:spacing w:line="400" w:lineRule="exact"/>
              <w:jc w:val="center"/>
              <w:rPr>
                <w:rFonts w:ascii="宋体" w:hAnsi="宋体"/>
                <w:color w:val="auto"/>
                <w:szCs w:val="21"/>
              </w:rPr>
            </w:pPr>
          </w:p>
        </w:tc>
        <w:tc>
          <w:tcPr>
            <w:tcW w:w="1695" w:type="dxa"/>
            <w:vMerge w:val="continue"/>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A-31投标报价有算术错误的，按照第三章“评标办法”第3.2.3项规定执行，否则由评标委员会作否决投标处理。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89" w:type="dxa"/>
            <w:vAlign w:val="center"/>
          </w:tcPr>
          <w:p>
            <w:pPr>
              <w:spacing w:line="400" w:lineRule="exact"/>
              <w:jc w:val="center"/>
              <w:rPr>
                <w:rFonts w:ascii="宋体" w:hAnsi="宋体"/>
                <w:color w:val="auto"/>
                <w:szCs w:val="21"/>
              </w:rPr>
            </w:pPr>
            <w:r>
              <w:rPr>
                <w:rFonts w:ascii="宋体" w:hAnsi="宋体"/>
                <w:color w:val="auto"/>
                <w:szCs w:val="21"/>
              </w:rPr>
              <w:t>其他</w:t>
            </w:r>
          </w:p>
        </w:tc>
        <w:tc>
          <w:tcPr>
            <w:tcW w:w="1695" w:type="dxa"/>
            <w:vAlign w:val="center"/>
          </w:tcPr>
          <w:p>
            <w:pPr>
              <w:spacing w:line="400" w:lineRule="exact"/>
              <w:jc w:val="center"/>
              <w:rPr>
                <w:rFonts w:ascii="宋体" w:hAnsi="宋体"/>
                <w:color w:val="auto"/>
                <w:szCs w:val="21"/>
              </w:rPr>
            </w:pPr>
          </w:p>
        </w:tc>
        <w:tc>
          <w:tcPr>
            <w:tcW w:w="6850" w:type="dxa"/>
            <w:vAlign w:val="center"/>
          </w:tcPr>
          <w:p>
            <w:pPr>
              <w:spacing w:line="400" w:lineRule="exact"/>
              <w:ind w:firstLine="420" w:firstLineChars="200"/>
              <w:rPr>
                <w:rFonts w:ascii="宋体" w:hAnsi="宋体"/>
                <w:i/>
                <w:color w:val="auto"/>
                <w:szCs w:val="21"/>
              </w:rPr>
            </w:pPr>
            <w:r>
              <w:rPr>
                <w:rFonts w:hint="eastAsia" w:ascii="宋体" w:hAnsi="宋体"/>
                <w:color w:val="auto"/>
                <w:szCs w:val="21"/>
              </w:rPr>
              <w:t>无。</w:t>
            </w:r>
          </w:p>
        </w:tc>
      </w:tr>
    </w:tbl>
    <w:p>
      <w:pPr>
        <w:pStyle w:val="2"/>
        <w:jc w:val="center"/>
        <w:rPr>
          <w:color w:val="auto"/>
          <w:kern w:val="0"/>
          <w:sz w:val="36"/>
          <w:szCs w:val="36"/>
        </w:rPr>
      </w:pPr>
      <w:r>
        <w:rPr>
          <w:rFonts w:hint="eastAsia"/>
          <w:color w:val="auto"/>
          <w:kern w:val="0"/>
          <w:sz w:val="36"/>
          <w:szCs w:val="36"/>
        </w:rPr>
        <w:br w:type="page"/>
      </w:r>
      <w:r>
        <w:rPr>
          <w:rFonts w:hint="eastAsia"/>
          <w:color w:val="auto"/>
          <w:kern w:val="0"/>
          <w:sz w:val="36"/>
          <w:szCs w:val="36"/>
        </w:rPr>
        <w:t>第四章 合同条款及格式</w:t>
      </w:r>
      <w:bookmarkEnd w:id="454"/>
      <w:bookmarkEnd w:id="455"/>
      <w:bookmarkStart w:id="470" w:name="_Toc361990387"/>
      <w:bookmarkStart w:id="471" w:name="_Toc13214"/>
    </w:p>
    <w:p>
      <w:pPr>
        <w:spacing w:line="360" w:lineRule="auto"/>
        <w:ind w:firstLine="551" w:firstLineChars="196"/>
        <w:rPr>
          <w:rFonts w:ascii="宋体" w:hAnsi="宋体"/>
          <w:b/>
          <w:color w:val="auto"/>
          <w:sz w:val="28"/>
          <w:szCs w:val="28"/>
        </w:rPr>
      </w:pPr>
      <w:r>
        <w:rPr>
          <w:rFonts w:hint="eastAsia" w:ascii="宋体" w:hAnsi="宋体"/>
          <w:b/>
          <w:color w:val="auto"/>
          <w:sz w:val="28"/>
          <w:szCs w:val="28"/>
        </w:rPr>
        <w:t>采用中华人民共和国《标准施工招标文件（2007年版）》（中国计划出版社）第四章第一节的《通用合同条款》。</w:t>
      </w:r>
    </w:p>
    <w:p>
      <w:pPr>
        <w:spacing w:line="360" w:lineRule="auto"/>
        <w:ind w:firstLine="551" w:firstLineChars="196"/>
        <w:rPr>
          <w:b/>
          <w:color w:val="auto"/>
        </w:rPr>
      </w:pPr>
      <w:r>
        <w:rPr>
          <w:rFonts w:hint="eastAsia" w:ascii="宋体" w:hAnsi="宋体"/>
          <w:b/>
          <w:color w:val="auto"/>
          <w:sz w:val="28"/>
          <w:szCs w:val="28"/>
        </w:rPr>
        <w:t>专用合同条款是对通用合同条款的补充和细化，投标人在投标前应阅读专用合同条款与通用合同条款，以便全面熟悉该工程的全部情况。</w:t>
      </w:r>
    </w:p>
    <w:p>
      <w:pPr>
        <w:jc w:val="center"/>
        <w:rPr>
          <w:rFonts w:ascii="宋体" w:hAnsi="宋体"/>
          <w:b/>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b/>
          <w:color w:val="auto"/>
          <w:sz w:val="32"/>
          <w:szCs w:val="32"/>
          <w:u w:val="single"/>
        </w:rPr>
      </w:pPr>
      <w:r>
        <w:rPr>
          <w:rFonts w:hint="eastAsia"/>
          <w:b/>
          <w:color w:val="auto"/>
          <w:sz w:val="32"/>
          <w:szCs w:val="32"/>
          <w:u w:val="single"/>
        </w:rPr>
        <w:br w:type="page"/>
      </w:r>
    </w:p>
    <w:p>
      <w:pPr>
        <w:pStyle w:val="19"/>
        <w:rPr>
          <w:color w:val="auto"/>
        </w:rPr>
      </w:pPr>
    </w:p>
    <w:p>
      <w:pPr>
        <w:jc w:val="center"/>
        <w:rPr>
          <w:rFonts w:hint="eastAsia" w:ascii="宋体" w:hAnsi="宋体" w:eastAsia="宋体"/>
          <w:b/>
          <w:bCs/>
          <w:color w:val="auto"/>
          <w:sz w:val="52"/>
          <w:szCs w:val="52"/>
          <w:lang w:eastAsia="zh-CN"/>
        </w:rPr>
      </w:pPr>
      <w:r>
        <w:rPr>
          <w:rFonts w:hint="eastAsia" w:ascii="宋体" w:hAnsi="宋体" w:cs="仿宋"/>
          <w:b/>
          <w:snapToGrid w:val="0"/>
          <w:color w:val="auto"/>
          <w:kern w:val="0"/>
          <w:sz w:val="52"/>
          <w:szCs w:val="52"/>
          <w:lang w:eastAsia="zh-CN"/>
        </w:rPr>
        <w:t xml:space="preserve">铜梁区福果镇久远河支流团实村段黑臭水体整治项目(第二次) </w:t>
      </w:r>
    </w:p>
    <w:p>
      <w:pPr>
        <w:spacing w:line="800" w:lineRule="exact"/>
        <w:jc w:val="center"/>
        <w:rPr>
          <w:rFonts w:ascii="宋体" w:hAnsi="宋体"/>
          <w:b/>
          <w:bCs/>
          <w:color w:val="auto"/>
          <w:sz w:val="52"/>
          <w:szCs w:val="52"/>
        </w:rPr>
      </w:pPr>
    </w:p>
    <w:p>
      <w:pPr>
        <w:spacing w:line="800" w:lineRule="exact"/>
        <w:jc w:val="center"/>
        <w:rPr>
          <w:rFonts w:ascii="宋体" w:hAnsi="宋体"/>
          <w:b/>
          <w:bCs/>
          <w:color w:val="auto"/>
          <w:sz w:val="52"/>
          <w:szCs w:val="52"/>
        </w:rPr>
      </w:pPr>
    </w:p>
    <w:p>
      <w:pPr>
        <w:spacing w:line="1440" w:lineRule="exact"/>
        <w:jc w:val="center"/>
        <w:rPr>
          <w:rFonts w:ascii="宋体" w:hAnsi="宋体"/>
          <w:b/>
          <w:bCs/>
          <w:color w:val="auto"/>
          <w:sz w:val="72"/>
          <w:szCs w:val="72"/>
        </w:rPr>
      </w:pPr>
      <w:r>
        <w:rPr>
          <w:rFonts w:hint="eastAsia" w:ascii="宋体" w:hAnsi="宋体"/>
          <w:b/>
          <w:bCs/>
          <w:color w:val="auto"/>
          <w:sz w:val="72"/>
          <w:szCs w:val="72"/>
        </w:rPr>
        <w:t>施</w:t>
      </w:r>
    </w:p>
    <w:p>
      <w:pPr>
        <w:spacing w:line="1440" w:lineRule="exact"/>
        <w:jc w:val="center"/>
        <w:rPr>
          <w:rFonts w:ascii="宋体" w:hAnsi="宋体"/>
          <w:b/>
          <w:bCs/>
          <w:color w:val="auto"/>
          <w:sz w:val="72"/>
          <w:szCs w:val="72"/>
        </w:rPr>
      </w:pPr>
      <w:r>
        <w:rPr>
          <w:rFonts w:hint="eastAsia" w:ascii="宋体" w:hAnsi="宋体"/>
          <w:b/>
          <w:bCs/>
          <w:color w:val="auto"/>
          <w:sz w:val="72"/>
          <w:szCs w:val="72"/>
        </w:rPr>
        <w:t>工</w:t>
      </w:r>
    </w:p>
    <w:p>
      <w:pPr>
        <w:spacing w:line="1440" w:lineRule="exact"/>
        <w:jc w:val="center"/>
        <w:rPr>
          <w:rFonts w:ascii="宋体" w:hAnsi="宋体"/>
          <w:b/>
          <w:bCs/>
          <w:color w:val="auto"/>
          <w:sz w:val="72"/>
          <w:szCs w:val="72"/>
        </w:rPr>
      </w:pPr>
      <w:r>
        <w:rPr>
          <w:rFonts w:hint="eastAsia" w:ascii="宋体" w:hAnsi="宋体"/>
          <w:b/>
          <w:bCs/>
          <w:color w:val="auto"/>
          <w:sz w:val="72"/>
          <w:szCs w:val="72"/>
        </w:rPr>
        <w:t>合</w:t>
      </w:r>
    </w:p>
    <w:p>
      <w:pPr>
        <w:spacing w:line="1440" w:lineRule="exact"/>
        <w:jc w:val="center"/>
        <w:rPr>
          <w:rFonts w:ascii="宋体" w:hAnsi="宋体"/>
          <w:b/>
          <w:bCs/>
          <w:color w:val="auto"/>
          <w:sz w:val="72"/>
          <w:szCs w:val="72"/>
        </w:rPr>
      </w:pPr>
      <w:r>
        <w:rPr>
          <w:rFonts w:hint="eastAsia" w:ascii="宋体" w:hAnsi="宋体"/>
          <w:b/>
          <w:bCs/>
          <w:color w:val="auto"/>
          <w:sz w:val="72"/>
          <w:szCs w:val="72"/>
        </w:rPr>
        <w:t>同</w:t>
      </w:r>
    </w:p>
    <w:p>
      <w:pPr>
        <w:spacing w:after="120" w:afterLines="50" w:line="800" w:lineRule="exact"/>
        <w:jc w:val="center"/>
        <w:rPr>
          <w:rFonts w:ascii="宋体" w:hAnsi="宋体"/>
          <w:b/>
          <w:bCs/>
          <w:color w:val="auto"/>
          <w:sz w:val="52"/>
          <w:szCs w:val="52"/>
        </w:rPr>
      </w:pPr>
    </w:p>
    <w:p>
      <w:pPr>
        <w:spacing w:after="120" w:afterLines="50" w:line="700" w:lineRule="exact"/>
        <w:jc w:val="center"/>
        <w:rPr>
          <w:rFonts w:ascii="宋体" w:hAnsi="宋体"/>
          <w:b/>
          <w:bCs/>
          <w:color w:val="auto"/>
          <w:sz w:val="52"/>
          <w:szCs w:val="52"/>
        </w:rPr>
      </w:pPr>
    </w:p>
    <w:p>
      <w:pPr>
        <w:spacing w:line="500" w:lineRule="exact"/>
        <w:ind w:firstLine="562" w:firstLineChars="200"/>
        <w:rPr>
          <w:rFonts w:hint="eastAsia" w:ascii="宋体" w:hAnsi="宋体" w:eastAsia="宋体" w:cs="宋体"/>
          <w:b/>
          <w:bCs/>
          <w:color w:val="auto"/>
          <w:sz w:val="28"/>
          <w:szCs w:val="28"/>
          <w:lang w:eastAsia="zh-CN"/>
        </w:rPr>
      </w:pPr>
      <w:r>
        <w:rPr>
          <w:rFonts w:hint="eastAsia" w:ascii="宋体" w:hAnsi="宋体"/>
          <w:b/>
          <w:bCs/>
          <w:color w:val="auto"/>
          <w:sz w:val="28"/>
          <w:szCs w:val="28"/>
        </w:rPr>
        <w:t>工程名称：</w:t>
      </w:r>
      <w:r>
        <w:rPr>
          <w:rFonts w:hint="eastAsia" w:ascii="宋体" w:hAnsi="宋体"/>
          <w:b/>
          <w:color w:val="auto"/>
          <w:sz w:val="28"/>
          <w:szCs w:val="28"/>
          <w:u w:val="single"/>
          <w:lang w:eastAsia="zh-CN"/>
        </w:rPr>
        <w:t xml:space="preserve">铜梁区福果镇久远河支流团实村段黑臭水体整治项目(第二次) </w:t>
      </w:r>
    </w:p>
    <w:p>
      <w:pPr>
        <w:spacing w:line="500" w:lineRule="exact"/>
        <w:ind w:firstLine="562" w:firstLineChars="200"/>
        <w:rPr>
          <w:rFonts w:ascii="宋体" w:hAnsi="宋体"/>
          <w:b/>
          <w:color w:val="auto"/>
          <w:sz w:val="28"/>
          <w:szCs w:val="28"/>
        </w:rPr>
      </w:pPr>
      <w:r>
        <w:rPr>
          <w:rFonts w:hint="eastAsia" w:ascii="宋体" w:hAnsi="宋体"/>
          <w:b/>
          <w:bCs/>
          <w:color w:val="auto"/>
          <w:sz w:val="28"/>
          <w:szCs w:val="28"/>
        </w:rPr>
        <w:t>发 包 人：</w:t>
      </w:r>
      <w:r>
        <w:rPr>
          <w:rFonts w:hint="eastAsia" w:ascii="宋体" w:hAnsi="宋体"/>
          <w:b/>
          <w:color w:val="auto"/>
          <w:sz w:val="28"/>
          <w:szCs w:val="28"/>
          <w:u w:val="single"/>
          <w:lang w:eastAsia="zh-CN"/>
        </w:rPr>
        <w:t>重庆市铜梁区福果镇人民政府</w:t>
      </w:r>
      <w:r>
        <w:rPr>
          <w:rFonts w:hint="eastAsia" w:ascii="宋体" w:hAnsi="宋体"/>
          <w:b/>
          <w:color w:val="auto"/>
          <w:sz w:val="28"/>
          <w:szCs w:val="28"/>
          <w:u w:val="single"/>
        </w:rPr>
        <w:t xml:space="preserve"> </w:t>
      </w:r>
      <w:r>
        <w:rPr>
          <w:rFonts w:hint="eastAsia" w:ascii="宋体" w:hAnsi="宋体"/>
          <w:b/>
          <w:color w:val="auto"/>
          <w:sz w:val="28"/>
          <w:szCs w:val="28"/>
        </w:rPr>
        <w:t>.</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承 包 人：</w:t>
      </w:r>
      <w:r>
        <w:rPr>
          <w:rFonts w:hint="eastAsia" w:ascii="宋体" w:hAnsi="宋体"/>
          <w:b/>
          <w:bCs/>
          <w:color w:val="auto"/>
          <w:sz w:val="28"/>
          <w:szCs w:val="28"/>
          <w:u w:val="single"/>
        </w:rPr>
        <w:t xml:space="preserve">                               </w:t>
      </w:r>
      <w:r>
        <w:rPr>
          <w:rFonts w:hint="eastAsia" w:ascii="宋体" w:hAnsi="宋体"/>
          <w:b/>
          <w:bCs/>
          <w:color w:val="auto"/>
          <w:sz w:val="28"/>
          <w:szCs w:val="28"/>
        </w:rPr>
        <w:t>.</w:t>
      </w:r>
    </w:p>
    <w:p>
      <w:pPr>
        <w:spacing w:line="500" w:lineRule="exact"/>
        <w:ind w:firstLine="562" w:firstLineChars="200"/>
        <w:rPr>
          <w:rFonts w:hint="eastAsia" w:ascii="宋体" w:hAnsi="宋体"/>
          <w:b/>
          <w:bCs/>
          <w:color w:val="auto"/>
          <w:sz w:val="28"/>
          <w:szCs w:val="28"/>
        </w:rPr>
      </w:pPr>
      <w:r>
        <w:rPr>
          <w:rFonts w:hint="eastAsia" w:ascii="宋体" w:hAnsi="宋体"/>
          <w:b/>
          <w:bCs/>
          <w:color w:val="auto"/>
          <w:sz w:val="28"/>
          <w:szCs w:val="28"/>
        </w:rPr>
        <w:t>签订日期：</w:t>
      </w:r>
      <w:r>
        <w:rPr>
          <w:rFonts w:hint="eastAsia" w:ascii="宋体" w:hAnsi="宋体"/>
          <w:b/>
          <w:bCs/>
          <w:color w:val="auto"/>
          <w:sz w:val="28"/>
          <w:szCs w:val="28"/>
          <w:u w:val="single"/>
        </w:rPr>
        <w:t xml:space="preserve">        </w:t>
      </w:r>
      <w:r>
        <w:rPr>
          <w:rFonts w:hint="eastAsia" w:ascii="宋体" w:hAnsi="宋体"/>
          <w:b/>
          <w:bCs/>
          <w:color w:val="auto"/>
          <w:sz w:val="28"/>
          <w:szCs w:val="28"/>
        </w:rPr>
        <w:t>年</w:t>
      </w:r>
      <w:r>
        <w:rPr>
          <w:rFonts w:hint="eastAsia" w:ascii="宋体" w:hAnsi="宋体"/>
          <w:b/>
          <w:bCs/>
          <w:color w:val="auto"/>
          <w:sz w:val="28"/>
          <w:szCs w:val="28"/>
          <w:u w:val="single"/>
        </w:rPr>
        <w:t xml:space="preserve">     </w:t>
      </w:r>
      <w:r>
        <w:rPr>
          <w:rFonts w:hint="eastAsia" w:ascii="宋体" w:hAnsi="宋体"/>
          <w:b/>
          <w:bCs/>
          <w:color w:val="auto"/>
          <w:sz w:val="28"/>
          <w:szCs w:val="28"/>
        </w:rPr>
        <w:t>月</w:t>
      </w:r>
      <w:r>
        <w:rPr>
          <w:rFonts w:hint="eastAsia" w:ascii="宋体" w:hAnsi="宋体"/>
          <w:b/>
          <w:bCs/>
          <w:color w:val="auto"/>
          <w:sz w:val="28"/>
          <w:szCs w:val="28"/>
          <w:u w:val="single"/>
        </w:rPr>
        <w:t xml:space="preserve">     </w:t>
      </w:r>
      <w:r>
        <w:rPr>
          <w:rFonts w:hint="eastAsia" w:ascii="宋体" w:hAnsi="宋体"/>
          <w:b/>
          <w:bCs/>
          <w:color w:val="auto"/>
          <w:sz w:val="28"/>
          <w:szCs w:val="28"/>
        </w:rPr>
        <w:t>日</w:t>
      </w:r>
    </w:p>
    <w:p>
      <w:pPr>
        <w:rPr>
          <w:rFonts w:ascii="宋体" w:hAnsi="宋体"/>
          <w:b/>
          <w:color w:val="auto"/>
          <w:sz w:val="32"/>
          <w:u w:val="single"/>
        </w:rPr>
      </w:pPr>
    </w:p>
    <w:p>
      <w:pPr>
        <w:pStyle w:val="2"/>
        <w:rPr>
          <w:color w:val="auto"/>
        </w:rPr>
      </w:pPr>
    </w:p>
    <w:p>
      <w:pPr>
        <w:spacing w:line="400" w:lineRule="exact"/>
        <w:jc w:val="center"/>
        <w:rPr>
          <w:b/>
          <w:color w:val="auto"/>
          <w:sz w:val="32"/>
          <w:szCs w:val="32"/>
        </w:rPr>
      </w:pPr>
      <w:r>
        <w:rPr>
          <w:rFonts w:hint="eastAsia"/>
          <w:b/>
          <w:color w:val="auto"/>
          <w:sz w:val="32"/>
          <w:szCs w:val="32"/>
        </w:rPr>
        <w:t>第一节  合同协议书</w:t>
      </w:r>
    </w:p>
    <w:p>
      <w:pPr>
        <w:spacing w:line="400" w:lineRule="exact"/>
        <w:rPr>
          <w:rFonts w:hint="eastAsia" w:eastAsia="宋体"/>
          <w:color w:val="auto"/>
          <w:lang w:eastAsia="zh-CN"/>
        </w:rPr>
      </w:pPr>
      <w:r>
        <w:rPr>
          <w:color w:val="auto"/>
        </w:rPr>
        <w:t>发包人</w:t>
      </w:r>
      <w:r>
        <w:rPr>
          <w:rFonts w:hint="eastAsia"/>
          <w:color w:val="auto"/>
        </w:rPr>
        <w:t>（</w:t>
      </w:r>
      <w:r>
        <w:rPr>
          <w:color w:val="auto"/>
        </w:rPr>
        <w:t>全称</w:t>
      </w:r>
      <w:r>
        <w:rPr>
          <w:rFonts w:hint="eastAsia"/>
          <w:color w:val="auto"/>
        </w:rPr>
        <w:t>）</w:t>
      </w:r>
      <w:r>
        <w:rPr>
          <w:color w:val="auto"/>
        </w:rPr>
        <w:t>：</w:t>
      </w:r>
      <w:r>
        <w:rPr>
          <w:rFonts w:hint="eastAsia" w:ascii="宋体" w:hAnsi="宋体" w:cs="MingLiU"/>
          <w:snapToGrid w:val="0"/>
          <w:color w:val="auto"/>
          <w:kern w:val="0"/>
          <w:szCs w:val="21"/>
          <w:u w:val="single"/>
          <w:lang w:eastAsia="zh-CN"/>
        </w:rPr>
        <w:t>重庆市铜梁区福果镇人民政府</w:t>
      </w:r>
    </w:p>
    <w:p>
      <w:pPr>
        <w:spacing w:line="400" w:lineRule="exact"/>
        <w:rPr>
          <w:color w:val="auto"/>
        </w:rPr>
      </w:pPr>
      <w:r>
        <w:rPr>
          <w:color w:val="auto"/>
        </w:rPr>
        <w:t>法定代表人：</w:t>
      </w:r>
    </w:p>
    <w:p>
      <w:pPr>
        <w:spacing w:line="400" w:lineRule="exact"/>
        <w:rPr>
          <w:rFonts w:ascii="宋体" w:hAnsi="宋体" w:cs="宋体"/>
          <w:color w:val="auto"/>
          <w:kern w:val="0"/>
          <w:szCs w:val="21"/>
        </w:rPr>
      </w:pPr>
      <w:r>
        <w:rPr>
          <w:color w:val="auto"/>
        </w:rPr>
        <w:t>法定注册地址：</w:t>
      </w:r>
    </w:p>
    <w:p>
      <w:pPr>
        <w:spacing w:line="400" w:lineRule="exact"/>
        <w:rPr>
          <w:color w:val="auto"/>
        </w:rPr>
      </w:pPr>
      <w:r>
        <w:rPr>
          <w:color w:val="auto"/>
        </w:rPr>
        <w:t>承包人</w:t>
      </w:r>
      <w:r>
        <w:rPr>
          <w:rFonts w:hint="eastAsia"/>
          <w:color w:val="auto"/>
        </w:rPr>
        <w:t>（</w:t>
      </w:r>
      <w:r>
        <w:rPr>
          <w:color w:val="auto"/>
        </w:rPr>
        <w:t>全称</w:t>
      </w:r>
      <w:r>
        <w:rPr>
          <w:rFonts w:hint="eastAsia"/>
          <w:color w:val="auto"/>
        </w:rPr>
        <w:t xml:space="preserve">）： </w:t>
      </w:r>
    </w:p>
    <w:p>
      <w:pPr>
        <w:spacing w:line="400" w:lineRule="exact"/>
        <w:rPr>
          <w:color w:val="auto"/>
        </w:rPr>
      </w:pPr>
      <w:r>
        <w:rPr>
          <w:color w:val="auto"/>
        </w:rPr>
        <w:t>法定代表人：</w:t>
      </w:r>
    </w:p>
    <w:p>
      <w:pPr>
        <w:spacing w:line="400" w:lineRule="exact"/>
        <w:rPr>
          <w:color w:val="auto"/>
        </w:rPr>
      </w:pPr>
      <w:r>
        <w:rPr>
          <w:color w:val="auto"/>
        </w:rPr>
        <w:t>法定注册地址：</w:t>
      </w:r>
      <w:r>
        <w:rPr>
          <w:rFonts w:hint="eastAsia"/>
          <w:color w:val="auto"/>
        </w:rPr>
        <w:t xml:space="preserve"> </w:t>
      </w:r>
    </w:p>
    <w:p>
      <w:pPr>
        <w:spacing w:line="400" w:lineRule="exact"/>
        <w:ind w:firstLine="420" w:firstLineChars="200"/>
        <w:rPr>
          <w:color w:val="auto"/>
        </w:rPr>
      </w:pPr>
      <w:r>
        <w:rPr>
          <w:color w:val="auto"/>
        </w:rPr>
        <w:t>发包人为</w:t>
      </w:r>
      <w:r>
        <w:rPr>
          <w:rFonts w:hint="eastAsia"/>
          <w:color w:val="auto"/>
        </w:rPr>
        <w:t>建设</w:t>
      </w:r>
      <w:r>
        <w:rPr>
          <w:rFonts w:hint="eastAsia" w:ascii="宋体" w:hAnsi="宋体" w:cs="MingLiU"/>
          <w:snapToGrid w:val="0"/>
          <w:color w:val="auto"/>
          <w:kern w:val="0"/>
          <w:szCs w:val="21"/>
          <w:u w:val="single"/>
          <w:lang w:eastAsia="zh-CN"/>
        </w:rPr>
        <w:t xml:space="preserve">铜梁区福果镇久远河支流团实村段黑臭水体整治项目(第二次) </w:t>
      </w:r>
      <w:r>
        <w:rPr>
          <w:color w:val="auto"/>
        </w:rPr>
        <w:t xml:space="preserve"> </w:t>
      </w:r>
      <w:r>
        <w:rPr>
          <w:rFonts w:hint="eastAsia"/>
          <w:color w:val="auto"/>
        </w:rPr>
        <w:t>（</w:t>
      </w:r>
      <w:r>
        <w:rPr>
          <w:color w:val="auto"/>
        </w:rPr>
        <w:t>以下简称“本工程”</w:t>
      </w:r>
      <w:r>
        <w:rPr>
          <w:rFonts w:hint="eastAsia"/>
          <w:color w:val="auto"/>
        </w:rPr>
        <w:t>），</w:t>
      </w:r>
      <w:r>
        <w:rPr>
          <w:color w:val="auto"/>
        </w:rPr>
        <w:t>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spacing w:line="400" w:lineRule="exact"/>
        <w:rPr>
          <w:color w:val="auto"/>
        </w:rPr>
      </w:pPr>
      <w:r>
        <w:rPr>
          <w:color w:val="auto"/>
        </w:rPr>
        <w:t> 一、工程概况</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1.1 项目概况：</w:t>
      </w:r>
      <w:r>
        <w:rPr>
          <w:rFonts w:hint="eastAsia"/>
          <w:color w:val="auto"/>
          <w:highlight w:val="none"/>
          <w:lang w:eastAsia="zh-CN"/>
        </w:rPr>
        <w:t>项目位于铜梁区福果镇团实村</w:t>
      </w:r>
      <w:r>
        <w:rPr>
          <w:rFonts w:hint="eastAsia" w:ascii="宋体" w:hAnsi="宋体" w:cs="宋体"/>
          <w:color w:val="auto"/>
          <w:lang w:eastAsia="zh-CN"/>
        </w:rPr>
        <w:t>，</w:t>
      </w:r>
      <w:r>
        <w:rPr>
          <w:rFonts w:hint="eastAsia" w:ascii="宋体" w:hAnsi="宋体" w:eastAsia="宋体" w:cs="宋体"/>
          <w:color w:val="auto"/>
          <w:kern w:val="0"/>
          <w:szCs w:val="21"/>
          <w:lang w:eastAsia="zh-CN"/>
        </w:rPr>
        <w:t>具体以</w:t>
      </w:r>
      <w:r>
        <w:rPr>
          <w:rFonts w:hint="eastAsia" w:ascii="宋体" w:hAnsi="宋体" w:cs="宋体"/>
          <w:color w:val="auto"/>
          <w:kern w:val="0"/>
          <w:szCs w:val="21"/>
          <w:lang w:eastAsia="zh-CN"/>
        </w:rPr>
        <w:t>比选人</w:t>
      </w:r>
      <w:r>
        <w:rPr>
          <w:rFonts w:hint="eastAsia" w:ascii="宋体" w:hAnsi="宋体" w:eastAsia="宋体" w:cs="宋体"/>
          <w:color w:val="auto"/>
          <w:kern w:val="0"/>
          <w:szCs w:val="21"/>
          <w:lang w:eastAsia="zh-CN"/>
        </w:rPr>
        <w:t>发出的工程量清单为准。</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1.2 建设地址：</w:t>
      </w:r>
      <w:r>
        <w:rPr>
          <w:rFonts w:hint="eastAsia"/>
          <w:color w:val="auto"/>
          <w:highlight w:val="none"/>
          <w:lang w:eastAsia="zh-CN"/>
        </w:rPr>
        <w:t>铜梁区福果镇团实村</w:t>
      </w:r>
      <w:r>
        <w:rPr>
          <w:rFonts w:hint="eastAsia" w:ascii="宋体" w:hAnsi="宋体" w:cs="宋体"/>
          <w:color w:val="auto"/>
          <w:kern w:val="0"/>
          <w:szCs w:val="21"/>
        </w:rPr>
        <w:t>。</w:t>
      </w:r>
    </w:p>
    <w:p>
      <w:pPr>
        <w:spacing w:line="440" w:lineRule="exact"/>
        <w:rPr>
          <w:rFonts w:ascii="宋体" w:hAnsi="宋体" w:cs="宋体"/>
          <w:color w:val="auto"/>
          <w:kern w:val="0"/>
          <w:szCs w:val="21"/>
        </w:rPr>
      </w:pPr>
      <w:r>
        <w:rPr>
          <w:rFonts w:hint="eastAsia" w:ascii="宋体" w:hAnsi="宋体" w:cs="宋体"/>
          <w:color w:val="auto"/>
          <w:kern w:val="0"/>
          <w:szCs w:val="21"/>
        </w:rPr>
        <w:t>二、工程承包范围</w:t>
      </w:r>
    </w:p>
    <w:p>
      <w:pPr>
        <w:spacing w:line="400" w:lineRule="exact"/>
        <w:ind w:right="-416" w:rightChars="-198" w:firstLine="420" w:firstLineChars="200"/>
        <w:rPr>
          <w:rFonts w:ascii="宋体" w:hAnsi="宋体" w:cs="宋体"/>
          <w:color w:val="auto"/>
          <w:kern w:val="0"/>
          <w:szCs w:val="21"/>
        </w:rPr>
      </w:pPr>
      <w:r>
        <w:rPr>
          <w:color w:val="auto"/>
        </w:rPr>
        <w:t> 承包范围：</w:t>
      </w:r>
      <w:r>
        <w:rPr>
          <w:rFonts w:hint="eastAsia" w:ascii="宋体" w:hAnsi="宋体" w:cs="宋体"/>
          <w:color w:val="auto"/>
          <w:kern w:val="0"/>
          <w:szCs w:val="21"/>
        </w:rPr>
        <w:t>具体内容以工程发包内容为准。</w:t>
      </w:r>
    </w:p>
    <w:p>
      <w:pPr>
        <w:spacing w:line="400" w:lineRule="exact"/>
        <w:rPr>
          <w:color w:val="auto"/>
        </w:rPr>
      </w:pPr>
      <w:r>
        <w:rPr>
          <w:color w:val="auto"/>
        </w:rPr>
        <w:t> 三、合同工期</w:t>
      </w:r>
    </w:p>
    <w:p>
      <w:pPr>
        <w:spacing w:line="400" w:lineRule="exact"/>
        <w:ind w:firstLine="420" w:firstLineChars="200"/>
        <w:rPr>
          <w:color w:val="auto"/>
        </w:rPr>
      </w:pPr>
      <w:r>
        <w:rPr>
          <w:color w:val="auto"/>
        </w:rPr>
        <w:t>工期总天数</w:t>
      </w:r>
      <w:r>
        <w:rPr>
          <w:rFonts w:hint="eastAsia"/>
          <w:color w:val="auto"/>
          <w:u w:val="single"/>
          <w:lang w:val="en-US" w:eastAsia="zh-CN"/>
        </w:rPr>
        <w:t>15日历天</w:t>
      </w:r>
      <w:r>
        <w:rPr>
          <w:color w:val="auto"/>
        </w:rPr>
        <w:t>，</w:t>
      </w:r>
      <w:r>
        <w:rPr>
          <w:rFonts w:hint="eastAsia"/>
          <w:color w:val="auto"/>
        </w:rPr>
        <w:t>自监理人发出的开工通知中载明的开工日期起算</w:t>
      </w:r>
      <w:r>
        <w:rPr>
          <w:color w:val="auto"/>
        </w:rPr>
        <w:t>。</w:t>
      </w:r>
    </w:p>
    <w:p>
      <w:pPr>
        <w:spacing w:line="400" w:lineRule="exact"/>
        <w:rPr>
          <w:color w:val="auto"/>
        </w:rPr>
      </w:pPr>
      <w:r>
        <w:rPr>
          <w:color w:val="auto"/>
        </w:rPr>
        <w:t> 四、质量标准</w:t>
      </w:r>
    </w:p>
    <w:p>
      <w:pPr>
        <w:spacing w:line="400" w:lineRule="exact"/>
        <w:rPr>
          <w:color w:val="auto"/>
        </w:rPr>
      </w:pPr>
      <w:r>
        <w:rPr>
          <w:color w:val="auto"/>
        </w:rPr>
        <w:t xml:space="preserve">  </w:t>
      </w:r>
      <w:r>
        <w:rPr>
          <w:rFonts w:hint="eastAsia"/>
          <w:color w:val="auto"/>
        </w:rPr>
        <w:t xml:space="preserve">   </w:t>
      </w:r>
      <w:r>
        <w:rPr>
          <w:color w:val="auto"/>
        </w:rPr>
        <w:t>工程质量标准：</w:t>
      </w:r>
      <w:r>
        <w:rPr>
          <w:rFonts w:hint="eastAsia" w:ascii="宋体" w:hAnsi="宋体"/>
          <w:color w:val="auto"/>
          <w:szCs w:val="21"/>
          <w:u w:val="single"/>
        </w:rPr>
        <w:t>达到国家现行有关施工质量验收规范要求，并达到合格标准</w:t>
      </w:r>
      <w:r>
        <w:rPr>
          <w:rFonts w:hint="eastAsia" w:ascii="宋体" w:hAnsi="宋体"/>
          <w:color w:val="auto"/>
          <w:szCs w:val="21"/>
        </w:rPr>
        <w:t>。</w:t>
      </w:r>
    </w:p>
    <w:p>
      <w:pPr>
        <w:spacing w:line="400" w:lineRule="exact"/>
        <w:rPr>
          <w:color w:val="auto"/>
        </w:rPr>
      </w:pPr>
      <w:r>
        <w:rPr>
          <w:color w:val="auto"/>
        </w:rPr>
        <w:t> 五、合同形式</w:t>
      </w:r>
    </w:p>
    <w:p>
      <w:pPr>
        <w:spacing w:line="400" w:lineRule="exact"/>
        <w:rPr>
          <w:color w:val="auto"/>
        </w:rPr>
      </w:pPr>
      <w:r>
        <w:rPr>
          <w:color w:val="auto"/>
        </w:rPr>
        <w:t xml:space="preserve">  </w:t>
      </w:r>
      <w:r>
        <w:rPr>
          <w:rFonts w:hint="eastAsia"/>
          <w:color w:val="auto"/>
        </w:rPr>
        <w:t xml:space="preserve">   </w:t>
      </w:r>
      <w:r>
        <w:rPr>
          <w:color w:val="auto"/>
        </w:rPr>
        <w:t>本合同采用</w:t>
      </w:r>
      <w:r>
        <w:rPr>
          <w:rFonts w:hint="eastAsia"/>
          <w:color w:val="auto"/>
          <w:u w:val="single"/>
        </w:rPr>
        <w:t xml:space="preserve"> 固定单价 </w:t>
      </w:r>
      <w:r>
        <w:rPr>
          <w:color w:val="auto"/>
        </w:rPr>
        <w:t>合同形式。</w:t>
      </w:r>
    </w:p>
    <w:p>
      <w:pPr>
        <w:spacing w:line="400" w:lineRule="exact"/>
        <w:rPr>
          <w:color w:val="auto"/>
        </w:rPr>
      </w:pPr>
      <w:r>
        <w:rPr>
          <w:color w:val="auto"/>
        </w:rPr>
        <w:t> 六、签约合同价</w:t>
      </w:r>
    </w:p>
    <w:p>
      <w:pPr>
        <w:spacing w:line="500" w:lineRule="exact"/>
        <w:ind w:firstLine="420" w:firstLineChars="200"/>
        <w:rPr>
          <w:b/>
          <w:color w:val="auto"/>
          <w:szCs w:val="22"/>
        </w:rPr>
      </w:pPr>
      <w:r>
        <w:rPr>
          <w:rFonts w:hint="eastAsia" w:ascii="宋体" w:hAnsi="宋体"/>
          <w:color w:val="auto"/>
        </w:rPr>
        <w:t>金额（大写）：</w:t>
      </w:r>
      <w:r>
        <w:rPr>
          <w:rFonts w:hint="eastAsia" w:ascii="宋体" w:hAnsi="宋体"/>
          <w:color w:val="auto"/>
          <w:u w:val="single"/>
        </w:rPr>
        <w:t>　　　        　</w:t>
      </w:r>
      <w:r>
        <w:rPr>
          <w:rFonts w:hint="eastAsia" w:ascii="宋体" w:hAnsi="宋体"/>
          <w:color w:val="auto"/>
        </w:rPr>
        <w:t>元（人民币）；（小写）￥：</w:t>
      </w:r>
      <w:r>
        <w:rPr>
          <w:rFonts w:hint="eastAsia" w:ascii="宋体" w:hAnsi="宋体"/>
          <w:color w:val="auto"/>
          <w:u w:val="single"/>
        </w:rPr>
        <w:t>　　   　　</w:t>
      </w:r>
      <w:r>
        <w:rPr>
          <w:rFonts w:hint="eastAsia" w:ascii="宋体" w:hAnsi="宋体"/>
          <w:color w:val="auto"/>
        </w:rPr>
        <w:t>元（其中已含安全文明施工费</w:t>
      </w:r>
      <w:r>
        <w:rPr>
          <w:rFonts w:hint="eastAsia" w:ascii="宋体" w:hAnsi="宋体"/>
          <w:color w:val="auto"/>
          <w:u w:val="single"/>
        </w:rPr>
        <w:t>　　　</w:t>
      </w:r>
      <w:r>
        <w:rPr>
          <w:rFonts w:hint="eastAsia" w:ascii="宋体" w:hAnsi="宋体"/>
          <w:color w:val="auto"/>
        </w:rPr>
        <w:t>元</w:t>
      </w:r>
      <w:r>
        <w:rPr>
          <w:rFonts w:hint="eastAsia"/>
          <w:color w:val="auto"/>
        </w:rPr>
        <w:t>，材料和工程设备暂估价</w:t>
      </w:r>
      <w:r>
        <w:rPr>
          <w:rFonts w:hint="eastAsia"/>
          <w:color w:val="auto"/>
          <w:u w:val="single"/>
        </w:rPr>
        <w:t xml:space="preserve">      </w:t>
      </w:r>
      <w:r>
        <w:rPr>
          <w:rFonts w:hint="eastAsia"/>
          <w:color w:val="auto"/>
        </w:rPr>
        <w:t>元，专业工程暂估价</w:t>
      </w:r>
      <w:r>
        <w:rPr>
          <w:rFonts w:hint="eastAsia"/>
          <w:color w:val="auto"/>
          <w:u w:val="single"/>
        </w:rPr>
        <w:t xml:space="preserve">      </w:t>
      </w:r>
      <w:r>
        <w:rPr>
          <w:rFonts w:hint="eastAsia"/>
          <w:color w:val="auto"/>
        </w:rPr>
        <w:t>元，暂列金额</w:t>
      </w:r>
      <w:r>
        <w:rPr>
          <w:rFonts w:hint="eastAsia"/>
          <w:color w:val="auto"/>
          <w:u w:val="single"/>
        </w:rPr>
        <w:t xml:space="preserve">      </w:t>
      </w:r>
      <w:r>
        <w:rPr>
          <w:rFonts w:hint="eastAsia"/>
          <w:color w:val="auto"/>
        </w:rPr>
        <w:t>元）。</w:t>
      </w:r>
      <w:r>
        <w:rPr>
          <w:rFonts w:hint="eastAsia"/>
          <w:b/>
          <w:color w:val="auto"/>
        </w:rPr>
        <w:t>本工程</w:t>
      </w:r>
      <w:r>
        <w:rPr>
          <w:rFonts w:hint="eastAsia"/>
          <w:b/>
          <w:color w:val="auto"/>
          <w:szCs w:val="22"/>
        </w:rPr>
        <w:t>最终结算金额以审计机构审定的金额为准。</w:t>
      </w:r>
    </w:p>
    <w:p>
      <w:pPr>
        <w:spacing w:line="400" w:lineRule="exact"/>
        <w:rPr>
          <w:rFonts w:ascii="宋体" w:hAnsi="宋体"/>
          <w:color w:val="auto"/>
        </w:rPr>
      </w:pPr>
      <w:r>
        <w:rPr>
          <w:rFonts w:hint="eastAsia"/>
          <w:b/>
          <w:color w:val="auto"/>
          <w:szCs w:val="22"/>
        </w:rPr>
        <w:t>七、</w:t>
      </w:r>
      <w:r>
        <w:rPr>
          <w:rFonts w:hint="eastAsia" w:ascii="宋体" w:hAnsi="宋体"/>
          <w:color w:val="auto"/>
        </w:rPr>
        <w:t>承包人项目负责人</w:t>
      </w:r>
    </w:p>
    <w:p>
      <w:pPr>
        <w:spacing w:line="400" w:lineRule="exact"/>
        <w:ind w:firstLine="420" w:firstLineChars="200"/>
        <w:rPr>
          <w:rFonts w:ascii="宋体" w:hAnsi="宋体"/>
          <w:color w:val="auto"/>
        </w:rPr>
      </w:pPr>
      <w:r>
        <w:rPr>
          <w:rFonts w:hint="eastAsia" w:ascii="宋体" w:hAnsi="宋体"/>
          <w:color w:val="auto"/>
        </w:rPr>
        <w:t>1、项目技术负责人</w:t>
      </w:r>
    </w:p>
    <w:p>
      <w:pPr>
        <w:spacing w:line="400" w:lineRule="exact"/>
        <w:ind w:firstLine="405"/>
        <w:rPr>
          <w:rFonts w:ascii="宋体" w:hAnsi="宋体"/>
          <w:color w:val="auto"/>
        </w:rPr>
      </w:pPr>
      <w:r>
        <w:rPr>
          <w:rFonts w:hint="eastAsia" w:ascii="宋体" w:hAnsi="宋体"/>
          <w:color w:val="auto"/>
        </w:rPr>
        <w:t>姓名：</w:t>
      </w:r>
      <w:r>
        <w:rPr>
          <w:rFonts w:hint="eastAsia" w:ascii="宋体" w:hAnsi="宋体"/>
          <w:color w:val="auto"/>
          <w:u w:val="single"/>
        </w:rPr>
        <w:t>　　　　　　　　　　　　　</w:t>
      </w:r>
      <w:r>
        <w:rPr>
          <w:rFonts w:hint="eastAsia" w:ascii="宋体" w:hAnsi="宋体"/>
          <w:color w:val="auto"/>
        </w:rPr>
        <w:t>；　　　职称：</w:t>
      </w:r>
      <w:r>
        <w:rPr>
          <w:rFonts w:hint="eastAsia" w:ascii="宋体" w:hAnsi="宋体"/>
          <w:color w:val="auto"/>
          <w:u w:val="single"/>
        </w:rPr>
        <w:t>　　　　　　　　　　　　　　</w:t>
      </w:r>
      <w:r>
        <w:rPr>
          <w:rFonts w:hint="eastAsia" w:ascii="宋体" w:hAnsi="宋体"/>
          <w:color w:val="auto"/>
        </w:rPr>
        <w:t>；</w:t>
      </w:r>
    </w:p>
    <w:p>
      <w:pPr>
        <w:spacing w:line="400" w:lineRule="exact"/>
        <w:rPr>
          <w:rFonts w:ascii="宋体" w:hAnsi="宋体"/>
          <w:color w:val="auto"/>
        </w:rPr>
      </w:pPr>
      <w:r>
        <w:rPr>
          <w:rFonts w:hint="eastAsia" w:ascii="宋体" w:hAnsi="宋体"/>
          <w:color w:val="auto"/>
        </w:rPr>
        <w:t>　　身份证号：</w:t>
      </w:r>
      <w:r>
        <w:rPr>
          <w:rFonts w:hint="eastAsia" w:ascii="宋体" w:hAnsi="宋体"/>
          <w:color w:val="auto"/>
          <w:u w:val="single"/>
        </w:rPr>
        <w:t>　　　　　　　　　　　</w:t>
      </w:r>
      <w:r>
        <w:rPr>
          <w:rFonts w:hint="eastAsia" w:ascii="宋体" w:hAnsi="宋体"/>
          <w:color w:val="auto"/>
        </w:rPr>
        <w:t>；　　　证书号：</w:t>
      </w:r>
      <w:r>
        <w:rPr>
          <w:rFonts w:hint="eastAsia" w:ascii="宋体" w:hAnsi="宋体"/>
          <w:color w:val="auto"/>
          <w:u w:val="single"/>
        </w:rPr>
        <w:t>　　　　              　　</w:t>
      </w:r>
      <w:r>
        <w:rPr>
          <w:rFonts w:hint="eastAsia" w:ascii="宋体" w:hAnsi="宋体"/>
          <w:color w:val="auto"/>
        </w:rPr>
        <w:t>；</w:t>
      </w:r>
    </w:p>
    <w:p>
      <w:pPr>
        <w:spacing w:line="400" w:lineRule="exact"/>
        <w:rPr>
          <w:rFonts w:ascii="宋体" w:hAnsi="宋体"/>
          <w:color w:val="auto"/>
        </w:rPr>
      </w:pPr>
      <w:r>
        <w:rPr>
          <w:rFonts w:hint="eastAsia" w:ascii="宋体" w:hAnsi="宋体"/>
          <w:color w:val="auto"/>
        </w:rPr>
        <w:t xml:space="preserve">    2、</w:t>
      </w:r>
      <w:r>
        <w:rPr>
          <w:rFonts w:hint="eastAsia"/>
          <w:color w:val="auto"/>
        </w:rPr>
        <w:t xml:space="preserve"> </w:t>
      </w:r>
      <w:r>
        <w:rPr>
          <w:rFonts w:hint="eastAsia" w:ascii="宋体" w:hAnsi="宋体"/>
          <w:color w:val="auto"/>
        </w:rPr>
        <w:t>…………………………。</w:t>
      </w:r>
    </w:p>
    <w:p>
      <w:pPr>
        <w:spacing w:line="400" w:lineRule="exact"/>
        <w:rPr>
          <w:rFonts w:ascii="宋体" w:hAnsi="宋体"/>
          <w:color w:val="auto"/>
        </w:rPr>
      </w:pPr>
      <w:r>
        <w:rPr>
          <w:rFonts w:hint="eastAsia" w:ascii="宋体" w:hAnsi="宋体"/>
          <w:color w:val="auto"/>
        </w:rPr>
        <w:t>八、合同文件的组成</w:t>
      </w:r>
    </w:p>
    <w:p>
      <w:pPr>
        <w:spacing w:line="400" w:lineRule="exact"/>
        <w:rPr>
          <w:rFonts w:ascii="宋体" w:hAnsi="宋体"/>
          <w:color w:val="auto"/>
        </w:rPr>
      </w:pPr>
      <w:r>
        <w:rPr>
          <w:rFonts w:hint="eastAsia" w:ascii="宋体" w:hAnsi="宋体"/>
          <w:color w:val="auto"/>
        </w:rPr>
        <w:t>　　下列文件共同构成合同文件：</w:t>
      </w:r>
    </w:p>
    <w:p>
      <w:pPr>
        <w:spacing w:line="400" w:lineRule="exact"/>
        <w:ind w:firstLine="420" w:firstLineChars="200"/>
        <w:rPr>
          <w:rFonts w:ascii="宋体" w:hAnsi="宋体"/>
          <w:color w:val="auto"/>
        </w:rPr>
      </w:pPr>
      <w:r>
        <w:rPr>
          <w:rFonts w:hint="eastAsia" w:ascii="宋体" w:hAnsi="宋体"/>
          <w:color w:val="auto"/>
        </w:rPr>
        <w:t>（1）</w:t>
      </w:r>
      <w:r>
        <w:rPr>
          <w:rFonts w:ascii="宋体" w:hAnsi="宋体"/>
          <w:color w:val="auto"/>
        </w:rPr>
        <w:t>合同协议书</w:t>
      </w:r>
      <w:r>
        <w:rPr>
          <w:rFonts w:hint="eastAsia" w:ascii="宋体" w:hAnsi="宋体"/>
          <w:color w:val="auto"/>
        </w:rPr>
        <w:t>；</w:t>
      </w:r>
    </w:p>
    <w:p>
      <w:pPr>
        <w:spacing w:line="400" w:lineRule="exact"/>
        <w:ind w:firstLine="420" w:firstLineChars="200"/>
        <w:rPr>
          <w:rFonts w:ascii="宋体" w:hAnsi="宋体"/>
          <w:color w:val="auto"/>
        </w:rPr>
      </w:pPr>
      <w:r>
        <w:rPr>
          <w:rFonts w:hint="eastAsia" w:ascii="宋体" w:hAnsi="宋体"/>
          <w:color w:val="auto"/>
        </w:rPr>
        <w:t>（2）中标通知书；</w:t>
      </w:r>
    </w:p>
    <w:p>
      <w:pPr>
        <w:spacing w:line="400" w:lineRule="exact"/>
        <w:ind w:firstLine="420" w:firstLineChars="200"/>
        <w:rPr>
          <w:rFonts w:ascii="宋体" w:hAnsi="宋体"/>
          <w:color w:val="auto"/>
        </w:rPr>
      </w:pPr>
      <w:r>
        <w:rPr>
          <w:rFonts w:hint="eastAsia" w:ascii="宋体" w:hAnsi="宋体"/>
          <w:color w:val="auto"/>
        </w:rPr>
        <w:t>（3）投标函及投标函附录；</w:t>
      </w:r>
    </w:p>
    <w:p>
      <w:pPr>
        <w:spacing w:line="400" w:lineRule="exact"/>
        <w:ind w:firstLine="420" w:firstLineChars="200"/>
        <w:rPr>
          <w:rFonts w:ascii="宋体" w:hAnsi="宋体"/>
          <w:color w:val="auto"/>
        </w:rPr>
      </w:pPr>
      <w:r>
        <w:rPr>
          <w:rFonts w:hint="eastAsia" w:ascii="宋体" w:hAnsi="宋体"/>
          <w:color w:val="auto"/>
        </w:rPr>
        <w:t>（4）专用合同条款；</w:t>
      </w:r>
    </w:p>
    <w:p>
      <w:pPr>
        <w:spacing w:line="400" w:lineRule="exact"/>
        <w:ind w:firstLine="420" w:firstLineChars="200"/>
        <w:rPr>
          <w:rFonts w:ascii="宋体" w:hAnsi="宋体"/>
          <w:color w:val="auto"/>
        </w:rPr>
      </w:pPr>
      <w:r>
        <w:rPr>
          <w:rFonts w:hint="eastAsia" w:ascii="宋体" w:hAnsi="宋体"/>
          <w:color w:val="auto"/>
        </w:rPr>
        <w:t>（5）通用合同条款；</w:t>
      </w:r>
    </w:p>
    <w:p>
      <w:pPr>
        <w:spacing w:line="400" w:lineRule="exact"/>
        <w:ind w:firstLine="420" w:firstLineChars="200"/>
        <w:rPr>
          <w:rFonts w:ascii="宋体" w:hAnsi="宋体"/>
          <w:color w:val="auto"/>
        </w:rPr>
      </w:pPr>
      <w:r>
        <w:rPr>
          <w:rFonts w:hint="eastAsia" w:ascii="宋体" w:hAnsi="宋体"/>
          <w:color w:val="auto"/>
        </w:rPr>
        <w:t>（6）技术标准和要求；</w:t>
      </w:r>
    </w:p>
    <w:p>
      <w:pPr>
        <w:spacing w:line="400" w:lineRule="exact"/>
        <w:ind w:firstLine="420" w:firstLineChars="200"/>
        <w:rPr>
          <w:rFonts w:ascii="宋体" w:hAnsi="宋体"/>
          <w:color w:val="auto"/>
        </w:rPr>
      </w:pPr>
      <w:r>
        <w:rPr>
          <w:rFonts w:hint="eastAsia" w:ascii="宋体" w:hAnsi="宋体"/>
          <w:color w:val="auto"/>
        </w:rPr>
        <w:t>（7）图纸；</w:t>
      </w:r>
    </w:p>
    <w:p>
      <w:pPr>
        <w:spacing w:line="400" w:lineRule="exact"/>
        <w:ind w:firstLine="420" w:firstLineChars="200"/>
        <w:rPr>
          <w:rFonts w:ascii="宋体" w:hAnsi="宋体"/>
          <w:color w:val="auto"/>
        </w:rPr>
      </w:pPr>
      <w:r>
        <w:rPr>
          <w:rFonts w:hint="eastAsia" w:ascii="宋体" w:hAnsi="宋体"/>
          <w:color w:val="auto"/>
        </w:rPr>
        <w:t>（8）已标价工程量清单；</w:t>
      </w:r>
    </w:p>
    <w:p>
      <w:pPr>
        <w:spacing w:line="400" w:lineRule="exact"/>
        <w:ind w:firstLine="420" w:firstLineChars="200"/>
        <w:rPr>
          <w:rFonts w:ascii="宋体" w:hAnsi="宋体"/>
          <w:color w:val="auto"/>
        </w:rPr>
      </w:pPr>
      <w:r>
        <w:rPr>
          <w:rFonts w:hint="eastAsia" w:ascii="宋体" w:hAnsi="宋体"/>
          <w:color w:val="auto"/>
        </w:rPr>
        <w:t>（9）招标文件；</w:t>
      </w:r>
    </w:p>
    <w:p>
      <w:pPr>
        <w:spacing w:line="400" w:lineRule="exact"/>
        <w:ind w:firstLine="420" w:firstLineChars="200"/>
        <w:rPr>
          <w:rFonts w:ascii="宋体" w:hAnsi="宋体"/>
          <w:color w:val="auto"/>
        </w:rPr>
      </w:pPr>
      <w:r>
        <w:rPr>
          <w:rFonts w:ascii="宋体" w:hAnsi="宋体"/>
          <w:color w:val="auto"/>
        </w:rPr>
        <w:t>（</w:t>
      </w:r>
      <w:r>
        <w:rPr>
          <w:rFonts w:hint="eastAsia" w:ascii="宋体" w:hAnsi="宋体"/>
          <w:color w:val="auto"/>
        </w:rPr>
        <w:t>10</w:t>
      </w:r>
      <w:r>
        <w:rPr>
          <w:rFonts w:ascii="宋体" w:hAnsi="宋体"/>
          <w:color w:val="auto"/>
        </w:rPr>
        <w:t>）投标文件</w:t>
      </w:r>
      <w:r>
        <w:rPr>
          <w:rFonts w:hint="eastAsia" w:ascii="宋体" w:hAnsi="宋体"/>
          <w:color w:val="auto"/>
        </w:rPr>
        <w:t>；</w:t>
      </w:r>
    </w:p>
    <w:p>
      <w:pPr>
        <w:spacing w:line="400" w:lineRule="exact"/>
        <w:ind w:firstLine="420" w:firstLineChars="200"/>
        <w:rPr>
          <w:rFonts w:ascii="宋体" w:hAnsi="宋体"/>
          <w:color w:val="auto"/>
        </w:rPr>
      </w:pPr>
      <w:r>
        <w:rPr>
          <w:rFonts w:hint="eastAsia"/>
          <w:color w:val="auto"/>
        </w:rPr>
        <w:t>（11）工程质量保修书；</w:t>
      </w:r>
    </w:p>
    <w:p>
      <w:pPr>
        <w:spacing w:line="400" w:lineRule="exact"/>
        <w:ind w:firstLine="420" w:firstLineChars="200"/>
        <w:rPr>
          <w:rFonts w:ascii="宋体" w:hAnsi="宋体"/>
          <w:color w:val="auto"/>
        </w:rPr>
      </w:pPr>
      <w:r>
        <w:rPr>
          <w:rFonts w:hint="eastAsia"/>
          <w:color w:val="auto"/>
        </w:rPr>
        <w:t>（12）建设工程廉政责任书；</w:t>
      </w:r>
    </w:p>
    <w:p>
      <w:pPr>
        <w:spacing w:line="400" w:lineRule="exact"/>
        <w:ind w:firstLine="420" w:firstLineChars="200"/>
        <w:rPr>
          <w:rFonts w:ascii="宋体" w:hAnsi="宋体"/>
          <w:color w:val="auto"/>
        </w:rPr>
      </w:pPr>
      <w:r>
        <w:rPr>
          <w:rFonts w:hint="eastAsia" w:ascii="宋体" w:hAnsi="宋体"/>
          <w:color w:val="auto"/>
        </w:rPr>
        <w:t>（13）其他合同文件。</w:t>
      </w:r>
    </w:p>
    <w:p>
      <w:pPr>
        <w:spacing w:line="400" w:lineRule="exact"/>
        <w:rPr>
          <w:rFonts w:ascii="宋体" w:hAnsi="宋体"/>
          <w:color w:val="auto"/>
        </w:rPr>
      </w:pPr>
      <w:r>
        <w:rPr>
          <w:rFonts w:hint="eastAsia" w:ascii="宋体" w:hAnsi="宋体"/>
          <w:color w:val="auto"/>
        </w:rPr>
        <w:t>　　上述文件互相补充和解释，如有不明确或不一致之处，以合同约定次序在先者为准。</w:t>
      </w:r>
    </w:p>
    <w:p>
      <w:pPr>
        <w:spacing w:line="400" w:lineRule="exact"/>
        <w:rPr>
          <w:rFonts w:ascii="宋体" w:hAnsi="宋体"/>
          <w:color w:val="auto"/>
        </w:rPr>
      </w:pPr>
      <w:r>
        <w:rPr>
          <w:color w:val="auto"/>
        </w:rPr>
        <w:t> </w:t>
      </w:r>
      <w:r>
        <w:rPr>
          <w:rFonts w:hint="eastAsia" w:ascii="宋体" w:hAnsi="宋体"/>
          <w:color w:val="auto"/>
        </w:rPr>
        <w:t>　　本协议书中有关词语定义与合同条款中的定义相同。</w:t>
      </w:r>
    </w:p>
    <w:p>
      <w:pPr>
        <w:spacing w:line="400" w:lineRule="exact"/>
        <w:ind w:firstLine="420"/>
        <w:rPr>
          <w:rFonts w:ascii="宋体" w:hAnsi="宋体"/>
          <w:color w:val="auto"/>
        </w:rPr>
      </w:pPr>
      <w:r>
        <w:rPr>
          <w:rFonts w:hint="eastAsia" w:ascii="宋体" w:hAnsi="宋体"/>
          <w:color w:val="auto"/>
        </w:rPr>
        <w:t>九、承包人承诺按照合同约定进行施工、竣工、交付并在缺陷责任期内对工程缺陷承担维修责任。</w:t>
      </w:r>
    </w:p>
    <w:p>
      <w:pPr>
        <w:spacing w:line="400" w:lineRule="exact"/>
        <w:ind w:firstLine="420"/>
        <w:rPr>
          <w:rFonts w:ascii="宋体" w:hAnsi="宋体"/>
          <w:color w:val="auto"/>
        </w:rPr>
      </w:pPr>
      <w:r>
        <w:rPr>
          <w:rFonts w:hint="eastAsia" w:ascii="宋体" w:hAnsi="宋体"/>
          <w:color w:val="auto"/>
        </w:rPr>
        <w:t>十、发包人承诺按照合同约定的条件、期限和方式向承包人支付合同价款。</w:t>
      </w:r>
    </w:p>
    <w:p>
      <w:pPr>
        <w:spacing w:line="400" w:lineRule="exact"/>
        <w:ind w:firstLine="420"/>
        <w:rPr>
          <w:rFonts w:ascii="宋体" w:hAnsi="宋体"/>
          <w:color w:val="auto"/>
        </w:rPr>
      </w:pPr>
      <w:r>
        <w:rPr>
          <w:rFonts w:hint="eastAsia" w:ascii="宋体" w:hAnsi="宋体"/>
          <w:color w:val="auto"/>
        </w:rPr>
        <w:t>十一、本协议书自双方法定代表人或其委托代理人签字盖单位章后生效，本协议连同其他合同文件</w:t>
      </w:r>
      <w:r>
        <w:rPr>
          <w:rFonts w:hint="eastAsia" w:ascii="宋体" w:hAnsi="宋体"/>
          <w:color w:val="auto"/>
          <w:szCs w:val="21"/>
        </w:rPr>
        <w:t>正本一式</w:t>
      </w:r>
      <w:r>
        <w:rPr>
          <w:rFonts w:hint="eastAsia" w:ascii="宋体" w:hAnsi="宋体"/>
          <w:color w:val="auto"/>
          <w:szCs w:val="21"/>
          <w:u w:val="single"/>
        </w:rPr>
        <w:t xml:space="preserve">  </w:t>
      </w:r>
      <w:r>
        <w:rPr>
          <w:rFonts w:hint="eastAsia" w:ascii="宋体" w:hAnsi="宋体"/>
          <w:color w:val="auto"/>
          <w:szCs w:val="21"/>
        </w:rPr>
        <w:t>份，合同双方各执</w:t>
      </w:r>
      <w:r>
        <w:rPr>
          <w:rFonts w:hint="eastAsia" w:ascii="宋体" w:hAnsi="宋体"/>
          <w:color w:val="auto"/>
          <w:szCs w:val="21"/>
          <w:u w:val="single"/>
        </w:rPr>
        <w:t xml:space="preserve">  </w:t>
      </w:r>
      <w:r>
        <w:rPr>
          <w:rFonts w:hint="eastAsia" w:ascii="宋体" w:hAnsi="宋体"/>
          <w:color w:val="auto"/>
          <w:szCs w:val="21"/>
        </w:rPr>
        <w:t>份；副本一式</w:t>
      </w:r>
      <w:r>
        <w:rPr>
          <w:rFonts w:hint="eastAsia" w:ascii="宋体" w:hAnsi="宋体"/>
          <w:color w:val="auto"/>
          <w:szCs w:val="21"/>
          <w:u w:val="single"/>
        </w:rPr>
        <w:t xml:space="preserve">  </w:t>
      </w:r>
      <w:r>
        <w:rPr>
          <w:rFonts w:hint="eastAsia" w:ascii="宋体" w:hAnsi="宋体"/>
          <w:color w:val="auto"/>
          <w:szCs w:val="21"/>
        </w:rPr>
        <w:t>份，发包人</w:t>
      </w:r>
      <w:r>
        <w:rPr>
          <w:rFonts w:hint="eastAsia" w:ascii="宋体" w:hAnsi="宋体"/>
          <w:color w:val="auto"/>
          <w:szCs w:val="21"/>
          <w:u w:val="single"/>
        </w:rPr>
        <w:t xml:space="preserve">  </w:t>
      </w:r>
      <w:r>
        <w:rPr>
          <w:rFonts w:hint="eastAsia" w:ascii="宋体" w:hAnsi="宋体"/>
          <w:color w:val="auto"/>
          <w:szCs w:val="21"/>
        </w:rPr>
        <w:t>份，承包人</w:t>
      </w:r>
      <w:r>
        <w:rPr>
          <w:rFonts w:hint="eastAsia" w:ascii="宋体" w:hAnsi="宋体"/>
          <w:color w:val="auto"/>
          <w:szCs w:val="21"/>
          <w:u w:val="single"/>
        </w:rPr>
        <w:t xml:space="preserve">  </w:t>
      </w:r>
      <w:r>
        <w:rPr>
          <w:rFonts w:hint="eastAsia" w:ascii="宋体" w:hAnsi="宋体"/>
          <w:color w:val="auto"/>
          <w:szCs w:val="21"/>
        </w:rPr>
        <w:t>份，其中一份在合同报送建设行政主管部门备案时留存。</w:t>
      </w:r>
    </w:p>
    <w:p>
      <w:pPr>
        <w:spacing w:line="400" w:lineRule="exact"/>
        <w:ind w:firstLine="420"/>
        <w:rPr>
          <w:rFonts w:ascii="宋体" w:hAnsi="宋体"/>
          <w:color w:val="auto"/>
        </w:rPr>
      </w:pPr>
      <w:r>
        <w:rPr>
          <w:rFonts w:hint="eastAsia" w:ascii="宋体" w:hAnsi="宋体"/>
          <w:color w:val="auto"/>
        </w:rPr>
        <w:t>十二、合同未尽事宜，双方另行签订补充协议，但不得背离本协议第九条所约定的合同文件的实质性内容。补充协议是合同文件的组成部分。</w:t>
      </w:r>
    </w:p>
    <w:p>
      <w:pPr>
        <w:spacing w:line="400" w:lineRule="exact"/>
        <w:ind w:firstLine="420" w:firstLineChars="20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rPr>
        <w:t>　　　　　　　　　　（</w:t>
      </w:r>
      <w:r>
        <w:rPr>
          <w:rFonts w:hint="eastAsia" w:ascii="宋体" w:hAnsi="宋体" w:cs="MingLiUfalt"/>
          <w:snapToGrid w:val="0"/>
          <w:color w:val="auto"/>
          <w:kern w:val="0"/>
          <w:szCs w:val="21"/>
        </w:rPr>
        <w:t>盖单位公章）    承包人：</w:t>
      </w:r>
      <w:r>
        <w:rPr>
          <w:rFonts w:hint="eastAsia" w:ascii="宋体" w:hAnsi="宋体"/>
          <w:color w:val="auto"/>
          <w:u w:val="single"/>
        </w:rPr>
        <w:t>　　　　　　　　　　（</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pPr>
        <w:spacing w:line="400" w:lineRule="exact"/>
        <w:ind w:firstLine="420" w:firstLineChars="20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pPr>
        <w:spacing w:line="400" w:lineRule="exact"/>
        <w:ind w:firstLine="420" w:firstLineChars="200"/>
        <w:rPr>
          <w:rFonts w:ascii="宋体" w:hAnsi="宋体" w:cs="MingLiUfalt"/>
          <w:snapToGrid w:val="0"/>
          <w:color w:val="auto"/>
          <w:kern w:val="0"/>
          <w:szCs w:val="21"/>
        </w:rPr>
      </w:pPr>
      <w:r>
        <w:rPr>
          <w:rFonts w:hint="eastAsia" w:ascii="宋体" w:hAnsi="宋体" w:cs="MingLiUfalt"/>
          <w:snapToGrid w:val="0"/>
          <w:color w:val="auto"/>
          <w:kern w:val="0"/>
          <w:szCs w:val="21"/>
        </w:rPr>
        <w:t>法定代表人：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w:t>
      </w:r>
      <w:r>
        <w:rPr>
          <w:rFonts w:hint="eastAsia" w:ascii="宋体" w:hAnsi="宋体"/>
          <w:color w:val="auto"/>
          <w:u w:val="single"/>
        </w:rPr>
        <w:t>　　       　 　</w:t>
      </w:r>
      <w:r>
        <w:rPr>
          <w:rFonts w:hint="eastAsia" w:ascii="宋体" w:hAnsi="宋体"/>
          <w:color w:val="auto"/>
        </w:rPr>
        <w:t>（签字）</w:t>
      </w:r>
    </w:p>
    <w:p>
      <w:pPr>
        <w:spacing w:line="400" w:lineRule="exact"/>
        <w:ind w:firstLine="420" w:firstLineChars="20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pPr>
        <w:spacing w:line="400" w:lineRule="exact"/>
        <w:ind w:firstLine="420" w:firstLineChars="20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pPr>
        <w:spacing w:line="400" w:lineRule="exact"/>
        <w:ind w:firstLine="420" w:firstLineChars="20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pPr>
        <w:spacing w:line="400" w:lineRule="exact"/>
        <w:ind w:firstLine="420" w:firstLineChars="200"/>
        <w:rPr>
          <w:rFonts w:ascii="宋体" w:hAnsi="宋体"/>
          <w:color w:val="auto"/>
        </w:rPr>
      </w:pPr>
      <w:r>
        <w:rPr>
          <w:rFonts w:hint="eastAsia" w:ascii="宋体" w:hAnsi="宋体"/>
          <w:color w:val="auto"/>
        </w:rPr>
        <w:t>开户银行：</w:t>
      </w:r>
      <w:r>
        <w:rPr>
          <w:rFonts w:hint="eastAsia" w:ascii="宋体" w:hAnsi="宋体"/>
          <w:color w:val="auto"/>
          <w:u w:val="single"/>
        </w:rPr>
        <w:t>　　　　　　　 　 　　</w:t>
      </w:r>
      <w:r>
        <w:rPr>
          <w:rFonts w:hint="eastAsia" w:ascii="宋体" w:hAnsi="宋体"/>
          <w:color w:val="auto"/>
        </w:rPr>
        <w:t>　　　　 　 开户银行：</w:t>
      </w:r>
      <w:r>
        <w:rPr>
          <w:rFonts w:hint="eastAsia" w:ascii="宋体" w:hAnsi="宋体"/>
          <w:color w:val="auto"/>
          <w:u w:val="single"/>
        </w:rPr>
        <w:t>　　　　　　　    　　</w:t>
      </w:r>
      <w:r>
        <w:rPr>
          <w:rFonts w:hint="eastAsia" w:ascii="宋体" w:hAnsi="宋体"/>
          <w:color w:val="auto"/>
        </w:rPr>
        <w:t>　</w:t>
      </w:r>
    </w:p>
    <w:p>
      <w:pPr>
        <w:spacing w:line="400" w:lineRule="exact"/>
        <w:ind w:firstLine="420" w:firstLineChars="200"/>
        <w:rPr>
          <w:rFonts w:ascii="宋体" w:hAnsi="宋体"/>
          <w:color w:val="auto"/>
        </w:rPr>
      </w:pPr>
      <w:r>
        <w:rPr>
          <w:rFonts w:hint="eastAsia" w:ascii="宋体" w:hAnsi="宋体"/>
          <w:color w:val="auto"/>
        </w:rPr>
        <w:t>帐    号：</w:t>
      </w:r>
      <w:r>
        <w:rPr>
          <w:rFonts w:hint="eastAsia" w:ascii="宋体" w:hAnsi="宋体"/>
          <w:color w:val="auto"/>
          <w:u w:val="single"/>
        </w:rPr>
        <w:t>　　　　　　 　　 　　</w:t>
      </w:r>
      <w:r>
        <w:rPr>
          <w:rFonts w:hint="eastAsia" w:ascii="宋体" w:hAnsi="宋体"/>
          <w:color w:val="auto"/>
        </w:rPr>
        <w:t>　　　　  　帐    号：</w:t>
      </w:r>
      <w:r>
        <w:rPr>
          <w:rFonts w:hint="eastAsia" w:ascii="宋体" w:hAnsi="宋体"/>
          <w:color w:val="auto"/>
          <w:u w:val="single"/>
        </w:rPr>
        <w:t>　　　　　　　　    　</w:t>
      </w:r>
      <w:r>
        <w:rPr>
          <w:rFonts w:hint="eastAsia" w:ascii="宋体" w:hAnsi="宋体"/>
          <w:color w:val="auto"/>
        </w:rPr>
        <w:t>　</w:t>
      </w:r>
    </w:p>
    <w:p>
      <w:pPr>
        <w:spacing w:line="400" w:lineRule="exact"/>
        <w:ind w:firstLine="420" w:firstLineChars="200"/>
        <w:rPr>
          <w:rFonts w:ascii="宋体" w:hAnsi="宋体"/>
          <w:color w:val="auto"/>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olor w:val="auto"/>
        </w:rPr>
        <w:t>　</w:t>
      </w:r>
    </w:p>
    <w:p>
      <w:pPr>
        <w:spacing w:line="400" w:lineRule="exact"/>
        <w:rPr>
          <w:rFonts w:ascii="宋体" w:hAnsi="宋体" w:cs="宋体"/>
          <w:color w:val="auto"/>
          <w:szCs w:val="21"/>
        </w:rPr>
      </w:pPr>
      <w:r>
        <w:rPr>
          <w:rFonts w:hint="eastAsia" w:ascii="宋体" w:hAnsi="宋体" w:cs="宋体"/>
          <w:color w:val="auto"/>
          <w:szCs w:val="21"/>
        </w:rPr>
        <w:t>　　　　　　</w:t>
      </w:r>
    </w:p>
    <w:p>
      <w:pPr>
        <w:spacing w:line="400" w:lineRule="exact"/>
        <w:ind w:firstLine="1785" w:firstLineChars="850"/>
        <w:rPr>
          <w:b/>
          <w:color w:val="auto"/>
          <w:sz w:val="32"/>
          <w:szCs w:val="32"/>
        </w:rPr>
      </w:pPr>
      <w:r>
        <w:rPr>
          <w:rFonts w:hint="eastAsia" w:ascii="宋体" w:hAnsi="宋体" w:cs="宋体"/>
          <w:color w:val="auto"/>
          <w:szCs w:val="21"/>
        </w:rPr>
        <w:t>　年　　月　　日　　　　　　　　　            年　　月　　日</w:t>
      </w:r>
    </w:p>
    <w:p>
      <w:pPr>
        <w:rPr>
          <w:color w:val="auto"/>
        </w:rPr>
      </w:pPr>
      <w:bookmarkStart w:id="472" w:name="_Toc418077865"/>
      <w:bookmarkStart w:id="473" w:name="_Toc452058738"/>
      <w:bookmarkStart w:id="474" w:name="_Toc428455509"/>
      <w:bookmarkStart w:id="475" w:name="_Toc11318"/>
    </w:p>
    <w:p>
      <w:pPr>
        <w:pStyle w:val="3"/>
        <w:spacing w:before="0" w:after="0" w:line="400" w:lineRule="exact"/>
        <w:jc w:val="center"/>
        <w:rPr>
          <w:rFonts w:ascii="黑体" w:eastAsia="黑体"/>
          <w:color w:val="auto"/>
        </w:rPr>
      </w:pPr>
    </w:p>
    <w:p>
      <w:pPr>
        <w:rPr>
          <w:rFonts w:hint="eastAsia" w:ascii="黑体" w:eastAsia="黑体"/>
          <w:color w:val="auto"/>
        </w:rPr>
      </w:pPr>
      <w:r>
        <w:rPr>
          <w:rFonts w:hint="eastAsia" w:ascii="黑体" w:eastAsia="黑体"/>
          <w:color w:val="auto"/>
        </w:rPr>
        <w:br w:type="page"/>
      </w:r>
    </w:p>
    <w:p>
      <w:pPr>
        <w:pStyle w:val="3"/>
        <w:spacing w:before="0" w:after="0" w:line="400" w:lineRule="exact"/>
        <w:jc w:val="center"/>
        <w:rPr>
          <w:color w:val="auto"/>
        </w:rPr>
      </w:pPr>
      <w:r>
        <w:rPr>
          <w:rFonts w:hint="eastAsia" w:ascii="黑体" w:eastAsia="黑体"/>
          <w:color w:val="auto"/>
        </w:rPr>
        <w:t xml:space="preserve">第二节 </w:t>
      </w:r>
      <w:r>
        <w:rPr>
          <w:rFonts w:hint="eastAsia"/>
          <w:color w:val="auto"/>
        </w:rPr>
        <w:t>通用合同条款</w:t>
      </w:r>
    </w:p>
    <w:p>
      <w:pPr>
        <w:snapToGrid w:val="0"/>
        <w:spacing w:line="288" w:lineRule="auto"/>
        <w:ind w:firstLine="440" w:firstLineChars="200"/>
        <w:rPr>
          <w:rFonts w:ascii="宋体" w:hAnsi="宋体"/>
          <w:bCs/>
          <w:color w:val="auto"/>
          <w:sz w:val="22"/>
          <w:szCs w:val="22"/>
        </w:rPr>
      </w:pPr>
      <w:r>
        <w:rPr>
          <w:rFonts w:hint="eastAsia" w:ascii="宋体" w:hAnsi="宋体"/>
          <w:bCs/>
          <w:color w:val="auto"/>
          <w:sz w:val="22"/>
          <w:szCs w:val="22"/>
        </w:rPr>
        <w:t>采用中华人民共和国《标准施工招标文件（2007年版）》（中国计划出版社）第四章第一节的《通用合同条款》。</w:t>
      </w:r>
    </w:p>
    <w:p>
      <w:pPr>
        <w:pStyle w:val="3"/>
        <w:spacing w:before="0" w:after="0" w:line="400" w:lineRule="exact"/>
        <w:jc w:val="center"/>
        <w:rPr>
          <w:rFonts w:ascii="黑体" w:eastAsia="黑体"/>
          <w:color w:val="auto"/>
        </w:rPr>
      </w:pPr>
      <w:r>
        <w:rPr>
          <w:rFonts w:hint="eastAsia" w:ascii="黑体" w:eastAsia="黑体"/>
          <w:color w:val="auto"/>
        </w:rPr>
        <w:t>第三节 合同专用条款</w:t>
      </w:r>
      <w:bookmarkEnd w:id="472"/>
      <w:bookmarkEnd w:id="473"/>
      <w:bookmarkEnd w:id="474"/>
      <w:bookmarkEnd w:id="475"/>
    </w:p>
    <w:p>
      <w:pPr>
        <w:spacing w:line="400" w:lineRule="exact"/>
        <w:rPr>
          <w:b/>
          <w:color w:val="auto"/>
        </w:rPr>
      </w:pPr>
      <w:r>
        <w:rPr>
          <w:rFonts w:hint="eastAsia"/>
          <w:b/>
          <w:color w:val="auto"/>
        </w:rPr>
        <w:t>1. 一般约定</w:t>
      </w:r>
    </w:p>
    <w:p>
      <w:pPr>
        <w:spacing w:line="400" w:lineRule="exact"/>
        <w:rPr>
          <w:b/>
          <w:color w:val="auto"/>
        </w:rPr>
      </w:pPr>
      <w:r>
        <w:rPr>
          <w:rFonts w:hint="eastAsia"/>
          <w:b/>
          <w:color w:val="auto"/>
        </w:rPr>
        <w:t>1.1  词语定义</w:t>
      </w:r>
    </w:p>
    <w:p>
      <w:pPr>
        <w:widowControl/>
        <w:tabs>
          <w:tab w:val="left" w:pos="5040"/>
          <w:tab w:val="left" w:pos="6300"/>
        </w:tabs>
        <w:adjustRightInd w:val="0"/>
        <w:snapToGrid w:val="0"/>
        <w:spacing w:line="400" w:lineRule="exact"/>
        <w:ind w:firstLine="420" w:firstLineChars="200"/>
        <w:jc w:val="left"/>
        <w:rPr>
          <w:color w:val="auto"/>
        </w:rPr>
      </w:pPr>
      <w:r>
        <w:rPr>
          <w:rFonts w:hint="eastAsia"/>
          <w:color w:val="auto"/>
        </w:rPr>
        <w:t>1.1.2  合同当事人和人员</w:t>
      </w:r>
    </w:p>
    <w:p>
      <w:pPr>
        <w:widowControl/>
        <w:tabs>
          <w:tab w:val="left" w:pos="5040"/>
          <w:tab w:val="left" w:pos="6300"/>
        </w:tabs>
        <w:adjustRightInd w:val="0"/>
        <w:snapToGrid w:val="0"/>
        <w:spacing w:line="400" w:lineRule="exact"/>
        <w:ind w:firstLine="420" w:firstLineChars="200"/>
        <w:jc w:val="left"/>
        <w:rPr>
          <w:rFonts w:hint="eastAsia" w:eastAsia="宋体"/>
          <w:b/>
          <w:color w:val="auto"/>
          <w:u w:val="single"/>
          <w:lang w:eastAsia="zh-CN"/>
        </w:rPr>
      </w:pPr>
      <w:r>
        <w:rPr>
          <w:rFonts w:hint="eastAsia"/>
          <w:color w:val="auto"/>
        </w:rPr>
        <w:t>1.1.2.2  发包人：</w:t>
      </w:r>
      <w:r>
        <w:rPr>
          <w:rFonts w:hint="eastAsia"/>
          <w:b/>
          <w:color w:val="auto"/>
          <w:u w:val="single"/>
        </w:rPr>
        <w:t xml:space="preserve"> </w:t>
      </w:r>
      <w:r>
        <w:rPr>
          <w:rFonts w:hint="eastAsia"/>
          <w:b/>
          <w:color w:val="auto"/>
          <w:u w:val="single"/>
          <w:lang w:eastAsia="zh-CN"/>
        </w:rPr>
        <w:t>重庆市铜梁区福果镇人民政府</w:t>
      </w:r>
    </w:p>
    <w:p>
      <w:pPr>
        <w:widowControl/>
        <w:tabs>
          <w:tab w:val="left" w:pos="5040"/>
          <w:tab w:val="left" w:pos="6300"/>
        </w:tabs>
        <w:adjustRightInd w:val="0"/>
        <w:snapToGrid w:val="0"/>
        <w:spacing w:line="400" w:lineRule="exact"/>
        <w:ind w:firstLine="420" w:firstLineChars="200"/>
        <w:jc w:val="left"/>
        <w:rPr>
          <w:color w:val="auto"/>
        </w:rPr>
      </w:pPr>
      <w:r>
        <w:rPr>
          <w:rFonts w:hint="eastAsia"/>
          <w:color w:val="auto"/>
        </w:rPr>
        <w:t>1.1.2.3  承包人：</w:t>
      </w:r>
      <w:r>
        <w:rPr>
          <w:rFonts w:hint="eastAsia"/>
          <w:b/>
          <w:color w:val="auto"/>
          <w:u w:val="single"/>
        </w:rPr>
        <w:t xml:space="preserve"> </w:t>
      </w:r>
      <w:r>
        <w:rPr>
          <w:rFonts w:hint="eastAsia"/>
          <w:color w:val="auto"/>
          <w:u w:val="single"/>
        </w:rPr>
        <w:t xml:space="preserve">                         </w:t>
      </w:r>
      <w:r>
        <w:rPr>
          <w:rFonts w:hint="eastAsia"/>
          <w:color w:val="auto"/>
        </w:rPr>
        <w:t xml:space="preserve"> </w:t>
      </w:r>
    </w:p>
    <w:p>
      <w:pPr>
        <w:widowControl/>
        <w:tabs>
          <w:tab w:val="left" w:pos="5040"/>
          <w:tab w:val="left" w:pos="6300"/>
        </w:tabs>
        <w:adjustRightInd w:val="0"/>
        <w:snapToGrid w:val="0"/>
        <w:spacing w:line="400" w:lineRule="exact"/>
        <w:ind w:firstLine="420" w:firstLineChars="200"/>
        <w:jc w:val="left"/>
        <w:rPr>
          <w:color w:val="auto"/>
        </w:rPr>
      </w:pPr>
      <w:r>
        <w:rPr>
          <w:rFonts w:hint="eastAsia"/>
          <w:color w:val="auto"/>
        </w:rPr>
        <w:t>1.1.2.6  监理人：</w:t>
      </w:r>
      <w:r>
        <w:rPr>
          <w:rFonts w:hint="eastAsia"/>
          <w:b/>
          <w:color w:val="auto"/>
          <w:u w:val="single"/>
        </w:rPr>
        <w:t xml:space="preserve"> </w:t>
      </w:r>
      <w:r>
        <w:rPr>
          <w:rFonts w:hint="eastAsia"/>
          <w:color w:val="auto"/>
          <w:u w:val="single"/>
        </w:rPr>
        <w:t xml:space="preserve">                         </w:t>
      </w:r>
      <w:r>
        <w:rPr>
          <w:rFonts w:hint="eastAsia"/>
          <w:b/>
          <w:color w:val="auto"/>
        </w:rPr>
        <w:t xml:space="preserve"> </w:t>
      </w:r>
      <w:r>
        <w:rPr>
          <w:rFonts w:hint="eastAsia"/>
          <w:color w:val="auto"/>
        </w:rPr>
        <w:t xml:space="preserve">                         </w:t>
      </w:r>
    </w:p>
    <w:p>
      <w:pPr>
        <w:widowControl/>
        <w:tabs>
          <w:tab w:val="left" w:pos="5040"/>
          <w:tab w:val="left" w:pos="6300"/>
        </w:tabs>
        <w:adjustRightInd w:val="0"/>
        <w:snapToGrid w:val="0"/>
        <w:spacing w:line="400" w:lineRule="exact"/>
        <w:ind w:firstLine="420" w:firstLineChars="200"/>
        <w:jc w:val="left"/>
        <w:rPr>
          <w:color w:val="auto"/>
        </w:rPr>
      </w:pPr>
      <w:r>
        <w:rPr>
          <w:rFonts w:hint="eastAsia"/>
          <w:color w:val="auto"/>
        </w:rPr>
        <w:t>1.1.3  工程和设备</w:t>
      </w:r>
    </w:p>
    <w:p>
      <w:pPr>
        <w:widowControl/>
        <w:tabs>
          <w:tab w:val="left" w:pos="5040"/>
          <w:tab w:val="left" w:pos="6300"/>
        </w:tabs>
        <w:adjustRightInd w:val="0"/>
        <w:snapToGrid w:val="0"/>
        <w:spacing w:line="400" w:lineRule="exact"/>
        <w:ind w:firstLine="420" w:firstLineChars="200"/>
        <w:jc w:val="left"/>
        <w:rPr>
          <w:color w:val="auto"/>
        </w:rPr>
      </w:pPr>
      <w:r>
        <w:rPr>
          <w:rFonts w:hint="eastAsia"/>
          <w:color w:val="auto"/>
        </w:rPr>
        <w:t>1.1.3.2  永久工程：</w:t>
      </w:r>
      <w:r>
        <w:rPr>
          <w:rFonts w:hint="eastAsia"/>
          <w:b/>
          <w:color w:val="auto"/>
        </w:rPr>
        <w:t xml:space="preserve"> </w:t>
      </w:r>
      <w:r>
        <w:rPr>
          <w:rFonts w:hint="eastAsia"/>
          <w:b/>
          <w:color w:val="auto"/>
          <w:u w:val="single"/>
        </w:rPr>
        <w:t xml:space="preserve">本工程招标范围内的各项工程。 </w:t>
      </w:r>
    </w:p>
    <w:p>
      <w:pPr>
        <w:widowControl/>
        <w:tabs>
          <w:tab w:val="left" w:pos="5040"/>
          <w:tab w:val="left" w:pos="6300"/>
        </w:tabs>
        <w:adjustRightInd w:val="0"/>
        <w:snapToGrid w:val="0"/>
        <w:spacing w:line="400" w:lineRule="exact"/>
        <w:ind w:firstLine="420" w:firstLineChars="200"/>
        <w:jc w:val="left"/>
        <w:rPr>
          <w:color w:val="auto"/>
        </w:rPr>
      </w:pPr>
      <w:r>
        <w:rPr>
          <w:rFonts w:hint="eastAsia"/>
          <w:color w:val="auto"/>
        </w:rPr>
        <w:t xml:space="preserve">1.1.3.3  临时工程： </w:t>
      </w:r>
      <w:r>
        <w:rPr>
          <w:rFonts w:hint="eastAsia"/>
          <w:b/>
          <w:color w:val="auto"/>
          <w:u w:val="single"/>
        </w:rPr>
        <w:t xml:space="preserve">为完成前款工程所修建的各类临时性工程。 </w:t>
      </w:r>
    </w:p>
    <w:p>
      <w:pPr>
        <w:widowControl/>
        <w:tabs>
          <w:tab w:val="left" w:pos="5040"/>
          <w:tab w:val="left" w:pos="6300"/>
        </w:tabs>
        <w:adjustRightInd w:val="0"/>
        <w:snapToGrid w:val="0"/>
        <w:spacing w:line="400" w:lineRule="exact"/>
        <w:ind w:firstLine="420" w:firstLineChars="200"/>
        <w:jc w:val="left"/>
        <w:rPr>
          <w:color w:val="auto"/>
        </w:rPr>
      </w:pPr>
      <w:r>
        <w:rPr>
          <w:rFonts w:hint="eastAsia"/>
          <w:color w:val="auto"/>
        </w:rPr>
        <w:t>1.1.3.10  永久占地：</w:t>
      </w:r>
    </w:p>
    <w:p>
      <w:pPr>
        <w:widowControl/>
        <w:tabs>
          <w:tab w:val="left" w:pos="5040"/>
          <w:tab w:val="left" w:pos="6300"/>
        </w:tabs>
        <w:adjustRightInd w:val="0"/>
        <w:snapToGrid w:val="0"/>
        <w:spacing w:line="400" w:lineRule="exact"/>
        <w:ind w:firstLine="420" w:firstLineChars="200"/>
        <w:jc w:val="left"/>
        <w:rPr>
          <w:color w:val="auto"/>
        </w:rPr>
      </w:pPr>
      <w:r>
        <w:rPr>
          <w:rFonts w:hint="eastAsia"/>
          <w:color w:val="auto"/>
        </w:rPr>
        <w:t xml:space="preserve">1.1.3.11  临时占地： </w:t>
      </w:r>
      <w:r>
        <w:rPr>
          <w:rFonts w:hint="eastAsia"/>
          <w:b/>
          <w:color w:val="auto"/>
          <w:u w:val="single"/>
        </w:rPr>
        <w:t>施工临设用地、施工便道用地等，由承包人根据现场实际情况决定，临时占地发生的费用由承包人自行承担。</w:t>
      </w:r>
    </w:p>
    <w:p>
      <w:pPr>
        <w:widowControl/>
        <w:tabs>
          <w:tab w:val="left" w:pos="5040"/>
          <w:tab w:val="left" w:pos="6300"/>
        </w:tabs>
        <w:adjustRightInd w:val="0"/>
        <w:snapToGrid w:val="0"/>
        <w:spacing w:line="400" w:lineRule="exact"/>
        <w:ind w:firstLine="420" w:firstLineChars="200"/>
        <w:jc w:val="left"/>
        <w:rPr>
          <w:color w:val="auto"/>
        </w:rPr>
      </w:pPr>
      <w:r>
        <w:rPr>
          <w:rFonts w:hint="eastAsia"/>
          <w:color w:val="auto"/>
        </w:rPr>
        <w:t>1.1.4  日期</w:t>
      </w:r>
    </w:p>
    <w:p>
      <w:pPr>
        <w:widowControl/>
        <w:tabs>
          <w:tab w:val="left" w:pos="5040"/>
          <w:tab w:val="left" w:pos="6300"/>
        </w:tabs>
        <w:adjustRightInd w:val="0"/>
        <w:snapToGrid w:val="0"/>
        <w:spacing w:line="400" w:lineRule="exact"/>
        <w:ind w:firstLine="420" w:firstLineChars="200"/>
        <w:jc w:val="left"/>
        <w:rPr>
          <w:b/>
          <w:color w:val="auto"/>
          <w:szCs w:val="22"/>
          <w:u w:val="single"/>
        </w:rPr>
      </w:pPr>
      <w:r>
        <w:rPr>
          <w:rFonts w:hint="eastAsia"/>
          <w:color w:val="auto"/>
        </w:rPr>
        <w:t>1.1.4.5 缺陷责任期：</w:t>
      </w:r>
      <w:r>
        <w:rPr>
          <w:rFonts w:hint="eastAsia" w:ascii="宋体" w:hAnsi="宋体" w:cs="宋体"/>
          <w:b/>
          <w:color w:val="auto"/>
          <w:szCs w:val="22"/>
          <w:u w:val="single"/>
          <w:lang w:val="en-US" w:eastAsia="zh-CN"/>
        </w:rPr>
        <w:t>12个月</w:t>
      </w:r>
      <w:r>
        <w:rPr>
          <w:rFonts w:hint="eastAsia"/>
          <w:b/>
          <w:color w:val="auto"/>
          <w:szCs w:val="22"/>
          <w:u w:val="single"/>
        </w:rPr>
        <w:t>，自工程竣工验收合格之日起计算。</w:t>
      </w:r>
    </w:p>
    <w:p>
      <w:pPr>
        <w:spacing w:line="400" w:lineRule="exact"/>
        <w:rPr>
          <w:b/>
          <w:color w:val="auto"/>
        </w:rPr>
      </w:pPr>
      <w:r>
        <w:rPr>
          <w:rFonts w:hint="eastAsia"/>
          <w:b/>
          <w:color w:val="auto"/>
        </w:rPr>
        <w:t>1.4  合同文件的优先顺序</w:t>
      </w:r>
    </w:p>
    <w:p>
      <w:pPr>
        <w:spacing w:line="400" w:lineRule="exact"/>
        <w:ind w:firstLine="420" w:firstLineChars="200"/>
        <w:rPr>
          <w:color w:val="auto"/>
        </w:rPr>
      </w:pPr>
      <w:r>
        <w:rPr>
          <w:rFonts w:hint="eastAsia"/>
          <w:color w:val="auto"/>
        </w:rPr>
        <w:t>合同文件组成及解释顺序：</w:t>
      </w:r>
    </w:p>
    <w:p>
      <w:pPr>
        <w:spacing w:line="400" w:lineRule="exact"/>
        <w:ind w:firstLine="420" w:firstLineChars="200"/>
        <w:rPr>
          <w:color w:val="auto"/>
        </w:rPr>
      </w:pPr>
      <w:r>
        <w:rPr>
          <w:rFonts w:hint="eastAsia"/>
          <w:color w:val="auto"/>
        </w:rPr>
        <w:t>（1）</w:t>
      </w:r>
      <w:r>
        <w:rPr>
          <w:color w:val="auto"/>
        </w:rPr>
        <w:t>合同协议书</w:t>
      </w:r>
      <w:r>
        <w:rPr>
          <w:rFonts w:hint="eastAsia"/>
          <w:color w:val="auto"/>
        </w:rPr>
        <w:t>；</w:t>
      </w:r>
    </w:p>
    <w:p>
      <w:pPr>
        <w:spacing w:line="400" w:lineRule="exact"/>
        <w:ind w:firstLine="420" w:firstLineChars="200"/>
        <w:rPr>
          <w:color w:val="auto"/>
        </w:rPr>
      </w:pPr>
      <w:r>
        <w:rPr>
          <w:rFonts w:hint="eastAsia"/>
          <w:color w:val="auto"/>
        </w:rPr>
        <w:t>（2）中标通知书；</w:t>
      </w:r>
    </w:p>
    <w:p>
      <w:pPr>
        <w:spacing w:line="400" w:lineRule="exact"/>
        <w:ind w:firstLine="420" w:firstLineChars="200"/>
        <w:rPr>
          <w:color w:val="auto"/>
        </w:rPr>
      </w:pPr>
      <w:r>
        <w:rPr>
          <w:rFonts w:hint="eastAsia"/>
          <w:color w:val="auto"/>
        </w:rPr>
        <w:t>（3）投标函及投标函附录；</w:t>
      </w:r>
    </w:p>
    <w:p>
      <w:pPr>
        <w:spacing w:line="400" w:lineRule="exact"/>
        <w:ind w:firstLine="420" w:firstLineChars="200"/>
        <w:rPr>
          <w:color w:val="auto"/>
        </w:rPr>
      </w:pPr>
      <w:r>
        <w:rPr>
          <w:rFonts w:hint="eastAsia"/>
          <w:color w:val="auto"/>
        </w:rPr>
        <w:t>（4）专用合同条款；</w:t>
      </w:r>
    </w:p>
    <w:p>
      <w:pPr>
        <w:spacing w:line="400" w:lineRule="exact"/>
        <w:ind w:firstLine="420" w:firstLineChars="200"/>
        <w:rPr>
          <w:color w:val="auto"/>
        </w:rPr>
      </w:pPr>
      <w:r>
        <w:rPr>
          <w:rFonts w:hint="eastAsia"/>
          <w:color w:val="auto"/>
        </w:rPr>
        <w:t>（5）通用合同条款；</w:t>
      </w:r>
    </w:p>
    <w:p>
      <w:pPr>
        <w:spacing w:line="400" w:lineRule="exact"/>
        <w:ind w:firstLine="420" w:firstLineChars="200"/>
        <w:rPr>
          <w:color w:val="auto"/>
        </w:rPr>
      </w:pPr>
      <w:r>
        <w:rPr>
          <w:rFonts w:hint="eastAsia"/>
          <w:color w:val="auto"/>
        </w:rPr>
        <w:t>（6）技术标准和要求；</w:t>
      </w:r>
    </w:p>
    <w:p>
      <w:pPr>
        <w:spacing w:line="400" w:lineRule="exact"/>
        <w:ind w:firstLine="420" w:firstLineChars="200"/>
        <w:rPr>
          <w:color w:val="auto"/>
        </w:rPr>
      </w:pPr>
      <w:r>
        <w:rPr>
          <w:rFonts w:hint="eastAsia"/>
          <w:color w:val="auto"/>
        </w:rPr>
        <w:t>（7）图纸；</w:t>
      </w:r>
    </w:p>
    <w:p>
      <w:pPr>
        <w:spacing w:line="400" w:lineRule="exact"/>
        <w:ind w:firstLine="420" w:firstLineChars="200"/>
        <w:rPr>
          <w:color w:val="auto"/>
        </w:rPr>
      </w:pPr>
      <w:r>
        <w:rPr>
          <w:rFonts w:hint="eastAsia"/>
          <w:color w:val="auto"/>
        </w:rPr>
        <w:t>（8）已标价工程量清单；</w:t>
      </w:r>
    </w:p>
    <w:p>
      <w:pPr>
        <w:spacing w:line="400" w:lineRule="exact"/>
        <w:ind w:firstLine="420" w:firstLineChars="200"/>
        <w:rPr>
          <w:color w:val="auto"/>
        </w:rPr>
      </w:pPr>
      <w:r>
        <w:rPr>
          <w:rFonts w:hint="eastAsia"/>
          <w:color w:val="auto"/>
        </w:rPr>
        <w:t>（9）招标文件；</w:t>
      </w:r>
    </w:p>
    <w:p>
      <w:pPr>
        <w:spacing w:line="400" w:lineRule="exact"/>
        <w:ind w:firstLine="420" w:firstLineChars="200"/>
        <w:rPr>
          <w:color w:val="auto"/>
        </w:rPr>
      </w:pPr>
      <w:r>
        <w:rPr>
          <w:color w:val="auto"/>
        </w:rPr>
        <w:t>（</w:t>
      </w:r>
      <w:r>
        <w:rPr>
          <w:rFonts w:hint="eastAsia"/>
          <w:color w:val="auto"/>
        </w:rPr>
        <w:t>10</w:t>
      </w:r>
      <w:r>
        <w:rPr>
          <w:color w:val="auto"/>
        </w:rPr>
        <w:t>）投标文件</w:t>
      </w:r>
      <w:r>
        <w:rPr>
          <w:rFonts w:hint="eastAsia"/>
          <w:color w:val="auto"/>
        </w:rPr>
        <w:t>；</w:t>
      </w:r>
    </w:p>
    <w:p>
      <w:pPr>
        <w:spacing w:line="400" w:lineRule="exact"/>
        <w:ind w:firstLine="420" w:firstLineChars="200"/>
        <w:rPr>
          <w:color w:val="auto"/>
        </w:rPr>
      </w:pPr>
      <w:r>
        <w:rPr>
          <w:rFonts w:hint="eastAsia"/>
          <w:color w:val="auto"/>
        </w:rPr>
        <w:t>（11）工程质量保修书；</w:t>
      </w:r>
    </w:p>
    <w:p>
      <w:pPr>
        <w:spacing w:line="400" w:lineRule="exact"/>
        <w:ind w:firstLine="420" w:firstLineChars="200"/>
        <w:rPr>
          <w:color w:val="auto"/>
        </w:rPr>
      </w:pPr>
      <w:r>
        <w:rPr>
          <w:rFonts w:hint="eastAsia"/>
          <w:color w:val="auto"/>
        </w:rPr>
        <w:t>（12）建设工程廉政责任书；</w:t>
      </w:r>
    </w:p>
    <w:p>
      <w:pPr>
        <w:spacing w:line="400" w:lineRule="exact"/>
        <w:ind w:firstLine="420" w:firstLineChars="200"/>
        <w:rPr>
          <w:color w:val="auto"/>
        </w:rPr>
      </w:pPr>
      <w:r>
        <w:rPr>
          <w:rFonts w:hint="eastAsia"/>
          <w:color w:val="auto"/>
        </w:rPr>
        <w:t>（13）其他合同文件。</w:t>
      </w:r>
    </w:p>
    <w:p>
      <w:pPr>
        <w:spacing w:line="400" w:lineRule="exact"/>
        <w:ind w:firstLine="420" w:firstLineChars="200"/>
        <w:rPr>
          <w:color w:val="auto"/>
        </w:rPr>
      </w:pPr>
      <w:r>
        <w:rPr>
          <w:rFonts w:hint="eastAsia" w:ascii="宋体" w:hAnsi="宋体"/>
          <w:color w:val="auto"/>
        </w:rPr>
        <w:t>上述文件互相补充和解释，如有不明确或不一致之处，以合同约定次序在先者为准。</w:t>
      </w:r>
    </w:p>
    <w:p>
      <w:pPr>
        <w:spacing w:line="400" w:lineRule="exact"/>
        <w:rPr>
          <w:b/>
          <w:color w:val="auto"/>
        </w:rPr>
      </w:pPr>
      <w:r>
        <w:rPr>
          <w:rFonts w:hint="eastAsia"/>
          <w:b/>
          <w:color w:val="auto"/>
        </w:rPr>
        <w:t>1.5  合同生效的条件</w:t>
      </w:r>
    </w:p>
    <w:p>
      <w:pPr>
        <w:spacing w:line="400" w:lineRule="exact"/>
        <w:ind w:firstLine="411" w:firstLineChars="196"/>
        <w:rPr>
          <w:b/>
          <w:color w:val="auto"/>
        </w:rPr>
      </w:pPr>
      <w:r>
        <w:rPr>
          <w:rFonts w:hint="eastAsia" w:ascii="宋体" w:hAnsi="宋体" w:cs="宋体"/>
          <w:snapToGrid w:val="0"/>
          <w:color w:val="auto"/>
          <w:szCs w:val="21"/>
        </w:rPr>
        <w:t>合同生效的条件：</w:t>
      </w:r>
      <w:r>
        <w:rPr>
          <w:rFonts w:hint="eastAsia" w:ascii="宋体" w:hAnsi="宋体" w:cs="宋体"/>
          <w:b/>
          <w:color w:val="auto"/>
          <w:szCs w:val="21"/>
          <w:u w:val="single"/>
        </w:rPr>
        <w:t>经双方法定代表人签字并盖公章后生效。在双方履行完本合同约定的各自的权利和义务后自动失效。</w:t>
      </w:r>
    </w:p>
    <w:p>
      <w:pPr>
        <w:spacing w:line="400" w:lineRule="exact"/>
        <w:rPr>
          <w:b/>
          <w:color w:val="auto"/>
        </w:rPr>
      </w:pPr>
      <w:r>
        <w:rPr>
          <w:rFonts w:hint="eastAsia"/>
          <w:b/>
          <w:color w:val="auto"/>
        </w:rPr>
        <w:t>1.6  图纸和承包人文件</w:t>
      </w:r>
    </w:p>
    <w:p>
      <w:pPr>
        <w:spacing w:line="400" w:lineRule="exact"/>
        <w:ind w:firstLine="420" w:firstLineChars="200"/>
        <w:rPr>
          <w:b/>
          <w:color w:val="auto"/>
          <w:u w:val="single"/>
        </w:rPr>
      </w:pPr>
      <w:r>
        <w:rPr>
          <w:rFonts w:hint="eastAsia"/>
          <w:color w:val="auto"/>
        </w:rPr>
        <w:t>1.6.1  发包人提供图纸的期限、数量：</w:t>
      </w:r>
      <w:r>
        <w:rPr>
          <w:rFonts w:hint="eastAsia"/>
          <w:b/>
          <w:color w:val="auto"/>
          <w:u w:val="single"/>
        </w:rPr>
        <w:t>签订合同后3日内，由发包人提供2套图纸，如果承包人要求增加所提供图纸套数，费用由承包人承担；</w:t>
      </w:r>
    </w:p>
    <w:p>
      <w:pPr>
        <w:spacing w:line="400" w:lineRule="exact"/>
        <w:ind w:firstLine="420" w:firstLineChars="200"/>
        <w:rPr>
          <w:b/>
          <w:color w:val="auto"/>
          <w:u w:val="single"/>
        </w:rPr>
      </w:pPr>
      <w:r>
        <w:rPr>
          <w:rFonts w:hint="eastAsia"/>
          <w:color w:val="auto"/>
        </w:rPr>
        <w:t>1.6.2  承包人提供的文件范围：</w:t>
      </w:r>
      <w:r>
        <w:rPr>
          <w:rFonts w:hint="eastAsia"/>
          <w:b/>
          <w:color w:val="auto"/>
          <w:u w:val="single"/>
        </w:rPr>
        <w:t xml:space="preserve"> 施工组织设计和进度计划、专项施工方案、安全应急方案、施工扬尘专项控制方案以及按发包人要求提供的其他相关资料（含电子文档）。</w:t>
      </w:r>
    </w:p>
    <w:p>
      <w:pPr>
        <w:spacing w:line="400" w:lineRule="exact"/>
        <w:ind w:firstLine="435"/>
        <w:rPr>
          <w:rFonts w:ascii="宋体" w:hAnsi="宋体"/>
          <w:b/>
          <w:color w:val="auto"/>
          <w:szCs w:val="21"/>
          <w:u w:val="single"/>
        </w:rPr>
      </w:pPr>
      <w:r>
        <w:rPr>
          <w:rFonts w:hint="eastAsia"/>
          <w:color w:val="auto"/>
        </w:rPr>
        <w:t>承包人提供文件的期限、数量：</w:t>
      </w:r>
      <w:r>
        <w:rPr>
          <w:rFonts w:hint="eastAsia" w:ascii="宋体" w:hAnsi="宋体"/>
          <w:b/>
          <w:color w:val="auto"/>
          <w:szCs w:val="21"/>
          <w:u w:val="single"/>
        </w:rPr>
        <w:t>图纸会审交底后并在距开工令发出7天前，提供一式4套。</w:t>
      </w:r>
    </w:p>
    <w:p>
      <w:pPr>
        <w:spacing w:line="400" w:lineRule="exact"/>
        <w:ind w:firstLine="435"/>
        <w:rPr>
          <w:color w:val="auto"/>
        </w:rPr>
      </w:pPr>
      <w:r>
        <w:rPr>
          <w:rFonts w:hint="eastAsia"/>
          <w:color w:val="auto"/>
        </w:rPr>
        <w:t>监理人批复承包人提供文件的期限：</w:t>
      </w:r>
      <w:r>
        <w:rPr>
          <w:rFonts w:hint="eastAsia"/>
          <w:b/>
          <w:color w:val="auto"/>
          <w:u w:val="single"/>
        </w:rPr>
        <w:t>开工前7天。</w:t>
      </w:r>
    </w:p>
    <w:p>
      <w:pPr>
        <w:spacing w:line="400" w:lineRule="exact"/>
        <w:ind w:firstLine="435"/>
        <w:rPr>
          <w:color w:val="auto"/>
        </w:rPr>
      </w:pPr>
      <w:r>
        <w:rPr>
          <w:rFonts w:hint="eastAsia"/>
          <w:color w:val="auto"/>
        </w:rPr>
        <w:t>1.6.3  监理签发图纸修改的期限：</w:t>
      </w:r>
      <w:r>
        <w:rPr>
          <w:rFonts w:hint="eastAsia"/>
          <w:b/>
          <w:color w:val="auto"/>
          <w:u w:val="single"/>
        </w:rPr>
        <w:t xml:space="preserve"> 在该工程或工程部位施工前 7天。</w:t>
      </w:r>
    </w:p>
    <w:p>
      <w:pPr>
        <w:spacing w:line="400" w:lineRule="exact"/>
        <w:rPr>
          <w:b/>
          <w:color w:val="auto"/>
        </w:rPr>
      </w:pPr>
      <w:r>
        <w:rPr>
          <w:rFonts w:hint="eastAsia"/>
          <w:b/>
          <w:color w:val="auto"/>
        </w:rPr>
        <w:t>1.7  联络</w:t>
      </w:r>
    </w:p>
    <w:p>
      <w:pPr>
        <w:spacing w:line="400" w:lineRule="exact"/>
        <w:ind w:firstLine="420" w:firstLineChars="200"/>
        <w:rPr>
          <w:color w:val="auto"/>
        </w:rPr>
      </w:pPr>
      <w:r>
        <w:rPr>
          <w:rFonts w:hint="eastAsia"/>
          <w:color w:val="auto"/>
        </w:rPr>
        <w:t>1.7.2  联络送达的期限：</w:t>
      </w:r>
      <w:r>
        <w:rPr>
          <w:rFonts w:hint="eastAsia"/>
          <w:b/>
          <w:color w:val="auto"/>
          <w:u w:val="single"/>
        </w:rPr>
        <w:t xml:space="preserve">各类文件在正式签发后，1天内现场送达项目代表，并办理签收手续。 </w:t>
      </w:r>
      <w:r>
        <w:rPr>
          <w:rFonts w:hint="eastAsia"/>
          <w:color w:val="auto"/>
        </w:rPr>
        <w:t xml:space="preserve"> </w:t>
      </w:r>
    </w:p>
    <w:p>
      <w:pPr>
        <w:spacing w:line="400" w:lineRule="exact"/>
        <w:rPr>
          <w:b/>
          <w:color w:val="auto"/>
        </w:rPr>
      </w:pPr>
      <w:r>
        <w:rPr>
          <w:rFonts w:hint="eastAsia"/>
          <w:b/>
          <w:color w:val="auto"/>
        </w:rPr>
        <w:t>2.  发包人义务</w:t>
      </w:r>
    </w:p>
    <w:p>
      <w:pPr>
        <w:spacing w:line="400" w:lineRule="exact"/>
        <w:rPr>
          <w:b/>
          <w:color w:val="auto"/>
        </w:rPr>
      </w:pPr>
      <w:r>
        <w:rPr>
          <w:rFonts w:hint="eastAsia"/>
          <w:b/>
          <w:color w:val="auto"/>
        </w:rPr>
        <w:t>2.3  提供施工场地</w:t>
      </w:r>
    </w:p>
    <w:p>
      <w:pPr>
        <w:spacing w:line="400" w:lineRule="exact"/>
        <w:ind w:firstLine="411" w:firstLineChars="196"/>
        <w:rPr>
          <w:b/>
          <w:color w:val="auto"/>
        </w:rPr>
      </w:pPr>
      <w:r>
        <w:rPr>
          <w:rFonts w:hint="eastAsia"/>
          <w:color w:val="auto"/>
        </w:rPr>
        <w:t>发包人提供施工场地和有关资料的时间：</w:t>
      </w:r>
      <w:r>
        <w:rPr>
          <w:rFonts w:hint="eastAsia"/>
          <w:b/>
          <w:color w:val="auto"/>
          <w:u w:val="single"/>
        </w:rPr>
        <w:t xml:space="preserve">合同签订后7日内。 </w:t>
      </w:r>
      <w:r>
        <w:rPr>
          <w:rFonts w:hint="eastAsia"/>
          <w:color w:val="auto"/>
        </w:rPr>
        <w:t xml:space="preserve">   </w:t>
      </w:r>
    </w:p>
    <w:p>
      <w:pPr>
        <w:spacing w:line="400" w:lineRule="exact"/>
        <w:rPr>
          <w:b/>
          <w:color w:val="auto"/>
        </w:rPr>
      </w:pPr>
      <w:r>
        <w:rPr>
          <w:rFonts w:hint="eastAsia"/>
          <w:b/>
          <w:color w:val="auto"/>
        </w:rPr>
        <w:t>2.8  其他义务</w:t>
      </w:r>
    </w:p>
    <w:p>
      <w:pPr>
        <w:spacing w:line="400" w:lineRule="exact"/>
        <w:ind w:firstLine="420" w:firstLineChars="200"/>
        <w:rPr>
          <w:color w:val="auto"/>
        </w:rPr>
      </w:pPr>
      <w:r>
        <w:rPr>
          <w:rFonts w:hint="eastAsia"/>
          <w:color w:val="auto"/>
        </w:rPr>
        <w:t>发包人应按约定的时间和要求完成以下工作：</w:t>
      </w:r>
    </w:p>
    <w:p>
      <w:pPr>
        <w:spacing w:line="400" w:lineRule="exact"/>
        <w:ind w:firstLine="420" w:firstLineChars="200"/>
        <w:rPr>
          <w:color w:val="auto"/>
        </w:rPr>
      </w:pPr>
      <w:r>
        <w:rPr>
          <w:rFonts w:hint="eastAsia"/>
          <w:color w:val="auto"/>
        </w:rPr>
        <w:t xml:space="preserve">2.8.1施工场地具备施工条件的要求及完成的时间： </w:t>
      </w:r>
      <w:r>
        <w:rPr>
          <w:rFonts w:hint="eastAsia"/>
          <w:b/>
          <w:color w:val="auto"/>
          <w:u w:val="single"/>
        </w:rPr>
        <w:t>以现状为准</w:t>
      </w:r>
      <w:r>
        <w:rPr>
          <w:rFonts w:hint="eastAsia"/>
          <w:color w:val="auto"/>
        </w:rPr>
        <w:t>。</w:t>
      </w:r>
    </w:p>
    <w:p>
      <w:pPr>
        <w:spacing w:line="400" w:lineRule="exact"/>
        <w:ind w:firstLine="420" w:firstLineChars="200"/>
        <w:rPr>
          <w:color w:val="auto"/>
        </w:rPr>
      </w:pPr>
      <w:r>
        <w:rPr>
          <w:rFonts w:hint="eastAsia"/>
          <w:color w:val="auto"/>
        </w:rPr>
        <w:t>2.8.2将施工所需的水、电、电讯线路接至施工场地的时间、地点和供应要求：</w:t>
      </w:r>
      <w:r>
        <w:rPr>
          <w:rFonts w:hint="eastAsia"/>
          <w:b/>
          <w:color w:val="auto"/>
          <w:u w:val="single"/>
        </w:rPr>
        <w:t>发包人解决施工用电、用水并承担相应费用</w:t>
      </w:r>
      <w:r>
        <w:rPr>
          <w:rFonts w:hint="eastAsia"/>
          <w:b/>
          <w:color w:val="auto"/>
          <w:u w:val="single"/>
          <w:lang w:eastAsia="zh-CN"/>
        </w:rPr>
        <w:t>，</w:t>
      </w:r>
      <w:r>
        <w:rPr>
          <w:rFonts w:hint="eastAsia"/>
          <w:b/>
          <w:color w:val="auto"/>
          <w:u w:val="single"/>
        </w:rPr>
        <w:t>施工所需的电讯线路由承包人自行解决。</w:t>
      </w:r>
    </w:p>
    <w:p>
      <w:pPr>
        <w:spacing w:line="400" w:lineRule="exact"/>
        <w:ind w:firstLine="420" w:firstLineChars="200"/>
        <w:rPr>
          <w:color w:val="auto"/>
        </w:rPr>
      </w:pPr>
      <w:r>
        <w:rPr>
          <w:rFonts w:hint="eastAsia"/>
          <w:color w:val="auto"/>
        </w:rPr>
        <w:t xml:space="preserve">2.8.3施工场地与公共道路的通道开通时间和要求： </w:t>
      </w:r>
      <w:r>
        <w:rPr>
          <w:rFonts w:hint="eastAsia"/>
          <w:b/>
          <w:color w:val="auto"/>
          <w:u w:val="single"/>
        </w:rPr>
        <w:t>施工场地与公共道路的通道以现状为准</w:t>
      </w:r>
      <w:r>
        <w:rPr>
          <w:rFonts w:hint="eastAsia"/>
          <w:b/>
          <w:color w:val="auto"/>
        </w:rPr>
        <w:t>。</w:t>
      </w:r>
    </w:p>
    <w:p>
      <w:pPr>
        <w:spacing w:line="400" w:lineRule="exact"/>
        <w:ind w:firstLine="420" w:firstLineChars="200"/>
        <w:rPr>
          <w:b/>
          <w:color w:val="auto"/>
          <w:u w:val="single"/>
        </w:rPr>
      </w:pPr>
      <w:r>
        <w:rPr>
          <w:rFonts w:hint="eastAsia"/>
          <w:color w:val="auto"/>
        </w:rPr>
        <w:t xml:space="preserve">2.8.4由发包人办理的施工所需证件、批件的名称和完成时间： </w:t>
      </w:r>
      <w:r>
        <w:rPr>
          <w:rFonts w:hint="eastAsia"/>
          <w:b/>
          <w:color w:val="auto"/>
          <w:u w:val="single"/>
        </w:rPr>
        <w:t>合同签订后，发包人在开工前依法办理施工许可证等相关建设手续。</w:t>
      </w:r>
    </w:p>
    <w:p>
      <w:pPr>
        <w:spacing w:line="400" w:lineRule="exact"/>
        <w:ind w:firstLine="420" w:firstLineChars="200"/>
        <w:rPr>
          <w:color w:val="auto"/>
        </w:rPr>
      </w:pPr>
      <w:r>
        <w:rPr>
          <w:rFonts w:hint="eastAsia"/>
          <w:color w:val="auto"/>
        </w:rPr>
        <w:t xml:space="preserve">2.8.5水准点与座标控制点交验要求：  </w:t>
      </w:r>
      <w:r>
        <w:rPr>
          <w:rFonts w:hint="eastAsia"/>
          <w:b/>
          <w:color w:val="auto"/>
          <w:u w:val="single"/>
        </w:rPr>
        <w:t>开工7天前发包人通过监理人以书面形式通知承包人，并组织相关单位进行现场交验，同时做好交验记录</w:t>
      </w:r>
      <w:r>
        <w:rPr>
          <w:rFonts w:hint="eastAsia"/>
          <w:color w:val="auto"/>
        </w:rPr>
        <w:t>。</w:t>
      </w:r>
    </w:p>
    <w:p>
      <w:pPr>
        <w:spacing w:line="400" w:lineRule="exact"/>
        <w:ind w:firstLine="420" w:firstLineChars="200"/>
        <w:rPr>
          <w:color w:val="auto"/>
        </w:rPr>
      </w:pPr>
      <w:r>
        <w:rPr>
          <w:rFonts w:hint="eastAsia"/>
          <w:color w:val="auto"/>
        </w:rPr>
        <w:t xml:space="preserve">2.8.6图纸会审和设计交底时间： </w:t>
      </w:r>
      <w:r>
        <w:rPr>
          <w:rFonts w:hint="eastAsia"/>
          <w:b/>
          <w:color w:val="auto"/>
          <w:u w:val="single"/>
        </w:rPr>
        <w:t>开工前7天。</w:t>
      </w:r>
    </w:p>
    <w:p>
      <w:pPr>
        <w:spacing w:line="400" w:lineRule="exact"/>
        <w:ind w:firstLine="420" w:firstLineChars="200"/>
        <w:rPr>
          <w:color w:val="auto"/>
        </w:rPr>
      </w:pPr>
      <w:r>
        <w:rPr>
          <w:rFonts w:hint="eastAsia"/>
          <w:color w:val="auto"/>
        </w:rPr>
        <w:t>2.8.7</w:t>
      </w:r>
      <w:r>
        <w:rPr>
          <w:rFonts w:hint="eastAsia"/>
          <w:b/>
          <w:color w:val="auto"/>
          <w:u w:val="single"/>
        </w:rPr>
        <w:t>协调处理施工场地周围地下管线和邻近建筑物、构筑物（含文物保护建筑）、古树名木的保护工作。</w:t>
      </w:r>
    </w:p>
    <w:p>
      <w:pPr>
        <w:spacing w:line="400" w:lineRule="exact"/>
        <w:ind w:firstLine="420" w:firstLineChars="200"/>
        <w:rPr>
          <w:color w:val="auto"/>
        </w:rPr>
      </w:pPr>
      <w:r>
        <w:rPr>
          <w:rFonts w:hint="eastAsia"/>
          <w:color w:val="auto"/>
        </w:rPr>
        <w:t xml:space="preserve">2.8.8双方约定发包人应做的其他工作： </w:t>
      </w:r>
      <w:r>
        <w:rPr>
          <w:rFonts w:hint="eastAsia"/>
          <w:b/>
          <w:color w:val="auto"/>
          <w:u w:val="single"/>
        </w:rPr>
        <w:t>协助承包人处理周边关系</w:t>
      </w:r>
      <w:r>
        <w:rPr>
          <w:rFonts w:hint="eastAsia"/>
          <w:b/>
          <w:color w:val="auto"/>
        </w:rPr>
        <w:t>。</w:t>
      </w:r>
    </w:p>
    <w:p>
      <w:pPr>
        <w:spacing w:line="400" w:lineRule="exact"/>
        <w:rPr>
          <w:b/>
          <w:color w:val="auto"/>
        </w:rPr>
      </w:pPr>
      <w:r>
        <w:rPr>
          <w:rFonts w:hint="eastAsia"/>
          <w:b/>
          <w:color w:val="auto"/>
        </w:rPr>
        <w:t>3.  监理人</w:t>
      </w:r>
    </w:p>
    <w:p>
      <w:pPr>
        <w:spacing w:line="400" w:lineRule="exact"/>
        <w:rPr>
          <w:b/>
          <w:color w:val="auto"/>
        </w:rPr>
      </w:pPr>
      <w:r>
        <w:rPr>
          <w:rFonts w:hint="eastAsia"/>
          <w:b/>
          <w:color w:val="auto"/>
        </w:rPr>
        <w:t>3.1  监理人的职责和权力</w:t>
      </w:r>
    </w:p>
    <w:p>
      <w:pPr>
        <w:spacing w:line="400" w:lineRule="exact"/>
        <w:ind w:firstLine="420" w:firstLineChars="200"/>
        <w:rPr>
          <w:b/>
          <w:color w:val="auto"/>
          <w:u w:val="single"/>
        </w:rPr>
      </w:pPr>
      <w:r>
        <w:rPr>
          <w:rFonts w:hint="eastAsia"/>
          <w:color w:val="auto"/>
        </w:rPr>
        <w:t xml:space="preserve">3.1.1  发包人委托的职权： </w:t>
      </w:r>
      <w:r>
        <w:rPr>
          <w:rFonts w:hint="eastAsia"/>
          <w:b/>
          <w:color w:val="auto"/>
          <w:u w:val="single"/>
        </w:rPr>
        <w:t xml:space="preserve"> 代表发包人对工程质量、进度、造价进行控制，对合同和信息进行管理，对文明施工、环保和环卫进行监督，并对现场施工组织进行协调，并履行建设工程安全生产法定职责，具体以监理合同为准。</w:t>
      </w:r>
    </w:p>
    <w:p>
      <w:pPr>
        <w:spacing w:line="400" w:lineRule="exact"/>
        <w:ind w:firstLine="422" w:firstLineChars="200"/>
        <w:rPr>
          <w:b/>
          <w:color w:val="auto"/>
          <w:u w:val="single"/>
        </w:rPr>
      </w:pPr>
      <w:r>
        <w:rPr>
          <w:rFonts w:hint="eastAsia"/>
          <w:b/>
          <w:color w:val="auto"/>
          <w:u w:val="single"/>
        </w:rPr>
        <w:t>须经发包人事先批准行使的权力： 工程开工、停工、复工令的签发需经发包人同意，工期延长、材料设备认质核价、工程变更、现场签证、价款调整、工程计量与支付、索赔及与工程价款相关事宜等需经发包人核定和批准。</w:t>
      </w:r>
    </w:p>
    <w:p>
      <w:pPr>
        <w:spacing w:line="400" w:lineRule="exact"/>
        <w:ind w:firstLine="420" w:firstLineChars="200"/>
        <w:rPr>
          <w:b/>
          <w:color w:val="auto"/>
          <w:u w:val="single"/>
        </w:rPr>
      </w:pPr>
      <w:r>
        <w:rPr>
          <w:rFonts w:hint="eastAsia"/>
          <w:color w:val="auto"/>
        </w:rPr>
        <w:t>3.1.4  监理人的职责：</w:t>
      </w:r>
      <w:r>
        <w:rPr>
          <w:rFonts w:hint="eastAsia"/>
          <w:b/>
          <w:color w:val="auto"/>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p>
    <w:p>
      <w:pPr>
        <w:spacing w:line="400" w:lineRule="exact"/>
        <w:rPr>
          <w:b/>
          <w:color w:val="auto"/>
        </w:rPr>
      </w:pPr>
      <w:r>
        <w:rPr>
          <w:rFonts w:hint="eastAsia"/>
          <w:b/>
          <w:color w:val="auto"/>
        </w:rPr>
        <w:t>3.4  监理人的指示</w:t>
      </w:r>
    </w:p>
    <w:p>
      <w:pPr>
        <w:spacing w:line="400" w:lineRule="exact"/>
        <w:ind w:firstLine="422" w:firstLineChars="200"/>
        <w:rPr>
          <w:b/>
          <w:color w:val="auto"/>
        </w:rPr>
      </w:pPr>
      <w:r>
        <w:rPr>
          <w:rFonts w:hint="eastAsia"/>
          <w:b/>
          <w:color w:val="auto"/>
        </w:rPr>
        <w:t>3.4.4  如果发包人认为有必要，可直接向承包人发出指示，并抄送监理人。</w:t>
      </w:r>
    </w:p>
    <w:p>
      <w:pPr>
        <w:spacing w:line="400" w:lineRule="exact"/>
        <w:rPr>
          <w:b/>
          <w:color w:val="auto"/>
        </w:rPr>
      </w:pPr>
      <w:r>
        <w:rPr>
          <w:rFonts w:hint="eastAsia"/>
          <w:b/>
          <w:color w:val="auto"/>
        </w:rPr>
        <w:t>4.  承包人</w:t>
      </w:r>
    </w:p>
    <w:p>
      <w:pPr>
        <w:spacing w:line="400" w:lineRule="exact"/>
        <w:rPr>
          <w:b/>
          <w:color w:val="auto"/>
        </w:rPr>
      </w:pPr>
      <w:r>
        <w:rPr>
          <w:rFonts w:hint="eastAsia"/>
          <w:b/>
          <w:color w:val="auto"/>
        </w:rPr>
        <w:t>4.1  承包人的一般义务</w:t>
      </w:r>
    </w:p>
    <w:p>
      <w:pPr>
        <w:spacing w:line="400" w:lineRule="exact"/>
        <w:ind w:firstLine="411" w:firstLineChars="196"/>
        <w:rPr>
          <w:b/>
          <w:color w:val="auto"/>
        </w:rPr>
      </w:pPr>
      <w:r>
        <w:rPr>
          <w:rFonts w:hint="eastAsia"/>
          <w:color w:val="auto"/>
        </w:rPr>
        <w:t>4.1.8 为他人提供方便</w:t>
      </w:r>
    </w:p>
    <w:p>
      <w:pPr>
        <w:spacing w:line="400" w:lineRule="exact"/>
        <w:ind w:firstLine="411" w:firstLineChars="196"/>
        <w:rPr>
          <w:b/>
          <w:color w:val="auto"/>
        </w:rPr>
      </w:pPr>
      <w:r>
        <w:rPr>
          <w:rFonts w:hint="eastAsia"/>
          <w:color w:val="auto"/>
        </w:rPr>
        <w:t>承包人为他人提供条件的内容：</w:t>
      </w:r>
      <w:r>
        <w:rPr>
          <w:rFonts w:hint="eastAsia"/>
          <w:b/>
          <w:color w:val="auto"/>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pPr>
        <w:spacing w:line="400" w:lineRule="exact"/>
        <w:ind w:firstLine="411" w:firstLineChars="196"/>
        <w:rPr>
          <w:b/>
          <w:color w:val="auto"/>
        </w:rPr>
      </w:pPr>
      <w:r>
        <w:rPr>
          <w:rFonts w:hint="eastAsia"/>
          <w:color w:val="auto"/>
        </w:rPr>
        <w:t>向发包人提供的办公和生活房屋及设施的要求：</w:t>
      </w:r>
      <w:r>
        <w:rPr>
          <w:rFonts w:hint="eastAsia"/>
          <w:b/>
          <w:color w:val="auto"/>
          <w:u w:val="single"/>
        </w:rPr>
        <w:t>向发包人、监理单位提供现场办公室</w:t>
      </w:r>
      <w:r>
        <w:rPr>
          <w:rFonts w:hint="eastAsia"/>
          <w:b/>
          <w:color w:val="auto"/>
        </w:rPr>
        <w:t>。</w:t>
      </w:r>
    </w:p>
    <w:p>
      <w:pPr>
        <w:spacing w:line="400" w:lineRule="exact"/>
        <w:ind w:firstLine="411" w:firstLineChars="196"/>
        <w:rPr>
          <w:b/>
          <w:color w:val="auto"/>
        </w:rPr>
      </w:pPr>
      <w:r>
        <w:rPr>
          <w:rFonts w:hint="eastAsia"/>
          <w:color w:val="auto"/>
        </w:rPr>
        <w:t>费用的处理方法：</w:t>
      </w:r>
      <w:r>
        <w:rPr>
          <w:rFonts w:hint="eastAsia"/>
          <w:b/>
          <w:color w:val="auto"/>
          <w:u w:val="single"/>
        </w:rPr>
        <w:t>费用已含在投标报价中，不作调整。</w:t>
      </w:r>
    </w:p>
    <w:p>
      <w:pPr>
        <w:spacing w:line="400" w:lineRule="exact"/>
        <w:ind w:firstLine="411" w:firstLineChars="196"/>
        <w:rPr>
          <w:b/>
          <w:color w:val="auto"/>
        </w:rPr>
      </w:pPr>
      <w:r>
        <w:rPr>
          <w:rFonts w:hint="eastAsia"/>
          <w:color w:val="auto"/>
        </w:rPr>
        <w:t>4.1.10 其他义务</w:t>
      </w:r>
    </w:p>
    <w:p>
      <w:pPr>
        <w:spacing w:line="400" w:lineRule="exact"/>
        <w:ind w:firstLine="413" w:firstLineChars="196"/>
        <w:rPr>
          <w:b/>
          <w:color w:val="auto"/>
        </w:rPr>
      </w:pPr>
      <w:r>
        <w:rPr>
          <w:rFonts w:hint="eastAsia"/>
          <w:b/>
          <w:color w:val="auto"/>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pPr>
        <w:spacing w:line="400" w:lineRule="exact"/>
        <w:ind w:firstLine="413" w:firstLineChars="196"/>
        <w:rPr>
          <w:b/>
          <w:color w:val="auto"/>
        </w:rPr>
      </w:pPr>
      <w:r>
        <w:rPr>
          <w:rFonts w:hint="eastAsia"/>
          <w:b/>
          <w:color w:val="auto"/>
          <w:u w:val="single"/>
        </w:rPr>
        <w:t>（2）负责施工所产生的所有余土、建筑和生活垃圾的外运和倾倒，并严格按有关规定执行。如果承包人不按规定执行，发包人有权另行委托符合条件单位或个人实施，费用从工程款直接扣支。</w:t>
      </w:r>
    </w:p>
    <w:p>
      <w:pPr>
        <w:spacing w:line="400" w:lineRule="exact"/>
        <w:ind w:firstLine="413" w:firstLineChars="196"/>
        <w:rPr>
          <w:b/>
          <w:color w:val="auto"/>
        </w:rPr>
      </w:pPr>
      <w:r>
        <w:rPr>
          <w:rFonts w:hint="eastAsia"/>
          <w:b/>
          <w:color w:val="auto"/>
          <w:u w:val="single"/>
        </w:rPr>
        <w:t>（3）根据工程需要，提供施工使用的所有照明、围栏设施，由此所发生的费用由承包人承担。</w:t>
      </w:r>
    </w:p>
    <w:p>
      <w:pPr>
        <w:spacing w:line="400" w:lineRule="exact"/>
        <w:ind w:firstLine="413" w:firstLineChars="196"/>
        <w:rPr>
          <w:b/>
          <w:color w:val="auto"/>
        </w:rPr>
      </w:pPr>
      <w:r>
        <w:rPr>
          <w:rFonts w:hint="eastAsia"/>
          <w:b/>
          <w:color w:val="auto"/>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pPr>
        <w:spacing w:line="400" w:lineRule="exact"/>
        <w:ind w:firstLine="413" w:firstLineChars="196"/>
        <w:rPr>
          <w:b/>
          <w:color w:val="auto"/>
        </w:rPr>
      </w:pPr>
      <w:r>
        <w:rPr>
          <w:rFonts w:hint="eastAsia"/>
          <w:b/>
          <w:color w:val="auto"/>
          <w:u w:val="single"/>
        </w:rPr>
        <w:t>（5）按重庆市政府有关主管部门（包括建设、交通、消防、环保等）的规定办理施工中所需相关手续（如临时用地、占道、爆破、夜间施工等），由此所发生的费用已进入投标报价内。</w:t>
      </w:r>
    </w:p>
    <w:p>
      <w:pPr>
        <w:spacing w:line="400" w:lineRule="exact"/>
        <w:ind w:firstLine="413" w:firstLineChars="196"/>
        <w:rPr>
          <w:b/>
          <w:color w:val="auto"/>
        </w:rPr>
      </w:pPr>
      <w:r>
        <w:rPr>
          <w:rFonts w:hint="eastAsia"/>
          <w:b/>
          <w:color w:val="auto"/>
          <w:u w:val="single"/>
        </w:rPr>
        <w:t>（6）加强施工管理，采取合理措施，尽可能不影响工程沿线正常交通、生产和生活，由此产生的各种措施费，及可能降低工效引起增加的费用由承包人承担。</w:t>
      </w:r>
    </w:p>
    <w:p>
      <w:pPr>
        <w:spacing w:line="400" w:lineRule="exact"/>
        <w:ind w:firstLine="413" w:firstLineChars="196"/>
        <w:rPr>
          <w:b/>
          <w:color w:val="auto"/>
          <w:u w:val="single"/>
        </w:rPr>
      </w:pPr>
      <w:r>
        <w:rPr>
          <w:rFonts w:hint="eastAsia"/>
          <w:b/>
          <w:color w:val="auto"/>
          <w:u w:val="single"/>
        </w:rPr>
        <w:t>（7）负责施工中为满足施工条件采取的各项措施，由此产生的费用由承包人承担。</w:t>
      </w:r>
    </w:p>
    <w:p>
      <w:pPr>
        <w:spacing w:line="400" w:lineRule="exact"/>
        <w:ind w:firstLine="413" w:firstLineChars="196"/>
        <w:rPr>
          <w:b/>
          <w:color w:val="auto"/>
          <w:u w:val="single"/>
        </w:rPr>
      </w:pPr>
      <w:r>
        <w:rPr>
          <w:rFonts w:hint="eastAsia"/>
          <w:b/>
          <w:color w:val="auto"/>
          <w:u w:val="single"/>
        </w:rPr>
        <w:t>（8）施工中应当采取必要措施防止土石方发生垮塌，因承包人措施不到位，垮塌造成的相关费用由承包人承担。</w:t>
      </w:r>
    </w:p>
    <w:p>
      <w:pPr>
        <w:spacing w:line="400" w:lineRule="exact"/>
        <w:ind w:firstLine="413" w:firstLineChars="196"/>
        <w:rPr>
          <w:b/>
          <w:color w:val="auto"/>
        </w:rPr>
      </w:pPr>
      <w:r>
        <w:rPr>
          <w:rFonts w:hint="eastAsia"/>
          <w:b/>
          <w:color w:val="auto"/>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pPr>
        <w:spacing w:line="400" w:lineRule="exact"/>
        <w:ind w:firstLine="413" w:firstLineChars="196"/>
        <w:rPr>
          <w:b/>
          <w:color w:val="auto"/>
        </w:rPr>
      </w:pPr>
      <w:r>
        <w:rPr>
          <w:rFonts w:hint="eastAsia"/>
          <w:b/>
          <w:color w:val="auto"/>
          <w:u w:val="single"/>
        </w:rPr>
        <w:t>（10）承包人应按照监理人审定的施工组织设计进行施工。</w:t>
      </w:r>
    </w:p>
    <w:p>
      <w:pPr>
        <w:spacing w:line="400" w:lineRule="exact"/>
        <w:ind w:firstLine="413" w:firstLineChars="196"/>
        <w:rPr>
          <w:b/>
          <w:color w:val="auto"/>
          <w:u w:val="single"/>
        </w:rPr>
      </w:pPr>
      <w:r>
        <w:rPr>
          <w:rFonts w:hint="eastAsia"/>
          <w:b/>
          <w:color w:val="auto"/>
          <w:u w:val="single"/>
        </w:rPr>
        <w:t>（11）工程款的支付按约定执行，承包人承诺不以未按期支付工程款为借口停工，更不得以此为由聚众闹事。</w:t>
      </w:r>
    </w:p>
    <w:p>
      <w:pPr>
        <w:spacing w:line="400" w:lineRule="exact"/>
        <w:ind w:firstLine="413" w:firstLineChars="196"/>
        <w:rPr>
          <w:b/>
          <w:color w:val="auto"/>
        </w:rPr>
      </w:pPr>
      <w:r>
        <w:rPr>
          <w:rFonts w:hint="eastAsia"/>
          <w:b/>
          <w:color w:val="auto"/>
          <w:u w:val="single"/>
        </w:rPr>
        <w:t>（12）承包人应履行合同约定的其他义务，农民工保证金按相关规定执行。</w:t>
      </w:r>
    </w:p>
    <w:p>
      <w:pPr>
        <w:spacing w:line="400" w:lineRule="exact"/>
        <w:ind w:firstLine="413" w:firstLineChars="196"/>
        <w:rPr>
          <w:b/>
          <w:color w:val="auto"/>
        </w:rPr>
      </w:pPr>
      <w:r>
        <w:rPr>
          <w:rFonts w:hint="eastAsia"/>
          <w:b/>
          <w:color w:val="auto"/>
          <w:u w:val="single"/>
        </w:rPr>
        <w:t>（13）负责施工中所有材料采购、运输、储存保管，且应遵守国家、地方有关规定，并完善相关手续，费用自行承担。</w:t>
      </w:r>
    </w:p>
    <w:p>
      <w:pPr>
        <w:spacing w:line="400" w:lineRule="exact"/>
        <w:ind w:firstLine="413" w:firstLineChars="196"/>
        <w:rPr>
          <w:b/>
          <w:color w:val="auto"/>
        </w:rPr>
      </w:pPr>
      <w:r>
        <w:rPr>
          <w:rFonts w:hint="eastAsia"/>
          <w:b/>
          <w:color w:val="auto"/>
          <w:u w:val="single"/>
        </w:rPr>
        <w:t>（14）开工前，承包人应主动会同监理人、发包人共同确认需交接部位，并做好记录，未经确认的不得开工，否则，由此造成的损失全部由承包人承担。</w:t>
      </w:r>
    </w:p>
    <w:p>
      <w:pPr>
        <w:spacing w:line="400" w:lineRule="exact"/>
        <w:ind w:firstLine="413" w:firstLineChars="196"/>
        <w:rPr>
          <w:b/>
          <w:color w:val="auto"/>
          <w:u w:val="single"/>
        </w:rPr>
      </w:pPr>
      <w:r>
        <w:rPr>
          <w:rFonts w:hint="eastAsia"/>
          <w:b/>
          <w:color w:val="auto"/>
          <w:u w:val="single"/>
        </w:rPr>
        <w:t>（15）施工中注重安全文明施工，采取一切有效预防措施，确保施工安全。施工期间，因承包人原因造成安全生产事故，导致人员伤亡、财产损失的一切经济责任和法律责任均由承包人承担。</w:t>
      </w:r>
    </w:p>
    <w:p>
      <w:pPr>
        <w:spacing w:line="400" w:lineRule="exact"/>
        <w:ind w:firstLine="413" w:firstLineChars="196"/>
        <w:rPr>
          <w:b/>
          <w:color w:val="auto"/>
          <w:u w:val="single"/>
        </w:rPr>
      </w:pPr>
      <w:r>
        <w:rPr>
          <w:rFonts w:hint="eastAsia"/>
          <w:b/>
          <w:color w:val="auto"/>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pPr>
        <w:spacing w:line="400" w:lineRule="exact"/>
        <w:ind w:firstLine="420" w:firstLineChars="200"/>
        <w:rPr>
          <w:color w:val="auto"/>
          <w:szCs w:val="21"/>
        </w:rPr>
      </w:pPr>
      <w:r>
        <w:rPr>
          <w:rFonts w:hAnsi="宋体"/>
          <w:color w:val="auto"/>
          <w:szCs w:val="21"/>
        </w:rPr>
        <w:t>（</w:t>
      </w:r>
      <w:r>
        <w:rPr>
          <w:color w:val="auto"/>
          <w:szCs w:val="21"/>
        </w:rPr>
        <w:t>1</w:t>
      </w:r>
      <w:r>
        <w:rPr>
          <w:rFonts w:hint="eastAsia"/>
          <w:color w:val="auto"/>
          <w:szCs w:val="21"/>
        </w:rPr>
        <w:t>7</w:t>
      </w:r>
      <w:r>
        <w:rPr>
          <w:rFonts w:hAnsi="宋体"/>
          <w:color w:val="auto"/>
          <w:szCs w:val="21"/>
        </w:rPr>
        <w:t>）承包人应承担并支付为获得本合同工程所需的石料、砂、砾石、黏土或其他当地材料等所发生的料场使用费及其他开支或补偿费。发包人应尽可能协助承包人办理料场租用手续及解决使用过程中的有关问题。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400" w:lineRule="exact"/>
        <w:ind w:firstLine="420" w:firstLineChars="200"/>
        <w:rPr>
          <w:rFonts w:hAnsi="宋体"/>
          <w:color w:val="auto"/>
          <w:szCs w:val="21"/>
        </w:rPr>
      </w:pPr>
      <w:r>
        <w:rPr>
          <w:rFonts w:hAnsi="宋体"/>
          <w:color w:val="auto"/>
          <w:szCs w:val="21"/>
        </w:rPr>
        <w:t>（</w:t>
      </w:r>
      <w:r>
        <w:rPr>
          <w:rFonts w:hint="eastAsia"/>
          <w:color w:val="auto"/>
          <w:szCs w:val="21"/>
        </w:rPr>
        <w:t>18</w:t>
      </w:r>
      <w:r>
        <w:rPr>
          <w:rFonts w:hAnsi="宋体"/>
          <w:color w:val="auto"/>
          <w:szCs w:val="21"/>
        </w:rPr>
        <w:t>）承包人应严格遵守国家有关解决拖欠工程款和民工工资的法律、法规，及时支付工程中的材料、设备贷款及民工工资等费用。承包人不得以任何借口拖欠材料、设备贷款及民工工资等费用，如果出现此种现象，发包人有权从应付给承包人的工程款中扣除相应款项。</w:t>
      </w:r>
    </w:p>
    <w:p>
      <w:pPr>
        <w:spacing w:line="400" w:lineRule="exact"/>
        <w:ind w:firstLine="422" w:firstLineChars="200"/>
        <w:rPr>
          <w:rFonts w:hAnsi="宋体"/>
          <w:b/>
          <w:color w:val="auto"/>
          <w:szCs w:val="21"/>
        </w:rPr>
      </w:pPr>
      <w:r>
        <w:rPr>
          <w:rFonts w:hint="eastAsia" w:hAnsi="宋体"/>
          <w:b/>
          <w:color w:val="auto"/>
          <w:szCs w:val="21"/>
        </w:rPr>
        <w:t>（19）承包人应按照国家及当地相关规定严格执行“一金三制”制度（即：农民工工资保证金、农民工工资专户制、农民工实名制、银行代发制）。</w:t>
      </w:r>
    </w:p>
    <w:p>
      <w:pPr>
        <w:spacing w:line="400" w:lineRule="exact"/>
        <w:ind w:firstLine="411" w:firstLineChars="196"/>
        <w:rPr>
          <w:b/>
          <w:color w:val="auto"/>
          <w:u w:val="single"/>
        </w:rPr>
      </w:pPr>
      <w:r>
        <w:rPr>
          <w:rFonts w:hAnsi="宋体"/>
          <w:color w:val="auto"/>
          <w:szCs w:val="21"/>
        </w:rPr>
        <w:t>（</w:t>
      </w:r>
      <w:r>
        <w:rPr>
          <w:rFonts w:hint="eastAsia"/>
          <w:color w:val="auto"/>
          <w:szCs w:val="21"/>
        </w:rPr>
        <w:t>20</w:t>
      </w:r>
      <w:r>
        <w:rPr>
          <w:rFonts w:hAnsi="宋体"/>
          <w:color w:val="auto"/>
          <w:szCs w:val="21"/>
        </w:rPr>
        <w:t>）承包人应履行项目专用合同条款约定的其他义务。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u w:val="single"/>
          <w:lang w:eastAsia="zh-CN"/>
        </w:rPr>
      </w:pPr>
      <w:r>
        <w:rPr>
          <w:rFonts w:hint="eastAsia" w:ascii="宋体" w:hAnsi="宋体" w:eastAsia="宋体" w:cs="宋体"/>
          <w:b/>
          <w:color w:val="auto"/>
          <w:sz w:val="21"/>
          <w:szCs w:val="21"/>
        </w:rPr>
        <w:t>4.2 履约担保</w:t>
      </w:r>
      <w:r>
        <w:rPr>
          <w:rFonts w:hint="eastAsia" w:ascii="宋体" w:hAnsi="宋体" w:eastAsia="宋体" w:cs="宋体"/>
          <w:b/>
          <w:color w:val="auto"/>
          <w:sz w:val="21"/>
          <w:szCs w:val="21"/>
          <w:lang w:eastAsia="zh-CN"/>
        </w:rPr>
        <w:t>及低价风险担保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4.2.1</w:t>
      </w:r>
      <w:r>
        <w:rPr>
          <w:rFonts w:hint="eastAsia" w:ascii="宋体" w:hAnsi="宋体" w:eastAsia="宋体" w:cs="宋体"/>
          <w:color w:val="auto"/>
          <w:sz w:val="21"/>
          <w:szCs w:val="21"/>
        </w:rPr>
        <w:t>承包人是否提供履约担保：</w:t>
      </w:r>
      <w:r>
        <w:rPr>
          <w:rFonts w:hint="eastAsia" w:ascii="宋体" w:hAnsi="宋体" w:eastAsia="宋体" w:cs="宋体"/>
          <w:color w:val="auto"/>
          <w:sz w:val="21"/>
          <w:szCs w:val="21"/>
          <w:u w:val="single"/>
        </w:rPr>
        <w:t>提供</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.2承包人提供履约担保的形式、金额及期限：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履约担保的形式：</w:t>
      </w:r>
      <w:r>
        <w:rPr>
          <w:rFonts w:hint="eastAsia" w:ascii="宋体" w:hAnsi="宋体"/>
          <w:color w:val="auto"/>
          <w:kern w:val="0"/>
          <w:szCs w:val="21"/>
          <w:u w:val="single"/>
          <w:lang w:eastAsia="zh-CN"/>
        </w:rPr>
        <w:t>现金或银行保函或现金+银行保函的组合；采用银行保函形式的，保函必须为不可撤销且见索即付</w:t>
      </w:r>
      <w:r>
        <w:rPr>
          <w:rFonts w:hint="eastAsia" w:ascii="宋体" w:hAnsi="宋体" w:eastAsia="宋体" w:cs="宋体"/>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（2）履约担保的金额：</w:t>
      </w:r>
      <w:r>
        <w:rPr>
          <w:rFonts w:hint="eastAsia" w:ascii="宋体" w:hAnsi="宋体" w:eastAsia="宋体" w:cs="宋体"/>
          <w:color w:val="auto"/>
          <w:sz w:val="21"/>
          <w:szCs w:val="21"/>
          <w:u w:val="single"/>
        </w:rPr>
        <w:t xml:space="preserve">    （签约合同价的</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u w:val="single"/>
        </w:rPr>
        <w:t>%）即    万元</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（3）履约担保的提交时间：</w:t>
      </w:r>
      <w:r>
        <w:rPr>
          <w:rFonts w:hint="eastAsia" w:ascii="宋体" w:hAnsi="宋体" w:eastAsia="宋体" w:cs="宋体"/>
          <w:color w:val="auto"/>
          <w:sz w:val="21"/>
          <w:szCs w:val="21"/>
          <w:u w:val="single"/>
        </w:rPr>
        <w:t>中标人应在收到中标通知书后10日内，施工合同签订前按照</w:t>
      </w:r>
      <w:r>
        <w:rPr>
          <w:rFonts w:hint="eastAsia" w:ascii="宋体" w:hAnsi="宋体" w:cs="宋体"/>
          <w:color w:val="auto"/>
          <w:sz w:val="21"/>
          <w:szCs w:val="21"/>
          <w:u w:val="single"/>
          <w:lang w:eastAsia="zh-CN"/>
        </w:rPr>
        <w:t>比选人</w:t>
      </w:r>
      <w:r>
        <w:rPr>
          <w:rFonts w:hint="eastAsia" w:ascii="宋体" w:hAnsi="宋体" w:eastAsia="宋体" w:cs="宋体"/>
          <w:color w:val="auto"/>
          <w:sz w:val="21"/>
          <w:szCs w:val="21"/>
          <w:u w:val="single"/>
        </w:rPr>
        <w:t>指定方式提交，若未按时提交，则视为中标人放弃中标，其投标保证金不予退还，给</w:t>
      </w:r>
      <w:r>
        <w:rPr>
          <w:rFonts w:hint="eastAsia" w:ascii="宋体" w:hAnsi="宋体" w:cs="宋体"/>
          <w:color w:val="auto"/>
          <w:sz w:val="21"/>
          <w:szCs w:val="21"/>
          <w:u w:val="single"/>
          <w:lang w:eastAsia="zh-CN"/>
        </w:rPr>
        <w:t>比选人</w:t>
      </w:r>
      <w:r>
        <w:rPr>
          <w:rFonts w:hint="eastAsia" w:ascii="宋体" w:hAnsi="宋体" w:eastAsia="宋体" w:cs="宋体"/>
          <w:color w:val="auto"/>
          <w:sz w:val="21"/>
          <w:szCs w:val="21"/>
          <w:u w:val="single"/>
        </w:rPr>
        <w:t>造成的损失超过投标保证金数额的，中标人还应当对超过部分予以赔偿。</w:t>
      </w:r>
    </w:p>
    <w:p>
      <w:pPr>
        <w:keepNext w:val="0"/>
        <w:keepLines w:val="0"/>
        <w:pageBreakBefore w:val="0"/>
        <w:tabs>
          <w:tab w:val="left" w:pos="1134"/>
        </w:tabs>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（4）履约担保的期限：</w:t>
      </w:r>
      <w:r>
        <w:rPr>
          <w:rFonts w:hint="eastAsia" w:ascii="宋体" w:hAnsi="宋体" w:eastAsia="宋体" w:cs="宋体"/>
          <w:color w:val="auto"/>
          <w:sz w:val="21"/>
          <w:szCs w:val="21"/>
          <w:u w:val="single"/>
        </w:rPr>
        <w:t>自提交履约担保之日起至竣工验收合格之日止</w:t>
      </w:r>
      <w:r>
        <w:rPr>
          <w:rFonts w:hint="eastAsia" w:ascii="宋体" w:hAnsi="宋体" w:eastAsia="宋体" w:cs="宋体"/>
          <w:color w:val="auto"/>
          <w:sz w:val="21"/>
          <w:szCs w:val="21"/>
        </w:rPr>
        <w:t>。</w:t>
      </w:r>
    </w:p>
    <w:p>
      <w:pPr>
        <w:keepNext w:val="0"/>
        <w:keepLines w:val="0"/>
        <w:pageBreakBefore w:val="0"/>
        <w:tabs>
          <w:tab w:val="left" w:pos="1134"/>
        </w:tabs>
        <w:kinsoku/>
        <w:wordWrap/>
        <w:overflowPunct/>
        <w:topLinePunct w:val="0"/>
        <w:autoSpaceDE/>
        <w:autoSpaceDN/>
        <w:bidi w:val="0"/>
        <w:snapToGrid/>
        <w:spacing w:line="400" w:lineRule="exact"/>
        <w:ind w:firstLine="420" w:firstLineChars="200"/>
        <w:jc w:val="lef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（5）履约担保的退还时间：</w:t>
      </w:r>
      <w:r>
        <w:rPr>
          <w:rFonts w:hint="eastAsia" w:ascii="宋体" w:hAnsi="宋体" w:eastAsia="宋体" w:cs="宋体"/>
          <w:color w:val="auto"/>
          <w:sz w:val="21"/>
          <w:szCs w:val="21"/>
          <w:u w:val="single"/>
          <w:lang w:val="en-US" w:eastAsia="zh-CN"/>
        </w:rPr>
        <w:t>竣工验收合格后一个月内一次性退还</w:t>
      </w:r>
      <w:r>
        <w:rPr>
          <w:rFonts w:hint="eastAsia" w:ascii="宋体" w:hAnsi="宋体" w:eastAsia="宋体" w:cs="宋体"/>
          <w:color w:val="auto"/>
          <w:sz w:val="21"/>
          <w:szCs w:val="21"/>
          <w:u w:val="single"/>
        </w:rPr>
        <w:t>；</w:t>
      </w:r>
    </w:p>
    <w:p>
      <w:pPr>
        <w:keepNext w:val="0"/>
        <w:keepLines w:val="0"/>
        <w:pageBreakBefore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.2</w:t>
      </w:r>
      <w:r>
        <w:rPr>
          <w:rFonts w:hint="eastAsia" w:ascii="宋体" w:hAnsi="宋体" w:eastAsia="宋体" w:cs="宋体"/>
          <w:color w:val="auto"/>
          <w:kern w:val="0"/>
          <w:sz w:val="21"/>
          <w:szCs w:val="21"/>
          <w:lang w:val="en-US" w:eastAsia="zh-CN"/>
        </w:rPr>
        <w:t>低价风险担保：中标价低于最高限价的85%时提供，如不按时足额提供，视为中标人放弃中标，发包人有权不退还其投标保证金。</w:t>
      </w:r>
    </w:p>
    <w:p>
      <w:pPr>
        <w:keepNext w:val="0"/>
        <w:keepLines w:val="0"/>
        <w:pageBreakBefore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4.2.2.1中标人提供低价风险担保的形式、金额及期限：</w:t>
      </w:r>
    </w:p>
    <w:p>
      <w:pPr>
        <w:keepNext w:val="0"/>
        <w:keepLines w:val="0"/>
        <w:pageBreakBefore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（1）低价风险担保的形式：</w:t>
      </w:r>
      <w:r>
        <w:rPr>
          <w:rFonts w:hint="eastAsia" w:ascii="宋体" w:hAnsi="宋体" w:cs="宋体"/>
          <w:color w:val="auto"/>
          <w:spacing w:val="0"/>
          <w:sz w:val="21"/>
          <w:szCs w:val="21"/>
          <w:highlight w:val="none"/>
          <w:lang w:eastAsia="zh-CN"/>
        </w:rPr>
        <w:t>现金。</w:t>
      </w:r>
    </w:p>
    <w:p>
      <w:pPr>
        <w:keepNext w:val="0"/>
        <w:keepLines w:val="0"/>
        <w:pageBreakBefore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（2）低价风险担保的金额：</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w:t>
      </w:r>
    </w:p>
    <w:p>
      <w:pPr>
        <w:keepNext w:val="0"/>
        <w:keepLines w:val="0"/>
        <w:pageBreakBefore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（3）低价风险担保的提交时间：中标人收到中标通知书后 5 个工作日内（施工合同签订前），中标人按担保金额向招标人提交低价风险担保；</w:t>
      </w:r>
    </w:p>
    <w:p>
      <w:pPr>
        <w:keepNext w:val="0"/>
        <w:keepLines w:val="0"/>
        <w:pageBreakBefore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（4）中标人因自身原因未按中标通知书规定的时限与招标人签订合同的，招标人有权扣除其低价风险担保并取消中标资格。</w:t>
      </w:r>
    </w:p>
    <w:p>
      <w:pPr>
        <w:keepNext w:val="0"/>
        <w:keepLines w:val="0"/>
        <w:pageBreakBefore w:val="0"/>
        <w:kinsoku/>
        <w:wordWrap/>
        <w:overflowPunct/>
        <w:topLinePunct w:val="0"/>
        <w:autoSpaceDE/>
        <w:autoSpaceDN/>
        <w:bidi w:val="0"/>
        <w:snapToGrid/>
        <w:spacing w:line="4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（5）低价风险担保的期限：自提交低价风险担保之日起至项目竣工验收合格之日止。</w:t>
      </w:r>
    </w:p>
    <w:p>
      <w:pPr>
        <w:pStyle w:val="19"/>
        <w:keepNext w:val="0"/>
        <w:keepLines w:val="0"/>
        <w:pageBreakBefore w:val="0"/>
        <w:kinsoku/>
        <w:wordWrap/>
        <w:overflowPunct/>
        <w:topLinePunct w:val="0"/>
        <w:autoSpaceDE/>
        <w:autoSpaceDN/>
        <w:bidi w:val="0"/>
        <w:snapToGrid/>
        <w:spacing w:after="0"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（6）低价风险担保的退还时间：工程竣工后，并提交全套工程资料后30日内一次性不计息退还。</w:t>
      </w:r>
    </w:p>
    <w:p>
      <w:pPr>
        <w:spacing w:line="400" w:lineRule="exact"/>
        <w:rPr>
          <w:b/>
          <w:color w:val="auto"/>
        </w:rPr>
      </w:pPr>
      <w:r>
        <w:rPr>
          <w:rFonts w:hint="eastAsia"/>
          <w:b/>
          <w:color w:val="auto"/>
        </w:rPr>
        <w:t>4.3 分包</w:t>
      </w:r>
    </w:p>
    <w:p>
      <w:pPr>
        <w:spacing w:line="400" w:lineRule="exact"/>
        <w:ind w:firstLine="411" w:firstLineChars="196"/>
        <w:rPr>
          <w:b/>
          <w:color w:val="auto"/>
        </w:rPr>
      </w:pPr>
      <w:r>
        <w:rPr>
          <w:rFonts w:hint="eastAsia"/>
          <w:color w:val="auto"/>
        </w:rPr>
        <w:t>4.3.2分包的内容</w:t>
      </w:r>
    </w:p>
    <w:p>
      <w:pPr>
        <w:spacing w:line="400" w:lineRule="exact"/>
        <w:ind w:firstLine="411" w:firstLineChars="196"/>
        <w:rPr>
          <w:b/>
          <w:color w:val="auto"/>
          <w:u w:val="single"/>
        </w:rPr>
      </w:pPr>
      <w:r>
        <w:rPr>
          <w:rFonts w:hint="eastAsia"/>
          <w:color w:val="auto"/>
        </w:rPr>
        <w:t>当事人约定</w:t>
      </w:r>
      <w:r>
        <w:rPr>
          <w:rFonts w:hint="eastAsia" w:ascii="宋体" w:hAnsi="宋体" w:cs="宋体"/>
          <w:color w:val="auto"/>
          <w:szCs w:val="21"/>
        </w:rPr>
        <w:t>某些非主体、非关键性工作分包给第三人：</w:t>
      </w:r>
      <w:r>
        <w:rPr>
          <w:rFonts w:hint="eastAsia" w:ascii="宋体" w:hAnsi="宋体" w:cs="宋体"/>
          <w:b/>
          <w:color w:val="auto"/>
          <w:szCs w:val="21"/>
          <w:u w:val="single"/>
        </w:rPr>
        <w:t>本工程</w:t>
      </w:r>
      <w:r>
        <w:rPr>
          <w:rFonts w:hint="eastAsia"/>
          <w:b/>
          <w:color w:val="auto"/>
          <w:u w:val="single"/>
        </w:rPr>
        <w:t>不允许转包</w:t>
      </w:r>
      <w:r>
        <w:rPr>
          <w:rFonts w:hint="eastAsia"/>
          <w:b/>
          <w:color w:val="auto"/>
          <w:u w:val="single"/>
          <w:lang w:eastAsia="zh-CN"/>
        </w:rPr>
        <w:t>、</w:t>
      </w:r>
      <w:r>
        <w:rPr>
          <w:rFonts w:hint="eastAsia"/>
          <w:b/>
          <w:color w:val="auto"/>
          <w:u w:val="single"/>
          <w:lang w:val="en-US" w:eastAsia="zh-CN"/>
        </w:rPr>
        <w:t>分包</w:t>
      </w:r>
      <w:r>
        <w:rPr>
          <w:rFonts w:hint="eastAsia"/>
          <w:b/>
          <w:color w:val="auto"/>
          <w:u w:val="single"/>
        </w:rPr>
        <w:t>。</w:t>
      </w:r>
    </w:p>
    <w:p>
      <w:pPr>
        <w:spacing w:line="400" w:lineRule="exact"/>
        <w:rPr>
          <w:b/>
          <w:color w:val="auto"/>
        </w:rPr>
      </w:pPr>
      <w:bookmarkStart w:id="476" w:name="_Toc418077881"/>
      <w:bookmarkStart w:id="477" w:name="_Toc26622"/>
      <w:bookmarkStart w:id="478" w:name="_Toc13208"/>
      <w:r>
        <w:rPr>
          <w:rFonts w:hint="eastAsia"/>
          <w:b/>
          <w:color w:val="auto"/>
        </w:rPr>
        <w:t>4. 5 承包人项目经理</w:t>
      </w:r>
      <w:bookmarkEnd w:id="476"/>
      <w:bookmarkEnd w:id="477"/>
      <w:r>
        <w:rPr>
          <w:rFonts w:hint="eastAsia"/>
          <w:b/>
          <w:color w:val="auto"/>
        </w:rPr>
        <w:t xml:space="preserve">   </w:t>
      </w:r>
      <w:bookmarkEnd w:id="478"/>
    </w:p>
    <w:p>
      <w:pPr>
        <w:spacing w:line="400" w:lineRule="exact"/>
        <w:ind w:firstLine="480"/>
        <w:jc w:val="left"/>
        <w:rPr>
          <w:color w:val="auto"/>
        </w:rPr>
      </w:pPr>
      <w:bookmarkStart w:id="479" w:name="_Toc5889"/>
      <w:bookmarkStart w:id="480" w:name="_Toc327347168"/>
      <w:bookmarkStart w:id="481" w:name="_Toc19197"/>
      <w:bookmarkStart w:id="482" w:name="_Toc224103411"/>
      <w:bookmarkStart w:id="483" w:name="_Toc266027434"/>
      <w:bookmarkStart w:id="484" w:name="_Toc418077882"/>
      <w:bookmarkStart w:id="485" w:name="_Toc359579051"/>
      <w:r>
        <w:rPr>
          <w:rFonts w:hint="eastAsia"/>
          <w:color w:val="auto"/>
        </w:rPr>
        <w:t>4.5.1承包人项目经理必须与承包人投标时所承诺的人员一致，并在根据通用合同条款第11.1.1项确定的开工日期前到任。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rPr>
          <w:b/>
          <w:color w:val="auto"/>
        </w:rPr>
      </w:pPr>
      <w:r>
        <w:rPr>
          <w:rFonts w:hint="eastAsia"/>
          <w:b/>
          <w:color w:val="auto"/>
        </w:rPr>
        <w:t>4.11  不利物质条件</w:t>
      </w:r>
      <w:bookmarkEnd w:id="479"/>
      <w:bookmarkEnd w:id="480"/>
      <w:bookmarkEnd w:id="481"/>
      <w:bookmarkEnd w:id="482"/>
      <w:bookmarkEnd w:id="483"/>
      <w:bookmarkEnd w:id="484"/>
      <w:bookmarkEnd w:id="485"/>
    </w:p>
    <w:p>
      <w:pPr>
        <w:spacing w:line="400" w:lineRule="exact"/>
        <w:ind w:firstLine="420" w:firstLineChars="200"/>
        <w:rPr>
          <w:color w:val="auto"/>
        </w:rPr>
      </w:pPr>
      <w:r>
        <w:rPr>
          <w:rFonts w:hint="eastAsia"/>
          <w:color w:val="auto"/>
        </w:rPr>
        <w:t>4.11.1  不利物质条件的范围：</w:t>
      </w:r>
      <w:r>
        <w:rPr>
          <w:rFonts w:hint="eastAsia"/>
          <w:b/>
          <w:color w:val="auto"/>
          <w:u w:val="single"/>
        </w:rPr>
        <w:t xml:space="preserve">按通用条款执行。 </w:t>
      </w:r>
    </w:p>
    <w:p>
      <w:pPr>
        <w:spacing w:line="400" w:lineRule="exact"/>
        <w:rPr>
          <w:b/>
          <w:color w:val="auto"/>
        </w:rPr>
      </w:pPr>
      <w:r>
        <w:rPr>
          <w:rFonts w:hint="eastAsia"/>
          <w:b/>
          <w:color w:val="auto"/>
        </w:rPr>
        <w:t>5.  材料和工程设备</w:t>
      </w:r>
    </w:p>
    <w:p>
      <w:pPr>
        <w:spacing w:line="400" w:lineRule="exact"/>
        <w:rPr>
          <w:b/>
          <w:color w:val="auto"/>
        </w:rPr>
      </w:pPr>
      <w:r>
        <w:rPr>
          <w:rFonts w:hint="eastAsia"/>
          <w:b/>
          <w:color w:val="auto"/>
        </w:rPr>
        <w:t>5.1  承包人提供的材料和工程设备</w:t>
      </w:r>
    </w:p>
    <w:p>
      <w:pPr>
        <w:spacing w:line="400" w:lineRule="exact"/>
        <w:ind w:firstLine="480"/>
        <w:jc w:val="left"/>
        <w:rPr>
          <w:rFonts w:ascii="宋体" w:hAnsi="宋体"/>
          <w:b/>
          <w:color w:val="auto"/>
          <w:szCs w:val="21"/>
          <w:u w:val="single"/>
        </w:rPr>
      </w:pPr>
      <w:r>
        <w:rPr>
          <w:rFonts w:hint="eastAsia"/>
          <w:color w:val="auto"/>
        </w:rPr>
        <w:t>5.1.1</w:t>
      </w:r>
      <w:r>
        <w:rPr>
          <w:rFonts w:hint="eastAsia" w:ascii="宋体" w:hAnsi="宋体"/>
          <w:b/>
          <w:color w:val="auto"/>
          <w:szCs w:val="21"/>
          <w:u w:val="single"/>
        </w:rPr>
        <w:t>本工程所需材料、工程设备均由承包人负责采购、运输和保管。</w:t>
      </w:r>
    </w:p>
    <w:p>
      <w:pPr>
        <w:spacing w:line="400" w:lineRule="exact"/>
        <w:ind w:firstLine="480"/>
        <w:jc w:val="left"/>
        <w:rPr>
          <w:b/>
          <w:color w:val="auto"/>
          <w:u w:val="single"/>
        </w:rPr>
      </w:pPr>
      <w:r>
        <w:rPr>
          <w:rFonts w:hint="eastAsia"/>
          <w:color w:val="auto"/>
        </w:rPr>
        <w:t xml:space="preserve">5.1.2 </w:t>
      </w:r>
      <w:r>
        <w:rPr>
          <w:rFonts w:hint="eastAsia" w:ascii="宋体" w:hAnsi="宋体"/>
          <w:b/>
          <w:color w:val="auto"/>
          <w:szCs w:val="21"/>
          <w:u w:val="single"/>
        </w:rPr>
        <w:t xml:space="preserve">承包人应将各项材料和工程设备的供货人及品种、规格、数量和供货时间等，在材料、设备采购计划进场前以书面形式报送监理人审批。监理工程师和发包人收到承包人的书面报告后7 日内予以确认。 承包人应向监理人提交其负责提供的材料和工程设备的质量证明文件，并满足合同约定的质量标准。 </w:t>
      </w:r>
    </w:p>
    <w:p>
      <w:pPr>
        <w:spacing w:line="400" w:lineRule="exact"/>
        <w:ind w:firstLine="480"/>
        <w:jc w:val="left"/>
        <w:rPr>
          <w:b/>
          <w:color w:val="auto"/>
          <w:u w:val="single"/>
        </w:rPr>
      </w:pPr>
      <w:r>
        <w:rPr>
          <w:rFonts w:hint="eastAsia"/>
          <w:color w:val="auto"/>
        </w:rPr>
        <w:t xml:space="preserve">5.1.3 </w:t>
      </w:r>
      <w:r>
        <w:rPr>
          <w:rFonts w:hint="eastAsia" w:ascii="宋体" w:hAnsi="宋体"/>
          <w:b/>
          <w:color w:val="auto"/>
          <w:szCs w:val="21"/>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pPr>
        <w:spacing w:line="400" w:lineRule="exact"/>
        <w:rPr>
          <w:b/>
          <w:color w:val="auto"/>
        </w:rPr>
      </w:pPr>
      <w:r>
        <w:rPr>
          <w:rFonts w:hint="eastAsia"/>
          <w:b/>
          <w:color w:val="auto"/>
        </w:rPr>
        <w:t>5.2  发包人提供的材料和工程设备</w:t>
      </w:r>
    </w:p>
    <w:p>
      <w:pPr>
        <w:spacing w:line="400" w:lineRule="exact"/>
        <w:ind w:firstLine="420" w:firstLineChars="200"/>
        <w:rPr>
          <w:color w:val="auto"/>
        </w:rPr>
      </w:pPr>
      <w:r>
        <w:rPr>
          <w:rFonts w:hint="eastAsia"/>
          <w:color w:val="auto"/>
        </w:rPr>
        <w:t xml:space="preserve">5.2.1 材料的名称、规格、数量和价格： </w:t>
      </w:r>
      <w:r>
        <w:rPr>
          <w:rFonts w:hint="eastAsia"/>
          <w:b/>
          <w:color w:val="auto"/>
          <w:u w:val="single"/>
        </w:rPr>
        <w:t xml:space="preserve">无。 </w:t>
      </w:r>
    </w:p>
    <w:p>
      <w:pPr>
        <w:spacing w:line="400" w:lineRule="exact"/>
        <w:ind w:firstLine="420" w:firstLineChars="200"/>
        <w:rPr>
          <w:color w:val="auto"/>
        </w:rPr>
      </w:pPr>
      <w:r>
        <w:rPr>
          <w:rFonts w:hint="eastAsia"/>
          <w:color w:val="auto"/>
        </w:rPr>
        <w:t>材料的交货方式、地点和日期：</w:t>
      </w:r>
      <w:r>
        <w:rPr>
          <w:rFonts w:hint="eastAsia"/>
          <w:b/>
          <w:color w:val="auto"/>
          <w:u w:val="single"/>
        </w:rPr>
        <w:t>无。</w:t>
      </w:r>
    </w:p>
    <w:p>
      <w:pPr>
        <w:spacing w:line="400" w:lineRule="exact"/>
        <w:ind w:firstLine="420" w:firstLineChars="200"/>
        <w:rPr>
          <w:color w:val="auto"/>
        </w:rPr>
      </w:pPr>
      <w:r>
        <w:rPr>
          <w:rFonts w:hint="eastAsia"/>
          <w:color w:val="auto"/>
        </w:rPr>
        <w:t>工程设备的名称、规格、数量和价格：</w:t>
      </w:r>
      <w:r>
        <w:rPr>
          <w:rFonts w:hint="eastAsia"/>
          <w:b/>
          <w:color w:val="auto"/>
          <w:u w:val="single"/>
        </w:rPr>
        <w:t>无</w:t>
      </w:r>
      <w:r>
        <w:rPr>
          <w:rFonts w:hint="eastAsia"/>
          <w:color w:val="auto"/>
        </w:rPr>
        <w:t>。</w:t>
      </w:r>
    </w:p>
    <w:p>
      <w:pPr>
        <w:spacing w:line="400" w:lineRule="exact"/>
        <w:ind w:firstLine="420" w:firstLineChars="200"/>
        <w:rPr>
          <w:color w:val="auto"/>
        </w:rPr>
      </w:pPr>
      <w:r>
        <w:rPr>
          <w:rFonts w:hint="eastAsia"/>
          <w:color w:val="auto"/>
        </w:rPr>
        <w:t>工程设备的交货方式、地点和日期：</w:t>
      </w:r>
      <w:r>
        <w:rPr>
          <w:rFonts w:hint="eastAsia"/>
          <w:b/>
          <w:color w:val="auto"/>
          <w:u w:val="single"/>
        </w:rPr>
        <w:t>无。</w:t>
      </w:r>
    </w:p>
    <w:p>
      <w:pPr>
        <w:spacing w:line="400" w:lineRule="exact"/>
        <w:ind w:firstLine="420" w:firstLineChars="200"/>
        <w:rPr>
          <w:color w:val="auto"/>
        </w:rPr>
      </w:pPr>
      <w:r>
        <w:rPr>
          <w:rFonts w:hint="eastAsia"/>
          <w:color w:val="auto"/>
        </w:rPr>
        <w:t>5.2.3材料和工程设备的接收、运输与保管：</w:t>
      </w:r>
      <w:r>
        <w:rPr>
          <w:rFonts w:hint="eastAsia"/>
          <w:b/>
          <w:color w:val="auto"/>
          <w:u w:val="single"/>
        </w:rPr>
        <w:t>无。</w:t>
      </w:r>
    </w:p>
    <w:p>
      <w:pPr>
        <w:spacing w:line="400" w:lineRule="exact"/>
        <w:rPr>
          <w:b/>
          <w:color w:val="auto"/>
        </w:rPr>
      </w:pPr>
      <w:r>
        <w:rPr>
          <w:rFonts w:hint="eastAsia"/>
          <w:b/>
          <w:color w:val="auto"/>
        </w:rPr>
        <w:t>6.  施工设备和临时设施</w:t>
      </w:r>
    </w:p>
    <w:p>
      <w:pPr>
        <w:spacing w:line="400" w:lineRule="exact"/>
        <w:ind w:firstLine="422" w:firstLineChars="200"/>
        <w:rPr>
          <w:b/>
          <w:color w:val="auto"/>
        </w:rPr>
      </w:pPr>
      <w:r>
        <w:rPr>
          <w:rFonts w:hint="eastAsia"/>
          <w:b/>
          <w:color w:val="auto"/>
        </w:rPr>
        <w:t>6.1  承包人提供的施工设备和临时设施</w:t>
      </w:r>
    </w:p>
    <w:p>
      <w:pPr>
        <w:spacing w:line="400" w:lineRule="exact"/>
        <w:ind w:firstLine="420" w:firstLineChars="200"/>
        <w:rPr>
          <w:b/>
          <w:color w:val="auto"/>
          <w:u w:val="single"/>
        </w:rPr>
      </w:pPr>
      <w:r>
        <w:rPr>
          <w:rFonts w:hint="eastAsia"/>
          <w:color w:val="auto"/>
        </w:rPr>
        <w:t xml:space="preserve">6.1.2 承包人承担修建临时设施费用的范围： </w:t>
      </w:r>
      <w:r>
        <w:rPr>
          <w:rFonts w:hint="eastAsia"/>
          <w:b/>
          <w:color w:val="auto"/>
          <w:u w:val="single"/>
        </w:rPr>
        <w:t>临时设施均由承包人负责修建，费用承包人承担。</w:t>
      </w:r>
    </w:p>
    <w:p>
      <w:pPr>
        <w:spacing w:line="400" w:lineRule="exact"/>
        <w:ind w:firstLine="420" w:firstLineChars="200"/>
        <w:rPr>
          <w:b/>
          <w:color w:val="auto"/>
          <w:u w:val="single"/>
        </w:rPr>
      </w:pPr>
      <w:r>
        <w:rPr>
          <w:rFonts w:hint="eastAsia"/>
          <w:color w:val="auto"/>
        </w:rPr>
        <w:t>临时占地的申请及费用：</w:t>
      </w:r>
      <w:r>
        <w:rPr>
          <w:rFonts w:hint="eastAsia"/>
          <w:b/>
          <w:color w:val="auto"/>
          <w:u w:val="single"/>
        </w:rPr>
        <w:t>由承包人负责申请并承担相应费用</w:t>
      </w:r>
      <w:r>
        <w:rPr>
          <w:rFonts w:hint="eastAsia"/>
          <w:color w:val="auto"/>
        </w:rPr>
        <w:t>。</w:t>
      </w:r>
    </w:p>
    <w:p>
      <w:pPr>
        <w:spacing w:line="400" w:lineRule="exact"/>
        <w:rPr>
          <w:b/>
          <w:color w:val="auto"/>
        </w:rPr>
      </w:pPr>
      <w:r>
        <w:rPr>
          <w:rFonts w:hint="eastAsia"/>
          <w:b/>
          <w:color w:val="auto"/>
        </w:rPr>
        <w:t>6.2  发包人提供的施工设备和临时设施：</w:t>
      </w:r>
      <w:r>
        <w:rPr>
          <w:rFonts w:hint="eastAsia"/>
          <w:b/>
          <w:color w:val="auto"/>
          <w:u w:val="single"/>
        </w:rPr>
        <w:t>无。</w:t>
      </w:r>
    </w:p>
    <w:p>
      <w:pPr>
        <w:spacing w:line="400" w:lineRule="exact"/>
        <w:rPr>
          <w:b/>
          <w:color w:val="auto"/>
        </w:rPr>
      </w:pPr>
      <w:r>
        <w:rPr>
          <w:rFonts w:hint="eastAsia"/>
          <w:b/>
          <w:color w:val="auto"/>
        </w:rPr>
        <w:t>7.  交通运输</w:t>
      </w:r>
    </w:p>
    <w:p>
      <w:pPr>
        <w:spacing w:line="400" w:lineRule="exact"/>
        <w:rPr>
          <w:b/>
          <w:color w:val="auto"/>
        </w:rPr>
      </w:pPr>
      <w:r>
        <w:rPr>
          <w:rFonts w:hint="eastAsia"/>
          <w:b/>
          <w:color w:val="auto"/>
        </w:rPr>
        <w:t>7.1  道路通行权和场外设施</w:t>
      </w:r>
    </w:p>
    <w:p>
      <w:pPr>
        <w:spacing w:line="400" w:lineRule="exact"/>
        <w:rPr>
          <w:color w:val="auto"/>
        </w:rPr>
      </w:pPr>
      <w:r>
        <w:rPr>
          <w:rFonts w:hint="eastAsia"/>
          <w:color w:val="auto"/>
        </w:rPr>
        <w:t xml:space="preserve">    取得道路通行权、修建场外设施权的办理人： </w:t>
      </w:r>
      <w:r>
        <w:rPr>
          <w:rFonts w:hint="eastAsia"/>
          <w:b/>
          <w:color w:val="auto"/>
          <w:u w:val="single"/>
        </w:rPr>
        <w:t>承包人。</w:t>
      </w:r>
    </w:p>
    <w:p>
      <w:pPr>
        <w:spacing w:line="400" w:lineRule="exact"/>
        <w:rPr>
          <w:color w:val="auto"/>
        </w:rPr>
      </w:pPr>
      <w:r>
        <w:rPr>
          <w:rFonts w:hint="eastAsia"/>
          <w:color w:val="auto"/>
        </w:rPr>
        <w:t xml:space="preserve">    相关费用： </w:t>
      </w:r>
      <w:r>
        <w:rPr>
          <w:rFonts w:hint="eastAsia"/>
          <w:b/>
          <w:color w:val="auto"/>
          <w:u w:val="single"/>
        </w:rPr>
        <w:t>由承包人负责，费用由承包人承担。</w:t>
      </w:r>
    </w:p>
    <w:p>
      <w:pPr>
        <w:spacing w:line="400" w:lineRule="exact"/>
        <w:rPr>
          <w:b/>
          <w:color w:val="auto"/>
        </w:rPr>
      </w:pPr>
      <w:r>
        <w:rPr>
          <w:rFonts w:hint="eastAsia"/>
          <w:b/>
          <w:color w:val="auto"/>
        </w:rPr>
        <w:t>7.2  场内施工道路</w:t>
      </w:r>
    </w:p>
    <w:p>
      <w:pPr>
        <w:spacing w:line="400" w:lineRule="exact"/>
        <w:ind w:firstLine="420"/>
        <w:rPr>
          <w:color w:val="auto"/>
        </w:rPr>
      </w:pPr>
      <w:r>
        <w:rPr>
          <w:rFonts w:hint="eastAsia"/>
          <w:color w:val="auto"/>
        </w:rPr>
        <w:t xml:space="preserve">7.2.1  临时道路和交通设施的修建、维护、养护和管理人： </w:t>
      </w:r>
      <w:r>
        <w:rPr>
          <w:rFonts w:hint="eastAsia"/>
          <w:b/>
          <w:color w:val="auto"/>
          <w:u w:val="single"/>
        </w:rPr>
        <w:t>承包人。</w:t>
      </w:r>
    </w:p>
    <w:p>
      <w:pPr>
        <w:spacing w:line="400" w:lineRule="exact"/>
        <w:ind w:firstLine="420"/>
        <w:rPr>
          <w:color w:val="auto"/>
        </w:rPr>
      </w:pPr>
      <w:r>
        <w:rPr>
          <w:rFonts w:hint="eastAsia"/>
          <w:color w:val="auto"/>
        </w:rPr>
        <w:t>7.2.2  临时道路和交通设施的使用权力及费用：</w:t>
      </w:r>
      <w:r>
        <w:rPr>
          <w:rFonts w:hint="eastAsia"/>
          <w:b/>
          <w:color w:val="auto"/>
          <w:u w:val="single"/>
        </w:rPr>
        <w:t>由承包人自行负责。</w:t>
      </w:r>
    </w:p>
    <w:p>
      <w:pPr>
        <w:spacing w:line="400" w:lineRule="exact"/>
        <w:rPr>
          <w:b/>
          <w:color w:val="auto"/>
        </w:rPr>
      </w:pPr>
      <w:r>
        <w:rPr>
          <w:rFonts w:hint="eastAsia"/>
          <w:b/>
          <w:color w:val="auto"/>
        </w:rPr>
        <w:t>7.4  超大件和超重件的运输</w:t>
      </w:r>
    </w:p>
    <w:p>
      <w:pPr>
        <w:spacing w:line="400" w:lineRule="exact"/>
        <w:rPr>
          <w:color w:val="auto"/>
        </w:rPr>
      </w:pPr>
      <w:r>
        <w:rPr>
          <w:rFonts w:hint="eastAsia"/>
          <w:color w:val="auto"/>
        </w:rPr>
        <w:t xml:space="preserve">    道路和桥梁临时加固改造费用和其他有关费用的承担：</w:t>
      </w:r>
      <w:r>
        <w:rPr>
          <w:rFonts w:hint="eastAsia"/>
          <w:b/>
          <w:color w:val="auto"/>
          <w:u w:val="single"/>
        </w:rPr>
        <w:t>由承包人承担。</w:t>
      </w:r>
    </w:p>
    <w:p>
      <w:pPr>
        <w:spacing w:line="400" w:lineRule="exact"/>
        <w:rPr>
          <w:b/>
          <w:color w:val="auto"/>
        </w:rPr>
      </w:pPr>
      <w:r>
        <w:rPr>
          <w:rFonts w:hint="eastAsia"/>
          <w:b/>
          <w:color w:val="auto"/>
        </w:rPr>
        <w:t>8.  测量放线</w:t>
      </w:r>
    </w:p>
    <w:p>
      <w:pPr>
        <w:spacing w:line="400" w:lineRule="exact"/>
        <w:rPr>
          <w:b/>
          <w:color w:val="auto"/>
        </w:rPr>
      </w:pPr>
      <w:r>
        <w:rPr>
          <w:rFonts w:hint="eastAsia"/>
          <w:b/>
          <w:color w:val="auto"/>
        </w:rPr>
        <w:t>8.1  施工控制网</w:t>
      </w:r>
    </w:p>
    <w:p>
      <w:pPr>
        <w:spacing w:line="400" w:lineRule="exact"/>
        <w:rPr>
          <w:color w:val="auto"/>
        </w:rPr>
      </w:pPr>
      <w:r>
        <w:rPr>
          <w:rFonts w:hint="eastAsia"/>
          <w:color w:val="auto"/>
        </w:rPr>
        <w:t xml:space="preserve">    8.1.1  发包人提供测量基准点、基准线和水准点的期限：</w:t>
      </w:r>
      <w:r>
        <w:rPr>
          <w:rFonts w:hint="eastAsia"/>
          <w:color w:val="auto"/>
          <w:u w:val="single"/>
        </w:rPr>
        <w:t xml:space="preserve">  开工前7天    </w:t>
      </w:r>
      <w:r>
        <w:rPr>
          <w:rFonts w:hint="eastAsia"/>
          <w:color w:val="auto"/>
        </w:rPr>
        <w:t>。</w:t>
      </w:r>
    </w:p>
    <w:p>
      <w:pPr>
        <w:spacing w:line="400" w:lineRule="exact"/>
        <w:rPr>
          <w:color w:val="auto"/>
        </w:rPr>
      </w:pPr>
      <w:r>
        <w:rPr>
          <w:rFonts w:hint="eastAsia"/>
          <w:color w:val="auto"/>
        </w:rPr>
        <w:t xml:space="preserve">    施工控制网的测设： </w:t>
      </w:r>
      <w:r>
        <w:rPr>
          <w:rFonts w:hint="eastAsia"/>
          <w:b/>
          <w:color w:val="auto"/>
          <w:u w:val="single"/>
        </w:rPr>
        <w:t xml:space="preserve">   由承包人负责    </w:t>
      </w:r>
      <w:r>
        <w:rPr>
          <w:rFonts w:hint="eastAsia"/>
          <w:color w:val="auto"/>
        </w:rPr>
        <w:t xml:space="preserve">。 </w:t>
      </w:r>
    </w:p>
    <w:p>
      <w:pPr>
        <w:spacing w:line="400" w:lineRule="exact"/>
        <w:rPr>
          <w:color w:val="auto"/>
        </w:rPr>
      </w:pPr>
      <w:r>
        <w:rPr>
          <w:rFonts w:hint="eastAsia"/>
          <w:color w:val="auto"/>
        </w:rPr>
        <w:t xml:space="preserve">    报监理人审批施工控制网资料的期限：</w:t>
      </w:r>
      <w:r>
        <w:rPr>
          <w:rFonts w:hint="eastAsia"/>
          <w:b/>
          <w:color w:val="auto"/>
          <w:u w:val="single"/>
        </w:rPr>
        <w:t xml:space="preserve">   </w:t>
      </w:r>
      <w:r>
        <w:rPr>
          <w:rFonts w:hint="eastAsia"/>
          <w:color w:val="auto"/>
          <w:u w:val="single"/>
        </w:rPr>
        <w:t>开工前7天</w:t>
      </w:r>
      <w:r>
        <w:rPr>
          <w:rFonts w:hint="eastAsia"/>
          <w:b/>
          <w:color w:val="auto"/>
          <w:u w:val="single"/>
        </w:rPr>
        <w:t xml:space="preserve">  </w:t>
      </w:r>
      <w:r>
        <w:rPr>
          <w:rFonts w:hint="eastAsia"/>
          <w:b/>
          <w:color w:val="auto"/>
        </w:rPr>
        <w:t>。</w:t>
      </w:r>
    </w:p>
    <w:p>
      <w:pPr>
        <w:spacing w:line="400" w:lineRule="exact"/>
        <w:rPr>
          <w:b/>
          <w:color w:val="auto"/>
        </w:rPr>
      </w:pPr>
      <w:r>
        <w:rPr>
          <w:rFonts w:hint="eastAsia"/>
          <w:b/>
          <w:color w:val="auto"/>
        </w:rPr>
        <w:t>9.  施工安全、治安保卫和环境保护</w:t>
      </w:r>
    </w:p>
    <w:p>
      <w:pPr>
        <w:spacing w:line="400" w:lineRule="exact"/>
        <w:rPr>
          <w:b/>
          <w:color w:val="auto"/>
        </w:rPr>
      </w:pPr>
      <w:r>
        <w:rPr>
          <w:rFonts w:hint="eastAsia"/>
          <w:b/>
          <w:color w:val="auto"/>
        </w:rPr>
        <w:t>9.2  承包人的施工安全责任</w:t>
      </w:r>
    </w:p>
    <w:p>
      <w:pPr>
        <w:spacing w:line="400" w:lineRule="exact"/>
        <w:ind w:firstLine="420" w:firstLineChars="200"/>
        <w:rPr>
          <w:b/>
          <w:color w:val="auto"/>
          <w:u w:val="single"/>
        </w:rPr>
      </w:pPr>
      <w:r>
        <w:rPr>
          <w:rFonts w:hint="eastAsia"/>
          <w:color w:val="auto"/>
        </w:rPr>
        <w:t xml:space="preserve">9.2.1报监理人审批的施工安全措施计划期限： </w:t>
      </w:r>
      <w:r>
        <w:rPr>
          <w:rFonts w:hint="eastAsia"/>
          <w:b/>
          <w:color w:val="auto"/>
          <w:u w:val="single"/>
        </w:rPr>
        <w:t xml:space="preserve"> </w:t>
      </w:r>
      <w:r>
        <w:rPr>
          <w:rFonts w:hint="eastAsia"/>
          <w:color w:val="auto"/>
          <w:u w:val="single"/>
        </w:rPr>
        <w:t>开工前7天</w:t>
      </w:r>
      <w:r>
        <w:rPr>
          <w:rFonts w:hint="eastAsia"/>
          <w:b/>
          <w:color w:val="auto"/>
          <w:u w:val="single"/>
        </w:rPr>
        <w:t xml:space="preserve">  。</w:t>
      </w:r>
    </w:p>
    <w:p>
      <w:pPr>
        <w:spacing w:line="400" w:lineRule="exact"/>
        <w:ind w:firstLine="420" w:firstLineChars="200"/>
        <w:rPr>
          <w:b/>
          <w:color w:val="auto"/>
          <w:u w:val="single"/>
        </w:rPr>
      </w:pPr>
      <w:r>
        <w:rPr>
          <w:rFonts w:hint="eastAsia"/>
          <w:color w:val="auto"/>
        </w:rPr>
        <w:t>监理人收到承包人报送的施工安全措施计划后应当在</w:t>
      </w:r>
      <w:r>
        <w:rPr>
          <w:rFonts w:hint="eastAsia"/>
          <w:color w:val="auto"/>
          <w:u w:val="single"/>
        </w:rPr>
        <w:t>　</w:t>
      </w:r>
      <w:r>
        <w:rPr>
          <w:rFonts w:hint="eastAsia"/>
          <w:b/>
          <w:color w:val="auto"/>
          <w:u w:val="single"/>
        </w:rPr>
        <w:t xml:space="preserve">7 </w:t>
      </w:r>
      <w:r>
        <w:rPr>
          <w:rFonts w:hint="eastAsia"/>
          <w:color w:val="auto"/>
          <w:u w:val="single"/>
        </w:rPr>
        <w:t xml:space="preserve"> </w:t>
      </w:r>
      <w:r>
        <w:rPr>
          <w:rFonts w:hint="eastAsia"/>
          <w:color w:val="auto"/>
        </w:rPr>
        <w:t>天内给予批复。</w:t>
      </w:r>
    </w:p>
    <w:p>
      <w:pPr>
        <w:spacing w:line="400" w:lineRule="exact"/>
        <w:rPr>
          <w:b/>
          <w:color w:val="auto"/>
        </w:rPr>
      </w:pPr>
      <w:r>
        <w:rPr>
          <w:rFonts w:hint="eastAsia"/>
          <w:b/>
          <w:color w:val="auto"/>
        </w:rPr>
        <w:t>9.3  治安保卫</w:t>
      </w:r>
    </w:p>
    <w:p>
      <w:pPr>
        <w:spacing w:line="400" w:lineRule="exact"/>
        <w:ind w:firstLine="420" w:firstLineChars="200"/>
        <w:rPr>
          <w:rFonts w:ascii="宋体" w:hAnsi="宋体" w:cs="宋体"/>
          <w:color w:val="auto"/>
          <w:szCs w:val="21"/>
        </w:rPr>
      </w:pPr>
      <w:r>
        <w:rPr>
          <w:rFonts w:hint="eastAsia"/>
          <w:color w:val="auto"/>
        </w:rPr>
        <w:t>9.3.1  承包人应当负责统一管理施工场地的治安保卫事项，履行合同工程的治安保卫职责</w:t>
      </w:r>
      <w:r>
        <w:rPr>
          <w:rFonts w:hint="eastAsia" w:ascii="宋体" w:hAnsi="宋体" w:cs="宋体"/>
          <w:color w:val="auto"/>
          <w:szCs w:val="21"/>
        </w:rPr>
        <w:t>，其费用由</w:t>
      </w:r>
      <w:r>
        <w:rPr>
          <w:rFonts w:hint="eastAsia" w:ascii="宋体" w:hAnsi="宋体" w:cs="宋体"/>
          <w:color w:val="auto"/>
          <w:szCs w:val="21"/>
          <w:u w:val="single"/>
        </w:rPr>
        <w:t xml:space="preserve">     </w:t>
      </w:r>
      <w:r>
        <w:rPr>
          <w:rFonts w:hint="eastAsia" w:ascii="宋体" w:hAnsi="宋体" w:cs="宋体"/>
          <w:color w:val="auto"/>
          <w:szCs w:val="21"/>
        </w:rPr>
        <w:t>承担。</w:t>
      </w:r>
    </w:p>
    <w:p>
      <w:pPr>
        <w:spacing w:line="400" w:lineRule="exact"/>
        <w:ind w:firstLine="420" w:firstLineChars="200"/>
        <w:rPr>
          <w:color w:val="auto"/>
        </w:rPr>
      </w:pPr>
      <w:r>
        <w:rPr>
          <w:rFonts w:hint="eastAsia"/>
          <w:color w:val="auto"/>
        </w:rPr>
        <w:t>9.3.3  施工场地治安管理计划和突发治安事件紧急预案的编制责任人：</w:t>
      </w:r>
      <w:r>
        <w:rPr>
          <w:rFonts w:hint="eastAsia"/>
          <w:color w:val="auto"/>
          <w:u w:val="single"/>
        </w:rPr>
        <w:t xml:space="preserve"> </w:t>
      </w:r>
      <w:r>
        <w:rPr>
          <w:rFonts w:hint="eastAsia"/>
          <w:b/>
          <w:color w:val="auto"/>
          <w:u w:val="single"/>
        </w:rPr>
        <w:t xml:space="preserve">承包人 </w:t>
      </w:r>
      <w:r>
        <w:rPr>
          <w:rFonts w:hint="eastAsia"/>
          <w:b/>
          <w:color w:val="auto"/>
        </w:rPr>
        <w:t>。</w:t>
      </w:r>
    </w:p>
    <w:p>
      <w:pPr>
        <w:spacing w:line="400" w:lineRule="exact"/>
        <w:rPr>
          <w:b/>
          <w:color w:val="auto"/>
        </w:rPr>
      </w:pPr>
      <w:r>
        <w:rPr>
          <w:rFonts w:hint="eastAsia"/>
          <w:b/>
          <w:color w:val="auto"/>
        </w:rPr>
        <w:t>9.4  环境保护</w:t>
      </w:r>
    </w:p>
    <w:p>
      <w:pPr>
        <w:adjustRightInd w:val="0"/>
        <w:snapToGrid w:val="0"/>
        <w:spacing w:line="400" w:lineRule="exact"/>
        <w:ind w:firstLine="420" w:firstLineChars="200"/>
        <w:rPr>
          <w:rFonts w:ascii="宋体" w:hAnsi="宋体" w:cs="宋体"/>
          <w:color w:val="auto"/>
          <w:szCs w:val="21"/>
        </w:rPr>
      </w:pPr>
      <w:r>
        <w:rPr>
          <w:rFonts w:hint="eastAsia"/>
          <w:color w:val="auto"/>
        </w:rPr>
        <w:t>9.4.2</w:t>
      </w:r>
      <w:r>
        <w:rPr>
          <w:rFonts w:hint="eastAsia" w:ascii="宋体" w:hAnsi="宋体" w:cs="宋体"/>
          <w:color w:val="auto"/>
          <w:szCs w:val="21"/>
        </w:rPr>
        <w:t>施工环保措施计划报送监理人审批的时间：</w:t>
      </w:r>
      <w:r>
        <w:rPr>
          <w:rFonts w:hint="eastAsia" w:ascii="宋体" w:hAnsi="宋体" w:cs="宋体"/>
          <w:b/>
          <w:color w:val="auto"/>
          <w:szCs w:val="21"/>
          <w:u w:val="single"/>
        </w:rPr>
        <w:t xml:space="preserve">  </w:t>
      </w:r>
      <w:r>
        <w:rPr>
          <w:rFonts w:hint="eastAsia"/>
          <w:color w:val="auto"/>
          <w:u w:val="single"/>
        </w:rPr>
        <w:t>开工前7天</w:t>
      </w:r>
      <w:r>
        <w:rPr>
          <w:rFonts w:hint="eastAsia" w:ascii="宋体" w:hAnsi="宋体" w:cs="宋体"/>
          <w:b/>
          <w:color w:val="auto"/>
          <w:szCs w:val="21"/>
          <w:u w:val="single"/>
        </w:rPr>
        <w:t>　</w:t>
      </w:r>
      <w:r>
        <w:rPr>
          <w:rFonts w:hint="eastAsia" w:ascii="宋体" w:hAnsi="宋体" w:cs="宋体"/>
          <w:color w:val="auto"/>
          <w:szCs w:val="21"/>
        </w:rPr>
        <w:t>。</w:t>
      </w:r>
    </w:p>
    <w:p>
      <w:pPr>
        <w:adjustRightInd w:val="0"/>
        <w:snapToGrid w:val="0"/>
        <w:spacing w:line="400" w:lineRule="exact"/>
        <w:rPr>
          <w:rFonts w:ascii="宋体" w:hAnsi="宋体" w:cs="宋体"/>
          <w:color w:val="auto"/>
          <w:szCs w:val="21"/>
        </w:rPr>
      </w:pPr>
      <w:r>
        <w:rPr>
          <w:rFonts w:hint="eastAsia" w:ascii="宋体" w:hAnsi="宋体" w:cs="宋体"/>
          <w:color w:val="auto"/>
          <w:szCs w:val="21"/>
        </w:rPr>
        <w:t>　　监理人收到承包人报送的施工环保措施计划后应当在</w:t>
      </w:r>
      <w:r>
        <w:rPr>
          <w:rFonts w:hint="eastAsia" w:ascii="宋体" w:hAnsi="宋体" w:cs="宋体"/>
          <w:b/>
          <w:color w:val="auto"/>
          <w:szCs w:val="21"/>
          <w:u w:val="single"/>
        </w:rPr>
        <w:t xml:space="preserve">　7   </w:t>
      </w:r>
      <w:r>
        <w:rPr>
          <w:rFonts w:hint="eastAsia" w:ascii="宋体" w:hAnsi="宋体" w:cs="宋体"/>
          <w:color w:val="auto"/>
          <w:szCs w:val="21"/>
        </w:rPr>
        <w:t>天内给予批复。</w:t>
      </w:r>
    </w:p>
    <w:p>
      <w:pPr>
        <w:spacing w:line="400" w:lineRule="exact"/>
        <w:rPr>
          <w:b/>
          <w:color w:val="auto"/>
        </w:rPr>
      </w:pPr>
      <w:r>
        <w:rPr>
          <w:rFonts w:hint="eastAsia"/>
          <w:b/>
          <w:color w:val="auto"/>
        </w:rPr>
        <w:t>10.  进度计划</w:t>
      </w:r>
    </w:p>
    <w:p>
      <w:pPr>
        <w:spacing w:line="400" w:lineRule="exact"/>
        <w:rPr>
          <w:b/>
          <w:color w:val="auto"/>
        </w:rPr>
      </w:pPr>
      <w:r>
        <w:rPr>
          <w:rFonts w:hint="eastAsia"/>
          <w:b/>
          <w:color w:val="auto"/>
        </w:rPr>
        <w:t>10.1  合同进度计划</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1</w:t>
      </w:r>
      <w:r>
        <w:rPr>
          <w:rFonts w:hint="eastAsia" w:ascii="宋体" w:hAnsi="宋体" w:cs="宋体"/>
          <w:color w:val="auto"/>
          <w:szCs w:val="21"/>
          <w:lang w:eastAsia="zh-CN"/>
        </w:rPr>
        <w:t>)</w:t>
      </w:r>
      <w:r>
        <w:rPr>
          <w:rFonts w:hint="eastAsia" w:ascii="宋体" w:hAnsi="宋体" w:cs="宋体"/>
          <w:color w:val="auto"/>
          <w:szCs w:val="21"/>
        </w:rPr>
        <w:t>承包人应当在收到监理人按照通用合同条款第11.1.1项发出的开工通知后</w:t>
      </w:r>
      <w:r>
        <w:rPr>
          <w:rFonts w:hint="eastAsia" w:ascii="宋体" w:hAnsi="宋体" w:cs="宋体"/>
          <w:color w:val="auto"/>
          <w:szCs w:val="21"/>
          <w:u w:val="single"/>
        </w:rPr>
        <w:t xml:space="preserve"> 7 </w:t>
      </w:r>
      <w:r>
        <w:rPr>
          <w:rFonts w:hint="eastAsia" w:ascii="宋体" w:hAnsi="宋体" w:cs="宋体"/>
          <w:color w:val="auto"/>
          <w:szCs w:val="21"/>
        </w:rPr>
        <w:t>天内，编制详细的施工进度计划和施工方案说明并报送监理人。</w:t>
      </w:r>
    </w:p>
    <w:p>
      <w:pPr>
        <w:spacing w:line="400" w:lineRule="exact"/>
        <w:ind w:firstLine="420" w:firstLineChars="200"/>
        <w:rPr>
          <w:rFonts w:ascii="宋体" w:hAnsi="宋体" w:cs="宋体"/>
          <w:b/>
          <w:color w:val="auto"/>
          <w:szCs w:val="21"/>
          <w:u w:val="single"/>
        </w:rPr>
      </w:pPr>
      <w:r>
        <w:rPr>
          <w:rFonts w:hint="eastAsia" w:ascii="宋体" w:hAnsi="宋体" w:cs="宋体"/>
          <w:color w:val="auto"/>
          <w:szCs w:val="21"/>
        </w:rPr>
        <w:t>承包人编制施工进度计划和施工方案说明的内容：</w:t>
      </w:r>
      <w:r>
        <w:rPr>
          <w:rFonts w:hint="eastAsia" w:ascii="宋体" w:hAnsi="宋体" w:cs="宋体"/>
          <w:b/>
          <w:color w:val="auto"/>
          <w:szCs w:val="21"/>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入进行阶段性工程设计交底的时间。</w:t>
      </w:r>
    </w:p>
    <w:p>
      <w:pPr>
        <w:spacing w:line="400" w:lineRule="exact"/>
        <w:ind w:firstLine="420" w:firstLineChars="200"/>
        <w:rPr>
          <w:rFonts w:ascii="宋体" w:hAnsi="宋体" w:cs="宋体"/>
          <w:b/>
          <w:color w:val="auto"/>
          <w:szCs w:val="21"/>
          <w:u w:val="single"/>
        </w:rPr>
      </w:pPr>
      <w:r>
        <w:rPr>
          <w:rFonts w:hint="eastAsia" w:ascii="宋体" w:hAnsi="宋体" w:cs="宋体"/>
          <w:color w:val="auto"/>
          <w:szCs w:val="21"/>
          <w:lang w:eastAsia="zh-CN"/>
        </w:rPr>
        <w:t>（</w:t>
      </w:r>
      <w:r>
        <w:rPr>
          <w:rFonts w:hint="eastAsia" w:ascii="宋体" w:hAnsi="宋体" w:cs="宋体"/>
          <w:color w:val="auto"/>
          <w:szCs w:val="21"/>
        </w:rPr>
        <w:t>2</w:t>
      </w:r>
      <w:r>
        <w:rPr>
          <w:rFonts w:hint="eastAsia" w:ascii="宋体" w:hAnsi="宋体" w:cs="宋体"/>
          <w:color w:val="auto"/>
          <w:szCs w:val="21"/>
          <w:lang w:eastAsia="zh-CN"/>
        </w:rPr>
        <w:t>)</w:t>
      </w:r>
      <w:r>
        <w:rPr>
          <w:rFonts w:hint="eastAsia" w:ascii="宋体" w:hAnsi="宋体" w:cs="宋体"/>
          <w:color w:val="auto"/>
          <w:szCs w:val="21"/>
        </w:rPr>
        <w:t>监理人批复或对施工进度计划和施工方案说明提出修改意见的期限：</w:t>
      </w:r>
      <w:r>
        <w:rPr>
          <w:rFonts w:hint="eastAsia" w:ascii="宋体" w:hAnsi="宋体" w:cs="宋体"/>
          <w:b/>
          <w:color w:val="auto"/>
          <w:szCs w:val="21"/>
          <w:u w:val="single"/>
        </w:rPr>
        <w:t>自监理人收到承包人报送的相关进度计划和施工方案说明后7天内。</w:t>
      </w:r>
    </w:p>
    <w:p>
      <w:pPr>
        <w:spacing w:line="400" w:lineRule="exact"/>
        <w:rPr>
          <w:b/>
          <w:color w:val="auto"/>
        </w:rPr>
      </w:pPr>
      <w:r>
        <w:rPr>
          <w:rFonts w:hint="eastAsia"/>
          <w:b/>
          <w:color w:val="auto"/>
        </w:rPr>
        <w:t>11.  开工和竣工</w:t>
      </w:r>
    </w:p>
    <w:p>
      <w:pPr>
        <w:spacing w:line="400" w:lineRule="exact"/>
        <w:rPr>
          <w:b/>
          <w:color w:val="auto"/>
        </w:rPr>
      </w:pPr>
      <w:r>
        <w:rPr>
          <w:rFonts w:hint="eastAsia"/>
          <w:b/>
          <w:color w:val="auto"/>
        </w:rPr>
        <w:t>11.4  异常恶劣的气候条件</w:t>
      </w:r>
    </w:p>
    <w:p>
      <w:pPr>
        <w:spacing w:line="400" w:lineRule="exact"/>
        <w:ind w:firstLine="420" w:firstLineChars="200"/>
        <w:rPr>
          <w:color w:val="auto"/>
        </w:rPr>
      </w:pPr>
      <w:r>
        <w:rPr>
          <w:rFonts w:hint="eastAsia"/>
          <w:color w:val="auto"/>
        </w:rPr>
        <w:t>异常恶劣的气候条件的范围：</w:t>
      </w:r>
      <w:r>
        <w:rPr>
          <w:rFonts w:hint="eastAsia"/>
          <w:b/>
          <w:color w:val="auto"/>
          <w:u w:val="single"/>
        </w:rPr>
        <w:t xml:space="preserve">  按重庆市气象部门公布的50年一遇的自然灾害（如台风、雪灾、洪水等） 。</w:t>
      </w:r>
    </w:p>
    <w:p>
      <w:pPr>
        <w:spacing w:line="400" w:lineRule="exact"/>
        <w:rPr>
          <w:b/>
          <w:color w:val="auto"/>
        </w:rPr>
      </w:pPr>
      <w:r>
        <w:rPr>
          <w:rFonts w:hint="eastAsia"/>
          <w:b/>
          <w:color w:val="auto"/>
        </w:rPr>
        <w:t>11.5  承包人的工期延误</w:t>
      </w:r>
    </w:p>
    <w:p>
      <w:pPr>
        <w:spacing w:line="400" w:lineRule="exact"/>
        <w:ind w:firstLine="420" w:firstLineChars="200"/>
        <w:rPr>
          <w:color w:val="auto"/>
        </w:rPr>
      </w:pPr>
      <w:r>
        <w:rPr>
          <w:rFonts w:hint="eastAsia"/>
          <w:color w:val="auto"/>
        </w:rPr>
        <w:t>由于承包人原因造成不能按期竣工的，发包人有权得到按本款约定的下列标准和方法计算的逾期竣工违约金，但最终违约金的金额不能超过本款约定的逾期竣工违约金最高限额。</w:t>
      </w:r>
    </w:p>
    <w:p>
      <w:pPr>
        <w:spacing w:line="400" w:lineRule="exact"/>
        <w:ind w:firstLine="420" w:firstLineChars="200"/>
        <w:rPr>
          <w:color w:val="auto"/>
        </w:rPr>
      </w:pPr>
      <w:r>
        <w:rPr>
          <w:rFonts w:hint="eastAsia"/>
          <w:color w:val="auto"/>
        </w:rPr>
        <w:t>逾期竣工违约金的计算方法：</w:t>
      </w:r>
      <w:r>
        <w:rPr>
          <w:rFonts w:hint="eastAsia"/>
          <w:color w:val="auto"/>
          <w:u w:val="single"/>
        </w:rPr>
        <w:t>按500元/天</w:t>
      </w:r>
      <w:r>
        <w:rPr>
          <w:rFonts w:hint="eastAsia"/>
          <w:color w:val="auto"/>
          <w:u w:val="single"/>
          <w:lang w:eastAsia="zh-CN"/>
        </w:rPr>
        <w:t>计</w:t>
      </w:r>
      <w:r>
        <w:rPr>
          <w:rFonts w:hint="eastAsia"/>
          <w:color w:val="auto"/>
          <w:u w:val="single"/>
        </w:rPr>
        <w:t>违约金</w:t>
      </w:r>
      <w:r>
        <w:rPr>
          <w:rFonts w:hint="eastAsia"/>
          <w:color w:val="auto"/>
        </w:rPr>
        <w:t>。</w:t>
      </w:r>
    </w:p>
    <w:p>
      <w:pPr>
        <w:spacing w:line="400" w:lineRule="exact"/>
        <w:ind w:firstLine="420" w:firstLineChars="200"/>
        <w:rPr>
          <w:color w:val="auto"/>
        </w:rPr>
      </w:pPr>
      <w:r>
        <w:rPr>
          <w:rFonts w:hint="eastAsia"/>
          <w:color w:val="auto"/>
        </w:rPr>
        <w:t>逾期竣工违约金的最高限额：</w:t>
      </w:r>
      <w:r>
        <w:rPr>
          <w:rFonts w:hint="eastAsia" w:ascii="宋体" w:hAnsi="宋体"/>
          <w:color w:val="auto"/>
          <w:u w:val="single"/>
        </w:rPr>
        <w:t xml:space="preserve">  签约合同价的3% </w:t>
      </w:r>
      <w:r>
        <w:rPr>
          <w:rFonts w:hint="eastAsia"/>
          <w:color w:val="auto"/>
          <w:u w:val="single"/>
        </w:rPr>
        <w:t xml:space="preserve"> </w:t>
      </w:r>
      <w:r>
        <w:rPr>
          <w:rFonts w:hint="eastAsia"/>
          <w:color w:val="auto"/>
        </w:rPr>
        <w:t>。</w:t>
      </w:r>
    </w:p>
    <w:p>
      <w:pPr>
        <w:spacing w:line="400" w:lineRule="exact"/>
        <w:rPr>
          <w:b/>
          <w:color w:val="auto"/>
        </w:rPr>
      </w:pPr>
      <w:r>
        <w:rPr>
          <w:rFonts w:hint="eastAsia"/>
          <w:b/>
          <w:color w:val="auto"/>
        </w:rPr>
        <w:t>11.6  工期提前</w:t>
      </w:r>
    </w:p>
    <w:p>
      <w:pPr>
        <w:spacing w:line="400" w:lineRule="exact"/>
        <w:ind w:firstLine="420" w:firstLineChars="200"/>
        <w:rPr>
          <w:rFonts w:hint="default"/>
          <w:b/>
          <w:color w:val="auto"/>
          <w:lang w:val="en-US"/>
        </w:rPr>
      </w:pPr>
      <w:r>
        <w:rPr>
          <w:rFonts w:hint="eastAsia"/>
          <w:color w:val="auto"/>
        </w:rPr>
        <w:t>提前竣工的奖励办法</w:t>
      </w:r>
      <w:r>
        <w:rPr>
          <w:rFonts w:hint="eastAsia"/>
          <w:color w:val="auto"/>
          <w:lang w:eastAsia="zh-CN"/>
        </w:rPr>
        <w:t>：</w:t>
      </w:r>
      <w:r>
        <w:rPr>
          <w:rFonts w:hint="eastAsia"/>
          <w:color w:val="auto"/>
          <w:lang w:val="en-US" w:eastAsia="zh-CN"/>
        </w:rPr>
        <w:t>/</w:t>
      </w:r>
    </w:p>
    <w:p>
      <w:pPr>
        <w:spacing w:line="400" w:lineRule="exact"/>
        <w:rPr>
          <w:b/>
          <w:color w:val="auto"/>
        </w:rPr>
      </w:pPr>
      <w:r>
        <w:rPr>
          <w:rFonts w:hint="eastAsia"/>
          <w:b/>
          <w:color w:val="auto"/>
        </w:rPr>
        <w:t>12．暂停施工</w:t>
      </w:r>
    </w:p>
    <w:p>
      <w:pPr>
        <w:spacing w:line="400" w:lineRule="exact"/>
        <w:ind w:firstLine="420" w:firstLineChars="200"/>
        <w:rPr>
          <w:color w:val="auto"/>
        </w:rPr>
      </w:pPr>
      <w:r>
        <w:rPr>
          <w:rFonts w:hint="eastAsia"/>
          <w:color w:val="auto"/>
        </w:rPr>
        <w:t>12.1 承包人暂停施工的责任：</w:t>
      </w:r>
      <w:r>
        <w:rPr>
          <w:rFonts w:hint="eastAsia"/>
          <w:b/>
          <w:color w:val="auto"/>
          <w:u w:val="single"/>
        </w:rPr>
        <w:t xml:space="preserve"> 非发包人的原因由承包人负责。</w:t>
      </w:r>
    </w:p>
    <w:p>
      <w:pPr>
        <w:spacing w:line="400" w:lineRule="exact"/>
        <w:rPr>
          <w:b/>
          <w:color w:val="auto"/>
        </w:rPr>
      </w:pPr>
      <w:r>
        <w:rPr>
          <w:rFonts w:hint="eastAsia"/>
          <w:b/>
          <w:color w:val="auto"/>
        </w:rPr>
        <w:t>13．工程质量</w:t>
      </w:r>
    </w:p>
    <w:p>
      <w:pPr>
        <w:spacing w:line="400" w:lineRule="exact"/>
        <w:rPr>
          <w:b/>
          <w:color w:val="auto"/>
        </w:rPr>
      </w:pPr>
      <w:r>
        <w:rPr>
          <w:rFonts w:hint="eastAsia"/>
          <w:b/>
          <w:color w:val="auto"/>
        </w:rPr>
        <w:t>13.2 承包人的质量检查</w:t>
      </w:r>
    </w:p>
    <w:p>
      <w:pPr>
        <w:spacing w:line="400" w:lineRule="exact"/>
        <w:ind w:firstLine="411" w:firstLineChars="196"/>
        <w:rPr>
          <w:b/>
          <w:color w:val="auto"/>
          <w:u w:val="single"/>
        </w:rPr>
      </w:pPr>
      <w:r>
        <w:rPr>
          <w:rFonts w:hint="eastAsia" w:ascii="宋体" w:hAnsi="宋体" w:cs="宋体"/>
          <w:color w:val="auto"/>
          <w:szCs w:val="21"/>
        </w:rPr>
        <w:t>承包人提交工程质量保证措施文件的期限：</w:t>
      </w:r>
      <w:r>
        <w:rPr>
          <w:rFonts w:hint="eastAsia"/>
          <w:b/>
          <w:color w:val="auto"/>
          <w:u w:val="single"/>
        </w:rPr>
        <w:t xml:space="preserve">  开工前7天</w:t>
      </w:r>
      <w:r>
        <w:rPr>
          <w:rFonts w:hint="eastAsia"/>
          <w:b/>
          <w:color w:val="auto"/>
        </w:rPr>
        <w:t>。</w:t>
      </w:r>
    </w:p>
    <w:p>
      <w:pPr>
        <w:spacing w:line="400" w:lineRule="exact"/>
        <w:ind w:firstLine="411" w:firstLineChars="196"/>
        <w:rPr>
          <w:bCs/>
          <w:color w:val="auto"/>
        </w:rPr>
      </w:pPr>
      <w:r>
        <w:rPr>
          <w:rFonts w:hint="eastAsia"/>
          <w:bCs/>
          <w:color w:val="auto"/>
        </w:rPr>
        <w:t>监理人收到承包人报送的施工环保措施计划后应当在</w:t>
      </w:r>
      <w:r>
        <w:rPr>
          <w:rFonts w:hint="eastAsia"/>
          <w:bCs/>
          <w:color w:val="auto"/>
          <w:u w:val="single"/>
        </w:rPr>
        <w:t xml:space="preserve"> 3 </w:t>
      </w:r>
      <w:r>
        <w:rPr>
          <w:rFonts w:hint="eastAsia"/>
          <w:bCs/>
          <w:color w:val="auto"/>
        </w:rPr>
        <w:t>天内给予批复。</w:t>
      </w:r>
    </w:p>
    <w:p>
      <w:pPr>
        <w:spacing w:line="400" w:lineRule="exact"/>
        <w:rPr>
          <w:b/>
          <w:color w:val="auto"/>
        </w:rPr>
      </w:pPr>
      <w:r>
        <w:rPr>
          <w:rFonts w:hint="eastAsia"/>
          <w:b/>
          <w:color w:val="auto"/>
        </w:rPr>
        <w:t>13.5 工程隐蔽部位覆盖前的检查</w:t>
      </w:r>
    </w:p>
    <w:p>
      <w:pPr>
        <w:spacing w:line="400" w:lineRule="exact"/>
        <w:ind w:firstLine="420" w:firstLineChars="200"/>
        <w:rPr>
          <w:rFonts w:ascii="宋体" w:hAnsi="宋体" w:cs="宋体"/>
          <w:b/>
          <w:color w:val="auto"/>
          <w:szCs w:val="21"/>
          <w:u w:val="single"/>
        </w:rPr>
      </w:pPr>
      <w:r>
        <w:rPr>
          <w:rFonts w:hint="eastAsia" w:ascii="宋体" w:hAnsi="宋体" w:cs="宋体"/>
          <w:color w:val="auto"/>
          <w:szCs w:val="21"/>
        </w:rPr>
        <w:t>13.5.1监理人对工程隐蔽部位进行检查的期限：</w:t>
      </w:r>
      <w:r>
        <w:rPr>
          <w:rFonts w:hint="eastAsia" w:ascii="宋体" w:hAnsi="宋体" w:cs="宋体"/>
          <w:b/>
          <w:color w:val="auto"/>
          <w:szCs w:val="21"/>
          <w:u w:val="single"/>
        </w:rPr>
        <w:t>工程部位隐蔽前24小时以书面形式通知发包人和监理人验收。</w:t>
      </w:r>
    </w:p>
    <w:p>
      <w:pPr>
        <w:spacing w:line="400" w:lineRule="exact"/>
        <w:rPr>
          <w:b/>
          <w:color w:val="auto"/>
        </w:rPr>
      </w:pPr>
      <w:r>
        <w:rPr>
          <w:rFonts w:hint="eastAsia"/>
          <w:b/>
          <w:color w:val="auto"/>
        </w:rPr>
        <w:t>15.  变更</w:t>
      </w:r>
    </w:p>
    <w:p>
      <w:pPr>
        <w:spacing w:line="400" w:lineRule="exact"/>
        <w:ind w:firstLine="420" w:firstLineChars="200"/>
        <w:rPr>
          <w:color w:val="auto"/>
        </w:rPr>
      </w:pPr>
      <w:r>
        <w:rPr>
          <w:rFonts w:hint="eastAsia"/>
          <w:color w:val="auto"/>
        </w:rPr>
        <w:t>所有工程变更等现场签证的确定只有经发包人审批同意后才能生效。</w:t>
      </w:r>
    </w:p>
    <w:p>
      <w:pPr>
        <w:spacing w:line="400" w:lineRule="exact"/>
        <w:ind w:firstLine="420" w:firstLineChars="200"/>
        <w:rPr>
          <w:color w:val="auto"/>
        </w:rPr>
      </w:pPr>
      <w:r>
        <w:rPr>
          <w:rFonts w:hint="eastAsia"/>
          <w:color w:val="auto"/>
        </w:rPr>
        <w:t>15.1 变更的范围和内容：</w:t>
      </w:r>
      <w:r>
        <w:rPr>
          <w:rFonts w:hint="eastAsia"/>
          <w:b/>
          <w:color w:val="auto"/>
          <w:u w:val="single"/>
        </w:rPr>
        <w:t>变更的范围和内容以发包人认可为准。</w:t>
      </w:r>
    </w:p>
    <w:p>
      <w:pPr>
        <w:spacing w:line="400" w:lineRule="exact"/>
        <w:rPr>
          <w:b/>
          <w:color w:val="auto"/>
        </w:rPr>
      </w:pPr>
      <w:r>
        <w:rPr>
          <w:rFonts w:hint="eastAsia"/>
          <w:b/>
          <w:color w:val="auto"/>
        </w:rPr>
        <w:t>15.3  变更程序</w:t>
      </w:r>
    </w:p>
    <w:p>
      <w:pPr>
        <w:spacing w:line="400" w:lineRule="exact"/>
        <w:rPr>
          <w:b/>
          <w:color w:val="auto"/>
        </w:rPr>
      </w:pPr>
      <w:r>
        <w:rPr>
          <w:rFonts w:hint="eastAsia"/>
          <w:b/>
          <w:color w:val="auto"/>
        </w:rPr>
        <w:t>15.3.2  变更估价</w:t>
      </w:r>
    </w:p>
    <w:p>
      <w:pPr>
        <w:adjustRightInd w:val="0"/>
        <w:snapToGrid w:val="0"/>
        <w:spacing w:line="400" w:lineRule="exact"/>
        <w:ind w:firstLine="462" w:firstLineChars="220"/>
        <w:rPr>
          <w:rFonts w:ascii="宋体" w:hAnsi="宋体" w:cs="宋体"/>
          <w:color w:val="auto"/>
          <w:szCs w:val="21"/>
          <w:u w:val="single"/>
        </w:rPr>
      </w:pPr>
      <w:r>
        <w:rPr>
          <w:rFonts w:hint="eastAsia" w:ascii="宋体" w:hAnsi="宋体" w:cs="宋体"/>
          <w:color w:val="auto"/>
          <w:szCs w:val="21"/>
        </w:rPr>
        <w:t>承包人提交变更报价书的期限：</w:t>
      </w:r>
      <w:r>
        <w:rPr>
          <w:rFonts w:hint="eastAsia" w:ascii="宋体" w:hAnsi="宋体" w:cs="宋体"/>
          <w:color w:val="auto"/>
          <w:szCs w:val="21"/>
          <w:u w:val="single"/>
        </w:rPr>
        <w:t>承包人应在收到变更指示或变更意向书后的 7天内，向监理人提交变更报价书。</w:t>
      </w:r>
    </w:p>
    <w:p>
      <w:pPr>
        <w:adjustRightInd w:val="0"/>
        <w:snapToGrid w:val="0"/>
        <w:spacing w:line="400" w:lineRule="exact"/>
        <w:ind w:firstLine="462" w:firstLineChars="220"/>
        <w:rPr>
          <w:rFonts w:ascii="宋体" w:hAnsi="宋体" w:cs="宋体"/>
          <w:color w:val="auto"/>
          <w:szCs w:val="21"/>
          <w:u w:val="single"/>
        </w:rPr>
      </w:pPr>
      <w:r>
        <w:rPr>
          <w:rFonts w:hint="eastAsia" w:ascii="宋体" w:hAnsi="宋体" w:cs="宋体"/>
          <w:color w:val="auto"/>
          <w:szCs w:val="21"/>
        </w:rPr>
        <w:t>监理人商定或确定变更价格的期限：</w:t>
      </w:r>
      <w:r>
        <w:rPr>
          <w:rFonts w:hint="eastAsia" w:ascii="宋体" w:hAnsi="宋体" w:cs="宋体"/>
          <w:color w:val="auto"/>
          <w:szCs w:val="21"/>
          <w:u w:val="single"/>
        </w:rPr>
        <w:t xml:space="preserve">  7天  </w:t>
      </w:r>
      <w:r>
        <w:rPr>
          <w:rFonts w:hint="eastAsia" w:ascii="宋体" w:hAnsi="宋体" w:cs="宋体"/>
          <w:color w:val="auto"/>
          <w:szCs w:val="21"/>
        </w:rPr>
        <w:t>。</w:t>
      </w:r>
    </w:p>
    <w:p>
      <w:pPr>
        <w:adjustRightInd w:val="0"/>
        <w:snapToGrid w:val="0"/>
        <w:spacing w:line="400" w:lineRule="exact"/>
        <w:rPr>
          <w:rFonts w:ascii="宋体" w:hAnsi="宋体" w:cs="宋体"/>
          <w:color w:val="auto"/>
          <w:szCs w:val="21"/>
          <w:u w:val="single"/>
        </w:rPr>
      </w:pPr>
      <w:r>
        <w:rPr>
          <w:rFonts w:hint="eastAsia"/>
          <w:b/>
          <w:color w:val="auto"/>
        </w:rPr>
        <w:t>15.4变更的估价原则</w:t>
      </w:r>
    </w:p>
    <w:p>
      <w:pPr>
        <w:spacing w:line="400" w:lineRule="exact"/>
        <w:ind w:firstLine="420" w:firstLineChars="200"/>
        <w:rPr>
          <w:color w:val="auto"/>
        </w:rPr>
      </w:pPr>
      <w:r>
        <w:rPr>
          <w:rFonts w:hint="eastAsia"/>
          <w:color w:val="auto"/>
        </w:rPr>
        <w:t>（1）工程内容与已标价工程量清单中有相同的子项或类似子项，则按投标时的相同子项或类似子项的全费用综合单价执行（类似子项及其全费用综合单价由发包人审定）；</w:t>
      </w:r>
    </w:p>
    <w:p>
      <w:pPr>
        <w:spacing w:line="400" w:lineRule="exact"/>
        <w:ind w:firstLine="420" w:firstLineChars="200"/>
        <w:jc w:val="left"/>
        <w:rPr>
          <w:rFonts w:hint="eastAsia" w:eastAsia="宋体"/>
          <w:color w:val="auto"/>
          <w:szCs w:val="22"/>
          <w:lang w:eastAsia="zh-CN"/>
        </w:rPr>
      </w:pPr>
      <w:r>
        <w:rPr>
          <w:rFonts w:hint="eastAsia"/>
          <w:color w:val="auto"/>
        </w:rPr>
        <w:t>（2）</w:t>
      </w:r>
      <w:r>
        <w:rPr>
          <w:rFonts w:hint="eastAsia"/>
          <w:color w:val="auto"/>
          <w:lang w:eastAsia="zh-CN"/>
        </w:rPr>
        <w:t>工程内容如有与已标价工程量清单不同的子项（既无相同子项，又无类似子项），按《建设工程工程量清单计价规范》（GB 50500-2013）、《重庆市建设工程工程量清单计价规则》（CQJJGZ-2013）、《重庆市建设工程工程量计算规则》（CQJLGZ-2013）、2018年《重庆市建筑与装饰工程计价定额》、2018年《重庆市园林绿化工程计价定额》、2018年《重庆市绿色建筑工程计价定额》、2018年《重庆市建设工程费用定额》及其配套文件计算后，再按承包人报价浮动率[承包人报价浮动率=（1-中标价/投标总报价最高限价）×100%]进行下浮后结算[其中：人工工日单价参照2024年第1期《重庆工程造价信息》公布的渝西片区价格计算；材料价格参照2024年第2期《重庆工程造价信息》公布的铜梁地区材料价格并结合近期市场价格计算，材料价格为不含税价；下浮基数不含安全文明施工费、认质核价的材料费、规费、税金]</w:t>
      </w:r>
    </w:p>
    <w:p>
      <w:pPr>
        <w:adjustRightInd w:val="0"/>
        <w:snapToGrid w:val="0"/>
        <w:spacing w:line="400" w:lineRule="exact"/>
        <w:rPr>
          <w:b/>
          <w:color w:val="auto"/>
        </w:rPr>
      </w:pPr>
      <w:r>
        <w:rPr>
          <w:rFonts w:hint="eastAsia"/>
          <w:b/>
          <w:color w:val="auto"/>
        </w:rPr>
        <w:t>15.5  承包人的合理化建议</w:t>
      </w:r>
    </w:p>
    <w:p>
      <w:pPr>
        <w:adjustRightInd w:val="0"/>
        <w:snapToGrid w:val="0"/>
        <w:spacing w:line="400" w:lineRule="exact"/>
        <w:rPr>
          <w:b/>
          <w:color w:val="auto"/>
          <w:u w:val="single"/>
        </w:rPr>
      </w:pPr>
      <w:r>
        <w:rPr>
          <w:rFonts w:hint="eastAsia"/>
          <w:color w:val="auto"/>
        </w:rPr>
        <w:t>对承包人提出合理化建议的奖励方法：</w:t>
      </w:r>
      <w:r>
        <w:rPr>
          <w:rFonts w:hint="eastAsia"/>
          <w:b/>
          <w:color w:val="auto"/>
          <w:u w:val="single"/>
        </w:rPr>
        <w:t>无。</w:t>
      </w:r>
    </w:p>
    <w:p>
      <w:pPr>
        <w:adjustRightInd w:val="0"/>
        <w:snapToGrid w:val="0"/>
        <w:spacing w:line="400" w:lineRule="exact"/>
        <w:rPr>
          <w:b/>
          <w:color w:val="auto"/>
          <w:u w:val="single"/>
        </w:rPr>
      </w:pPr>
      <w:r>
        <w:rPr>
          <w:rFonts w:hint="eastAsia"/>
          <w:color w:val="auto"/>
        </w:rPr>
        <w:t>15.6暂列金额</w:t>
      </w:r>
      <w:r>
        <w:rPr>
          <w:rFonts w:hint="eastAsia"/>
          <w:b/>
          <w:color w:val="auto"/>
        </w:rPr>
        <w:t xml:space="preserve">： </w:t>
      </w:r>
      <w:r>
        <w:rPr>
          <w:rFonts w:hint="eastAsia"/>
          <w:b/>
          <w:color w:val="auto"/>
          <w:u w:val="single"/>
        </w:rPr>
        <w:t xml:space="preserve"> /  </w:t>
      </w:r>
      <w:r>
        <w:rPr>
          <w:rFonts w:hint="eastAsia"/>
          <w:bCs/>
          <w:color w:val="auto"/>
          <w:u w:val="single"/>
        </w:rPr>
        <w:t xml:space="preserve"> 元 。</w:t>
      </w:r>
    </w:p>
    <w:p>
      <w:pPr>
        <w:adjustRightInd w:val="0"/>
        <w:snapToGrid w:val="0"/>
        <w:spacing w:line="400" w:lineRule="exact"/>
        <w:rPr>
          <w:color w:val="auto"/>
        </w:rPr>
      </w:pPr>
      <w:r>
        <w:rPr>
          <w:rFonts w:hint="eastAsia"/>
          <w:color w:val="auto"/>
        </w:rPr>
        <w:t>15.8</w:t>
      </w:r>
      <w:r>
        <w:rPr>
          <w:rFonts w:hint="eastAsia" w:ascii="宋体" w:hAnsi="宋体"/>
          <w:color w:val="auto"/>
        </w:rPr>
        <w:t>暂估价：</w:t>
      </w:r>
      <w:r>
        <w:rPr>
          <w:rFonts w:hint="eastAsia"/>
          <w:b/>
          <w:color w:val="auto"/>
          <w:u w:val="single"/>
        </w:rPr>
        <w:t xml:space="preserve"> </w:t>
      </w:r>
      <w:r>
        <w:rPr>
          <w:rFonts w:hint="eastAsia"/>
          <w:color w:val="auto"/>
          <w:u w:val="single"/>
        </w:rPr>
        <w:t xml:space="preserve"> </w:t>
      </w:r>
      <w:r>
        <w:rPr>
          <w:rFonts w:hint="eastAsia" w:ascii="宋体" w:hAnsi="宋体"/>
          <w:b/>
          <w:color w:val="auto"/>
          <w:u w:val="single"/>
        </w:rPr>
        <w:t>﹨</w:t>
      </w:r>
      <w:r>
        <w:rPr>
          <w:rFonts w:hint="eastAsia"/>
          <w:color w:val="auto"/>
          <w:u w:val="single"/>
        </w:rPr>
        <w:t xml:space="preserve">  元</w:t>
      </w:r>
      <w:r>
        <w:rPr>
          <w:rFonts w:hint="eastAsia"/>
          <w:bCs/>
          <w:color w:val="auto"/>
          <w:u w:val="single"/>
        </w:rPr>
        <w:t>。</w:t>
      </w:r>
      <w:r>
        <w:rPr>
          <w:rFonts w:hint="eastAsia" w:ascii="宋体" w:hAnsi="宋体"/>
          <w:b/>
          <w:bCs/>
          <w:color w:val="auto"/>
          <w:u w:val="single"/>
        </w:rPr>
        <w:t xml:space="preserve"> </w:t>
      </w:r>
      <w:r>
        <w:rPr>
          <w:rFonts w:hint="eastAsia"/>
          <w:color w:val="auto"/>
        </w:rPr>
        <w:t xml:space="preserve">    </w:t>
      </w:r>
      <w:bookmarkStart w:id="486" w:name="_Toc14052"/>
      <w:bookmarkStart w:id="487" w:name="_Toc327347204"/>
      <w:bookmarkStart w:id="488" w:name="_Toc224103443"/>
      <w:bookmarkStart w:id="489" w:name="_Toc30841"/>
      <w:bookmarkStart w:id="490" w:name="_Toc266027467"/>
      <w:bookmarkStart w:id="491" w:name="_Toc418077916"/>
      <w:bookmarkStart w:id="492" w:name="_Toc359579086"/>
    </w:p>
    <w:p>
      <w:pPr>
        <w:adjustRightInd w:val="0"/>
        <w:snapToGrid w:val="0"/>
        <w:spacing w:line="400" w:lineRule="exact"/>
        <w:rPr>
          <w:b/>
          <w:color w:val="auto"/>
        </w:rPr>
      </w:pPr>
      <w:r>
        <w:rPr>
          <w:rFonts w:hint="eastAsia"/>
          <w:b/>
          <w:color w:val="auto"/>
        </w:rPr>
        <w:t>16.  价格调整</w:t>
      </w:r>
      <w:bookmarkEnd w:id="486"/>
      <w:bookmarkEnd w:id="487"/>
      <w:bookmarkEnd w:id="488"/>
      <w:bookmarkEnd w:id="489"/>
      <w:bookmarkEnd w:id="490"/>
      <w:bookmarkEnd w:id="491"/>
      <w:bookmarkEnd w:id="492"/>
      <w:bookmarkStart w:id="493" w:name="_Toc327347205"/>
      <w:bookmarkStart w:id="494" w:name="_Toc359579087"/>
      <w:bookmarkStart w:id="495" w:name="_Toc418077917"/>
      <w:bookmarkStart w:id="496" w:name="_Toc24307"/>
      <w:bookmarkStart w:id="497" w:name="_Toc8602"/>
      <w:bookmarkStart w:id="498" w:name="_Toc224103444"/>
      <w:bookmarkStart w:id="499" w:name="_Toc266027468"/>
    </w:p>
    <w:p>
      <w:pPr>
        <w:adjustRightInd w:val="0"/>
        <w:snapToGrid w:val="0"/>
        <w:spacing w:line="400" w:lineRule="exact"/>
        <w:rPr>
          <w:b/>
          <w:color w:val="auto"/>
        </w:rPr>
      </w:pPr>
      <w:r>
        <w:rPr>
          <w:rFonts w:hint="eastAsia"/>
          <w:b/>
          <w:color w:val="auto"/>
        </w:rPr>
        <w:t>16.1  物价波动引起的价格调整</w:t>
      </w:r>
      <w:bookmarkEnd w:id="493"/>
      <w:bookmarkEnd w:id="494"/>
      <w:bookmarkEnd w:id="495"/>
      <w:bookmarkEnd w:id="496"/>
      <w:bookmarkEnd w:id="497"/>
      <w:bookmarkEnd w:id="498"/>
      <w:bookmarkEnd w:id="499"/>
    </w:p>
    <w:p>
      <w:pPr>
        <w:adjustRightInd w:val="0"/>
        <w:snapToGrid w:val="0"/>
        <w:spacing w:line="400" w:lineRule="exact"/>
        <w:ind w:firstLine="420" w:firstLineChars="200"/>
        <w:rPr>
          <w:b/>
          <w:color w:val="auto"/>
        </w:rPr>
      </w:pPr>
      <w:r>
        <w:rPr>
          <w:rFonts w:hint="eastAsia"/>
          <w:color w:val="auto"/>
        </w:rPr>
        <w:t>物价波动引起的价格调整方法：</w:t>
      </w:r>
      <w:r>
        <w:rPr>
          <w:rFonts w:hint="eastAsia"/>
          <w:b/>
          <w:color w:val="auto"/>
          <w:u w:val="single"/>
        </w:rPr>
        <w:t xml:space="preserve">   不调整   </w:t>
      </w:r>
      <w:r>
        <w:rPr>
          <w:rFonts w:hint="eastAsia"/>
          <w:b/>
          <w:color w:val="auto"/>
        </w:rPr>
        <w:t>。</w:t>
      </w:r>
    </w:p>
    <w:p>
      <w:pPr>
        <w:adjustRightInd w:val="0"/>
        <w:snapToGrid w:val="0"/>
        <w:spacing w:line="400" w:lineRule="exact"/>
        <w:rPr>
          <w:b/>
          <w:color w:val="auto"/>
        </w:rPr>
      </w:pPr>
      <w:r>
        <w:rPr>
          <w:rFonts w:hint="eastAsia"/>
          <w:b/>
          <w:color w:val="auto"/>
        </w:rPr>
        <w:t>17.2 预付款</w:t>
      </w:r>
    </w:p>
    <w:p>
      <w:pPr>
        <w:adjustRightInd w:val="0"/>
        <w:snapToGrid w:val="0"/>
        <w:spacing w:line="400" w:lineRule="exact"/>
        <w:rPr>
          <w:color w:val="auto"/>
        </w:rPr>
      </w:pPr>
      <w:r>
        <w:rPr>
          <w:rFonts w:hint="eastAsia"/>
          <w:color w:val="auto"/>
        </w:rPr>
        <w:t>17.2.1 预付款</w:t>
      </w:r>
    </w:p>
    <w:p>
      <w:pPr>
        <w:adjustRightInd w:val="0"/>
        <w:snapToGrid w:val="0"/>
        <w:spacing w:line="400" w:lineRule="exact"/>
        <w:rPr>
          <w:b/>
          <w:color w:val="auto"/>
          <w:u w:val="single"/>
        </w:rPr>
      </w:pPr>
      <w:r>
        <w:rPr>
          <w:rFonts w:hint="eastAsia"/>
          <w:color w:val="auto"/>
        </w:rPr>
        <w:t xml:space="preserve">    预付款额度和预付方法：</w:t>
      </w:r>
      <w:r>
        <w:rPr>
          <w:rFonts w:hint="eastAsia"/>
          <w:b/>
          <w:color w:val="auto"/>
          <w:u w:val="single"/>
        </w:rPr>
        <w:t xml:space="preserve">  无。</w:t>
      </w:r>
    </w:p>
    <w:p>
      <w:pPr>
        <w:adjustRightInd w:val="0"/>
        <w:snapToGrid w:val="0"/>
        <w:spacing w:line="400" w:lineRule="exact"/>
        <w:rPr>
          <w:color w:val="auto"/>
        </w:rPr>
      </w:pPr>
      <w:r>
        <w:rPr>
          <w:rFonts w:hint="eastAsia"/>
          <w:color w:val="auto"/>
        </w:rPr>
        <w:t>17.2.2 预付款保函</w:t>
      </w:r>
    </w:p>
    <w:p>
      <w:pPr>
        <w:adjustRightInd w:val="0"/>
        <w:snapToGrid w:val="0"/>
        <w:spacing w:line="400" w:lineRule="exact"/>
        <w:rPr>
          <w:b/>
          <w:color w:val="auto"/>
        </w:rPr>
      </w:pPr>
      <w:r>
        <w:rPr>
          <w:rFonts w:hint="eastAsia"/>
          <w:color w:val="auto"/>
        </w:rPr>
        <w:t xml:space="preserve">    预付款保函的提交时间：</w:t>
      </w:r>
      <w:r>
        <w:rPr>
          <w:rFonts w:hint="eastAsia"/>
          <w:b/>
          <w:color w:val="auto"/>
          <w:u w:val="single"/>
        </w:rPr>
        <w:t xml:space="preserve">  无。</w:t>
      </w:r>
    </w:p>
    <w:p>
      <w:pPr>
        <w:spacing w:line="400" w:lineRule="exact"/>
        <w:ind w:firstLine="420" w:firstLineChars="200"/>
        <w:rPr>
          <w:b/>
          <w:color w:val="auto"/>
        </w:rPr>
      </w:pPr>
      <w:r>
        <w:rPr>
          <w:rFonts w:hint="eastAsia"/>
          <w:color w:val="auto"/>
        </w:rPr>
        <w:t>17.2.3 预付款的扣回与还清</w:t>
      </w:r>
    </w:p>
    <w:p>
      <w:pPr>
        <w:spacing w:line="400" w:lineRule="exact"/>
        <w:ind w:firstLine="420" w:firstLineChars="200"/>
        <w:rPr>
          <w:b/>
          <w:color w:val="auto"/>
        </w:rPr>
      </w:pPr>
      <w:r>
        <w:rPr>
          <w:rFonts w:hint="eastAsia"/>
          <w:color w:val="auto"/>
        </w:rPr>
        <w:t>预付款的扣回办法：</w:t>
      </w:r>
      <w:r>
        <w:rPr>
          <w:rFonts w:hint="eastAsia"/>
          <w:b/>
          <w:color w:val="auto"/>
          <w:u w:val="single"/>
        </w:rPr>
        <w:t xml:space="preserve">  无。</w:t>
      </w:r>
    </w:p>
    <w:p>
      <w:pPr>
        <w:spacing w:line="400" w:lineRule="exact"/>
        <w:rPr>
          <w:b/>
          <w:color w:val="auto"/>
        </w:rPr>
      </w:pPr>
      <w:r>
        <w:rPr>
          <w:rFonts w:hint="eastAsia"/>
          <w:b/>
          <w:color w:val="auto"/>
        </w:rPr>
        <w:t>17.3  工程进度付款</w:t>
      </w:r>
    </w:p>
    <w:p>
      <w:pPr>
        <w:spacing w:line="400" w:lineRule="exact"/>
        <w:ind w:firstLine="411" w:firstLineChars="196"/>
        <w:rPr>
          <w:color w:val="auto"/>
        </w:rPr>
      </w:pPr>
      <w:r>
        <w:rPr>
          <w:rFonts w:hint="eastAsia"/>
          <w:color w:val="auto"/>
        </w:rPr>
        <w:t>17.3.3进度付款证书和支付时间：</w:t>
      </w:r>
    </w:p>
    <w:p>
      <w:pPr>
        <w:spacing w:line="400" w:lineRule="exact"/>
        <w:ind w:firstLine="420" w:firstLineChars="200"/>
        <w:rPr>
          <w:rFonts w:hint="eastAsia" w:eastAsia="宋体"/>
          <w:color w:val="auto"/>
          <w:lang w:eastAsia="zh-CN"/>
        </w:rPr>
      </w:pPr>
      <w:r>
        <w:rPr>
          <w:rFonts w:hint="eastAsia"/>
          <w:color w:val="auto"/>
          <w:lang w:eastAsia="zh-CN"/>
        </w:rPr>
        <w:t>本项目无预付款，工程竣工验收合格且审计结束后支至审计金额的97%，留审定金额的3%作为质保金，缺陷责任期一年，缺陷责任期满如无质量问题，到期后一次性无息退还质保金。</w:t>
      </w:r>
    </w:p>
    <w:p>
      <w:pPr>
        <w:spacing w:line="400" w:lineRule="exact"/>
        <w:ind w:firstLine="422" w:firstLineChars="200"/>
        <w:rPr>
          <w:b/>
          <w:color w:val="auto"/>
        </w:rPr>
      </w:pPr>
      <w:r>
        <w:rPr>
          <w:rFonts w:hint="eastAsia"/>
          <w:b/>
          <w:color w:val="auto"/>
        </w:rPr>
        <w:t>17.4  质量保证金</w:t>
      </w:r>
    </w:p>
    <w:p>
      <w:pPr>
        <w:spacing w:line="400" w:lineRule="exact"/>
        <w:ind w:firstLine="420" w:firstLineChars="200"/>
        <w:rPr>
          <w:rFonts w:hint="eastAsia"/>
          <w:b/>
          <w:color w:val="auto"/>
          <w:szCs w:val="22"/>
          <w:u w:val="single"/>
        </w:rPr>
      </w:pPr>
      <w:r>
        <w:rPr>
          <w:rFonts w:hint="eastAsia"/>
          <w:color w:val="auto"/>
        </w:rPr>
        <w:t>17.4.1 质量保证金的金额或比例：</w:t>
      </w:r>
      <w:r>
        <w:rPr>
          <w:rFonts w:hint="eastAsia"/>
          <w:b/>
          <w:color w:val="auto"/>
          <w:szCs w:val="22"/>
          <w:u w:val="single"/>
          <w:lang w:val="en-US" w:eastAsia="zh-CN"/>
        </w:rPr>
        <w:t>/</w:t>
      </w:r>
    </w:p>
    <w:p>
      <w:pPr>
        <w:spacing w:line="400" w:lineRule="exact"/>
        <w:ind w:firstLine="422" w:firstLineChars="200"/>
        <w:rPr>
          <w:b/>
          <w:color w:val="auto"/>
        </w:rPr>
      </w:pPr>
      <w:r>
        <w:rPr>
          <w:rFonts w:hint="eastAsia"/>
          <w:b/>
          <w:color w:val="auto"/>
        </w:rPr>
        <w:t xml:space="preserve">17.5  竣工结算 </w:t>
      </w:r>
    </w:p>
    <w:p>
      <w:pPr>
        <w:spacing w:line="400" w:lineRule="exact"/>
        <w:rPr>
          <w:b/>
          <w:color w:val="auto"/>
        </w:rPr>
      </w:pPr>
      <w:r>
        <w:rPr>
          <w:rFonts w:hint="eastAsia"/>
          <w:b/>
          <w:color w:val="auto"/>
        </w:rPr>
        <w:t>17.5.1  竣工付款申请单</w:t>
      </w:r>
    </w:p>
    <w:p>
      <w:pPr>
        <w:spacing w:line="400" w:lineRule="exact"/>
        <w:ind w:firstLine="411" w:firstLineChars="196"/>
        <w:rPr>
          <w:color w:val="auto"/>
        </w:rPr>
      </w:pPr>
      <w:r>
        <w:rPr>
          <w:rFonts w:hint="eastAsia"/>
          <w:color w:val="auto"/>
        </w:rPr>
        <w:t>竣工付款申请单的份数和提交期限：</w:t>
      </w:r>
      <w:r>
        <w:rPr>
          <w:rFonts w:hint="eastAsia"/>
          <w:b/>
          <w:color w:val="auto"/>
          <w:u w:val="single"/>
        </w:rPr>
        <w:t>按发包人要求办理。</w:t>
      </w:r>
      <w:r>
        <w:rPr>
          <w:rFonts w:hint="eastAsia"/>
          <w:color w:val="auto"/>
        </w:rPr>
        <w:t xml:space="preserve">     </w:t>
      </w:r>
    </w:p>
    <w:p>
      <w:pPr>
        <w:spacing w:line="400" w:lineRule="exact"/>
        <w:ind w:firstLine="411" w:firstLineChars="196"/>
        <w:rPr>
          <w:color w:val="auto"/>
        </w:rPr>
      </w:pPr>
      <w:r>
        <w:rPr>
          <w:rFonts w:hint="eastAsia"/>
          <w:color w:val="auto"/>
        </w:rPr>
        <w:t>竣工付款申请单的内容：</w:t>
      </w:r>
      <w:r>
        <w:rPr>
          <w:rFonts w:hint="eastAsia"/>
          <w:b/>
          <w:color w:val="auto"/>
          <w:u w:val="single"/>
        </w:rPr>
        <w:t xml:space="preserve">按发包人要求办理。 </w:t>
      </w:r>
      <w:r>
        <w:rPr>
          <w:rFonts w:hint="eastAsia"/>
          <w:color w:val="auto"/>
        </w:rPr>
        <w:t xml:space="preserve">             </w:t>
      </w:r>
    </w:p>
    <w:p>
      <w:pPr>
        <w:spacing w:line="400" w:lineRule="exact"/>
        <w:rPr>
          <w:b/>
          <w:color w:val="auto"/>
        </w:rPr>
      </w:pPr>
      <w:r>
        <w:rPr>
          <w:rFonts w:hint="eastAsia"/>
          <w:b/>
          <w:color w:val="auto"/>
        </w:rPr>
        <w:t>17.5.3 竣工结算原则：</w:t>
      </w:r>
    </w:p>
    <w:p>
      <w:pPr>
        <w:spacing w:line="400" w:lineRule="exact"/>
        <w:ind w:firstLine="420" w:firstLineChars="200"/>
        <w:rPr>
          <w:rFonts w:ascii="微软雅黑" w:hAnsi="微软雅黑" w:eastAsia="微软雅黑" w:cs="微软雅黑"/>
          <w:color w:val="auto"/>
          <w:sz w:val="20"/>
        </w:rPr>
      </w:pPr>
      <w:bookmarkStart w:id="500" w:name="_Toc18141"/>
      <w:bookmarkStart w:id="501" w:name="_Toc224103452"/>
      <w:bookmarkStart w:id="502" w:name="_Toc359579095"/>
      <w:bookmarkStart w:id="503" w:name="_Toc24412"/>
      <w:bookmarkStart w:id="504" w:name="_Toc418077924"/>
      <w:bookmarkStart w:id="505" w:name="_Toc327347214"/>
      <w:bookmarkStart w:id="506" w:name="_Toc266027476"/>
      <w:r>
        <w:rPr>
          <w:rFonts w:hint="eastAsia" w:ascii="宋体" w:hAnsi="宋体" w:cs="宋体"/>
          <w:color w:val="auto"/>
          <w:kern w:val="0"/>
          <w:szCs w:val="21"/>
        </w:rPr>
        <w:t>1.1.工程价款＝合同内应予计量工程量×中标单价±增减（变更）工程造价±合同约定其他费用，最终结算金额以审计机构审定的金额为准。</w:t>
      </w:r>
    </w:p>
    <w:p>
      <w:pPr>
        <w:spacing w:line="400" w:lineRule="exact"/>
        <w:ind w:firstLine="420" w:firstLineChars="200"/>
        <w:rPr>
          <w:color w:val="auto"/>
        </w:rPr>
      </w:pPr>
      <w:r>
        <w:rPr>
          <w:rFonts w:hint="eastAsia"/>
          <w:color w:val="auto"/>
        </w:rPr>
        <w:t xml:space="preserve">2.增减（变更）工程结算： </w:t>
      </w:r>
    </w:p>
    <w:p>
      <w:pPr>
        <w:spacing w:line="400" w:lineRule="exact"/>
        <w:ind w:firstLine="420" w:firstLineChars="200"/>
        <w:rPr>
          <w:color w:val="auto"/>
        </w:rPr>
      </w:pPr>
      <w:r>
        <w:rPr>
          <w:rFonts w:hint="eastAsia"/>
          <w:color w:val="auto"/>
        </w:rPr>
        <w:t>（1）工程内容与已标价工程量清单中有相同的子项或类似子项，则按投标时的相同子项或类似子项的全费用综合单价执行（类似子项及其全费用综合单价由发包人审定）；</w:t>
      </w:r>
    </w:p>
    <w:p>
      <w:pPr>
        <w:spacing w:line="400" w:lineRule="exact"/>
        <w:ind w:firstLine="420" w:firstLineChars="200"/>
        <w:jc w:val="left"/>
        <w:rPr>
          <w:rFonts w:hint="eastAsia" w:ascii="宋体" w:hAnsi="宋体" w:eastAsia="宋体" w:cs="宋体"/>
          <w:color w:val="auto"/>
          <w:kern w:val="0"/>
          <w:szCs w:val="21"/>
          <w:lang w:eastAsia="zh-CN"/>
        </w:rPr>
      </w:pPr>
      <w:r>
        <w:rPr>
          <w:rFonts w:hint="eastAsia"/>
          <w:color w:val="auto"/>
        </w:rPr>
        <w:t>（2）</w:t>
      </w:r>
      <w:r>
        <w:rPr>
          <w:rFonts w:hint="eastAsia"/>
          <w:color w:val="auto"/>
          <w:lang w:eastAsia="zh-CN"/>
        </w:rPr>
        <w:t>工程内容如有与已标价工程量清单不同的子项（既无相同子项，又无类似子项），按《建设工程工程量清单计价规范》（GB 50500-2013）、《重庆市建设工程工程量清单计价规则》（CQJJGZ-2013）、《重庆市建设工程工程量计算规则》（CQJLGZ-2013）、2018年《重庆市建筑与装饰工程计价定额》、2018年《重庆市园林绿化工程计价定额》、2018年《重庆市绿色建筑工程计价定额》、2018年《重庆市建设工程费用定额》及其配套文件计算后，再按承包人报价浮动率[承包人报价浮动率=（1-中标价/投标总报价最高限价）×100%]进行下浮后结算[其中：人工工日单价参照2024年第1期《重庆工程造价信息》公布的渝西片区价格计算；材料价格参照2024年第2期《重庆工程造价信息》公布的铜梁地区材料价格并结合近期市场价格计算，材料价格为不含税价；下浮基数不含安全文明施工费、认质核价的材料费、规费、税金]</w:t>
      </w:r>
    </w:p>
    <w:p>
      <w:pPr>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安全文明施工费：按《关于印发〈重庆市建设工程安全文明施工费计取及使用管理规定〉的通知》（渝建发〔2014〕25号）及《重庆市城乡建设委员会关于建筑业营业税改增值税调整建设工程计价依据的通知》（渝建发〔2016〕35号）、《重庆市城乡建设委员会关于适用增值税新税税率调整建筑工程计价依据的通知》（渝建〔2019〕143号）规定进行结算，安全文明施工综合评定结果为不合格，则不计取。</w:t>
      </w:r>
    </w:p>
    <w:p>
      <w:pPr>
        <w:spacing w:line="400" w:lineRule="exact"/>
        <w:ind w:firstLine="420" w:firstLineChars="200"/>
        <w:rPr>
          <w:color w:val="auto"/>
        </w:rPr>
      </w:pPr>
      <w:r>
        <w:rPr>
          <w:rFonts w:hint="eastAsia"/>
          <w:color w:val="auto"/>
        </w:rPr>
        <w:t>4.施工技术措施项目清单计价表中以项为单位计列的项目，按投标时的报价作为结算价，包干使用。</w:t>
      </w:r>
    </w:p>
    <w:p>
      <w:pPr>
        <w:spacing w:line="400" w:lineRule="exact"/>
        <w:rPr>
          <w:b/>
          <w:color w:val="auto"/>
        </w:rPr>
      </w:pPr>
      <w:r>
        <w:rPr>
          <w:rFonts w:hint="eastAsia"/>
          <w:b/>
          <w:color w:val="auto"/>
        </w:rPr>
        <w:t>18.  竣工验收</w:t>
      </w:r>
      <w:bookmarkEnd w:id="500"/>
      <w:bookmarkEnd w:id="501"/>
      <w:bookmarkEnd w:id="502"/>
      <w:bookmarkEnd w:id="503"/>
      <w:bookmarkEnd w:id="504"/>
      <w:bookmarkEnd w:id="505"/>
      <w:bookmarkEnd w:id="506"/>
    </w:p>
    <w:p>
      <w:pPr>
        <w:spacing w:line="400" w:lineRule="exact"/>
        <w:rPr>
          <w:b/>
          <w:color w:val="auto"/>
        </w:rPr>
      </w:pPr>
      <w:r>
        <w:rPr>
          <w:rFonts w:hint="eastAsia"/>
          <w:b/>
          <w:color w:val="auto"/>
        </w:rPr>
        <w:t>18.2  竣工验收申请报告</w:t>
      </w:r>
    </w:p>
    <w:p>
      <w:pPr>
        <w:adjustRightInd w:val="0"/>
        <w:snapToGrid w:val="0"/>
        <w:spacing w:line="400" w:lineRule="exact"/>
        <w:rPr>
          <w:rFonts w:ascii="宋体" w:hAnsi="宋体"/>
          <w:color w:val="auto"/>
          <w:szCs w:val="21"/>
        </w:rPr>
      </w:pPr>
      <w:r>
        <w:rPr>
          <w:rFonts w:hint="eastAsia" w:ascii="宋体" w:hAnsi="宋体"/>
          <w:color w:val="auto"/>
          <w:szCs w:val="21"/>
        </w:rPr>
        <w:t xml:space="preserve">    竣工资料内容：</w:t>
      </w:r>
      <w:r>
        <w:rPr>
          <w:rFonts w:hint="eastAsia" w:ascii="宋体" w:hAnsi="宋体"/>
          <w:color w:val="auto"/>
          <w:szCs w:val="21"/>
          <w:u w:val="single"/>
        </w:rPr>
        <w:t xml:space="preserve"> </w:t>
      </w:r>
      <w:r>
        <w:rPr>
          <w:rFonts w:hint="eastAsia" w:ascii="宋体" w:hAnsi="宋体"/>
          <w:b/>
          <w:color w:val="auto"/>
          <w:szCs w:val="21"/>
          <w:u w:val="single"/>
        </w:rPr>
        <w:t>按重庆市铜梁区城建档案室和发包人的要求，提供竣工资料。</w:t>
      </w:r>
    </w:p>
    <w:p>
      <w:pPr>
        <w:adjustRightInd w:val="0"/>
        <w:snapToGrid w:val="0"/>
        <w:spacing w:line="400" w:lineRule="exact"/>
        <w:ind w:firstLine="435"/>
        <w:rPr>
          <w:rFonts w:ascii="宋体" w:hAnsi="宋体"/>
          <w:b/>
          <w:color w:val="auto"/>
          <w:szCs w:val="21"/>
        </w:rPr>
      </w:pPr>
      <w:r>
        <w:rPr>
          <w:rFonts w:hint="eastAsia" w:ascii="宋体" w:hAnsi="宋体"/>
          <w:color w:val="auto"/>
          <w:szCs w:val="21"/>
        </w:rPr>
        <w:t>竣工资料份数：</w:t>
      </w:r>
      <w:r>
        <w:rPr>
          <w:rFonts w:hint="eastAsia" w:ascii="宋体" w:hAnsi="宋体"/>
          <w:color w:val="auto"/>
          <w:szCs w:val="21"/>
          <w:u w:val="single"/>
        </w:rPr>
        <w:t xml:space="preserve"> </w:t>
      </w:r>
      <w:r>
        <w:rPr>
          <w:rFonts w:hint="eastAsia" w:ascii="宋体" w:hAnsi="宋体"/>
          <w:b/>
          <w:color w:val="auto"/>
          <w:szCs w:val="21"/>
          <w:u w:val="single"/>
        </w:rPr>
        <w:t>工程具备竣工验收条件时，承包人应向发包人提供完整的竣工档案资料、竣工验收报告和竣工图及发包人要求的相关竣工资料6套（含相应的光盘），承包人所提供的上述资料须经重庆市铜梁区城建档案室档案专项验收合格并出具相应的</w:t>
      </w:r>
      <w:r>
        <w:rPr>
          <w:rFonts w:ascii="宋体" w:hAnsi="宋体"/>
          <w:b/>
          <w:color w:val="auto"/>
          <w:szCs w:val="21"/>
          <w:u w:val="single"/>
        </w:rPr>
        <w:t>档案验收意见书</w:t>
      </w:r>
      <w:r>
        <w:rPr>
          <w:rFonts w:hint="eastAsia" w:ascii="宋体" w:hAnsi="宋体"/>
          <w:b/>
          <w:color w:val="auto"/>
          <w:szCs w:val="21"/>
          <w:u w:val="single"/>
        </w:rPr>
        <w:t>。</w:t>
      </w:r>
    </w:p>
    <w:p>
      <w:pPr>
        <w:spacing w:line="400" w:lineRule="exact"/>
        <w:rPr>
          <w:b/>
          <w:color w:val="auto"/>
        </w:rPr>
      </w:pPr>
      <w:r>
        <w:rPr>
          <w:rFonts w:hint="eastAsia"/>
          <w:b/>
          <w:color w:val="auto"/>
        </w:rPr>
        <w:t>18.3  验收</w:t>
      </w:r>
    </w:p>
    <w:p>
      <w:pPr>
        <w:spacing w:line="400" w:lineRule="exact"/>
        <w:ind w:firstLine="411" w:firstLineChars="196"/>
        <w:rPr>
          <w:b/>
          <w:color w:val="auto"/>
          <w:u w:val="single"/>
        </w:rPr>
      </w:pPr>
      <w:r>
        <w:rPr>
          <w:rFonts w:hint="eastAsia"/>
          <w:color w:val="auto"/>
        </w:rPr>
        <w:t>18.3.5 实际竣工日期：</w:t>
      </w:r>
      <w:r>
        <w:rPr>
          <w:rFonts w:hint="eastAsia"/>
          <w:b/>
          <w:color w:val="auto"/>
        </w:rPr>
        <w:t xml:space="preserve"> </w:t>
      </w:r>
      <w:r>
        <w:rPr>
          <w:rFonts w:hint="eastAsia"/>
          <w:b/>
          <w:color w:val="auto"/>
          <w:u w:val="single"/>
        </w:rPr>
        <w:t>以竣工验收合格之日为准。</w:t>
      </w:r>
    </w:p>
    <w:p>
      <w:pPr>
        <w:spacing w:line="400" w:lineRule="exact"/>
        <w:rPr>
          <w:color w:val="auto"/>
        </w:rPr>
      </w:pPr>
      <w:r>
        <w:rPr>
          <w:rFonts w:hint="eastAsia"/>
          <w:b/>
          <w:color w:val="auto"/>
        </w:rPr>
        <w:t>18.5 施工期运行</w:t>
      </w:r>
    </w:p>
    <w:p>
      <w:pPr>
        <w:spacing w:line="400" w:lineRule="exact"/>
        <w:ind w:firstLine="411" w:firstLineChars="196"/>
        <w:rPr>
          <w:color w:val="auto"/>
        </w:rPr>
      </w:pPr>
      <w:r>
        <w:rPr>
          <w:rFonts w:hint="eastAsia"/>
          <w:color w:val="auto"/>
        </w:rPr>
        <w:t>18.5.1需要施工期运行单位工程或工程设备：</w:t>
      </w:r>
      <w:r>
        <w:rPr>
          <w:rFonts w:hint="eastAsia"/>
          <w:b/>
          <w:color w:val="auto"/>
          <w:u w:val="single"/>
        </w:rPr>
        <w:t xml:space="preserve"> 按监理人要求办理。</w:t>
      </w:r>
    </w:p>
    <w:p>
      <w:pPr>
        <w:spacing w:line="400" w:lineRule="exact"/>
        <w:rPr>
          <w:b/>
          <w:color w:val="auto"/>
        </w:rPr>
      </w:pPr>
      <w:r>
        <w:rPr>
          <w:rFonts w:hint="eastAsia"/>
          <w:b/>
          <w:color w:val="auto"/>
        </w:rPr>
        <w:t>18.6 试运行</w:t>
      </w:r>
    </w:p>
    <w:p>
      <w:pPr>
        <w:spacing w:line="400" w:lineRule="exact"/>
        <w:ind w:firstLine="420" w:firstLineChars="200"/>
        <w:rPr>
          <w:b/>
          <w:color w:val="auto"/>
          <w:u w:val="single"/>
        </w:rPr>
      </w:pPr>
      <w:r>
        <w:rPr>
          <w:rFonts w:hint="eastAsia"/>
          <w:color w:val="auto"/>
        </w:rPr>
        <w:t>18.6.1 试运行的组织及费用承担：</w:t>
      </w:r>
      <w:r>
        <w:rPr>
          <w:rFonts w:hint="eastAsia"/>
          <w:b/>
          <w:color w:val="auto"/>
          <w:u w:val="single"/>
        </w:rPr>
        <w:t xml:space="preserve"> 承包人负责。</w:t>
      </w:r>
    </w:p>
    <w:p>
      <w:pPr>
        <w:spacing w:line="400" w:lineRule="exact"/>
        <w:rPr>
          <w:b/>
          <w:color w:val="auto"/>
        </w:rPr>
      </w:pPr>
      <w:r>
        <w:rPr>
          <w:rFonts w:hint="eastAsia"/>
          <w:b/>
          <w:color w:val="auto"/>
        </w:rPr>
        <w:t>18.7 竣工清场</w:t>
      </w:r>
    </w:p>
    <w:p>
      <w:pPr>
        <w:spacing w:line="400" w:lineRule="exact"/>
        <w:ind w:firstLine="420" w:firstLineChars="200"/>
        <w:rPr>
          <w:b/>
          <w:color w:val="auto"/>
          <w:u w:val="single"/>
        </w:rPr>
      </w:pPr>
      <w:r>
        <w:rPr>
          <w:rFonts w:hint="eastAsia"/>
          <w:color w:val="auto"/>
        </w:rPr>
        <w:t>18.7.1 竣工清场：</w:t>
      </w:r>
      <w:r>
        <w:rPr>
          <w:rFonts w:hint="eastAsia"/>
          <w:b/>
          <w:color w:val="auto"/>
          <w:u w:val="single"/>
        </w:rPr>
        <w:t>由承包人按发包人要求执行。</w:t>
      </w:r>
    </w:p>
    <w:p>
      <w:pPr>
        <w:spacing w:line="400" w:lineRule="exact"/>
        <w:rPr>
          <w:b/>
          <w:color w:val="auto"/>
        </w:rPr>
      </w:pPr>
      <w:r>
        <w:rPr>
          <w:rFonts w:hint="eastAsia"/>
          <w:b/>
          <w:color w:val="auto"/>
        </w:rPr>
        <w:t>18.8 施工队伍的撤离</w:t>
      </w:r>
    </w:p>
    <w:p>
      <w:pPr>
        <w:spacing w:line="400" w:lineRule="exact"/>
        <w:ind w:firstLine="420" w:firstLineChars="200"/>
        <w:rPr>
          <w:color w:val="auto"/>
        </w:rPr>
      </w:pPr>
      <w:r>
        <w:rPr>
          <w:rFonts w:hint="eastAsia"/>
          <w:color w:val="auto"/>
        </w:rPr>
        <w:t>施工人员、施工设备及临时工程撤离的要求：</w:t>
      </w:r>
      <w:r>
        <w:rPr>
          <w:rFonts w:hint="eastAsia"/>
          <w:b/>
          <w:color w:val="auto"/>
          <w:u w:val="single"/>
        </w:rPr>
        <w:t>由承包人按发包人要求执行</w:t>
      </w:r>
      <w:r>
        <w:rPr>
          <w:rFonts w:hint="eastAsia"/>
          <w:color w:val="auto"/>
        </w:rPr>
        <w:t>。</w:t>
      </w:r>
    </w:p>
    <w:p>
      <w:pPr>
        <w:spacing w:line="400" w:lineRule="exact"/>
        <w:rPr>
          <w:b/>
          <w:color w:val="auto"/>
        </w:rPr>
      </w:pPr>
      <w:r>
        <w:rPr>
          <w:rFonts w:hint="eastAsia"/>
          <w:b/>
          <w:color w:val="auto"/>
        </w:rPr>
        <w:t>19.  缺陷责任与保修责任</w:t>
      </w:r>
    </w:p>
    <w:p>
      <w:pPr>
        <w:spacing w:line="400" w:lineRule="exact"/>
        <w:rPr>
          <w:b/>
          <w:color w:val="auto"/>
        </w:rPr>
      </w:pPr>
      <w:r>
        <w:rPr>
          <w:rFonts w:hint="eastAsia"/>
          <w:b/>
          <w:color w:val="auto"/>
        </w:rPr>
        <w:t>19.7  保修责任</w:t>
      </w:r>
    </w:p>
    <w:p>
      <w:pPr>
        <w:spacing w:line="400" w:lineRule="exact"/>
        <w:rPr>
          <w:color w:val="auto"/>
        </w:rPr>
      </w:pPr>
      <w:r>
        <w:rPr>
          <w:rFonts w:hint="eastAsia"/>
          <w:color w:val="auto"/>
        </w:rPr>
        <w:t xml:space="preserve">   工程质量保修范围、期限和责任：</w:t>
      </w:r>
      <w:r>
        <w:rPr>
          <w:rFonts w:hint="eastAsia"/>
          <w:b/>
          <w:color w:val="auto"/>
          <w:u w:val="single"/>
        </w:rPr>
        <w:t xml:space="preserve"> 按附后的《工程质量保修书》执行。</w:t>
      </w:r>
    </w:p>
    <w:p>
      <w:pPr>
        <w:spacing w:line="400" w:lineRule="exact"/>
        <w:rPr>
          <w:b/>
          <w:color w:val="auto"/>
        </w:rPr>
      </w:pPr>
      <w:r>
        <w:rPr>
          <w:rFonts w:hint="eastAsia"/>
          <w:b/>
          <w:color w:val="auto"/>
        </w:rPr>
        <w:t>20.  保险</w:t>
      </w:r>
    </w:p>
    <w:p>
      <w:pPr>
        <w:spacing w:line="400" w:lineRule="exact"/>
        <w:rPr>
          <w:b/>
          <w:color w:val="auto"/>
        </w:rPr>
      </w:pPr>
      <w:r>
        <w:rPr>
          <w:rFonts w:hint="eastAsia"/>
          <w:b/>
          <w:color w:val="auto"/>
        </w:rPr>
        <w:t>20.1工程保险</w:t>
      </w:r>
    </w:p>
    <w:p>
      <w:pPr>
        <w:spacing w:line="400" w:lineRule="exact"/>
        <w:ind w:firstLine="420" w:firstLineChars="200"/>
        <w:rPr>
          <w:b/>
          <w:color w:val="auto"/>
          <w:u w:val="single"/>
        </w:rPr>
      </w:pPr>
      <w:r>
        <w:rPr>
          <w:rFonts w:hint="eastAsia"/>
          <w:color w:val="auto"/>
        </w:rPr>
        <w:t xml:space="preserve">投保人： </w:t>
      </w:r>
      <w:r>
        <w:rPr>
          <w:rFonts w:hint="eastAsia"/>
          <w:b/>
          <w:color w:val="auto"/>
          <w:u w:val="single"/>
        </w:rPr>
        <w:t>承包人以发包人和承包人的共同名义向双方同意的保险人足额投保，费用由承包人负责。</w:t>
      </w:r>
    </w:p>
    <w:p>
      <w:pPr>
        <w:spacing w:line="400" w:lineRule="exact"/>
        <w:ind w:firstLine="420" w:firstLineChars="200"/>
        <w:rPr>
          <w:b/>
          <w:color w:val="auto"/>
          <w:u w:val="single"/>
        </w:rPr>
      </w:pPr>
      <w:r>
        <w:rPr>
          <w:rFonts w:hint="eastAsia"/>
          <w:color w:val="auto"/>
        </w:rPr>
        <w:t xml:space="preserve">投保内容： </w:t>
      </w:r>
      <w:r>
        <w:rPr>
          <w:rFonts w:hint="eastAsia"/>
          <w:b/>
          <w:color w:val="auto"/>
          <w:u w:val="single"/>
        </w:rPr>
        <w:t>按国家相关规定执行。</w:t>
      </w:r>
    </w:p>
    <w:p>
      <w:pPr>
        <w:spacing w:line="400" w:lineRule="exact"/>
        <w:ind w:firstLine="420" w:firstLineChars="200"/>
        <w:rPr>
          <w:b/>
          <w:color w:val="auto"/>
          <w:u w:val="single"/>
        </w:rPr>
      </w:pPr>
      <w:r>
        <w:rPr>
          <w:rFonts w:hint="eastAsia"/>
          <w:color w:val="auto"/>
        </w:rPr>
        <w:t xml:space="preserve">保险金额、保险费率和保险期限： </w:t>
      </w:r>
      <w:r>
        <w:rPr>
          <w:rFonts w:hint="eastAsia"/>
          <w:b/>
          <w:color w:val="auto"/>
          <w:u w:val="single"/>
        </w:rPr>
        <w:t>保险期限为从工程开工之日至竣工验收合格之日终止证书颁发前，其他详见保险凭证。</w:t>
      </w:r>
    </w:p>
    <w:p>
      <w:pPr>
        <w:spacing w:line="400" w:lineRule="exact"/>
        <w:rPr>
          <w:b/>
          <w:color w:val="auto"/>
        </w:rPr>
      </w:pPr>
      <w:r>
        <w:rPr>
          <w:rFonts w:hint="eastAsia"/>
          <w:b/>
          <w:color w:val="auto"/>
        </w:rPr>
        <w:t>20.4 第三责任险</w:t>
      </w:r>
    </w:p>
    <w:p>
      <w:pPr>
        <w:spacing w:line="400" w:lineRule="exact"/>
        <w:ind w:firstLine="420" w:firstLineChars="200"/>
        <w:rPr>
          <w:b/>
          <w:color w:val="auto"/>
          <w:u w:val="single"/>
        </w:rPr>
      </w:pPr>
      <w:r>
        <w:rPr>
          <w:rFonts w:hint="eastAsia"/>
          <w:color w:val="auto"/>
        </w:rPr>
        <w:t>第三者责任险的保险费率：</w:t>
      </w:r>
      <w:r>
        <w:rPr>
          <w:rFonts w:hint="eastAsia"/>
          <w:b/>
          <w:color w:val="auto"/>
          <w:u w:val="single"/>
        </w:rPr>
        <w:t>按相关规定执行。</w:t>
      </w:r>
    </w:p>
    <w:p>
      <w:pPr>
        <w:spacing w:line="400" w:lineRule="exact"/>
        <w:ind w:firstLine="420" w:firstLineChars="200"/>
        <w:rPr>
          <w:color w:val="auto"/>
        </w:rPr>
      </w:pPr>
      <w:r>
        <w:rPr>
          <w:rFonts w:hint="eastAsia"/>
          <w:color w:val="auto"/>
        </w:rPr>
        <w:t>第三者责任险的保险金额：</w:t>
      </w:r>
      <w:r>
        <w:rPr>
          <w:rFonts w:hint="eastAsia"/>
          <w:b/>
          <w:color w:val="auto"/>
          <w:u w:val="single"/>
        </w:rPr>
        <w:t>按相关规定执行</w:t>
      </w:r>
      <w:r>
        <w:rPr>
          <w:rFonts w:hint="eastAsia"/>
          <w:color w:val="auto"/>
        </w:rPr>
        <w:t>。</w:t>
      </w:r>
    </w:p>
    <w:p>
      <w:pPr>
        <w:spacing w:line="400" w:lineRule="exact"/>
        <w:rPr>
          <w:b/>
          <w:color w:val="auto"/>
        </w:rPr>
      </w:pPr>
      <w:r>
        <w:rPr>
          <w:rFonts w:hint="eastAsia"/>
          <w:b/>
          <w:color w:val="auto"/>
        </w:rPr>
        <w:t>20.5 其他保险</w:t>
      </w:r>
    </w:p>
    <w:p>
      <w:pPr>
        <w:spacing w:line="400" w:lineRule="exact"/>
        <w:ind w:firstLine="420" w:firstLineChars="200"/>
        <w:rPr>
          <w:b/>
          <w:color w:val="auto"/>
          <w:u w:val="single"/>
        </w:rPr>
      </w:pPr>
      <w:r>
        <w:rPr>
          <w:rFonts w:hint="eastAsia"/>
          <w:color w:val="auto"/>
        </w:rPr>
        <w:t xml:space="preserve">需要投保其他内容、保险金额、费率及期限等： </w:t>
      </w:r>
      <w:r>
        <w:rPr>
          <w:rFonts w:hint="eastAsia"/>
          <w:b/>
          <w:color w:val="auto"/>
          <w:u w:val="single"/>
        </w:rPr>
        <w:t>由承包人负责。</w:t>
      </w:r>
    </w:p>
    <w:p>
      <w:pPr>
        <w:spacing w:line="400" w:lineRule="exact"/>
        <w:rPr>
          <w:b/>
          <w:color w:val="auto"/>
        </w:rPr>
      </w:pPr>
      <w:r>
        <w:rPr>
          <w:rFonts w:hint="eastAsia"/>
          <w:b/>
          <w:color w:val="auto"/>
        </w:rPr>
        <w:t>20.6  对各项保险的一般要求</w:t>
      </w:r>
    </w:p>
    <w:p>
      <w:pPr>
        <w:spacing w:line="400" w:lineRule="exact"/>
        <w:ind w:firstLine="420" w:firstLineChars="200"/>
        <w:rPr>
          <w:color w:val="auto"/>
        </w:rPr>
      </w:pPr>
      <w:r>
        <w:rPr>
          <w:rFonts w:hint="eastAsia"/>
          <w:color w:val="auto"/>
        </w:rPr>
        <w:t>20.6.1  保险凭证</w:t>
      </w:r>
    </w:p>
    <w:p>
      <w:pPr>
        <w:spacing w:line="400" w:lineRule="exact"/>
        <w:ind w:firstLine="420" w:firstLineChars="200"/>
        <w:rPr>
          <w:color w:val="auto"/>
        </w:rPr>
      </w:pPr>
      <w:r>
        <w:rPr>
          <w:rFonts w:hint="eastAsia"/>
          <w:color w:val="auto"/>
        </w:rPr>
        <w:t>保险条件：</w:t>
      </w:r>
      <w:r>
        <w:rPr>
          <w:rFonts w:hint="eastAsia"/>
          <w:b/>
          <w:color w:val="auto"/>
          <w:u w:val="single"/>
        </w:rPr>
        <w:t>按国家相关规定和发包人要求执行。</w:t>
      </w:r>
    </w:p>
    <w:p>
      <w:pPr>
        <w:spacing w:line="400" w:lineRule="exact"/>
        <w:ind w:firstLine="420" w:firstLineChars="200"/>
        <w:rPr>
          <w:color w:val="auto"/>
        </w:rPr>
      </w:pPr>
      <w:r>
        <w:rPr>
          <w:rFonts w:hint="eastAsia"/>
          <w:color w:val="auto"/>
        </w:rPr>
        <w:t xml:space="preserve">承包人提交保险凭证的期限： </w:t>
      </w:r>
      <w:r>
        <w:rPr>
          <w:rFonts w:hint="eastAsia"/>
          <w:b/>
          <w:color w:val="auto"/>
          <w:u w:val="single"/>
        </w:rPr>
        <w:t>工程开工前。</w:t>
      </w:r>
    </w:p>
    <w:p>
      <w:pPr>
        <w:spacing w:line="400" w:lineRule="exact"/>
        <w:ind w:firstLine="420" w:firstLineChars="200"/>
        <w:rPr>
          <w:color w:val="auto"/>
        </w:rPr>
      </w:pPr>
      <w:r>
        <w:rPr>
          <w:rFonts w:hint="eastAsia"/>
          <w:color w:val="auto"/>
        </w:rPr>
        <w:t>20.6.4  对各项保险的一般要求</w:t>
      </w:r>
    </w:p>
    <w:p>
      <w:pPr>
        <w:spacing w:line="400" w:lineRule="exact"/>
        <w:ind w:firstLine="420" w:firstLineChars="200"/>
        <w:rPr>
          <w:color w:val="auto"/>
        </w:rPr>
      </w:pPr>
      <w:r>
        <w:rPr>
          <w:rFonts w:hint="eastAsia"/>
          <w:color w:val="auto"/>
        </w:rPr>
        <w:t xml:space="preserve">保险金不足以补偿损失时，应由承包人负责补偿的范围与金额： </w:t>
      </w:r>
      <w:r>
        <w:rPr>
          <w:rFonts w:hint="eastAsia"/>
          <w:b/>
          <w:color w:val="auto"/>
          <w:u w:val="single"/>
        </w:rPr>
        <w:t>以发包人和承包人共同名义投保的，当保险金不足以补偿损失时，由承包人负责补偿；发包人、承包人以各自名义投保的，保险金不足以补偿损失时，由各自负责其补偿。</w:t>
      </w:r>
    </w:p>
    <w:p>
      <w:pPr>
        <w:spacing w:line="400" w:lineRule="exact"/>
        <w:rPr>
          <w:b/>
          <w:color w:val="auto"/>
        </w:rPr>
      </w:pPr>
      <w:r>
        <w:rPr>
          <w:rFonts w:hint="eastAsia"/>
          <w:b/>
          <w:color w:val="auto"/>
        </w:rPr>
        <w:t>21. 不可抗力</w:t>
      </w:r>
    </w:p>
    <w:p>
      <w:pPr>
        <w:spacing w:line="400" w:lineRule="exact"/>
        <w:rPr>
          <w:b/>
          <w:color w:val="auto"/>
        </w:rPr>
      </w:pPr>
      <w:r>
        <w:rPr>
          <w:rFonts w:hint="eastAsia"/>
          <w:b/>
          <w:color w:val="auto"/>
        </w:rPr>
        <w:t>21.1 不可抗力的确认</w:t>
      </w:r>
    </w:p>
    <w:p>
      <w:pPr>
        <w:spacing w:line="400" w:lineRule="exact"/>
        <w:ind w:firstLine="420" w:firstLineChars="200"/>
        <w:rPr>
          <w:b/>
          <w:color w:val="auto"/>
          <w:u w:val="single"/>
        </w:rPr>
      </w:pPr>
      <w:r>
        <w:rPr>
          <w:rFonts w:hint="eastAsia"/>
          <w:color w:val="auto"/>
        </w:rPr>
        <w:t xml:space="preserve">不可抗力的范围： </w:t>
      </w:r>
      <w:r>
        <w:rPr>
          <w:rFonts w:hint="eastAsia"/>
          <w:b/>
          <w:color w:val="auto"/>
          <w:u w:val="single"/>
        </w:rPr>
        <w:t>按通用合同条款。</w:t>
      </w:r>
    </w:p>
    <w:p>
      <w:pPr>
        <w:spacing w:line="400" w:lineRule="exact"/>
        <w:rPr>
          <w:b/>
          <w:color w:val="auto"/>
        </w:rPr>
      </w:pPr>
      <w:r>
        <w:rPr>
          <w:rFonts w:hint="eastAsia"/>
          <w:b/>
          <w:color w:val="auto"/>
        </w:rPr>
        <w:t>21.3 不可抗力后果及其处理</w:t>
      </w:r>
    </w:p>
    <w:p>
      <w:pPr>
        <w:spacing w:line="400" w:lineRule="exact"/>
        <w:ind w:firstLine="420" w:firstLineChars="200"/>
        <w:rPr>
          <w:color w:val="auto"/>
        </w:rPr>
      </w:pPr>
      <w:r>
        <w:rPr>
          <w:rFonts w:hint="eastAsia"/>
          <w:color w:val="auto"/>
        </w:rPr>
        <w:t>21.3.1不可抗力造成损害的责任</w:t>
      </w:r>
    </w:p>
    <w:p>
      <w:pPr>
        <w:spacing w:line="400" w:lineRule="exact"/>
        <w:ind w:firstLine="420" w:firstLineChars="200"/>
        <w:rPr>
          <w:color w:val="auto"/>
        </w:rPr>
      </w:pPr>
      <w:r>
        <w:rPr>
          <w:rFonts w:hint="eastAsia"/>
          <w:color w:val="auto"/>
        </w:rPr>
        <w:t xml:space="preserve">不可抗力导致的人员伤亡、财产损失、费用增加和（或）工期延误，合同双方按以下方法承担： </w:t>
      </w:r>
      <w:r>
        <w:rPr>
          <w:rFonts w:hint="eastAsia"/>
          <w:b/>
          <w:color w:val="auto"/>
          <w:u w:val="single"/>
        </w:rPr>
        <w:t>按通用合同条款执行。</w:t>
      </w:r>
    </w:p>
    <w:p>
      <w:pPr>
        <w:spacing w:line="400" w:lineRule="exact"/>
        <w:rPr>
          <w:b/>
          <w:color w:val="auto"/>
        </w:rPr>
      </w:pPr>
      <w:r>
        <w:rPr>
          <w:rFonts w:hint="eastAsia"/>
          <w:b/>
          <w:color w:val="auto"/>
        </w:rPr>
        <w:t>22. 违约</w:t>
      </w:r>
    </w:p>
    <w:p>
      <w:pPr>
        <w:spacing w:line="400" w:lineRule="exact"/>
        <w:rPr>
          <w:b/>
          <w:color w:val="auto"/>
        </w:rPr>
      </w:pPr>
      <w:r>
        <w:rPr>
          <w:rFonts w:hint="eastAsia"/>
          <w:b/>
          <w:color w:val="auto"/>
        </w:rPr>
        <w:t>22.1承包人违约</w:t>
      </w:r>
    </w:p>
    <w:p>
      <w:pPr>
        <w:spacing w:line="400" w:lineRule="exact"/>
        <w:rPr>
          <w:rFonts w:ascii="宋体" w:hAnsi="宋体" w:cs="宋体"/>
          <w:b/>
          <w:color w:val="auto"/>
          <w:szCs w:val="21"/>
        </w:rPr>
      </w:pPr>
      <w:r>
        <w:rPr>
          <w:rFonts w:hint="eastAsia" w:ascii="宋体" w:hAnsi="宋体" w:cs="宋体"/>
          <w:b/>
          <w:color w:val="auto"/>
          <w:szCs w:val="21"/>
        </w:rPr>
        <w:t>22.1.1 承包人违约的情形</w:t>
      </w:r>
    </w:p>
    <w:p>
      <w:pPr>
        <w:spacing w:line="400" w:lineRule="exact"/>
        <w:ind w:firstLine="413" w:firstLineChars="196"/>
        <w:rPr>
          <w:rFonts w:ascii="宋体" w:hAnsi="宋体" w:cs="宋体"/>
          <w:b/>
          <w:color w:val="auto"/>
          <w:szCs w:val="21"/>
        </w:rPr>
      </w:pPr>
      <w:r>
        <w:rPr>
          <w:rFonts w:hint="eastAsia" w:ascii="宋体" w:hAnsi="宋体" w:cs="宋体"/>
          <w:b/>
          <w:color w:val="auto"/>
          <w:szCs w:val="21"/>
        </w:rPr>
        <w:t>增加下列条款：</w:t>
      </w:r>
    </w:p>
    <w:p>
      <w:pPr>
        <w:spacing w:line="400" w:lineRule="exact"/>
        <w:ind w:firstLine="413" w:firstLineChars="196"/>
        <w:rPr>
          <w:b/>
          <w:color w:val="auto"/>
        </w:rPr>
      </w:pPr>
      <w:r>
        <w:rPr>
          <w:rFonts w:hint="eastAsia"/>
          <w:b/>
          <w:color w:val="auto"/>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7日内纠正，否则发包人有权单方解除合同，并按通用合同条款第22.1.3项、第22.1.4项和第22.1.5项的约定进行处理，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pPr>
        <w:spacing w:line="400" w:lineRule="exact"/>
        <w:ind w:firstLine="413" w:firstLineChars="196"/>
        <w:rPr>
          <w:b/>
          <w:color w:val="auto"/>
        </w:rPr>
      </w:pPr>
      <w:r>
        <w:rPr>
          <w:rFonts w:hint="eastAsia"/>
          <w:b/>
          <w:color w:val="auto"/>
          <w:u w:val="single"/>
        </w:rPr>
        <w:t>（9）承包人违反国家和重庆市安全生产、文明施工、环保及环卫有关规定的，除接受相关规定进行处罚外，每发现一次或一处，发包人有权要求承包人支付5000元违约金，同时承包人必须按监理人或发包人的要求立即进行整改直至合格。</w:t>
      </w:r>
    </w:p>
    <w:p>
      <w:pPr>
        <w:spacing w:line="400" w:lineRule="exact"/>
        <w:ind w:firstLine="413" w:firstLineChars="196"/>
        <w:rPr>
          <w:b/>
          <w:color w:val="auto"/>
        </w:rPr>
      </w:pPr>
      <w:r>
        <w:rPr>
          <w:rFonts w:hint="eastAsia"/>
          <w:b/>
          <w:color w:val="auto"/>
          <w:u w:val="single"/>
        </w:rPr>
        <w:t>（10）承包人向监理人和发包人提供的所有工程资料和数据必须真实可靠。经检查发现承包人有弄虚作假的，每发现一次，发包人有权要求承包人支付 1000元违约金。</w:t>
      </w:r>
    </w:p>
    <w:p>
      <w:pPr>
        <w:spacing w:line="400" w:lineRule="exact"/>
        <w:ind w:firstLine="413" w:firstLineChars="196"/>
        <w:rPr>
          <w:b/>
          <w:color w:val="auto"/>
          <w:u w:val="single"/>
        </w:rPr>
      </w:pPr>
      <w:r>
        <w:rPr>
          <w:rFonts w:hint="eastAsia"/>
          <w:b/>
          <w:color w:val="auto"/>
          <w:u w:val="single"/>
        </w:rPr>
        <w:t>（11）承包人在工程收方中采用欺骗手段或弄虚作假的，每发现一次，发包人有权要求承包人支付5万元</w:t>
      </w:r>
      <w:r>
        <w:rPr>
          <w:rFonts w:hint="eastAsia"/>
          <w:b/>
          <w:color w:val="auto"/>
          <w:u w:val="single"/>
          <w:lang w:eastAsia="zh-CN"/>
        </w:rPr>
        <w:t>－</w:t>
      </w:r>
      <w:r>
        <w:rPr>
          <w:rFonts w:hint="eastAsia"/>
          <w:b/>
          <w:color w:val="auto"/>
          <w:u w:val="single"/>
        </w:rPr>
        <w:t>10万元的违约金。</w:t>
      </w:r>
    </w:p>
    <w:p>
      <w:pPr>
        <w:spacing w:line="400" w:lineRule="exact"/>
        <w:ind w:firstLine="413" w:firstLineChars="196"/>
        <w:rPr>
          <w:b/>
          <w:color w:val="auto"/>
        </w:rPr>
      </w:pPr>
      <w:r>
        <w:rPr>
          <w:rFonts w:hint="eastAsia"/>
          <w:b/>
          <w:color w:val="auto"/>
          <w:u w:val="single"/>
        </w:rPr>
        <w:t>（12）在施工过程中因承包人自身原因停工7 日以上，发包人或监理人应发出限期整改通知书，承包人在规定期限内仍不整改的，视为承包人不履行合同，发包人有权单方解除合同。承包人在接到发包人解除合同通知后7日内自行退场，给发包人造成的损失的，承包人还应进行赔偿。</w:t>
      </w:r>
    </w:p>
    <w:p>
      <w:pPr>
        <w:spacing w:line="400" w:lineRule="exact"/>
        <w:ind w:firstLine="413" w:firstLineChars="196"/>
        <w:rPr>
          <w:b/>
          <w:color w:val="auto"/>
          <w:u w:val="single"/>
        </w:rPr>
      </w:pPr>
      <w:r>
        <w:rPr>
          <w:rFonts w:hint="eastAsia"/>
          <w:b/>
          <w:color w:val="auto"/>
          <w:u w:val="single"/>
        </w:rPr>
        <w:t>（13）承包人应严格遵守通用合同条款第4.8.1的约定，不能以任何原因拖欠民工工资。如果出现承包人拖欠民工工资行为，经确认后，发包人有权从承包人工程款或农民工工资保证金中直接支付给民工，并有权要求承包人支付1%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500元。</w:t>
      </w:r>
    </w:p>
    <w:p>
      <w:pPr>
        <w:spacing w:line="400" w:lineRule="exact"/>
        <w:ind w:firstLine="413" w:firstLineChars="196"/>
        <w:rPr>
          <w:b/>
          <w:color w:val="auto"/>
          <w:u w:val="single"/>
        </w:rPr>
      </w:pPr>
      <w:r>
        <w:rPr>
          <w:rFonts w:hint="eastAsia"/>
          <w:b/>
          <w:color w:val="auto"/>
          <w:u w:val="single"/>
        </w:rPr>
        <w:t>（14）施工合同签订后，承包人必须按合同约定工期内完成建设任务，若承包人不按审批的施工组织设计施工或不服从发包人及监理人依法管理的，每发生一次，发包人有权要求承包人支付5000元违约金。</w:t>
      </w:r>
    </w:p>
    <w:p>
      <w:pPr>
        <w:spacing w:line="400" w:lineRule="exact"/>
        <w:ind w:firstLine="413" w:firstLineChars="196"/>
        <w:rPr>
          <w:b/>
          <w:color w:val="auto"/>
          <w:u w:val="single"/>
        </w:rPr>
      </w:pPr>
      <w:r>
        <w:rPr>
          <w:rFonts w:hint="eastAsia"/>
          <w:b/>
          <w:color w:val="auto"/>
          <w:u w:val="single"/>
        </w:rPr>
        <w:t>（15）发包人发现承包人将承接的工程转包、违法分包、挂靠（指承包人允许他人以承包人的名义承担本合同项目）的，发包人应当报相关行政主管部门依法处理。承包人拒不改正违法行为的，发包人有权解除合同，给发包人造成的损失的，承包人还应进行赔偿。</w:t>
      </w:r>
    </w:p>
    <w:p>
      <w:pPr>
        <w:spacing w:line="400" w:lineRule="exact"/>
        <w:ind w:firstLine="413" w:firstLineChars="196"/>
        <w:rPr>
          <w:b/>
          <w:color w:val="auto"/>
        </w:rPr>
      </w:pPr>
      <w:r>
        <w:rPr>
          <w:rFonts w:hint="eastAsia"/>
          <w:b/>
          <w:color w:val="auto"/>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500元。</w:t>
      </w:r>
    </w:p>
    <w:p>
      <w:pPr>
        <w:spacing w:line="400" w:lineRule="exact"/>
        <w:ind w:firstLine="413" w:firstLineChars="196"/>
        <w:rPr>
          <w:b/>
          <w:color w:val="auto"/>
          <w:u w:val="single"/>
        </w:rPr>
      </w:pPr>
      <w:r>
        <w:rPr>
          <w:rFonts w:hint="eastAsia"/>
          <w:b/>
          <w:color w:val="auto"/>
          <w:u w:val="single"/>
        </w:rPr>
        <w:t>（17）工程项目部管理人员必须与投标文件中拟派人员相符，并到位履职，否则发包人有权单方解除合同，给发包人造成的损失的，承包人还应予以赔偿。</w:t>
      </w:r>
    </w:p>
    <w:p>
      <w:pPr>
        <w:spacing w:line="400" w:lineRule="exact"/>
        <w:ind w:firstLine="413" w:firstLineChars="196"/>
        <w:rPr>
          <w:b/>
          <w:color w:val="auto"/>
          <w:szCs w:val="22"/>
          <w:u w:val="single"/>
        </w:rPr>
      </w:pPr>
      <w:r>
        <w:rPr>
          <w:rFonts w:hint="eastAsia"/>
          <w:b/>
          <w:color w:val="auto"/>
          <w:szCs w:val="22"/>
          <w:u w:val="single"/>
        </w:rPr>
        <w:t>（18）项目开工后，工程项目部主要管理人员应常驻施工现场，若因生病等特殊情况需要请假的，应上报发包人获得批准，无故缺岗的，每发现一次，发包人有权要求承包人支付500元违约金，项目经理无故缺岗的，除要求支付违约金外，还将上报至建设监督部门依法处理。</w:t>
      </w:r>
    </w:p>
    <w:p>
      <w:pPr>
        <w:spacing w:line="400" w:lineRule="exact"/>
        <w:ind w:firstLine="413" w:firstLineChars="196"/>
        <w:rPr>
          <w:b/>
          <w:color w:val="auto"/>
          <w:u w:val="single"/>
        </w:rPr>
      </w:pPr>
      <w:r>
        <w:rPr>
          <w:rFonts w:hint="eastAsia"/>
          <w:b/>
          <w:color w:val="auto"/>
          <w:u w:val="single"/>
        </w:rPr>
        <w:t>（19）若承包人出现以下情形之一，经发包人催告后仍不配合，则视为承包人严重违约，发包人有权解除合同。</w:t>
      </w:r>
    </w:p>
    <w:p>
      <w:pPr>
        <w:spacing w:line="400" w:lineRule="exact"/>
        <w:ind w:firstLine="413" w:firstLineChars="196"/>
        <w:rPr>
          <w:b/>
          <w:color w:val="auto"/>
          <w:u w:val="single"/>
        </w:rPr>
      </w:pPr>
      <w:r>
        <w:rPr>
          <w:rFonts w:hint="eastAsia"/>
          <w:b/>
          <w:color w:val="auto"/>
          <w:u w:val="single"/>
        </w:rPr>
        <w:t>a.本工程施工合同签订后7 日内，承包人必须向建设行政主管部门等部门缴纳办理本工程开工前的建设手续的相关费用（如农民工工资保障金等）而未行办理缴纳的；</w:t>
      </w:r>
    </w:p>
    <w:p>
      <w:pPr>
        <w:spacing w:line="400" w:lineRule="exact"/>
        <w:ind w:firstLine="413" w:firstLineChars="196"/>
        <w:rPr>
          <w:b/>
          <w:color w:val="auto"/>
          <w:u w:val="single"/>
        </w:rPr>
      </w:pPr>
      <w:r>
        <w:rPr>
          <w:rFonts w:hint="eastAsia"/>
          <w:b/>
          <w:color w:val="auto"/>
          <w:u w:val="single"/>
        </w:rPr>
        <w:t>b.本工程施工合同签订后7 日内，承包人必须配合发包人办理完成本工程开工前的相关建设手续而未行配合的；</w:t>
      </w:r>
    </w:p>
    <w:p>
      <w:pPr>
        <w:spacing w:line="400" w:lineRule="exact"/>
        <w:ind w:firstLine="413" w:firstLineChars="196"/>
        <w:rPr>
          <w:b/>
          <w:color w:val="auto"/>
          <w:u w:val="single"/>
        </w:rPr>
      </w:pPr>
      <w:r>
        <w:rPr>
          <w:rFonts w:hint="eastAsia"/>
          <w:b/>
          <w:color w:val="auto"/>
          <w:u w:val="single"/>
        </w:rPr>
        <w:t>c.本工程施工合同签订后 7日内，承包人必须按监理人要求向监理人提供相关资料而未行提交的；</w:t>
      </w:r>
    </w:p>
    <w:p>
      <w:pPr>
        <w:spacing w:line="400" w:lineRule="exact"/>
        <w:ind w:firstLine="413" w:firstLineChars="196"/>
        <w:rPr>
          <w:b/>
          <w:color w:val="auto"/>
          <w:u w:val="single"/>
        </w:rPr>
      </w:pPr>
      <w:r>
        <w:rPr>
          <w:rFonts w:hint="eastAsia"/>
          <w:b/>
          <w:color w:val="auto"/>
          <w:u w:val="single"/>
        </w:rPr>
        <w:t>d.本工程开工令下达后，承包人未按监理单位批准的施工组织设计方案正常组织施工的。</w:t>
      </w:r>
    </w:p>
    <w:p>
      <w:pPr>
        <w:spacing w:line="400" w:lineRule="exact"/>
        <w:ind w:firstLine="413" w:firstLineChars="196"/>
        <w:rPr>
          <w:b/>
          <w:color w:val="auto"/>
          <w:u w:val="single"/>
        </w:rPr>
      </w:pPr>
      <w:r>
        <w:rPr>
          <w:rFonts w:hint="eastAsia"/>
          <w:b/>
          <w:color w:val="auto"/>
          <w:u w:val="single"/>
        </w:rPr>
        <w:t>（20）承包人违反上述条款的约定的违法金和损失款，发包人有权直接在工程款中直接扣除。</w:t>
      </w:r>
    </w:p>
    <w:p>
      <w:pPr>
        <w:numPr>
          <w:ilvl w:val="0"/>
          <w:numId w:val="7"/>
        </w:numPr>
        <w:spacing w:line="400" w:lineRule="exact"/>
        <w:rPr>
          <w:b/>
          <w:color w:val="auto"/>
        </w:rPr>
      </w:pPr>
      <w:r>
        <w:rPr>
          <w:rFonts w:hint="eastAsia"/>
          <w:b/>
          <w:color w:val="auto"/>
        </w:rPr>
        <w:t>索赔</w:t>
      </w:r>
    </w:p>
    <w:p>
      <w:pPr>
        <w:spacing w:line="400" w:lineRule="exact"/>
        <w:rPr>
          <w:color w:val="auto"/>
        </w:rPr>
      </w:pPr>
      <w:r>
        <w:rPr>
          <w:rFonts w:hint="eastAsia"/>
          <w:b/>
          <w:color w:val="auto"/>
        </w:rPr>
        <w:t>23.1  承包人索赔的提出</w:t>
      </w:r>
    </w:p>
    <w:p>
      <w:pPr>
        <w:spacing w:line="400" w:lineRule="exact"/>
        <w:ind w:firstLine="420" w:firstLineChars="200"/>
        <w:rPr>
          <w:color w:val="auto"/>
        </w:rPr>
      </w:pPr>
      <w:r>
        <w:rPr>
          <w:rFonts w:hint="eastAsia"/>
          <w:color w:val="auto"/>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pPr>
        <w:spacing w:line="400" w:lineRule="exact"/>
        <w:rPr>
          <w:b/>
          <w:color w:val="auto"/>
        </w:rPr>
      </w:pPr>
      <w:r>
        <w:rPr>
          <w:rFonts w:hint="eastAsia"/>
          <w:b/>
          <w:color w:val="auto"/>
        </w:rPr>
        <w:t>24.争议的解决</w:t>
      </w:r>
    </w:p>
    <w:p>
      <w:pPr>
        <w:spacing w:line="400" w:lineRule="exact"/>
        <w:rPr>
          <w:b/>
          <w:color w:val="auto"/>
        </w:rPr>
      </w:pPr>
      <w:r>
        <w:rPr>
          <w:rFonts w:hint="eastAsia"/>
          <w:b/>
          <w:color w:val="auto"/>
        </w:rPr>
        <w:t>24.1  争议的解决方式</w:t>
      </w:r>
    </w:p>
    <w:p>
      <w:pPr>
        <w:spacing w:line="400" w:lineRule="exact"/>
        <w:rPr>
          <w:rFonts w:hint="eastAsia"/>
          <w:b/>
          <w:color w:val="auto"/>
        </w:rPr>
      </w:pPr>
      <w:r>
        <w:rPr>
          <w:rFonts w:hint="eastAsia"/>
          <w:color w:val="auto"/>
        </w:rPr>
        <w:t xml:space="preserve">   争议的解决方式：</w:t>
      </w:r>
      <w:r>
        <w:rPr>
          <w:rFonts w:hint="eastAsia"/>
          <w:b/>
          <w:color w:val="auto"/>
        </w:rPr>
        <w:t>本合同履行地为工程项目所在地，发包人和承包人在履行合同中发生争议的，协商解决；合同当事人友好协商解决不成的，向重庆市铜梁区人民法院提起诉讼，但承包人不得因此而停工。</w:t>
      </w:r>
    </w:p>
    <w:p>
      <w:pPr>
        <w:spacing w:line="400" w:lineRule="exact"/>
        <w:rPr>
          <w:rFonts w:hint="eastAsia"/>
          <w:b/>
          <w:color w:val="auto"/>
          <w:lang w:val="en-US" w:eastAsia="zh-CN"/>
        </w:rPr>
      </w:pPr>
      <w:r>
        <w:rPr>
          <w:rFonts w:hint="eastAsia"/>
          <w:b/>
          <w:color w:val="auto"/>
          <w:lang w:val="en-US" w:eastAsia="zh-CN"/>
        </w:rPr>
        <w:t>25.其他</w:t>
      </w:r>
    </w:p>
    <w:p>
      <w:pPr>
        <w:pStyle w:val="51"/>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1.投标人中标后必须服从甲方管理并遵守重庆市铜梁区重点国有企业等相关制度。</w:t>
      </w:r>
    </w:p>
    <w:p>
      <w:pPr>
        <w:pStyle w:val="51"/>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eastAsia="宋体" w:cs="Times New Roman"/>
          <w:color w:val="auto"/>
          <w:kern w:val="2"/>
          <w:sz w:val="21"/>
          <w:szCs w:val="20"/>
          <w:lang w:val="en-US" w:eastAsia="zh-CN" w:bidi="ar-SA"/>
        </w:rPr>
        <w:t>2.因施工单位工作原因导致项目合同变更的，增加的工程量由施工单位自行承担，增加的监理工作量由监理单位自行承担，不再追加施工、监理费用。因其他参建单位工作原因导致项目合同变更的，</w:t>
      </w:r>
      <w:r>
        <w:rPr>
          <w:rFonts w:hint="eastAsia" w:hAnsi="Times New Roman" w:eastAsia="宋体" w:cs="Times New Roman"/>
          <w:color w:val="auto"/>
          <w:kern w:val="2"/>
          <w:sz w:val="21"/>
          <w:szCs w:val="20"/>
          <w:lang w:val="en-US" w:eastAsia="zh-CN" w:bidi="ar-SA"/>
        </w:rPr>
        <w:t>比选人</w:t>
      </w:r>
      <w:r>
        <w:rPr>
          <w:rFonts w:hint="default" w:ascii="Times New Roman" w:hAnsi="Times New Roman" w:eastAsia="宋体" w:cs="Times New Roman"/>
          <w:color w:val="auto"/>
          <w:kern w:val="2"/>
          <w:sz w:val="21"/>
          <w:szCs w:val="20"/>
          <w:lang w:val="en-US" w:eastAsia="zh-CN" w:bidi="ar-SA"/>
        </w:rPr>
        <w:t>追究相应责任。</w:t>
      </w:r>
    </w:p>
    <w:p>
      <w:pPr>
        <w:spacing w:line="400" w:lineRule="exact"/>
        <w:ind w:firstLine="420" w:firstLineChars="20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rPr>
        <w:t>　　　　　　　　　　（</w:t>
      </w:r>
      <w:r>
        <w:rPr>
          <w:rFonts w:hint="eastAsia" w:ascii="宋体" w:hAnsi="宋体" w:cs="MingLiUfalt"/>
          <w:snapToGrid w:val="0"/>
          <w:color w:val="auto"/>
          <w:kern w:val="0"/>
          <w:szCs w:val="21"/>
        </w:rPr>
        <w:t>盖单位公章）    承包人：</w:t>
      </w:r>
      <w:r>
        <w:rPr>
          <w:rFonts w:hint="eastAsia" w:ascii="宋体" w:hAnsi="宋体"/>
          <w:color w:val="auto"/>
          <w:u w:val="single"/>
        </w:rPr>
        <w:t>　　　　　　　　　　（</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pPr>
        <w:spacing w:line="400" w:lineRule="exact"/>
        <w:ind w:firstLine="420" w:firstLineChars="20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pPr>
        <w:spacing w:line="400" w:lineRule="exact"/>
        <w:ind w:firstLine="420" w:firstLineChars="200"/>
        <w:rPr>
          <w:rFonts w:ascii="宋体" w:hAnsi="宋体" w:cs="MingLiUfalt"/>
          <w:snapToGrid w:val="0"/>
          <w:color w:val="auto"/>
          <w:kern w:val="0"/>
          <w:szCs w:val="21"/>
        </w:rPr>
      </w:pPr>
      <w:r>
        <w:rPr>
          <w:rFonts w:hint="eastAsia" w:ascii="宋体" w:hAnsi="宋体" w:cs="MingLiUfalt"/>
          <w:snapToGrid w:val="0"/>
          <w:color w:val="auto"/>
          <w:kern w:val="0"/>
          <w:szCs w:val="21"/>
        </w:rPr>
        <w:t>法定代表人：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w:t>
      </w:r>
      <w:r>
        <w:rPr>
          <w:rFonts w:hint="eastAsia" w:ascii="宋体" w:hAnsi="宋体"/>
          <w:color w:val="auto"/>
          <w:u w:val="single"/>
        </w:rPr>
        <w:t>　　       　 　</w:t>
      </w:r>
      <w:r>
        <w:rPr>
          <w:rFonts w:hint="eastAsia" w:ascii="宋体" w:hAnsi="宋体"/>
          <w:color w:val="auto"/>
        </w:rPr>
        <w:t>（签字）</w:t>
      </w:r>
    </w:p>
    <w:p>
      <w:pPr>
        <w:spacing w:line="400" w:lineRule="exact"/>
        <w:ind w:firstLine="420" w:firstLineChars="20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pPr>
        <w:spacing w:line="400" w:lineRule="exact"/>
        <w:ind w:firstLine="420" w:firstLineChars="20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pPr>
        <w:spacing w:line="400" w:lineRule="exact"/>
        <w:ind w:firstLine="420" w:firstLineChars="20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pPr>
        <w:spacing w:line="400" w:lineRule="exact"/>
        <w:ind w:firstLine="420" w:firstLineChars="200"/>
        <w:rPr>
          <w:rFonts w:ascii="宋体" w:hAnsi="宋体" w:cs="宋体"/>
          <w:color w:val="auto"/>
          <w:szCs w:val="21"/>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olor w:val="auto"/>
        </w:rPr>
        <w:t>　</w:t>
      </w:r>
    </w:p>
    <w:p>
      <w:pPr>
        <w:spacing w:line="400" w:lineRule="exact"/>
        <w:ind w:firstLine="1680" w:firstLineChars="800"/>
        <w:rPr>
          <w:rFonts w:ascii="宋体" w:hAnsi="宋体"/>
          <w:color w:val="auto"/>
        </w:rPr>
      </w:pPr>
      <w:r>
        <w:rPr>
          <w:rFonts w:hint="eastAsia" w:ascii="宋体" w:hAnsi="宋体" w:cs="宋体"/>
          <w:color w:val="auto"/>
          <w:szCs w:val="21"/>
        </w:rPr>
        <w:t>　年　　月　　日　　　　　　　　　            年　　月　　日</w:t>
      </w:r>
    </w:p>
    <w:p>
      <w:pPr>
        <w:spacing w:line="400" w:lineRule="exact"/>
        <w:jc w:val="center"/>
        <w:rPr>
          <w:b/>
          <w:color w:val="auto"/>
          <w:sz w:val="32"/>
          <w:szCs w:val="32"/>
        </w:rPr>
      </w:pPr>
    </w:p>
    <w:p>
      <w:pPr>
        <w:spacing w:line="400" w:lineRule="exact"/>
        <w:jc w:val="center"/>
        <w:rPr>
          <w:b/>
          <w:color w:val="auto"/>
          <w:sz w:val="32"/>
          <w:szCs w:val="32"/>
        </w:rPr>
      </w:pPr>
    </w:p>
    <w:p>
      <w:pPr>
        <w:spacing w:line="400" w:lineRule="exact"/>
        <w:jc w:val="center"/>
        <w:rPr>
          <w:b/>
          <w:color w:val="auto"/>
          <w:sz w:val="32"/>
          <w:szCs w:val="32"/>
        </w:rPr>
      </w:pPr>
    </w:p>
    <w:p>
      <w:pPr>
        <w:spacing w:line="400" w:lineRule="exact"/>
        <w:jc w:val="center"/>
        <w:rPr>
          <w:b/>
          <w:color w:val="auto"/>
          <w:sz w:val="32"/>
          <w:szCs w:val="32"/>
        </w:rPr>
      </w:pPr>
    </w:p>
    <w:p>
      <w:pPr>
        <w:spacing w:line="360" w:lineRule="auto"/>
        <w:rPr>
          <w:color w:val="auto"/>
        </w:rPr>
      </w:pPr>
    </w:p>
    <w:p>
      <w:pPr>
        <w:rPr>
          <w:rFonts w:hint="eastAsia"/>
          <w:color w:val="auto"/>
        </w:rPr>
      </w:pPr>
      <w:r>
        <w:rPr>
          <w:rFonts w:hint="eastAsia"/>
          <w:color w:val="auto"/>
        </w:rPr>
        <w:br w:type="page"/>
      </w:r>
    </w:p>
    <w:p>
      <w:pPr>
        <w:spacing w:line="360" w:lineRule="auto"/>
        <w:rPr>
          <w:color w:val="auto"/>
        </w:rPr>
      </w:pPr>
      <w:r>
        <w:rPr>
          <w:rFonts w:hint="eastAsia"/>
          <w:color w:val="auto"/>
        </w:rPr>
        <w:t>附件一：工程质量保修书</w:t>
      </w:r>
    </w:p>
    <w:p>
      <w:pPr>
        <w:spacing w:before="120" w:after="120" w:line="340" w:lineRule="exact"/>
        <w:jc w:val="center"/>
        <w:rPr>
          <w:rFonts w:ascii="宋体" w:hAnsi="宋体" w:cs="宋体"/>
          <w:b/>
          <w:color w:val="auto"/>
          <w:sz w:val="32"/>
          <w:szCs w:val="32"/>
        </w:rPr>
      </w:pPr>
      <w:r>
        <w:rPr>
          <w:rFonts w:hint="eastAsia" w:ascii="宋体" w:hAnsi="宋体" w:cs="宋体"/>
          <w:b/>
          <w:color w:val="auto"/>
          <w:sz w:val="32"/>
          <w:szCs w:val="32"/>
        </w:rPr>
        <w:t>工程质量保修书</w:t>
      </w:r>
    </w:p>
    <w:p>
      <w:pPr>
        <w:spacing w:line="340" w:lineRule="exact"/>
        <w:ind w:firstLine="420" w:firstLineChars="200"/>
        <w:rPr>
          <w:rFonts w:ascii="宋体" w:hAnsi="宋体" w:cs="宋体"/>
          <w:color w:val="auto"/>
          <w:u w:val="single"/>
        </w:rPr>
      </w:pPr>
      <w:r>
        <w:rPr>
          <w:rFonts w:hint="eastAsia" w:ascii="宋体" w:hAnsi="宋体" w:cs="宋体"/>
          <w:color w:val="auto"/>
        </w:rPr>
        <w:t>发包人（全称）：</w:t>
      </w:r>
      <w:r>
        <w:rPr>
          <w:rFonts w:hint="eastAsia" w:ascii="宋体" w:hAnsi="宋体" w:cs="宋体"/>
          <w:b/>
          <w:color w:val="auto"/>
          <w:u w:val="single"/>
        </w:rPr>
        <w:t xml:space="preserve">  </w:t>
      </w:r>
      <w:r>
        <w:rPr>
          <w:rFonts w:hint="eastAsia" w:ascii="宋体" w:hAnsi="宋体" w:cs="宋体"/>
          <w:color w:val="auto"/>
          <w:u w:val="single"/>
          <w:lang w:eastAsia="zh-CN"/>
        </w:rPr>
        <w:t>重庆市铜梁区福果镇人民政府</w:t>
      </w:r>
      <w:r>
        <w:rPr>
          <w:rFonts w:hint="eastAsia" w:ascii="宋体" w:hAnsi="宋体" w:cs="宋体"/>
          <w:color w:val="auto"/>
          <w:u w:val="single"/>
        </w:rPr>
        <w:t xml:space="preserve">    </w:t>
      </w:r>
    </w:p>
    <w:p>
      <w:pPr>
        <w:spacing w:line="340" w:lineRule="exact"/>
        <w:rPr>
          <w:rFonts w:ascii="宋体" w:hAnsi="宋体" w:cs="宋体"/>
          <w:color w:val="auto"/>
        </w:rPr>
      </w:pPr>
      <w:r>
        <w:rPr>
          <w:rFonts w:hint="eastAsia" w:ascii="宋体" w:hAnsi="宋体" w:cs="宋体"/>
          <w:color w:val="auto"/>
        </w:rPr>
        <w:t>　　承包人（全称）：</w:t>
      </w:r>
      <w:r>
        <w:rPr>
          <w:rFonts w:hint="eastAsia"/>
          <w:b/>
          <w:color w:val="auto"/>
          <w:u w:val="single"/>
        </w:rPr>
        <w:t xml:space="preserve">                                 </w:t>
      </w:r>
      <w:r>
        <w:rPr>
          <w:rFonts w:ascii="宋体" w:hAnsi="宋体" w:cs="宋体"/>
          <w:color w:val="auto"/>
        </w:rPr>
        <w:t xml:space="preserve">                 </w:t>
      </w:r>
    </w:p>
    <w:p>
      <w:pPr>
        <w:spacing w:line="340" w:lineRule="exact"/>
        <w:rPr>
          <w:rFonts w:ascii="宋体" w:hAnsi="宋体" w:cs="宋体"/>
          <w:color w:val="auto"/>
        </w:rPr>
      </w:pPr>
      <w:r>
        <w:rPr>
          <w:rFonts w:hint="eastAsia" w:ascii="宋体" w:hAnsi="宋体" w:cs="宋体"/>
          <w:color w:val="auto"/>
        </w:rPr>
        <w:t>　　发包人和承包人根据《中华人民共和国建筑法》、《建设工程质量管理条例》和《房屋建筑工程质量保修办法》，经协商一致对</w:t>
      </w:r>
      <w:r>
        <w:rPr>
          <w:rFonts w:hint="eastAsia" w:ascii="宋体" w:hAnsi="宋体" w:cs="宋体"/>
          <w:color w:val="auto"/>
          <w:u w:val="single"/>
          <w:lang w:eastAsia="zh-CN"/>
        </w:rPr>
        <w:t xml:space="preserve">铜梁区福果镇久远河支流团实村段黑臭水体整治项目(第二次) </w:t>
      </w:r>
      <w:r>
        <w:rPr>
          <w:rFonts w:hint="eastAsia" w:ascii="宋体" w:hAnsi="宋体" w:cs="宋体"/>
          <w:color w:val="auto"/>
        </w:rPr>
        <w:t>签订工程质量保修书。</w:t>
      </w:r>
    </w:p>
    <w:p>
      <w:pPr>
        <w:spacing w:line="340" w:lineRule="exact"/>
        <w:rPr>
          <w:rFonts w:ascii="宋体" w:hAnsi="宋体" w:cs="宋体"/>
          <w:b/>
          <w:color w:val="auto"/>
        </w:rPr>
      </w:pPr>
      <w:r>
        <w:rPr>
          <w:rFonts w:hint="eastAsia" w:ascii="宋体" w:hAnsi="宋体" w:cs="宋体"/>
          <w:color w:val="auto"/>
        </w:rPr>
        <w:t>　　</w:t>
      </w:r>
      <w:r>
        <w:rPr>
          <w:rFonts w:hint="eastAsia" w:ascii="宋体" w:hAnsi="宋体" w:cs="宋体"/>
          <w:b/>
          <w:color w:val="auto"/>
        </w:rPr>
        <w:t>一、工程质量保修范围和内容</w:t>
      </w:r>
    </w:p>
    <w:p>
      <w:pPr>
        <w:adjustRightInd w:val="0"/>
        <w:snapToGrid w:val="0"/>
        <w:spacing w:line="340" w:lineRule="exact"/>
        <w:ind w:firstLine="405"/>
        <w:rPr>
          <w:rFonts w:ascii="宋体" w:hAnsi="宋体" w:cs="宋体"/>
          <w:color w:val="auto"/>
        </w:rPr>
      </w:pPr>
      <w:r>
        <w:rPr>
          <w:rFonts w:hint="eastAsia" w:ascii="宋体" w:hAnsi="宋体" w:cs="宋体"/>
          <w:color w:val="auto"/>
        </w:rPr>
        <w:t>承包人在质量保修期内，按照有关法律规定和合同约定，承担工程质量保修责任。</w:t>
      </w:r>
    </w:p>
    <w:p>
      <w:pPr>
        <w:adjustRightInd w:val="0"/>
        <w:snapToGrid w:val="0"/>
        <w:spacing w:line="340" w:lineRule="exact"/>
        <w:ind w:firstLine="420" w:firstLineChars="200"/>
        <w:rPr>
          <w:rFonts w:ascii="宋体" w:hAnsi="宋体" w:cs="宋体"/>
          <w:color w:val="auto"/>
          <w:kern w:val="0"/>
          <w:szCs w:val="21"/>
          <w:u w:val="single"/>
        </w:rPr>
      </w:pPr>
      <w:r>
        <w:rPr>
          <w:rFonts w:hint="eastAsia" w:ascii="宋体" w:hAnsi="宋体" w:cs="宋体"/>
          <w:color w:val="auto"/>
        </w:rPr>
        <w:t xml:space="preserve">具体保修的内容，双方约定如下： </w:t>
      </w:r>
      <w:r>
        <w:rPr>
          <w:rFonts w:hint="eastAsia" w:ascii="宋体" w:hAnsi="宋体" w:cs="宋体"/>
          <w:color w:val="auto"/>
          <w:u w:val="single"/>
        </w:rPr>
        <w:t>承包人所有施工的内</w:t>
      </w:r>
      <w:r>
        <w:rPr>
          <w:rFonts w:hint="eastAsia" w:ascii="宋体" w:hAnsi="宋体" w:cs="宋体"/>
          <w:color w:val="auto"/>
          <w:kern w:val="0"/>
          <w:szCs w:val="21"/>
          <w:u w:val="single"/>
        </w:rPr>
        <w:t>容均属于保修范围</w:t>
      </w:r>
      <w:r>
        <w:rPr>
          <w:rFonts w:hint="eastAsia" w:ascii="宋体" w:hAnsi="宋体" w:cs="宋体"/>
          <w:color w:val="auto"/>
          <w:u w:val="single"/>
        </w:rPr>
        <w:t>。</w:t>
      </w:r>
    </w:p>
    <w:p>
      <w:pPr>
        <w:spacing w:line="340" w:lineRule="exact"/>
        <w:ind w:firstLine="405"/>
        <w:rPr>
          <w:rFonts w:ascii="宋体" w:hAnsi="宋体" w:cs="宋体"/>
          <w:color w:val="auto"/>
        </w:rPr>
      </w:pPr>
      <w:r>
        <w:rPr>
          <w:rFonts w:hint="eastAsia" w:ascii="宋体" w:hAnsi="宋体" w:cs="宋体"/>
          <w:b/>
          <w:color w:val="auto"/>
        </w:rPr>
        <w:t>二、质量保修期</w:t>
      </w:r>
    </w:p>
    <w:p>
      <w:pPr>
        <w:spacing w:line="340" w:lineRule="exact"/>
        <w:ind w:firstLine="420" w:firstLineChars="200"/>
        <w:rPr>
          <w:rFonts w:ascii="宋体" w:hAnsi="宋体" w:cs="宋体"/>
          <w:color w:val="auto"/>
        </w:rPr>
      </w:pPr>
      <w:r>
        <w:rPr>
          <w:rFonts w:hint="eastAsia" w:ascii="宋体" w:hAnsi="宋体" w:cs="宋体"/>
          <w:color w:val="auto"/>
        </w:rPr>
        <w:t>根据《建设工程质量管理条例》及有关规定，工程的质量保修期如下：</w:t>
      </w:r>
    </w:p>
    <w:p>
      <w:pPr>
        <w:spacing w:line="340" w:lineRule="exact"/>
        <w:ind w:firstLine="420" w:firstLineChars="200"/>
        <w:rPr>
          <w:rFonts w:ascii="宋体" w:hAnsi="宋体" w:cs="宋体"/>
          <w:color w:val="auto"/>
        </w:rPr>
      </w:pPr>
      <w:r>
        <w:rPr>
          <w:rFonts w:ascii="宋体" w:hAnsi="宋体" w:cs="宋体"/>
          <w:color w:val="auto"/>
        </w:rPr>
        <w:t>1</w:t>
      </w:r>
      <w:r>
        <w:rPr>
          <w:rFonts w:hint="eastAsia" w:ascii="宋体" w:hAnsi="宋体" w:cs="宋体"/>
          <w:color w:val="auto"/>
        </w:rPr>
        <w:t>．地基基础工程和主体结构工程为设计文件规定的工程合理使用年限；</w:t>
      </w:r>
    </w:p>
    <w:p>
      <w:pPr>
        <w:spacing w:line="340" w:lineRule="exact"/>
        <w:ind w:firstLine="420" w:firstLineChars="200"/>
        <w:rPr>
          <w:rFonts w:ascii="宋体" w:hAnsi="宋体" w:cs="宋体"/>
          <w:color w:val="auto"/>
        </w:rPr>
      </w:pPr>
      <w:r>
        <w:rPr>
          <w:rFonts w:ascii="宋体" w:hAnsi="宋体" w:cs="宋体"/>
          <w:color w:val="auto"/>
        </w:rPr>
        <w:t>2</w:t>
      </w:r>
      <w:r>
        <w:rPr>
          <w:rFonts w:hint="eastAsia" w:ascii="宋体" w:hAnsi="宋体" w:cs="宋体"/>
          <w:color w:val="auto"/>
        </w:rPr>
        <w:t>．屋面防水工程、有防水要求的卫生间、房间和外墙面的防渗为</w:t>
      </w:r>
      <w:r>
        <w:rPr>
          <w:rFonts w:ascii="宋体" w:hAnsi="宋体" w:cs="宋体"/>
          <w:color w:val="auto"/>
          <w:u w:val="single"/>
        </w:rPr>
        <w:t xml:space="preserve">  </w:t>
      </w:r>
      <w:r>
        <w:rPr>
          <w:rFonts w:hint="eastAsia" w:ascii="宋体" w:hAnsi="宋体" w:cs="宋体"/>
          <w:color w:val="auto"/>
          <w:u w:val="single"/>
        </w:rPr>
        <w:t>5</w:t>
      </w:r>
      <w:r>
        <w:rPr>
          <w:rFonts w:ascii="宋体" w:hAnsi="宋体" w:cs="宋体"/>
          <w:color w:val="auto"/>
          <w:u w:val="single"/>
        </w:rPr>
        <w:t xml:space="preserve">  </w:t>
      </w:r>
      <w:r>
        <w:rPr>
          <w:rFonts w:hint="eastAsia" w:ascii="宋体" w:hAnsi="宋体" w:cs="宋体"/>
          <w:color w:val="auto"/>
        </w:rPr>
        <w:t>年；</w:t>
      </w:r>
    </w:p>
    <w:p>
      <w:pPr>
        <w:spacing w:line="340" w:lineRule="exact"/>
        <w:ind w:firstLine="420" w:firstLineChars="200"/>
        <w:rPr>
          <w:rFonts w:ascii="宋体" w:hAnsi="宋体" w:cs="宋体"/>
          <w:color w:val="auto"/>
        </w:rPr>
      </w:pPr>
      <w:r>
        <w:rPr>
          <w:rFonts w:ascii="宋体" w:hAnsi="宋体" w:cs="宋体"/>
          <w:color w:val="auto"/>
        </w:rPr>
        <w:t>3</w:t>
      </w:r>
      <w:r>
        <w:rPr>
          <w:rFonts w:hint="eastAsia" w:ascii="宋体" w:hAnsi="宋体" w:cs="宋体"/>
          <w:color w:val="auto"/>
        </w:rPr>
        <w:t>．装修工程为</w:t>
      </w:r>
      <w:r>
        <w:rPr>
          <w:rFonts w:ascii="宋体" w:hAnsi="宋体" w:cs="宋体"/>
          <w:color w:val="auto"/>
          <w:u w:val="single"/>
        </w:rPr>
        <w:t xml:space="preserve"> </w:t>
      </w:r>
      <w:r>
        <w:rPr>
          <w:rFonts w:hint="eastAsia" w:ascii="宋体" w:hAnsi="宋体" w:cs="宋体"/>
          <w:color w:val="auto"/>
          <w:u w:val="single"/>
        </w:rPr>
        <w:t>2</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rPr>
        <w:t xml:space="preserve"> </w:t>
      </w:r>
    </w:p>
    <w:p>
      <w:pPr>
        <w:spacing w:line="340" w:lineRule="exact"/>
        <w:ind w:firstLine="420" w:firstLineChars="200"/>
        <w:rPr>
          <w:rFonts w:ascii="宋体" w:hAnsi="宋体" w:cs="宋体"/>
          <w:color w:val="auto"/>
        </w:rPr>
      </w:pPr>
      <w:r>
        <w:rPr>
          <w:rFonts w:ascii="宋体" w:hAnsi="宋体" w:cs="宋体"/>
          <w:color w:val="auto"/>
        </w:rPr>
        <w:t>4</w:t>
      </w:r>
      <w:r>
        <w:rPr>
          <w:rFonts w:hint="eastAsia" w:ascii="宋体" w:hAnsi="宋体" w:cs="宋体"/>
          <w:color w:val="auto"/>
        </w:rPr>
        <w:t>．电气管线、给排水管道、设备安装工程为</w:t>
      </w:r>
      <w:r>
        <w:rPr>
          <w:rFonts w:ascii="宋体" w:hAnsi="宋体" w:cs="宋体"/>
          <w:color w:val="auto"/>
          <w:u w:val="single"/>
        </w:rPr>
        <w:t xml:space="preserve"> </w:t>
      </w:r>
      <w:r>
        <w:rPr>
          <w:rFonts w:hint="eastAsia" w:ascii="宋体" w:hAnsi="宋体" w:cs="宋体"/>
          <w:color w:val="auto"/>
          <w:u w:val="single"/>
        </w:rPr>
        <w:t xml:space="preserve">2 </w:t>
      </w:r>
      <w:r>
        <w:rPr>
          <w:rFonts w:ascii="宋体" w:hAnsi="宋体" w:cs="宋体"/>
          <w:color w:val="auto"/>
          <w:u w:val="single"/>
        </w:rPr>
        <w:t xml:space="preserve"> </w:t>
      </w:r>
      <w:r>
        <w:rPr>
          <w:rFonts w:hint="eastAsia" w:ascii="宋体" w:hAnsi="宋体" w:cs="宋体"/>
          <w:color w:val="auto"/>
        </w:rPr>
        <w:t>年；</w:t>
      </w:r>
    </w:p>
    <w:p>
      <w:pPr>
        <w:spacing w:line="340" w:lineRule="exact"/>
        <w:ind w:firstLine="420" w:firstLineChars="200"/>
        <w:rPr>
          <w:rFonts w:ascii="宋体" w:hAnsi="宋体" w:cs="宋体"/>
          <w:color w:val="auto"/>
        </w:rPr>
      </w:pPr>
      <w:r>
        <w:rPr>
          <w:rFonts w:ascii="宋体" w:hAnsi="宋体" w:cs="宋体"/>
          <w:color w:val="auto"/>
        </w:rPr>
        <w:t>5</w:t>
      </w:r>
      <w:r>
        <w:rPr>
          <w:rFonts w:hint="eastAsia" w:ascii="宋体" w:hAnsi="宋体" w:cs="宋体"/>
          <w:color w:val="auto"/>
        </w:rPr>
        <w:t>．供热与供冷系统为</w:t>
      </w:r>
      <w:r>
        <w:rPr>
          <w:rFonts w:ascii="宋体" w:hAnsi="宋体" w:cs="宋体"/>
          <w:color w:val="auto"/>
          <w:u w:val="single"/>
        </w:rPr>
        <w:t xml:space="preserve"> </w:t>
      </w:r>
      <w:r>
        <w:rPr>
          <w:rFonts w:hint="eastAsia" w:ascii="宋体" w:hAnsi="宋体" w:cs="宋体"/>
          <w:color w:val="auto"/>
          <w:u w:val="single"/>
        </w:rPr>
        <w:t xml:space="preserve"> 2</w:t>
      </w:r>
      <w:r>
        <w:rPr>
          <w:rFonts w:ascii="宋体" w:hAnsi="宋体" w:cs="宋体"/>
          <w:color w:val="auto"/>
          <w:u w:val="single"/>
        </w:rPr>
        <w:t xml:space="preserve"> </w:t>
      </w:r>
      <w:r>
        <w:rPr>
          <w:rFonts w:hint="eastAsia" w:ascii="宋体" w:hAnsi="宋体" w:cs="宋体"/>
          <w:color w:val="auto"/>
        </w:rPr>
        <w:t>个采暖期、供冷期；</w:t>
      </w:r>
    </w:p>
    <w:p>
      <w:pPr>
        <w:spacing w:line="340" w:lineRule="exact"/>
        <w:ind w:firstLine="420" w:firstLineChars="200"/>
        <w:rPr>
          <w:rFonts w:ascii="宋体" w:hAnsi="宋体" w:cs="宋体"/>
          <w:color w:val="auto"/>
        </w:rPr>
      </w:pPr>
      <w:r>
        <w:rPr>
          <w:rFonts w:ascii="宋体" w:hAnsi="宋体" w:cs="宋体"/>
          <w:color w:val="auto"/>
        </w:rPr>
        <w:t>6</w:t>
      </w:r>
      <w:r>
        <w:rPr>
          <w:rFonts w:hint="eastAsia" w:ascii="宋体" w:hAnsi="宋体" w:cs="宋体"/>
          <w:color w:val="auto"/>
        </w:rPr>
        <w:t>．住宅小区内的给排水设施、道路等配套工程为</w:t>
      </w:r>
      <w:r>
        <w:rPr>
          <w:rFonts w:ascii="宋体" w:hAnsi="宋体" w:cs="宋体"/>
          <w:color w:val="auto"/>
          <w:u w:val="single"/>
        </w:rPr>
        <w:t xml:space="preserve"> </w:t>
      </w:r>
      <w:r>
        <w:rPr>
          <w:rFonts w:hint="eastAsia" w:ascii="宋体" w:hAnsi="宋体" w:cs="宋体"/>
          <w:color w:val="auto"/>
          <w:u w:val="single"/>
        </w:rPr>
        <w:t>2</w:t>
      </w:r>
      <w:r>
        <w:rPr>
          <w:rFonts w:ascii="宋体" w:hAnsi="宋体" w:cs="宋体"/>
          <w:color w:val="auto"/>
          <w:u w:val="single"/>
        </w:rPr>
        <w:t xml:space="preserve"> </w:t>
      </w:r>
      <w:r>
        <w:rPr>
          <w:rFonts w:hint="eastAsia" w:ascii="宋体" w:hAnsi="宋体" w:cs="宋体"/>
          <w:color w:val="auto"/>
        </w:rPr>
        <w:t>年；</w:t>
      </w:r>
      <w:r>
        <w:rPr>
          <w:rFonts w:ascii="宋体" w:hAnsi="宋体" w:cs="宋体"/>
          <w:color w:val="auto"/>
        </w:rPr>
        <w:t xml:space="preserve"> </w:t>
      </w:r>
    </w:p>
    <w:p>
      <w:pPr>
        <w:spacing w:line="340" w:lineRule="exact"/>
        <w:ind w:firstLine="420" w:firstLineChars="200"/>
        <w:rPr>
          <w:rFonts w:ascii="宋体" w:hAnsi="宋体" w:cs="宋体"/>
          <w:color w:val="auto"/>
        </w:rPr>
      </w:pPr>
      <w:r>
        <w:rPr>
          <w:rFonts w:ascii="宋体" w:hAnsi="宋体" w:cs="宋体"/>
          <w:color w:val="auto"/>
        </w:rPr>
        <w:t>7</w:t>
      </w:r>
      <w:r>
        <w:rPr>
          <w:rFonts w:hint="eastAsia" w:ascii="宋体" w:hAnsi="宋体" w:cs="宋体"/>
          <w:color w:val="auto"/>
        </w:rPr>
        <w:t>．其他项目保修期限为</w:t>
      </w:r>
      <w:r>
        <w:rPr>
          <w:rFonts w:hint="eastAsia" w:ascii="宋体" w:hAnsi="宋体" w:cs="宋体"/>
          <w:color w:val="auto"/>
          <w:u w:val="single"/>
        </w:rPr>
        <w:t xml:space="preserve"> </w:t>
      </w:r>
      <w:r>
        <w:rPr>
          <w:rFonts w:hint="eastAsia" w:ascii="宋体" w:hAnsi="宋体" w:cs="宋体"/>
          <w:color w:val="auto"/>
          <w:u w:val="single"/>
          <w:lang w:val="en-US" w:eastAsia="zh-CN"/>
        </w:rPr>
        <w:t>2</w:t>
      </w:r>
      <w:r>
        <w:rPr>
          <w:rFonts w:ascii="宋体" w:hAnsi="宋体" w:cs="宋体"/>
          <w:color w:val="auto"/>
          <w:u w:val="single"/>
        </w:rPr>
        <w:t xml:space="preserve"> </w:t>
      </w:r>
      <w:r>
        <w:rPr>
          <w:rFonts w:hint="eastAsia" w:ascii="宋体" w:hAnsi="宋体" w:cs="宋体"/>
          <w:color w:val="auto"/>
        </w:rPr>
        <w:t xml:space="preserve">年； </w:t>
      </w:r>
    </w:p>
    <w:p>
      <w:pPr>
        <w:spacing w:line="340" w:lineRule="exact"/>
        <w:ind w:firstLine="405"/>
        <w:rPr>
          <w:rFonts w:ascii="宋体" w:hAnsi="宋体" w:cs="宋体"/>
          <w:color w:val="auto"/>
        </w:rPr>
      </w:pPr>
      <w:r>
        <w:rPr>
          <w:rFonts w:hint="eastAsia" w:ascii="宋体" w:hAnsi="宋体" w:cs="宋体"/>
          <w:color w:val="auto"/>
        </w:rPr>
        <w:t>质量保修期自工程竣工验收合格之日起计算。</w:t>
      </w:r>
    </w:p>
    <w:p>
      <w:pPr>
        <w:spacing w:line="340" w:lineRule="exact"/>
        <w:ind w:firstLine="405"/>
        <w:rPr>
          <w:rFonts w:ascii="宋体" w:hAnsi="宋体" w:cs="宋体"/>
          <w:color w:val="auto"/>
        </w:rPr>
      </w:pPr>
      <w:r>
        <w:rPr>
          <w:rFonts w:hint="eastAsia" w:ascii="宋体" w:hAnsi="宋体" w:cs="宋体"/>
          <w:b/>
          <w:color w:val="auto"/>
        </w:rPr>
        <w:t>三、质量保修责任</w:t>
      </w:r>
    </w:p>
    <w:p>
      <w:pPr>
        <w:spacing w:line="340" w:lineRule="exact"/>
        <w:ind w:firstLine="405"/>
        <w:rPr>
          <w:rFonts w:ascii="宋体" w:hAnsi="宋体" w:cs="宋体"/>
          <w:color w:val="auto"/>
        </w:rPr>
      </w:pPr>
      <w:r>
        <w:rPr>
          <w:rFonts w:ascii="宋体" w:hAnsi="宋体" w:cs="宋体"/>
          <w:color w:val="auto"/>
        </w:rPr>
        <w:t>1</w:t>
      </w:r>
      <w:r>
        <w:rPr>
          <w:rFonts w:hint="eastAsia" w:ascii="宋体" w:hAnsi="宋体" w:cs="宋体"/>
          <w:color w:val="auto"/>
        </w:rPr>
        <w:t>．属于保修范围、内容的项目，承包人应当在接到保修通知之日起3天内派人保修。承包人不在约定期限内派人保修的，发包人可以委托他人修理。</w:t>
      </w:r>
    </w:p>
    <w:p>
      <w:pPr>
        <w:spacing w:line="340" w:lineRule="exact"/>
        <w:ind w:firstLine="405"/>
        <w:rPr>
          <w:rFonts w:ascii="宋体" w:hAnsi="宋体" w:cs="宋体"/>
          <w:color w:val="auto"/>
        </w:rPr>
      </w:pPr>
      <w:r>
        <w:rPr>
          <w:rFonts w:ascii="宋体" w:hAnsi="宋体" w:cs="宋体"/>
          <w:color w:val="auto"/>
        </w:rPr>
        <w:t>2</w:t>
      </w:r>
      <w:r>
        <w:rPr>
          <w:rFonts w:hint="eastAsia" w:ascii="宋体" w:hAnsi="宋体" w:cs="宋体"/>
          <w:color w:val="auto"/>
        </w:rPr>
        <w:t>．发生紧急事故需抢修的，承包人在接到事故通知后，应当立即到达事故现场抢修。</w:t>
      </w:r>
    </w:p>
    <w:p>
      <w:pPr>
        <w:spacing w:line="340" w:lineRule="exact"/>
        <w:ind w:firstLine="405"/>
        <w:rPr>
          <w:rFonts w:ascii="宋体" w:hAnsi="宋体" w:cs="宋体"/>
          <w:color w:val="auto"/>
        </w:rPr>
      </w:pPr>
      <w:r>
        <w:rPr>
          <w:rFonts w:ascii="宋体" w:hAnsi="宋体" w:cs="宋体"/>
          <w:color w:val="auto"/>
        </w:rPr>
        <w:t>3</w:t>
      </w:r>
      <w:r>
        <w:rPr>
          <w:rFonts w:hint="eastAsia" w:ascii="宋体" w:hAnsi="宋体" w:cs="宋体"/>
          <w:color w:val="auto"/>
        </w:rPr>
        <w:t>．对于涉及结构安全的质量问题，应当按照《建设工程质量管理条例》的规定，立即向当地建设行政主管部门和其他有关部门报告，采取安全防范措施，并由原设计人或者具有相应资质等级的设计</w:t>
      </w:r>
      <w:r>
        <w:rPr>
          <w:rFonts w:hint="eastAsia" w:ascii="宋体" w:hAnsi="宋体" w:cs="宋体"/>
          <w:color w:val="auto"/>
          <w:lang w:eastAsia="zh-CN"/>
        </w:rPr>
        <w:t>人</w:t>
      </w:r>
      <w:r>
        <w:rPr>
          <w:rFonts w:hint="eastAsia" w:ascii="宋体" w:hAnsi="宋体" w:cs="宋体"/>
          <w:color w:val="auto"/>
        </w:rPr>
        <w:t>提出保修方案，承包人实施保修。</w:t>
      </w:r>
    </w:p>
    <w:p>
      <w:pPr>
        <w:spacing w:line="340" w:lineRule="exact"/>
        <w:ind w:firstLine="405"/>
        <w:rPr>
          <w:rFonts w:ascii="宋体" w:hAnsi="宋体" w:cs="宋体"/>
          <w:color w:val="auto"/>
        </w:rPr>
      </w:pPr>
      <w:r>
        <w:rPr>
          <w:rFonts w:ascii="宋体" w:hAnsi="宋体" w:cs="宋体"/>
          <w:color w:val="auto"/>
        </w:rPr>
        <w:t>4</w:t>
      </w:r>
      <w:r>
        <w:rPr>
          <w:rFonts w:hint="eastAsia" w:ascii="宋体" w:hAnsi="宋体" w:cs="宋体"/>
          <w:color w:val="auto"/>
        </w:rPr>
        <w:t>．质量保修完成后，由发包人组织验收。</w:t>
      </w:r>
    </w:p>
    <w:p>
      <w:pPr>
        <w:spacing w:line="340" w:lineRule="exact"/>
        <w:rPr>
          <w:rFonts w:ascii="宋体" w:hAnsi="宋体" w:cs="宋体"/>
          <w:b/>
          <w:color w:val="auto"/>
        </w:rPr>
      </w:pPr>
      <w:r>
        <w:rPr>
          <w:rFonts w:hint="eastAsia" w:ascii="宋体" w:hAnsi="宋体" w:cs="宋体"/>
          <w:b/>
          <w:color w:val="auto"/>
        </w:rPr>
        <w:t>　　四、保修费用</w:t>
      </w:r>
    </w:p>
    <w:p>
      <w:pPr>
        <w:spacing w:line="340" w:lineRule="exact"/>
        <w:ind w:firstLine="420"/>
        <w:rPr>
          <w:rFonts w:ascii="宋体" w:hAnsi="宋体" w:cs="宋体"/>
          <w:color w:val="auto"/>
        </w:rPr>
      </w:pPr>
      <w:r>
        <w:rPr>
          <w:rFonts w:hint="eastAsia" w:ascii="宋体" w:hAnsi="宋体" w:cs="宋体"/>
          <w:color w:val="auto"/>
        </w:rPr>
        <w:t>保修费用由造成质量缺陷的责任方承担。</w:t>
      </w:r>
    </w:p>
    <w:p>
      <w:pPr>
        <w:spacing w:line="340" w:lineRule="exact"/>
        <w:ind w:firstLine="420"/>
        <w:rPr>
          <w:rFonts w:ascii="宋体" w:hAnsi="宋体" w:cs="宋体"/>
          <w:b/>
          <w:color w:val="auto"/>
        </w:rPr>
      </w:pPr>
      <w:r>
        <w:rPr>
          <w:rFonts w:hint="eastAsia" w:ascii="宋体" w:hAnsi="宋体" w:cs="宋体"/>
          <w:b/>
          <w:color w:val="auto"/>
        </w:rPr>
        <w:t>五、其他</w:t>
      </w:r>
    </w:p>
    <w:p>
      <w:pPr>
        <w:spacing w:line="340" w:lineRule="exact"/>
        <w:ind w:firstLine="420"/>
        <w:rPr>
          <w:rFonts w:ascii="宋体" w:hAnsi="宋体" w:cs="宋体"/>
          <w:color w:val="auto"/>
        </w:rPr>
      </w:pPr>
      <w:r>
        <w:rPr>
          <w:rFonts w:hint="eastAsia" w:ascii="宋体" w:hAnsi="宋体" w:cs="宋体"/>
          <w:color w:val="auto"/>
        </w:rPr>
        <w:t>本工程质量保修书，由施工合同发包人、承包人双方在签订合同协议书时一并签订，作为施工合同附件，其有效保修期限至保修期满。</w:t>
      </w:r>
    </w:p>
    <w:p>
      <w:pPr>
        <w:spacing w:line="340" w:lineRule="exact"/>
        <w:ind w:firstLine="420" w:firstLineChars="20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rPr>
        <w:t>　　　　　　　　　　（</w:t>
      </w:r>
      <w:r>
        <w:rPr>
          <w:rFonts w:hint="eastAsia" w:ascii="宋体" w:hAnsi="宋体" w:cs="MingLiUfalt"/>
          <w:snapToGrid w:val="0"/>
          <w:color w:val="auto"/>
          <w:kern w:val="0"/>
          <w:szCs w:val="21"/>
        </w:rPr>
        <w:t>盖单位公章）    承包人：</w:t>
      </w:r>
      <w:r>
        <w:rPr>
          <w:rFonts w:hint="eastAsia" w:ascii="宋体" w:hAnsi="宋体"/>
          <w:color w:val="auto"/>
          <w:u w:val="single"/>
        </w:rPr>
        <w:t>　　　　　　　　　　（</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pPr>
        <w:spacing w:line="340" w:lineRule="exact"/>
        <w:ind w:firstLine="420" w:firstLineChars="20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pPr>
        <w:spacing w:line="340" w:lineRule="exact"/>
        <w:ind w:firstLine="420" w:firstLineChars="200"/>
        <w:rPr>
          <w:rFonts w:ascii="宋体" w:hAnsi="宋体" w:cs="MingLiUfalt"/>
          <w:snapToGrid w:val="0"/>
          <w:color w:val="auto"/>
          <w:kern w:val="0"/>
          <w:szCs w:val="21"/>
        </w:rPr>
      </w:pPr>
      <w:r>
        <w:rPr>
          <w:rFonts w:hint="eastAsia" w:ascii="宋体" w:hAnsi="宋体" w:cs="MingLiUfalt"/>
          <w:snapToGrid w:val="0"/>
          <w:color w:val="auto"/>
          <w:kern w:val="0"/>
          <w:szCs w:val="21"/>
        </w:rPr>
        <w:t>法定代表人：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w:t>
      </w:r>
      <w:r>
        <w:rPr>
          <w:rFonts w:hint="eastAsia" w:ascii="宋体" w:hAnsi="宋体"/>
          <w:color w:val="auto"/>
          <w:u w:val="single"/>
        </w:rPr>
        <w:t>　　       　 　</w:t>
      </w:r>
      <w:r>
        <w:rPr>
          <w:rFonts w:hint="eastAsia" w:ascii="宋体" w:hAnsi="宋体"/>
          <w:color w:val="auto"/>
        </w:rPr>
        <w:t>（签字）</w:t>
      </w:r>
    </w:p>
    <w:p>
      <w:pPr>
        <w:spacing w:line="340" w:lineRule="exact"/>
        <w:ind w:firstLine="420" w:firstLineChars="20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pPr>
        <w:spacing w:line="340" w:lineRule="exact"/>
        <w:ind w:firstLine="420" w:firstLineChars="20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pPr>
        <w:spacing w:line="340" w:lineRule="exact"/>
        <w:ind w:firstLine="420" w:firstLineChars="20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pPr>
        <w:spacing w:line="340" w:lineRule="exact"/>
        <w:ind w:firstLine="420" w:firstLineChars="200"/>
        <w:rPr>
          <w:rFonts w:ascii="宋体" w:hAnsi="宋体" w:cs="宋体"/>
          <w:color w:val="auto"/>
          <w:szCs w:val="21"/>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olor w:val="auto"/>
        </w:rPr>
        <w:t>　</w:t>
      </w:r>
    </w:p>
    <w:p>
      <w:pPr>
        <w:spacing w:line="340" w:lineRule="exact"/>
        <w:ind w:firstLine="1680" w:firstLineChars="800"/>
        <w:rPr>
          <w:rFonts w:ascii="宋体" w:hAnsi="宋体" w:cs="宋体"/>
          <w:color w:val="auto"/>
          <w:szCs w:val="21"/>
        </w:rPr>
      </w:pPr>
      <w:r>
        <w:rPr>
          <w:rFonts w:hint="eastAsia" w:ascii="宋体" w:hAnsi="宋体" w:cs="宋体"/>
          <w:color w:val="auto"/>
          <w:szCs w:val="21"/>
        </w:rPr>
        <w:t>　年　　月　　日　　　　　　　　　            年　　月　　日</w:t>
      </w:r>
    </w:p>
    <w:p>
      <w:pPr>
        <w:rPr>
          <w:rFonts w:hint="eastAsia"/>
          <w:color w:val="auto"/>
        </w:rPr>
      </w:pPr>
      <w:r>
        <w:rPr>
          <w:rFonts w:hint="eastAsia"/>
          <w:color w:val="auto"/>
        </w:rPr>
        <w:br w:type="page"/>
      </w:r>
    </w:p>
    <w:p>
      <w:pPr>
        <w:spacing w:line="340" w:lineRule="exact"/>
        <w:rPr>
          <w:color w:val="auto"/>
        </w:rPr>
      </w:pPr>
      <w:r>
        <w:rPr>
          <w:rFonts w:hint="eastAsia"/>
          <w:color w:val="auto"/>
        </w:rPr>
        <w:t>附件二：建设工程廉政责任书</w:t>
      </w:r>
    </w:p>
    <w:p>
      <w:pPr>
        <w:spacing w:line="360" w:lineRule="exact"/>
        <w:jc w:val="center"/>
        <w:rPr>
          <w:rFonts w:ascii="宋体" w:hAnsi="宋体" w:cs="宋体"/>
          <w:b/>
          <w:color w:val="auto"/>
          <w:sz w:val="30"/>
          <w:szCs w:val="30"/>
        </w:rPr>
      </w:pPr>
    </w:p>
    <w:p>
      <w:pPr>
        <w:spacing w:line="360" w:lineRule="exact"/>
        <w:jc w:val="center"/>
        <w:rPr>
          <w:rFonts w:ascii="宋体" w:hAnsi="宋体" w:cs="宋体"/>
          <w:b/>
          <w:color w:val="auto"/>
          <w:sz w:val="30"/>
          <w:szCs w:val="30"/>
        </w:rPr>
      </w:pPr>
      <w:r>
        <w:rPr>
          <w:rFonts w:hint="eastAsia" w:ascii="宋体" w:hAnsi="宋体" w:cs="宋体"/>
          <w:b/>
          <w:color w:val="auto"/>
          <w:sz w:val="30"/>
          <w:szCs w:val="30"/>
        </w:rPr>
        <w:t>建设工程廉政责任书</w:t>
      </w:r>
    </w:p>
    <w:p>
      <w:pPr>
        <w:spacing w:line="360" w:lineRule="exact"/>
        <w:jc w:val="center"/>
        <w:rPr>
          <w:rFonts w:ascii="宋体" w:hAnsi="宋体" w:cs="宋体"/>
          <w:b/>
          <w:color w:val="auto"/>
          <w:sz w:val="30"/>
          <w:szCs w:val="30"/>
        </w:rPr>
      </w:pPr>
    </w:p>
    <w:bookmarkEnd w:id="452"/>
    <w:bookmarkEnd w:id="453"/>
    <w:bookmarkEnd w:id="470"/>
    <w:bookmarkEnd w:id="471"/>
    <w:p>
      <w:pPr>
        <w:spacing w:line="360" w:lineRule="exact"/>
        <w:ind w:firstLine="420" w:firstLineChars="200"/>
        <w:rPr>
          <w:rFonts w:ascii="宋体" w:hAnsi="宋体" w:cs="宋体"/>
          <w:b/>
          <w:color w:val="auto"/>
          <w:u w:val="single"/>
        </w:rPr>
      </w:pPr>
      <w:bookmarkStart w:id="507" w:name="_Toc354832093"/>
      <w:bookmarkStart w:id="508" w:name="_Toc352707846"/>
      <w:bookmarkStart w:id="509" w:name="_Toc199124869"/>
      <w:r>
        <w:rPr>
          <w:rFonts w:hint="eastAsia" w:ascii="宋体" w:hAnsi="宋体" w:cs="宋体"/>
          <w:color w:val="auto"/>
        </w:rPr>
        <w:t>发包人（全称）：</w:t>
      </w:r>
      <w:r>
        <w:rPr>
          <w:rFonts w:hint="eastAsia" w:ascii="宋体" w:hAnsi="宋体" w:cs="宋体"/>
          <w:b/>
          <w:color w:val="auto"/>
          <w:u w:val="single"/>
        </w:rPr>
        <w:t xml:space="preserve">   </w:t>
      </w:r>
      <w:r>
        <w:rPr>
          <w:rFonts w:hint="eastAsia" w:ascii="宋体" w:hAnsi="宋体" w:cs="宋体"/>
          <w:color w:val="auto"/>
          <w:u w:val="single"/>
          <w:lang w:eastAsia="zh-CN"/>
        </w:rPr>
        <w:t>重庆市铜梁区福果镇人民政府</w:t>
      </w:r>
      <w:r>
        <w:rPr>
          <w:rFonts w:hint="eastAsia" w:ascii="宋体" w:hAnsi="宋体" w:cs="宋体"/>
          <w:color w:val="auto"/>
          <w:u w:val="single"/>
        </w:rPr>
        <w:t xml:space="preserve"> </w:t>
      </w:r>
      <w:r>
        <w:rPr>
          <w:rFonts w:hint="eastAsia" w:ascii="宋体" w:hAnsi="宋体" w:cs="宋体"/>
          <w:b/>
          <w:color w:val="auto"/>
          <w:u w:val="single"/>
        </w:rPr>
        <w:t xml:space="preserve">  </w:t>
      </w:r>
    </w:p>
    <w:p>
      <w:pPr>
        <w:spacing w:line="360" w:lineRule="exact"/>
        <w:rPr>
          <w:color w:val="auto"/>
        </w:rPr>
      </w:pPr>
      <w:r>
        <w:rPr>
          <w:rFonts w:hint="eastAsia" w:ascii="宋体" w:hAnsi="宋体" w:cs="宋体"/>
          <w:color w:val="auto"/>
        </w:rPr>
        <w:t>　　承包人（全称）：</w:t>
      </w:r>
      <w:r>
        <w:rPr>
          <w:rFonts w:hint="eastAsia"/>
          <w:b/>
          <w:color w:val="auto"/>
          <w:u w:val="single"/>
        </w:rPr>
        <w:t xml:space="preserve">                                              </w:t>
      </w:r>
      <w:r>
        <w:rPr>
          <w:rFonts w:ascii="宋体" w:hAnsi="宋体" w:cs="宋体"/>
          <w:color w:val="auto"/>
        </w:rPr>
        <w:t xml:space="preserve">   </w:t>
      </w:r>
      <w:r>
        <w:rPr>
          <w:rFonts w:hint="eastAsia"/>
          <w:color w:val="auto"/>
        </w:rPr>
        <w:t>　　　　　　　　　　　　　　　　　　　　　　</w:t>
      </w:r>
    </w:p>
    <w:p>
      <w:pPr>
        <w:spacing w:line="360" w:lineRule="exact"/>
        <w:rPr>
          <w:color w:val="auto"/>
        </w:rPr>
      </w:pPr>
      <w:r>
        <w:rPr>
          <w:rFonts w:hint="eastAsia"/>
          <w:color w:val="auto"/>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exact"/>
        <w:rPr>
          <w:b/>
          <w:color w:val="auto"/>
        </w:rPr>
      </w:pPr>
      <w:r>
        <w:rPr>
          <w:rFonts w:hint="eastAsia"/>
          <w:b/>
          <w:color w:val="auto"/>
        </w:rPr>
        <w:t>一、双方的责任</w:t>
      </w:r>
    </w:p>
    <w:p>
      <w:pPr>
        <w:spacing w:line="360" w:lineRule="exact"/>
        <w:rPr>
          <w:color w:val="auto"/>
        </w:rPr>
      </w:pPr>
      <w:r>
        <w:rPr>
          <w:rFonts w:hint="eastAsia"/>
          <w:color w:val="auto"/>
        </w:rPr>
        <w:t>　　1.1应严格遵守国家关于建设工程的有关法律、法规，相关政策，以及廉政建设的各项规定。</w:t>
      </w:r>
    </w:p>
    <w:p>
      <w:pPr>
        <w:spacing w:line="360" w:lineRule="exact"/>
        <w:rPr>
          <w:color w:val="auto"/>
        </w:rPr>
      </w:pPr>
      <w:r>
        <w:rPr>
          <w:rFonts w:hint="eastAsia"/>
          <w:color w:val="auto"/>
        </w:rPr>
        <w:t>　　1.2严格执行建设工程合同文件，自觉按合同办事。</w:t>
      </w:r>
    </w:p>
    <w:p>
      <w:pPr>
        <w:spacing w:line="360" w:lineRule="exact"/>
        <w:rPr>
          <w:color w:val="auto"/>
        </w:rPr>
      </w:pPr>
      <w:r>
        <w:rPr>
          <w:rFonts w:hint="eastAsia"/>
          <w:color w:val="auto"/>
        </w:rPr>
        <w:t>　　1.3各项活动必须坚持公开、公平、公正、诚信、透明的原则（除法律法规另有规定者外），不得为获取不正当的利益，损害国家、集体和对方利益，不得违反建设工程管理的规章制度。</w:t>
      </w:r>
    </w:p>
    <w:p>
      <w:pPr>
        <w:spacing w:line="360" w:lineRule="exact"/>
        <w:rPr>
          <w:color w:val="auto"/>
        </w:rPr>
      </w:pPr>
      <w:r>
        <w:rPr>
          <w:rFonts w:hint="eastAsia"/>
          <w:color w:val="auto"/>
        </w:rPr>
        <w:t>　　1.4发现对方在业务活动中有违规、违纪、违法行为的，应及时提醒对方，情节严重的，应向其上级主管部门或纪检监察、司法等有关机关举报。</w:t>
      </w:r>
    </w:p>
    <w:p>
      <w:pPr>
        <w:spacing w:line="360" w:lineRule="exact"/>
        <w:rPr>
          <w:b/>
          <w:color w:val="auto"/>
        </w:rPr>
      </w:pPr>
      <w:r>
        <w:rPr>
          <w:rFonts w:hint="eastAsia"/>
          <w:b/>
          <w:color w:val="auto"/>
        </w:rPr>
        <w:t>二、发包人责任</w:t>
      </w:r>
    </w:p>
    <w:p>
      <w:pPr>
        <w:spacing w:line="360" w:lineRule="exact"/>
        <w:rPr>
          <w:color w:val="auto"/>
        </w:rPr>
      </w:pPr>
      <w:r>
        <w:rPr>
          <w:rFonts w:hint="eastAsia"/>
          <w:color w:val="auto"/>
        </w:rPr>
        <w:t>　　发包人的领导和从事该建设工程项目的工作人员，在工程建设的事前、事中、事后应遵守以下规定：</w:t>
      </w:r>
    </w:p>
    <w:p>
      <w:pPr>
        <w:spacing w:line="360" w:lineRule="exact"/>
        <w:rPr>
          <w:color w:val="auto"/>
        </w:rPr>
      </w:pPr>
      <w:r>
        <w:rPr>
          <w:rFonts w:hint="eastAsia"/>
          <w:color w:val="auto"/>
        </w:rPr>
        <w:t>　　2.1不得向承包人和相关单位索要或接受回扣、礼金、有价证券、贵重物品和好处费、感谢费等。</w:t>
      </w:r>
    </w:p>
    <w:p>
      <w:pPr>
        <w:spacing w:line="360" w:lineRule="exact"/>
        <w:rPr>
          <w:color w:val="auto"/>
        </w:rPr>
      </w:pPr>
      <w:r>
        <w:rPr>
          <w:rFonts w:hint="eastAsia"/>
          <w:color w:val="auto"/>
        </w:rPr>
        <w:t>　　2.2不得在承包人和相关单位报销任何应由发包人或个人支付的费用。</w:t>
      </w:r>
    </w:p>
    <w:p>
      <w:pPr>
        <w:spacing w:line="360" w:lineRule="exact"/>
        <w:rPr>
          <w:color w:val="auto"/>
        </w:rPr>
      </w:pPr>
      <w:r>
        <w:rPr>
          <w:rFonts w:hint="eastAsia"/>
          <w:color w:val="auto"/>
        </w:rPr>
        <w:t>　　2.3不得要求、暗示或接受承包人和相关单位为个人装修住房、婚丧嫁娶、配偶子女的工作安排以及出国（境）、旅游等提供方便。</w:t>
      </w:r>
    </w:p>
    <w:p>
      <w:pPr>
        <w:spacing w:line="360" w:lineRule="exact"/>
        <w:rPr>
          <w:color w:val="auto"/>
        </w:rPr>
      </w:pPr>
      <w:r>
        <w:rPr>
          <w:rFonts w:hint="eastAsia"/>
          <w:color w:val="auto"/>
        </w:rPr>
        <w:t>　　2.4不得参加有可能影响公正执行公务的承包人和相关单位的宴请、健身、娱乐等活动。</w:t>
      </w:r>
    </w:p>
    <w:p>
      <w:pPr>
        <w:spacing w:line="360" w:lineRule="exact"/>
        <w:rPr>
          <w:color w:val="auto"/>
        </w:rPr>
      </w:pPr>
      <w:r>
        <w:rPr>
          <w:rFonts w:hint="eastAsia"/>
          <w:color w:val="auto"/>
        </w:rPr>
        <w:t>　　2.5不得向承包人和相关单位介绍或为配偶、子女、亲属参与同发包人工程建设管理合同有关的业务活动；不得以任何理由要求承包人和相关单位使用某种产品、材料和设备。</w:t>
      </w:r>
    </w:p>
    <w:p>
      <w:pPr>
        <w:spacing w:line="360" w:lineRule="exact"/>
        <w:rPr>
          <w:b/>
          <w:color w:val="auto"/>
        </w:rPr>
      </w:pPr>
      <w:r>
        <w:rPr>
          <w:rFonts w:hint="eastAsia"/>
          <w:b/>
          <w:color w:val="auto"/>
        </w:rPr>
        <w:t>三、承包人责任</w:t>
      </w:r>
    </w:p>
    <w:p>
      <w:pPr>
        <w:spacing w:line="360" w:lineRule="exact"/>
        <w:rPr>
          <w:color w:val="auto"/>
        </w:rPr>
      </w:pPr>
      <w:r>
        <w:rPr>
          <w:rFonts w:hint="eastAsia"/>
          <w:color w:val="auto"/>
        </w:rPr>
        <w:t>　　应与发包人保持正常的业务交往，按照有关法律法规和程序开展业务工作，严格执行工程建设的有关方针、政策，执行工程建设强制性标准，并遵守以下规定：</w:t>
      </w:r>
    </w:p>
    <w:p>
      <w:pPr>
        <w:spacing w:line="360" w:lineRule="exact"/>
        <w:rPr>
          <w:color w:val="auto"/>
        </w:rPr>
      </w:pPr>
      <w:r>
        <w:rPr>
          <w:rFonts w:hint="eastAsia"/>
          <w:color w:val="auto"/>
        </w:rPr>
        <w:t>　　3.1不得以任何理由向发包人及其工作人员索要、接受或赠送礼金、有价证券、贵重物品及回扣、好处费、感谢费等。</w:t>
      </w:r>
    </w:p>
    <w:p>
      <w:pPr>
        <w:spacing w:line="360" w:lineRule="exact"/>
        <w:rPr>
          <w:color w:val="auto"/>
        </w:rPr>
      </w:pPr>
      <w:r>
        <w:rPr>
          <w:rFonts w:hint="eastAsia"/>
          <w:color w:val="auto"/>
        </w:rPr>
        <w:t>　　3.2不得以任何理由为发包人和相关单位报销应由对方或个人支付的费用。</w:t>
      </w:r>
    </w:p>
    <w:p>
      <w:pPr>
        <w:spacing w:line="360" w:lineRule="exact"/>
        <w:rPr>
          <w:color w:val="auto"/>
        </w:rPr>
      </w:pPr>
      <w:r>
        <w:rPr>
          <w:rFonts w:hint="eastAsia"/>
          <w:color w:val="auto"/>
        </w:rPr>
        <w:t>　　3.3不得接受或暗示为发包人、相关单位或个人装修住房、婚丧嫁娶、配偶子女的工作安排以及出国（境）、旅游等提供方便。</w:t>
      </w:r>
    </w:p>
    <w:p>
      <w:pPr>
        <w:spacing w:line="360" w:lineRule="exact"/>
        <w:rPr>
          <w:color w:val="auto"/>
        </w:rPr>
      </w:pPr>
      <w:r>
        <w:rPr>
          <w:rFonts w:hint="eastAsia"/>
          <w:color w:val="auto"/>
        </w:rPr>
        <w:t>　　3.4不得以任何理由为发包人、相关单位或个人组织有可能影响公正执行公务的宴请、健身、娱乐等活动。</w:t>
      </w:r>
    </w:p>
    <w:p>
      <w:pPr>
        <w:spacing w:line="360" w:lineRule="exact"/>
        <w:rPr>
          <w:b/>
          <w:color w:val="auto"/>
        </w:rPr>
      </w:pPr>
      <w:r>
        <w:rPr>
          <w:rFonts w:hint="eastAsia"/>
          <w:b/>
          <w:color w:val="auto"/>
        </w:rPr>
        <w:t>四、违约责任</w:t>
      </w:r>
    </w:p>
    <w:p>
      <w:pPr>
        <w:spacing w:line="360" w:lineRule="exact"/>
        <w:rPr>
          <w:color w:val="auto"/>
        </w:rPr>
      </w:pPr>
      <w:r>
        <w:rPr>
          <w:rFonts w:hint="eastAsia"/>
          <w:color w:val="auto"/>
        </w:rPr>
        <w:t>　　4.1发包人工作人员有违反本责任书第一、二条责任行为的，依据有关法律、法规给予处理；涉嫌犯罪的，移交司法机关追究刑事责任；给承包人单位造成经济损失的，应予以赔偿。</w:t>
      </w:r>
    </w:p>
    <w:p>
      <w:pPr>
        <w:spacing w:line="360" w:lineRule="exact"/>
        <w:rPr>
          <w:color w:val="auto"/>
        </w:rPr>
      </w:pPr>
      <w:r>
        <w:rPr>
          <w:rFonts w:hint="eastAsia"/>
          <w:color w:val="auto"/>
        </w:rPr>
        <w:t>　　4.2承包人工作人员有违反本责任书第一、三条责任行为的，依据有关法律法规处理；涉嫌犯罪的，移交司法机关追究刑事责任；给发包人单位造成经济损失的，应予以赔偿。</w:t>
      </w:r>
    </w:p>
    <w:p>
      <w:pPr>
        <w:spacing w:line="360" w:lineRule="exact"/>
        <w:rPr>
          <w:color w:val="auto"/>
        </w:rPr>
      </w:pPr>
      <w:r>
        <w:rPr>
          <w:rFonts w:hint="eastAsia"/>
          <w:color w:val="auto"/>
        </w:rPr>
        <w:t>　　4.3本责任书作为建设工程合同的组成部分，与建设工程合同具有同等法律效力。经双方签署后立即生效。</w:t>
      </w:r>
    </w:p>
    <w:p>
      <w:pPr>
        <w:spacing w:line="360" w:lineRule="exact"/>
        <w:rPr>
          <w:b/>
          <w:color w:val="auto"/>
        </w:rPr>
      </w:pPr>
      <w:r>
        <w:rPr>
          <w:rFonts w:hint="eastAsia"/>
          <w:b/>
          <w:color w:val="auto"/>
        </w:rPr>
        <w:t>五、责任书有效期</w:t>
      </w:r>
    </w:p>
    <w:p>
      <w:pPr>
        <w:spacing w:line="360" w:lineRule="exact"/>
        <w:rPr>
          <w:color w:val="auto"/>
        </w:rPr>
      </w:pPr>
      <w:r>
        <w:rPr>
          <w:rFonts w:hint="eastAsia"/>
          <w:color w:val="auto"/>
        </w:rPr>
        <w:t>　　本责任书的有效期为双方签署之日起至该工程项目竣工验收合格时止。</w:t>
      </w:r>
    </w:p>
    <w:p>
      <w:pPr>
        <w:spacing w:line="360" w:lineRule="exact"/>
        <w:rPr>
          <w:b/>
          <w:color w:val="auto"/>
        </w:rPr>
      </w:pPr>
      <w:r>
        <w:rPr>
          <w:rFonts w:hint="eastAsia"/>
          <w:b/>
          <w:color w:val="auto"/>
        </w:rPr>
        <w:t>六、责任书份数</w:t>
      </w:r>
    </w:p>
    <w:p>
      <w:pPr>
        <w:spacing w:line="360" w:lineRule="exact"/>
        <w:ind w:firstLine="405"/>
        <w:rPr>
          <w:color w:val="auto"/>
        </w:rPr>
      </w:pPr>
      <w:r>
        <w:rPr>
          <w:rFonts w:hint="eastAsia" w:ascii="宋体" w:hAnsi="宋体" w:cs="宋体"/>
          <w:color w:val="auto"/>
        </w:rPr>
        <w:t>本工程质量保修书，由施工合同发包人、承包人双方在签订合同协议书时一并签订，作为施工合同附件</w:t>
      </w:r>
      <w:r>
        <w:rPr>
          <w:rFonts w:hint="eastAsia"/>
          <w:color w:val="auto"/>
        </w:rPr>
        <w:t>，具有同等效力。</w:t>
      </w:r>
    </w:p>
    <w:p>
      <w:pPr>
        <w:spacing w:line="360" w:lineRule="exact"/>
        <w:ind w:firstLine="420" w:firstLineChars="200"/>
        <w:rPr>
          <w:rFonts w:ascii="宋体" w:hAnsi="宋体" w:cs="MingLiUfalt"/>
          <w:snapToGrid w:val="0"/>
          <w:color w:val="auto"/>
          <w:kern w:val="0"/>
          <w:szCs w:val="21"/>
        </w:rPr>
      </w:pPr>
    </w:p>
    <w:p>
      <w:pPr>
        <w:spacing w:line="360" w:lineRule="exact"/>
        <w:ind w:firstLine="420" w:firstLineChars="200"/>
        <w:rPr>
          <w:rFonts w:ascii="宋体" w:hAnsi="宋体" w:cs="MingLiUfalt"/>
          <w:snapToGrid w:val="0"/>
          <w:color w:val="auto"/>
          <w:kern w:val="0"/>
          <w:szCs w:val="21"/>
        </w:rPr>
      </w:pPr>
      <w:r>
        <w:rPr>
          <w:rFonts w:hint="eastAsia" w:ascii="宋体" w:hAnsi="宋体" w:cs="MingLiUfalt"/>
          <w:snapToGrid w:val="0"/>
          <w:color w:val="auto"/>
          <w:kern w:val="0"/>
          <w:szCs w:val="21"/>
        </w:rPr>
        <w:t>发包人：</w:t>
      </w:r>
      <w:r>
        <w:rPr>
          <w:rFonts w:hint="eastAsia" w:ascii="宋体" w:hAnsi="宋体"/>
          <w:color w:val="auto"/>
          <w:u w:val="single"/>
        </w:rPr>
        <w:t>　　　　　　　　　　（</w:t>
      </w:r>
      <w:r>
        <w:rPr>
          <w:rFonts w:hint="eastAsia" w:ascii="宋体" w:hAnsi="宋体" w:cs="MingLiUfalt"/>
          <w:snapToGrid w:val="0"/>
          <w:color w:val="auto"/>
          <w:kern w:val="0"/>
          <w:szCs w:val="21"/>
        </w:rPr>
        <w:t>盖单位公章）    承包人：</w:t>
      </w:r>
      <w:r>
        <w:rPr>
          <w:rFonts w:hint="eastAsia" w:ascii="宋体" w:hAnsi="宋体"/>
          <w:color w:val="auto"/>
          <w:u w:val="single"/>
        </w:rPr>
        <w:t>　　　　　　　　　　（</w:t>
      </w:r>
      <w:r>
        <w:rPr>
          <w:rFonts w:hint="eastAsia" w:ascii="宋体" w:hAnsi="宋体" w:cs="MingLiUfalt"/>
          <w:snapToGrid w:val="0"/>
          <w:color w:val="auto"/>
          <w:kern w:val="0"/>
          <w:szCs w:val="21"/>
        </w:rPr>
        <w:t>盖单位公章）</w:t>
      </w:r>
      <w:r>
        <w:rPr>
          <w:rFonts w:ascii="宋体" w:hAnsi="宋体" w:cs="MingLiUfalt"/>
          <w:snapToGrid w:val="0"/>
          <w:color w:val="auto"/>
          <w:kern w:val="0"/>
          <w:szCs w:val="21"/>
        </w:rPr>
        <w:t xml:space="preserve">  </w:t>
      </w:r>
    </w:p>
    <w:p>
      <w:pPr>
        <w:spacing w:line="360" w:lineRule="exact"/>
        <w:ind w:firstLine="420" w:firstLineChars="200"/>
        <w:rPr>
          <w:rFonts w:ascii="宋体" w:hAnsi="宋体"/>
          <w:color w:val="auto"/>
        </w:rPr>
      </w:pPr>
      <w:r>
        <w:rPr>
          <w:rFonts w:hint="eastAsia" w:ascii="宋体" w:hAnsi="宋体"/>
          <w:color w:val="auto"/>
        </w:rPr>
        <w:t>法定地址：</w:t>
      </w:r>
      <w:r>
        <w:rPr>
          <w:rFonts w:hint="eastAsia" w:ascii="宋体" w:hAnsi="宋体"/>
          <w:color w:val="auto"/>
          <w:u w:val="single"/>
        </w:rPr>
        <w:t>　　　　　　　　　  　</w:t>
      </w:r>
      <w:r>
        <w:rPr>
          <w:rFonts w:hint="eastAsia" w:ascii="宋体" w:hAnsi="宋体"/>
          <w:color w:val="auto"/>
        </w:rPr>
        <w:t>　　　      法定地址：</w:t>
      </w:r>
      <w:r>
        <w:rPr>
          <w:rFonts w:hint="eastAsia" w:ascii="宋体" w:hAnsi="宋体"/>
          <w:color w:val="auto"/>
          <w:u w:val="single"/>
        </w:rPr>
        <w:t>　　　　　　　　  　　</w:t>
      </w:r>
    </w:p>
    <w:p>
      <w:pPr>
        <w:spacing w:line="360" w:lineRule="exact"/>
        <w:ind w:firstLine="420" w:firstLineChars="200"/>
        <w:rPr>
          <w:rFonts w:ascii="宋体" w:hAnsi="宋体" w:cs="MingLiUfalt"/>
          <w:snapToGrid w:val="0"/>
          <w:color w:val="auto"/>
          <w:kern w:val="0"/>
          <w:szCs w:val="21"/>
        </w:rPr>
      </w:pPr>
      <w:r>
        <w:rPr>
          <w:rFonts w:hint="eastAsia" w:ascii="宋体" w:hAnsi="宋体" w:cs="MingLiUfalt"/>
          <w:snapToGrid w:val="0"/>
          <w:color w:val="auto"/>
          <w:kern w:val="0"/>
          <w:szCs w:val="21"/>
        </w:rPr>
        <w:t>法定代表人：</w:t>
      </w:r>
      <w:r>
        <w:rPr>
          <w:rFonts w:hint="eastAsia" w:ascii="宋体" w:hAnsi="宋体"/>
          <w:color w:val="auto"/>
          <w:u w:val="single"/>
        </w:rPr>
        <w:t>　         　　</w:t>
      </w:r>
      <w:r>
        <w:rPr>
          <w:rFonts w:hint="eastAsia" w:ascii="宋体" w:hAnsi="宋体"/>
          <w:color w:val="auto"/>
        </w:rPr>
        <w:t>（签字）</w:t>
      </w:r>
      <w:r>
        <w:rPr>
          <w:rFonts w:hint="eastAsia" w:ascii="宋体" w:hAnsi="宋体" w:cs="MingLiUfalt"/>
          <w:snapToGrid w:val="0"/>
          <w:color w:val="auto"/>
          <w:kern w:val="0"/>
          <w:szCs w:val="21"/>
        </w:rPr>
        <w:t xml:space="preserve">         法定代表人：</w:t>
      </w:r>
      <w:r>
        <w:rPr>
          <w:rFonts w:hint="eastAsia" w:ascii="宋体" w:hAnsi="宋体"/>
          <w:color w:val="auto"/>
          <w:u w:val="single"/>
        </w:rPr>
        <w:t>　　       　 　</w:t>
      </w:r>
      <w:r>
        <w:rPr>
          <w:rFonts w:hint="eastAsia" w:ascii="宋体" w:hAnsi="宋体"/>
          <w:color w:val="auto"/>
        </w:rPr>
        <w:t>（签字）</w:t>
      </w:r>
    </w:p>
    <w:p>
      <w:pPr>
        <w:spacing w:line="360" w:lineRule="exact"/>
        <w:ind w:firstLine="420" w:firstLineChars="200"/>
        <w:rPr>
          <w:rFonts w:ascii="宋体" w:hAnsi="宋体"/>
          <w:color w:val="auto"/>
        </w:rPr>
      </w:pPr>
      <w:r>
        <w:rPr>
          <w:rFonts w:hint="eastAsia" w:ascii="宋体" w:hAnsi="宋体"/>
          <w:color w:val="auto"/>
        </w:rPr>
        <w:t>电    话：</w:t>
      </w:r>
      <w:r>
        <w:rPr>
          <w:rFonts w:hint="eastAsia" w:ascii="宋体" w:hAnsi="宋体"/>
          <w:color w:val="auto"/>
          <w:u w:val="single"/>
        </w:rPr>
        <w:t>　　　　　　  　　　　</w:t>
      </w:r>
      <w:r>
        <w:rPr>
          <w:rFonts w:hint="eastAsia" w:ascii="宋体" w:hAnsi="宋体"/>
          <w:color w:val="auto"/>
        </w:rPr>
        <w:t>　　　　    电    话：</w:t>
      </w:r>
      <w:r>
        <w:rPr>
          <w:rFonts w:hint="eastAsia" w:ascii="宋体" w:hAnsi="宋体"/>
          <w:color w:val="auto"/>
          <w:u w:val="single"/>
        </w:rPr>
        <w:t>　　　　　　　　  　　</w:t>
      </w:r>
      <w:r>
        <w:rPr>
          <w:rFonts w:hint="eastAsia" w:ascii="宋体" w:hAnsi="宋体"/>
          <w:color w:val="auto"/>
        </w:rPr>
        <w:t>　</w:t>
      </w:r>
    </w:p>
    <w:p>
      <w:pPr>
        <w:spacing w:line="360" w:lineRule="exact"/>
        <w:ind w:firstLine="420" w:firstLineChars="200"/>
        <w:rPr>
          <w:rFonts w:ascii="宋体" w:hAnsi="宋体"/>
          <w:color w:val="auto"/>
        </w:rPr>
      </w:pPr>
      <w:r>
        <w:rPr>
          <w:rFonts w:hint="eastAsia" w:ascii="宋体" w:hAnsi="宋体"/>
          <w:color w:val="auto"/>
        </w:rPr>
        <w:t>传    真：</w:t>
      </w:r>
      <w:r>
        <w:rPr>
          <w:rFonts w:hint="eastAsia" w:ascii="宋体" w:hAnsi="宋体"/>
          <w:color w:val="auto"/>
          <w:u w:val="single"/>
        </w:rPr>
        <w:t>　　　　　　　  　　　</w:t>
      </w:r>
      <w:r>
        <w:rPr>
          <w:rFonts w:hint="eastAsia" w:ascii="宋体" w:hAnsi="宋体"/>
          <w:color w:val="auto"/>
        </w:rPr>
        <w:t>　　　　　  传    真：</w:t>
      </w:r>
      <w:r>
        <w:rPr>
          <w:rFonts w:hint="eastAsia" w:ascii="宋体" w:hAnsi="宋体"/>
          <w:color w:val="auto"/>
          <w:u w:val="single"/>
        </w:rPr>
        <w:t>　　　　　　　    　　</w:t>
      </w:r>
      <w:r>
        <w:rPr>
          <w:rFonts w:hint="eastAsia" w:ascii="宋体" w:hAnsi="宋体"/>
          <w:color w:val="auto"/>
        </w:rPr>
        <w:t>　</w:t>
      </w:r>
    </w:p>
    <w:p>
      <w:pPr>
        <w:spacing w:line="360" w:lineRule="exact"/>
        <w:ind w:firstLine="420" w:firstLineChars="200"/>
        <w:rPr>
          <w:rFonts w:ascii="宋体" w:hAnsi="宋体"/>
          <w:color w:val="auto"/>
        </w:rPr>
      </w:pPr>
      <w:r>
        <w:rPr>
          <w:rFonts w:hint="eastAsia" w:ascii="宋体" w:hAnsi="宋体"/>
          <w:color w:val="auto"/>
        </w:rPr>
        <w:t>电子邮箱：</w:t>
      </w:r>
      <w:r>
        <w:rPr>
          <w:rFonts w:hint="eastAsia" w:ascii="宋体" w:hAnsi="宋体"/>
          <w:color w:val="auto"/>
          <w:u w:val="single"/>
        </w:rPr>
        <w:t>　　　　　　　  　　　</w:t>
      </w:r>
      <w:r>
        <w:rPr>
          <w:rFonts w:hint="eastAsia" w:ascii="宋体" w:hAnsi="宋体"/>
          <w:color w:val="auto"/>
        </w:rPr>
        <w:t>　　　　　  电子邮箱：</w:t>
      </w:r>
      <w:r>
        <w:rPr>
          <w:rFonts w:hint="eastAsia" w:ascii="宋体" w:hAnsi="宋体"/>
          <w:color w:val="auto"/>
          <w:u w:val="single"/>
        </w:rPr>
        <w:t>　　　　　　　  　　　</w:t>
      </w:r>
      <w:r>
        <w:rPr>
          <w:rFonts w:hint="eastAsia" w:ascii="宋体" w:hAnsi="宋体"/>
          <w:color w:val="auto"/>
        </w:rPr>
        <w:t>　</w:t>
      </w:r>
    </w:p>
    <w:p>
      <w:pPr>
        <w:spacing w:line="360" w:lineRule="exact"/>
        <w:ind w:firstLine="420" w:firstLineChars="200"/>
        <w:rPr>
          <w:rFonts w:ascii="宋体" w:hAnsi="宋体"/>
          <w:color w:val="auto"/>
        </w:rPr>
      </w:pPr>
      <w:r>
        <w:rPr>
          <w:rFonts w:hint="eastAsia" w:ascii="宋体" w:hAnsi="宋体"/>
          <w:color w:val="auto"/>
        </w:rPr>
        <w:t>邮政编码：</w:t>
      </w:r>
      <w:r>
        <w:rPr>
          <w:rFonts w:hint="eastAsia" w:ascii="宋体" w:hAnsi="宋体"/>
          <w:color w:val="auto"/>
          <w:u w:val="single"/>
        </w:rPr>
        <w:t>　　　　　　 　　 　　</w:t>
      </w:r>
      <w:r>
        <w:rPr>
          <w:rFonts w:hint="eastAsia" w:ascii="宋体" w:hAnsi="宋体"/>
          <w:color w:val="auto"/>
        </w:rPr>
        <w:t>　　　　　  邮政编码：</w:t>
      </w:r>
      <w:r>
        <w:rPr>
          <w:rFonts w:hint="eastAsia" w:ascii="宋体" w:hAnsi="宋体"/>
          <w:color w:val="auto"/>
          <w:u w:val="single"/>
        </w:rPr>
        <w:t>　　　　　　　  　　　</w:t>
      </w:r>
      <w:r>
        <w:rPr>
          <w:rFonts w:hint="eastAsia" w:ascii="宋体" w:hAnsi="宋体"/>
          <w:color w:val="auto"/>
        </w:rPr>
        <w:t>　</w:t>
      </w:r>
    </w:p>
    <w:p>
      <w:pPr>
        <w:spacing w:line="360" w:lineRule="exact"/>
        <w:rPr>
          <w:rFonts w:ascii="宋体" w:hAnsi="宋体" w:cs="宋体"/>
          <w:color w:val="auto"/>
          <w:szCs w:val="21"/>
        </w:rPr>
      </w:pPr>
      <w:r>
        <w:rPr>
          <w:rFonts w:hint="eastAsia" w:ascii="宋体" w:hAnsi="宋体" w:cs="宋体"/>
          <w:color w:val="auto"/>
          <w:szCs w:val="21"/>
        </w:rPr>
        <w:t>　　　　　　</w:t>
      </w:r>
    </w:p>
    <w:p>
      <w:pPr>
        <w:spacing w:line="360" w:lineRule="exact"/>
        <w:ind w:firstLine="1680" w:firstLineChars="800"/>
        <w:rPr>
          <w:rFonts w:ascii="宋体" w:hAnsi="宋体"/>
          <w:color w:val="auto"/>
        </w:rPr>
      </w:pPr>
      <w:r>
        <w:rPr>
          <w:rFonts w:hint="eastAsia" w:ascii="宋体" w:hAnsi="宋体" w:cs="宋体"/>
          <w:color w:val="auto"/>
          <w:szCs w:val="21"/>
        </w:rPr>
        <w:t>　年　　月　　日　　　　　　　　　            年　　月　　日</w:t>
      </w:r>
    </w:p>
    <w:p>
      <w:pPr>
        <w:spacing w:line="360" w:lineRule="exact"/>
        <w:ind w:firstLine="1260" w:firstLineChars="600"/>
        <w:rPr>
          <w:rFonts w:ascii="宋体" w:hAnsi="宋体" w:cs="宋体"/>
          <w:color w:val="auto"/>
        </w:rPr>
      </w:pPr>
    </w:p>
    <w:p>
      <w:pPr>
        <w:spacing w:line="460" w:lineRule="exact"/>
        <w:ind w:firstLine="1260" w:firstLineChars="600"/>
        <w:rPr>
          <w:rFonts w:ascii="宋体" w:hAnsi="宋体" w:cs="宋体"/>
          <w:color w:val="auto"/>
        </w:rPr>
      </w:pPr>
    </w:p>
    <w:p>
      <w:pPr>
        <w:pStyle w:val="2"/>
        <w:adjustRightInd w:val="0"/>
        <w:snapToGrid w:val="0"/>
        <w:spacing w:before="0" w:after="0" w:line="360" w:lineRule="auto"/>
        <w:jc w:val="center"/>
        <w:rPr>
          <w:color w:val="auto"/>
        </w:rPr>
      </w:pPr>
      <w:bookmarkStart w:id="510" w:name="_Toc452058739"/>
      <w:bookmarkStart w:id="511" w:name="_Toc513492491"/>
    </w:p>
    <w:p>
      <w:pPr>
        <w:pStyle w:val="2"/>
        <w:adjustRightInd w:val="0"/>
        <w:snapToGrid w:val="0"/>
        <w:spacing w:before="0" w:after="0" w:line="360" w:lineRule="auto"/>
        <w:jc w:val="center"/>
        <w:rPr>
          <w:color w:val="auto"/>
        </w:rPr>
      </w:pPr>
    </w:p>
    <w:p>
      <w:pPr>
        <w:pStyle w:val="2"/>
        <w:adjustRightInd w:val="0"/>
        <w:snapToGrid w:val="0"/>
        <w:spacing w:before="0" w:after="0" w:line="360" w:lineRule="auto"/>
        <w:jc w:val="center"/>
        <w:rPr>
          <w:color w:val="auto"/>
        </w:rPr>
      </w:pPr>
    </w:p>
    <w:p>
      <w:pPr>
        <w:pStyle w:val="2"/>
        <w:adjustRightInd w:val="0"/>
        <w:snapToGrid w:val="0"/>
        <w:spacing w:before="0" w:after="0" w:line="360" w:lineRule="auto"/>
        <w:jc w:val="center"/>
        <w:rPr>
          <w:color w:val="auto"/>
        </w:rPr>
      </w:pPr>
    </w:p>
    <w:p>
      <w:pPr>
        <w:pStyle w:val="2"/>
        <w:adjustRightInd w:val="0"/>
        <w:snapToGrid w:val="0"/>
        <w:spacing w:before="0" w:after="0" w:line="360" w:lineRule="auto"/>
        <w:rPr>
          <w:color w:val="auto"/>
        </w:rPr>
      </w:pPr>
    </w:p>
    <w:p>
      <w:pPr>
        <w:pStyle w:val="2"/>
        <w:adjustRightInd w:val="0"/>
        <w:snapToGrid w:val="0"/>
        <w:spacing w:before="0" w:after="0" w:line="360" w:lineRule="auto"/>
        <w:jc w:val="center"/>
        <w:rPr>
          <w:color w:val="auto"/>
        </w:rPr>
      </w:pPr>
    </w:p>
    <w:p>
      <w:pPr>
        <w:pStyle w:val="2"/>
        <w:adjustRightInd w:val="0"/>
        <w:snapToGrid w:val="0"/>
        <w:spacing w:before="0" w:after="0" w:line="360" w:lineRule="auto"/>
        <w:jc w:val="center"/>
        <w:rPr>
          <w:color w:val="auto"/>
        </w:rPr>
      </w:pPr>
    </w:p>
    <w:p>
      <w:pPr>
        <w:rPr>
          <w:color w:val="auto"/>
        </w:rPr>
      </w:pPr>
    </w:p>
    <w:p>
      <w:pPr>
        <w:rPr>
          <w:color w:val="auto"/>
        </w:rPr>
      </w:pPr>
    </w:p>
    <w:p>
      <w:pPr>
        <w:rPr>
          <w:color w:val="auto"/>
        </w:rPr>
      </w:pPr>
    </w:p>
    <w:p>
      <w:pPr>
        <w:rPr>
          <w:color w:val="auto"/>
        </w:rPr>
      </w:pPr>
    </w:p>
    <w:p>
      <w:pPr>
        <w:pStyle w:val="2"/>
        <w:adjustRightInd w:val="0"/>
        <w:snapToGrid w:val="0"/>
        <w:spacing w:before="0" w:after="0" w:line="360" w:lineRule="exact"/>
        <w:jc w:val="center"/>
        <w:rPr>
          <w:color w:val="auto"/>
          <w:sz w:val="36"/>
          <w:szCs w:val="36"/>
        </w:rPr>
      </w:pPr>
      <w:r>
        <w:rPr>
          <w:rFonts w:hint="eastAsia"/>
          <w:color w:val="auto"/>
          <w:sz w:val="36"/>
          <w:szCs w:val="36"/>
        </w:rPr>
        <w:br w:type="page"/>
      </w:r>
      <w:r>
        <w:rPr>
          <w:rFonts w:hint="eastAsia"/>
          <w:color w:val="auto"/>
          <w:sz w:val="36"/>
          <w:szCs w:val="36"/>
        </w:rPr>
        <w:t>第五章 工程量清单</w:t>
      </w:r>
      <w:bookmarkEnd w:id="507"/>
      <w:bookmarkEnd w:id="508"/>
      <w:bookmarkEnd w:id="510"/>
      <w:bookmarkEnd w:id="511"/>
    </w:p>
    <w:bookmarkEnd w:id="509"/>
    <w:p>
      <w:pPr>
        <w:jc w:val="center"/>
        <w:rPr>
          <w:rFonts w:hint="eastAsia" w:eastAsia="宋体"/>
          <w:b/>
          <w:color w:val="auto"/>
          <w:sz w:val="44"/>
          <w:szCs w:val="44"/>
          <w:lang w:eastAsia="zh-CN"/>
        </w:rPr>
      </w:pPr>
      <w:bookmarkStart w:id="512" w:name="招标文件05章工程量清单01"/>
      <w:bookmarkEnd w:id="512"/>
      <w:r>
        <w:rPr>
          <w:rFonts w:hint="eastAsia" w:ascii="宋体" w:hAnsi="宋体" w:cs="宋体"/>
          <w:color w:val="auto"/>
          <w:kern w:val="0"/>
          <w:szCs w:val="21"/>
          <w:lang w:eastAsia="zh-CN"/>
        </w:rPr>
        <w:t>在</w:t>
      </w:r>
      <w:r>
        <w:rPr>
          <w:rFonts w:hint="eastAsia" w:ascii="宋体" w:hAnsi="宋体" w:eastAsia="宋体" w:cs="宋体"/>
          <w:color w:val="auto"/>
          <w:kern w:val="0"/>
          <w:szCs w:val="21"/>
          <w:lang w:eastAsia="zh-CN"/>
        </w:rPr>
        <w:t>重庆市铜梁区人民政府网（http://www.cqstl.gov.cn/）</w:t>
      </w:r>
      <w:r>
        <w:rPr>
          <w:rFonts w:hint="eastAsia" w:ascii="宋体" w:hAnsi="宋体" w:cs="宋体"/>
          <w:snapToGrid w:val="0"/>
          <w:color w:val="auto"/>
          <w:kern w:val="0"/>
          <w:szCs w:val="21"/>
          <w:lang w:eastAsia="zh-CN"/>
        </w:rPr>
        <w:t>自行下载</w:t>
      </w:r>
    </w:p>
    <w:p>
      <w:pPr>
        <w:spacing w:line="360" w:lineRule="exact"/>
        <w:jc w:val="center"/>
        <w:rPr>
          <w:color w:val="auto"/>
        </w:rPr>
      </w:pPr>
    </w:p>
    <w:p>
      <w:pPr>
        <w:spacing w:line="360" w:lineRule="exact"/>
        <w:rPr>
          <w:color w:val="auto"/>
        </w:rPr>
      </w:pPr>
    </w:p>
    <w:p>
      <w:pPr>
        <w:pStyle w:val="2"/>
        <w:spacing w:before="0" w:after="0" w:line="500" w:lineRule="exact"/>
        <w:jc w:val="center"/>
        <w:rPr>
          <w:color w:val="auto"/>
          <w:sz w:val="36"/>
          <w:szCs w:val="36"/>
        </w:rPr>
      </w:pPr>
      <w:bookmarkStart w:id="513" w:name="招标文件07章技术标准和要求"/>
      <w:bookmarkEnd w:id="513"/>
      <w:bookmarkStart w:id="514" w:name="_Hlt269644941"/>
      <w:bookmarkEnd w:id="514"/>
      <w:bookmarkStart w:id="515" w:name="_Toc513492492"/>
      <w:bookmarkStart w:id="516" w:name="_Toc452058740"/>
      <w:r>
        <w:rPr>
          <w:rFonts w:hint="eastAsia"/>
          <w:color w:val="auto"/>
          <w:sz w:val="36"/>
          <w:szCs w:val="36"/>
        </w:rPr>
        <w:br w:type="page"/>
      </w:r>
      <w:r>
        <w:rPr>
          <w:rFonts w:hint="eastAsia"/>
          <w:color w:val="auto"/>
          <w:sz w:val="36"/>
          <w:szCs w:val="36"/>
        </w:rPr>
        <w:t>第六章  图纸</w:t>
      </w:r>
      <w:bookmarkEnd w:id="515"/>
      <w:bookmarkEnd w:id="516"/>
    </w:p>
    <w:p>
      <w:pPr>
        <w:rPr>
          <w:color w:val="auto"/>
        </w:rPr>
      </w:pPr>
    </w:p>
    <w:p>
      <w:pPr>
        <w:jc w:val="center"/>
        <w:rPr>
          <w:rFonts w:hint="eastAsia" w:eastAsia="黑体"/>
          <w:b/>
          <w:color w:val="auto"/>
          <w:sz w:val="44"/>
          <w:szCs w:val="44"/>
          <w:lang w:eastAsia="zh-CN"/>
        </w:rPr>
      </w:pPr>
      <w:r>
        <w:rPr>
          <w:rFonts w:hint="eastAsia" w:ascii="宋体" w:hAnsi="宋体" w:cs="宋体"/>
          <w:color w:val="auto"/>
          <w:kern w:val="0"/>
          <w:szCs w:val="21"/>
          <w:lang w:eastAsia="zh-CN"/>
        </w:rPr>
        <w:t>在</w:t>
      </w:r>
      <w:r>
        <w:rPr>
          <w:rFonts w:hint="eastAsia" w:ascii="宋体" w:hAnsi="宋体" w:eastAsia="宋体" w:cs="宋体"/>
          <w:color w:val="auto"/>
          <w:kern w:val="0"/>
          <w:szCs w:val="21"/>
          <w:lang w:eastAsia="zh-CN"/>
        </w:rPr>
        <w:t>重庆市铜梁区人民政府网（http://www.cqstl.gov.cn/）</w:t>
      </w:r>
      <w:r>
        <w:rPr>
          <w:rFonts w:hint="eastAsia" w:ascii="宋体" w:hAnsi="宋体" w:cs="宋体"/>
          <w:snapToGrid w:val="0"/>
          <w:color w:val="auto"/>
          <w:kern w:val="0"/>
          <w:szCs w:val="21"/>
          <w:lang w:eastAsia="zh-CN"/>
        </w:rPr>
        <w:t>自行下载</w:t>
      </w: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jc w:val="center"/>
        <w:rPr>
          <w:rFonts w:eastAsia="黑体"/>
          <w:b/>
          <w:color w:val="auto"/>
          <w:sz w:val="44"/>
          <w:szCs w:val="44"/>
        </w:rPr>
      </w:pPr>
    </w:p>
    <w:p>
      <w:pPr>
        <w:pStyle w:val="2"/>
        <w:spacing w:line="360" w:lineRule="auto"/>
        <w:jc w:val="center"/>
        <w:rPr>
          <w:rFonts w:ascii="宋体" w:hAnsi="宋体"/>
          <w:color w:val="auto"/>
          <w:sz w:val="32"/>
          <w:szCs w:val="32"/>
        </w:rPr>
      </w:pPr>
      <w:bookmarkStart w:id="517" w:name="_Toc513492493"/>
      <w:bookmarkStart w:id="518" w:name="_Toc452058741"/>
      <w:r>
        <w:rPr>
          <w:rFonts w:hint="eastAsia"/>
          <w:color w:val="auto"/>
          <w:sz w:val="36"/>
          <w:szCs w:val="36"/>
        </w:rPr>
        <w:br w:type="page"/>
      </w:r>
      <w:r>
        <w:rPr>
          <w:rFonts w:hint="eastAsia"/>
          <w:color w:val="auto"/>
          <w:sz w:val="36"/>
          <w:szCs w:val="36"/>
        </w:rPr>
        <w:t xml:space="preserve">第七章  </w:t>
      </w:r>
      <w:bookmarkEnd w:id="517"/>
      <w:bookmarkEnd w:id="518"/>
      <w:r>
        <w:rPr>
          <w:rFonts w:hint="eastAsia"/>
          <w:color w:val="auto"/>
          <w:sz w:val="36"/>
          <w:szCs w:val="36"/>
        </w:rPr>
        <w:t>技术标准和要求</w:t>
      </w:r>
      <w:bookmarkStart w:id="519" w:name="招标文件07章技术标准和要求01"/>
      <w:bookmarkEnd w:id="519"/>
      <w:bookmarkStart w:id="520" w:name="_Toc287620808"/>
      <w:bookmarkStart w:id="521" w:name="_Toc430530524"/>
    </w:p>
    <w:bookmarkEnd w:id="520"/>
    <w:bookmarkEnd w:id="521"/>
    <w:p>
      <w:pPr>
        <w:spacing w:line="360" w:lineRule="auto"/>
        <w:ind w:firstLine="420" w:firstLineChars="200"/>
        <w:jc w:val="left"/>
        <w:rPr>
          <w:rStyle w:val="60"/>
          <w:rFonts w:hint="eastAsia"/>
          <w:color w:val="auto"/>
        </w:rPr>
      </w:pPr>
      <w:r>
        <w:rPr>
          <w:rStyle w:val="60"/>
          <w:rFonts w:hint="eastAsia"/>
          <w:color w:val="auto"/>
        </w:rPr>
        <w:t>一、技术标准和要求以本工程设计</w:t>
      </w:r>
      <w:r>
        <w:rPr>
          <w:rStyle w:val="60"/>
          <w:rFonts w:hint="eastAsia"/>
          <w:color w:val="auto"/>
          <w:lang w:eastAsia="zh-CN"/>
        </w:rPr>
        <w:t>比选人</w:t>
      </w:r>
      <w:r>
        <w:rPr>
          <w:rStyle w:val="60"/>
          <w:rFonts w:hint="eastAsia"/>
          <w:color w:val="auto"/>
        </w:rPr>
        <w:t>要求为准。</w:t>
      </w:r>
    </w:p>
    <w:p>
      <w:pPr>
        <w:spacing w:line="360" w:lineRule="auto"/>
        <w:ind w:firstLine="420" w:firstLineChars="200"/>
        <w:jc w:val="left"/>
        <w:rPr>
          <w:rStyle w:val="60"/>
          <w:color w:val="auto"/>
        </w:rPr>
      </w:pPr>
      <w:r>
        <w:rPr>
          <w:rStyle w:val="60"/>
          <w:rFonts w:hint="eastAsia"/>
          <w:color w:val="auto"/>
        </w:rPr>
        <w:t>二、按国家及重庆市相关设计、施工验收规范及标准执行。</w:t>
      </w:r>
    </w:p>
    <w:p>
      <w:pPr>
        <w:jc w:val="center"/>
        <w:rPr>
          <w:b/>
          <w:bCs/>
          <w:color w:val="auto"/>
          <w:kern w:val="44"/>
          <w:sz w:val="36"/>
          <w:szCs w:val="36"/>
        </w:rPr>
      </w:pPr>
      <w:r>
        <w:rPr>
          <w:rFonts w:ascii="宋体" w:hAnsi="宋体"/>
          <w:color w:val="auto"/>
        </w:rPr>
        <w:br w:type="page"/>
      </w:r>
      <w:bookmarkStart w:id="522" w:name="_Toc534185829"/>
      <w:bookmarkStart w:id="523" w:name="_Toc430530528"/>
      <w:bookmarkStart w:id="524" w:name="_Toc4492"/>
      <w:bookmarkStart w:id="525" w:name="_Toc509218852"/>
      <w:r>
        <w:rPr>
          <w:rFonts w:hint="eastAsia"/>
          <w:b/>
          <w:bCs/>
          <w:color w:val="auto"/>
          <w:kern w:val="44"/>
          <w:sz w:val="36"/>
          <w:szCs w:val="36"/>
        </w:rPr>
        <w:t>第八章  投标文件格式</w:t>
      </w:r>
      <w:bookmarkEnd w:id="522"/>
      <w:bookmarkEnd w:id="523"/>
      <w:bookmarkEnd w:id="524"/>
      <w:bookmarkEnd w:id="525"/>
    </w:p>
    <w:p>
      <w:pPr>
        <w:spacing w:line="360" w:lineRule="auto"/>
        <w:rPr>
          <w:rFonts w:ascii="宋体" w:hAnsi="宋体"/>
          <w:color w:val="auto"/>
          <w:sz w:val="32"/>
          <w:szCs w:val="32"/>
        </w:rPr>
      </w:pPr>
    </w:p>
    <w:p>
      <w:pPr>
        <w:spacing w:line="360" w:lineRule="auto"/>
        <w:jc w:val="center"/>
        <w:rPr>
          <w:rFonts w:ascii="宋体" w:hAnsi="宋体"/>
          <w:b/>
          <w:bCs/>
          <w:color w:val="auto"/>
          <w:sz w:val="32"/>
          <w:szCs w:val="32"/>
        </w:rPr>
      </w:pPr>
      <w:r>
        <w:rPr>
          <w:rFonts w:ascii="宋体" w:hAnsi="宋体"/>
          <w:color w:val="auto"/>
        </w:rPr>
        <w:br w:type="page"/>
      </w:r>
      <w:bookmarkStart w:id="526" w:name="_Toc224103493"/>
      <w:r>
        <w:rPr>
          <w:rFonts w:hint="eastAsia" w:ascii="宋体" w:hAnsi="宋体"/>
          <w:b/>
          <w:bCs/>
          <w:color w:val="auto"/>
          <w:sz w:val="32"/>
          <w:szCs w:val="32"/>
        </w:rPr>
        <w:t>目  录</w:t>
      </w:r>
      <w:bookmarkEnd w:id="526"/>
    </w:p>
    <w:p>
      <w:pPr>
        <w:spacing w:line="360" w:lineRule="auto"/>
        <w:jc w:val="center"/>
        <w:rPr>
          <w:rFonts w:ascii="宋体" w:hAnsi="宋体"/>
          <w:color w:val="auto"/>
        </w:rPr>
      </w:pPr>
    </w:p>
    <w:p>
      <w:pPr>
        <w:spacing w:line="700" w:lineRule="exact"/>
        <w:rPr>
          <w:rFonts w:ascii="宋体" w:hAnsi="宋体"/>
          <w:b/>
          <w:color w:val="auto"/>
          <w:sz w:val="24"/>
          <w:szCs w:val="24"/>
        </w:rPr>
      </w:pPr>
      <w:r>
        <w:rPr>
          <w:rFonts w:hint="eastAsia" w:ascii="宋体" w:hAnsi="宋体"/>
          <w:b/>
          <w:color w:val="auto"/>
          <w:sz w:val="24"/>
          <w:szCs w:val="24"/>
        </w:rPr>
        <w:t>一</w:t>
      </w:r>
      <w:r>
        <w:rPr>
          <w:rFonts w:ascii="宋体" w:hAnsi="宋体"/>
          <w:b/>
          <w:color w:val="auto"/>
          <w:sz w:val="24"/>
          <w:szCs w:val="24"/>
        </w:rPr>
        <w:t>、投标函部分</w:t>
      </w:r>
    </w:p>
    <w:p>
      <w:pPr>
        <w:spacing w:line="700" w:lineRule="exact"/>
        <w:ind w:firstLine="480" w:firstLineChars="200"/>
        <w:rPr>
          <w:rFonts w:ascii="宋体" w:hAnsi="宋体"/>
          <w:color w:val="auto"/>
          <w:sz w:val="24"/>
          <w:szCs w:val="24"/>
        </w:rPr>
      </w:pPr>
      <w:r>
        <w:rPr>
          <w:rFonts w:ascii="宋体" w:hAnsi="宋体"/>
          <w:color w:val="auto"/>
          <w:sz w:val="24"/>
          <w:szCs w:val="24"/>
        </w:rPr>
        <w:t>（一）投标函</w:t>
      </w:r>
    </w:p>
    <w:p>
      <w:pPr>
        <w:spacing w:line="700" w:lineRule="exact"/>
        <w:ind w:firstLine="480" w:firstLineChars="200"/>
        <w:rPr>
          <w:rFonts w:ascii="宋体" w:hAnsi="宋体"/>
          <w:color w:val="auto"/>
          <w:sz w:val="24"/>
          <w:szCs w:val="24"/>
        </w:rPr>
      </w:pPr>
      <w:r>
        <w:rPr>
          <w:rFonts w:hint="eastAsia" w:ascii="宋体" w:hAnsi="宋体"/>
          <w:color w:val="auto"/>
          <w:sz w:val="24"/>
          <w:szCs w:val="24"/>
        </w:rPr>
        <w:t>（二）投标函附录</w:t>
      </w:r>
    </w:p>
    <w:p>
      <w:pPr>
        <w:spacing w:line="7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（三）法定代表人身份证明或附有法定代表人身份证明的授权委托书</w:t>
      </w:r>
    </w:p>
    <w:p>
      <w:pPr>
        <w:spacing w:line="7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（四）低价风险担保缴纳承诺书</w:t>
      </w:r>
    </w:p>
    <w:p>
      <w:pPr>
        <w:spacing w:line="700" w:lineRule="exact"/>
        <w:rPr>
          <w:rFonts w:ascii="宋体" w:hAnsi="宋体"/>
          <w:b/>
          <w:color w:val="auto"/>
          <w:sz w:val="24"/>
          <w:szCs w:val="24"/>
        </w:rPr>
      </w:pPr>
      <w:r>
        <w:rPr>
          <w:rFonts w:hint="eastAsia" w:ascii="宋体" w:hAnsi="宋体"/>
          <w:b/>
          <w:color w:val="auto"/>
          <w:sz w:val="24"/>
          <w:szCs w:val="24"/>
        </w:rPr>
        <w:t>二</w:t>
      </w:r>
      <w:r>
        <w:rPr>
          <w:rFonts w:ascii="宋体" w:hAnsi="宋体"/>
          <w:b/>
          <w:color w:val="auto"/>
          <w:sz w:val="24"/>
          <w:szCs w:val="24"/>
        </w:rPr>
        <w:t>、</w:t>
      </w:r>
      <w:r>
        <w:rPr>
          <w:rFonts w:hint="eastAsia" w:ascii="宋体" w:hAnsi="宋体"/>
          <w:b/>
          <w:color w:val="auto"/>
          <w:sz w:val="24"/>
          <w:szCs w:val="24"/>
        </w:rPr>
        <w:t>经济</w:t>
      </w:r>
      <w:r>
        <w:rPr>
          <w:rFonts w:ascii="宋体" w:hAnsi="宋体"/>
          <w:b/>
          <w:color w:val="auto"/>
          <w:sz w:val="24"/>
          <w:szCs w:val="24"/>
        </w:rPr>
        <w:t>部分</w:t>
      </w:r>
    </w:p>
    <w:p>
      <w:pPr>
        <w:spacing w:line="700" w:lineRule="exact"/>
        <w:ind w:firstLine="480" w:firstLineChars="200"/>
        <w:rPr>
          <w:rFonts w:ascii="宋体" w:hAnsi="宋体"/>
          <w:color w:val="auto"/>
          <w:sz w:val="24"/>
          <w:szCs w:val="24"/>
        </w:rPr>
      </w:pPr>
      <w:r>
        <w:rPr>
          <w:rFonts w:ascii="宋体" w:hAnsi="宋体"/>
          <w:color w:val="auto"/>
          <w:sz w:val="24"/>
          <w:szCs w:val="24"/>
        </w:rPr>
        <w:t>已标价工程量清单</w:t>
      </w:r>
    </w:p>
    <w:p>
      <w:pPr>
        <w:spacing w:line="700" w:lineRule="exact"/>
        <w:rPr>
          <w:rFonts w:ascii="宋体" w:hAnsi="宋体"/>
          <w:b/>
          <w:color w:val="auto"/>
          <w:sz w:val="24"/>
          <w:szCs w:val="24"/>
        </w:rPr>
      </w:pPr>
      <w:r>
        <w:rPr>
          <w:rFonts w:hint="eastAsia" w:ascii="宋体" w:hAnsi="宋体"/>
          <w:b/>
          <w:color w:val="auto"/>
          <w:sz w:val="24"/>
          <w:szCs w:val="24"/>
        </w:rPr>
        <w:t>三</w:t>
      </w:r>
      <w:r>
        <w:rPr>
          <w:rFonts w:ascii="宋体" w:hAnsi="宋体"/>
          <w:b/>
          <w:color w:val="auto"/>
          <w:sz w:val="24"/>
          <w:szCs w:val="24"/>
        </w:rPr>
        <w:t>、</w:t>
      </w:r>
      <w:r>
        <w:rPr>
          <w:rFonts w:hint="eastAsia" w:ascii="宋体" w:hAnsi="宋体"/>
          <w:b/>
          <w:color w:val="auto"/>
          <w:sz w:val="24"/>
          <w:szCs w:val="24"/>
        </w:rPr>
        <w:t>资格审查部分</w:t>
      </w:r>
    </w:p>
    <w:p>
      <w:pPr>
        <w:spacing w:line="700" w:lineRule="exact"/>
        <w:ind w:firstLine="480" w:firstLineChars="200"/>
        <w:rPr>
          <w:rFonts w:ascii="宋体" w:hAnsi="宋体"/>
          <w:color w:val="auto"/>
          <w:sz w:val="24"/>
          <w:szCs w:val="24"/>
        </w:rPr>
      </w:pPr>
      <w:r>
        <w:rPr>
          <w:rFonts w:ascii="宋体" w:hAnsi="宋体"/>
          <w:color w:val="auto"/>
          <w:sz w:val="24"/>
          <w:szCs w:val="24"/>
        </w:rPr>
        <w:t>（一）</w:t>
      </w:r>
      <w:r>
        <w:rPr>
          <w:rFonts w:hint="eastAsia" w:ascii="宋体" w:hAnsi="宋体"/>
          <w:color w:val="auto"/>
          <w:sz w:val="24"/>
          <w:szCs w:val="24"/>
        </w:rPr>
        <w:t>法定代表人身份证明或附有法定代表人身份证明的授权委托书</w:t>
      </w:r>
    </w:p>
    <w:p>
      <w:pPr>
        <w:spacing w:line="700" w:lineRule="exact"/>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二</w:t>
      </w:r>
      <w:r>
        <w:rPr>
          <w:rFonts w:ascii="宋体" w:hAnsi="宋体"/>
          <w:color w:val="auto"/>
          <w:sz w:val="24"/>
          <w:szCs w:val="24"/>
        </w:rPr>
        <w:t>）投标人基本情况表</w:t>
      </w:r>
    </w:p>
    <w:p>
      <w:pPr>
        <w:spacing w:line="700" w:lineRule="exact"/>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三</w:t>
      </w:r>
      <w:r>
        <w:rPr>
          <w:rFonts w:ascii="宋体" w:hAnsi="宋体"/>
          <w:color w:val="auto"/>
          <w:sz w:val="24"/>
          <w:szCs w:val="24"/>
        </w:rPr>
        <w:t>）项目管理机构</w:t>
      </w:r>
    </w:p>
    <w:p>
      <w:pPr>
        <w:spacing w:line="700" w:lineRule="exact"/>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四</w:t>
      </w:r>
      <w:r>
        <w:rPr>
          <w:rFonts w:ascii="宋体" w:hAnsi="宋体"/>
          <w:color w:val="auto"/>
          <w:sz w:val="24"/>
          <w:szCs w:val="24"/>
        </w:rPr>
        <w:t>）</w:t>
      </w:r>
      <w:r>
        <w:rPr>
          <w:rFonts w:hint="eastAsia" w:ascii="宋体" w:hAnsi="宋体"/>
          <w:color w:val="auto"/>
          <w:sz w:val="24"/>
          <w:szCs w:val="24"/>
        </w:rPr>
        <w:t>承诺</w:t>
      </w:r>
    </w:p>
    <w:p>
      <w:pPr>
        <w:spacing w:line="700" w:lineRule="exact"/>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五</w:t>
      </w:r>
      <w:r>
        <w:rPr>
          <w:rFonts w:ascii="宋体" w:hAnsi="宋体"/>
          <w:color w:val="auto"/>
          <w:sz w:val="24"/>
          <w:szCs w:val="24"/>
        </w:rPr>
        <w:t>）其他资料</w:t>
      </w:r>
    </w:p>
    <w:p>
      <w:pPr>
        <w:autoSpaceDE w:val="0"/>
        <w:autoSpaceDN w:val="0"/>
        <w:adjustRightInd w:val="0"/>
        <w:spacing w:line="276" w:lineRule="auto"/>
        <w:ind w:right="-23"/>
        <w:jc w:val="left"/>
        <w:rPr>
          <w:rFonts w:ascii="宋体" w:hAnsi="宋体"/>
          <w:color w:val="auto"/>
          <w:kern w:val="0"/>
          <w:sz w:val="24"/>
          <w:szCs w:val="24"/>
          <w:u w:val="single"/>
        </w:rPr>
      </w:pPr>
      <w:r>
        <w:rPr>
          <w:rFonts w:ascii="宋体" w:hAnsi="宋体"/>
          <w:b/>
          <w:color w:val="auto"/>
          <w:kern w:val="0"/>
          <w:sz w:val="24"/>
          <w:szCs w:val="24"/>
        </w:rPr>
        <w:br w:type="page"/>
      </w:r>
      <w:bookmarkStart w:id="527" w:name="_Toc430530529"/>
      <w:bookmarkStart w:id="528" w:name="_Toc287620813"/>
      <w:bookmarkStart w:id="529" w:name="_Toc287607866"/>
      <w:bookmarkStart w:id="530" w:name="_Toc277082642"/>
      <w:bookmarkStart w:id="531" w:name="_Toc224103494"/>
    </w:p>
    <w:p>
      <w:pPr>
        <w:pStyle w:val="3"/>
        <w:jc w:val="center"/>
        <w:rPr>
          <w:rFonts w:ascii="宋体" w:hAnsi="宋体"/>
          <w:b w:val="0"/>
          <w:bCs w:val="0"/>
          <w:color w:val="auto"/>
        </w:rPr>
      </w:pPr>
      <w:bookmarkStart w:id="532" w:name="_Toc18666"/>
      <w:bookmarkStart w:id="533" w:name="_Toc21513"/>
      <w:r>
        <w:rPr>
          <w:rFonts w:hint="eastAsia" w:ascii="宋体" w:hAnsi="宋体"/>
          <w:b w:val="0"/>
          <w:bCs w:val="0"/>
          <w:color w:val="auto"/>
        </w:rPr>
        <w:t>一、投标函部分</w:t>
      </w:r>
      <w:bookmarkEnd w:id="527"/>
      <w:bookmarkEnd w:id="528"/>
      <w:bookmarkEnd w:id="529"/>
      <w:bookmarkEnd w:id="530"/>
      <w:bookmarkEnd w:id="531"/>
      <w:bookmarkEnd w:id="532"/>
      <w:bookmarkEnd w:id="533"/>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pStyle w:val="19"/>
        <w:rPr>
          <w:rFonts w:ascii="宋体" w:hAnsi="宋体"/>
          <w:color w:val="auto"/>
          <w:kern w:val="0"/>
          <w:sz w:val="28"/>
          <w:szCs w:val="28"/>
          <w:u w:val="single"/>
        </w:rPr>
      </w:pPr>
    </w:p>
    <w:p>
      <w:pPr>
        <w:pStyle w:val="20"/>
        <w:rPr>
          <w:rFonts w:ascii="宋体" w:hAnsi="宋体"/>
          <w:color w:val="auto"/>
          <w:kern w:val="0"/>
          <w:sz w:val="28"/>
          <w:szCs w:val="28"/>
          <w:u w:val="single"/>
        </w:rPr>
      </w:pPr>
    </w:p>
    <w:p>
      <w:pPr>
        <w:rPr>
          <w:rFonts w:ascii="宋体" w:hAnsi="宋体"/>
          <w:color w:val="auto"/>
          <w:kern w:val="0"/>
          <w:sz w:val="28"/>
          <w:szCs w:val="28"/>
          <w:u w:val="single"/>
        </w:rPr>
      </w:pPr>
    </w:p>
    <w:p>
      <w:pPr>
        <w:pStyle w:val="19"/>
        <w:rPr>
          <w:rFonts w:ascii="宋体" w:hAnsi="宋体"/>
          <w:color w:val="auto"/>
          <w:kern w:val="0"/>
          <w:sz w:val="28"/>
          <w:szCs w:val="28"/>
          <w:u w:val="single"/>
        </w:rPr>
      </w:pPr>
    </w:p>
    <w:p>
      <w:pPr>
        <w:pStyle w:val="20"/>
        <w:rPr>
          <w:color w:val="auto"/>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28"/>
          <w:szCs w:val="28"/>
          <w:u w:val="single"/>
        </w:rPr>
      </w:pPr>
    </w:p>
    <w:p>
      <w:pPr>
        <w:spacing w:line="360" w:lineRule="auto"/>
        <w:jc w:val="center"/>
        <w:rPr>
          <w:rFonts w:ascii="宋体" w:hAnsi="宋体"/>
          <w:color w:val="auto"/>
          <w:kern w:val="0"/>
          <w:sz w:val="32"/>
          <w:szCs w:val="32"/>
        </w:rPr>
      </w:pPr>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投标函部分</w:t>
      </w: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autoSpaceDE w:val="0"/>
        <w:autoSpaceDN w:val="0"/>
        <w:adjustRightInd w:val="0"/>
        <w:snapToGrid w:val="0"/>
        <w:spacing w:line="360" w:lineRule="auto"/>
        <w:jc w:val="center"/>
        <w:rPr>
          <w:rFonts w:ascii="宋体" w:hAnsi="宋体"/>
          <w:color w:val="auto"/>
          <w:kern w:val="0"/>
          <w:sz w:val="24"/>
          <w:szCs w:val="21"/>
        </w:rPr>
      </w:pP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r>
        <w:rPr>
          <w:rFonts w:ascii="宋体" w:hAnsi="宋体"/>
          <w:color w:val="auto"/>
          <w:kern w:val="0"/>
          <w:sz w:val="24"/>
          <w:szCs w:val="21"/>
        </w:rPr>
        <w:br w:type="page"/>
      </w:r>
    </w:p>
    <w:p>
      <w:pPr>
        <w:autoSpaceDE w:val="0"/>
        <w:autoSpaceDN w:val="0"/>
        <w:adjustRightInd w:val="0"/>
        <w:snapToGrid w:val="0"/>
        <w:spacing w:line="360" w:lineRule="auto"/>
        <w:jc w:val="center"/>
        <w:rPr>
          <w:rFonts w:ascii="宋体" w:hAnsi="宋体"/>
          <w:color w:val="auto"/>
          <w:kern w:val="0"/>
          <w:sz w:val="32"/>
          <w:szCs w:val="32"/>
        </w:rPr>
      </w:pPr>
      <w:r>
        <w:rPr>
          <w:rFonts w:hint="eastAsia" w:ascii="宋体" w:hAnsi="宋体"/>
          <w:color w:val="auto"/>
          <w:kern w:val="0"/>
          <w:sz w:val="32"/>
          <w:szCs w:val="32"/>
        </w:rPr>
        <w:t>目  录</w:t>
      </w:r>
    </w:p>
    <w:p>
      <w:pPr>
        <w:autoSpaceDE w:val="0"/>
        <w:autoSpaceDN w:val="0"/>
        <w:adjustRightInd w:val="0"/>
        <w:snapToGrid w:val="0"/>
        <w:spacing w:line="360" w:lineRule="auto"/>
        <w:jc w:val="left"/>
        <w:rPr>
          <w:rFonts w:ascii="宋体" w:hAnsi="宋体"/>
          <w:color w:val="auto"/>
          <w:kern w:val="0"/>
          <w:sz w:val="24"/>
          <w:szCs w:val="21"/>
        </w:rPr>
      </w:pPr>
    </w:p>
    <w:p>
      <w:pPr>
        <w:autoSpaceDE w:val="0"/>
        <w:autoSpaceDN w:val="0"/>
        <w:adjustRightInd w:val="0"/>
        <w:spacing w:line="700" w:lineRule="exact"/>
        <w:ind w:firstLine="480" w:firstLineChars="200"/>
        <w:jc w:val="left"/>
        <w:rPr>
          <w:rFonts w:ascii="宋体" w:hAnsi="宋体"/>
          <w:color w:val="auto"/>
          <w:kern w:val="0"/>
          <w:sz w:val="24"/>
          <w:szCs w:val="24"/>
        </w:rPr>
      </w:pPr>
      <w:r>
        <w:rPr>
          <w:rFonts w:ascii="宋体" w:hAnsi="宋体"/>
          <w:color w:val="auto"/>
          <w:kern w:val="0"/>
          <w:sz w:val="24"/>
          <w:szCs w:val="24"/>
        </w:rPr>
        <w:t>（一）投标函</w:t>
      </w:r>
    </w:p>
    <w:p>
      <w:pPr>
        <w:autoSpaceDE w:val="0"/>
        <w:autoSpaceDN w:val="0"/>
        <w:adjustRightInd w:val="0"/>
        <w:spacing w:line="700" w:lineRule="exact"/>
        <w:ind w:firstLine="480" w:firstLineChars="200"/>
        <w:jc w:val="left"/>
        <w:rPr>
          <w:rFonts w:ascii="宋体" w:hAnsi="宋体"/>
          <w:color w:val="auto"/>
          <w:kern w:val="0"/>
          <w:sz w:val="24"/>
          <w:szCs w:val="24"/>
        </w:rPr>
      </w:pPr>
      <w:r>
        <w:rPr>
          <w:rFonts w:hint="eastAsia" w:ascii="宋体" w:hAnsi="宋体"/>
          <w:color w:val="auto"/>
          <w:kern w:val="0"/>
          <w:sz w:val="24"/>
          <w:szCs w:val="24"/>
        </w:rPr>
        <w:t>（二）投标函附录</w:t>
      </w:r>
    </w:p>
    <w:p>
      <w:pPr>
        <w:autoSpaceDE w:val="0"/>
        <w:autoSpaceDN w:val="0"/>
        <w:adjustRightInd w:val="0"/>
        <w:spacing w:line="7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（三）法定代表人身份证明或附有法定代表人身份证明的授权委托书</w:t>
      </w:r>
    </w:p>
    <w:p>
      <w:pPr>
        <w:autoSpaceDE w:val="0"/>
        <w:autoSpaceDN w:val="0"/>
        <w:adjustRightInd w:val="0"/>
        <w:spacing w:line="700" w:lineRule="exact"/>
        <w:ind w:firstLine="480" w:firstLineChars="200"/>
        <w:jc w:val="left"/>
        <w:rPr>
          <w:rFonts w:hint="eastAsia" w:ascii="宋体" w:hAnsi="宋体"/>
          <w:b w:val="0"/>
          <w:bCs w:val="0"/>
          <w:color w:val="auto"/>
        </w:rPr>
      </w:pPr>
      <w:bookmarkStart w:id="534" w:name="_Toc509218854"/>
      <w:bookmarkStart w:id="535" w:name="_Toc534185831"/>
      <w:bookmarkStart w:id="536" w:name="_Toc21159"/>
      <w:bookmarkStart w:id="537" w:name="_Toc24900"/>
      <w:bookmarkStart w:id="538" w:name="_Toc224103495"/>
      <w:bookmarkStart w:id="539" w:name="_Toc430530530"/>
      <w:bookmarkStart w:id="540" w:name="_Toc287607867"/>
      <w:bookmarkStart w:id="541" w:name="_Toc287620814"/>
      <w:bookmarkStart w:id="542" w:name="_Toc277082643"/>
      <w:r>
        <w:rPr>
          <w:rFonts w:hint="eastAsia" w:ascii="宋体" w:hAnsi="宋体" w:eastAsia="宋体"/>
          <w:color w:val="auto"/>
          <w:kern w:val="0"/>
          <w:sz w:val="24"/>
          <w:szCs w:val="24"/>
        </w:rPr>
        <w:t>（四）低价风险担保缴纳承诺书</w:t>
      </w:r>
      <w:r>
        <w:rPr>
          <w:rFonts w:hint="eastAsia" w:ascii="宋体" w:hAnsi="宋体"/>
          <w:b w:val="0"/>
          <w:bCs w:val="0"/>
          <w:color w:val="auto"/>
        </w:rPr>
        <w:br w:type="page"/>
      </w:r>
    </w:p>
    <w:p>
      <w:pPr>
        <w:pStyle w:val="4"/>
        <w:snapToGrid/>
        <w:spacing w:line="480" w:lineRule="exact"/>
        <w:rPr>
          <w:rFonts w:ascii="宋体" w:hAnsi="宋体"/>
          <w:b w:val="0"/>
          <w:color w:val="auto"/>
        </w:rPr>
      </w:pPr>
      <w:r>
        <w:rPr>
          <w:rFonts w:hint="eastAsia" w:ascii="宋体" w:hAnsi="宋体"/>
          <w:b w:val="0"/>
          <w:bCs w:val="0"/>
          <w:color w:val="auto"/>
        </w:rPr>
        <w:t>（一）投标函</w:t>
      </w:r>
      <w:bookmarkEnd w:id="534"/>
      <w:bookmarkEnd w:id="535"/>
      <w:bookmarkEnd w:id="536"/>
      <w:bookmarkEnd w:id="537"/>
      <w:bookmarkEnd w:id="538"/>
      <w:bookmarkEnd w:id="539"/>
      <w:bookmarkEnd w:id="540"/>
      <w:bookmarkEnd w:id="541"/>
      <w:bookmarkEnd w:id="542"/>
    </w:p>
    <w:p>
      <w:pPr>
        <w:tabs>
          <w:tab w:val="left" w:pos="2640"/>
        </w:tabs>
        <w:autoSpaceDE w:val="0"/>
        <w:autoSpaceDN w:val="0"/>
        <w:adjustRightInd w:val="0"/>
        <w:spacing w:line="480" w:lineRule="exact"/>
        <w:rPr>
          <w:rFonts w:ascii="宋体" w:hAnsi="宋体"/>
          <w:snapToGrid w:val="0"/>
          <w:color w:val="auto"/>
          <w:kern w:val="0"/>
          <w:szCs w:val="21"/>
        </w:rPr>
      </w:pPr>
      <w:r>
        <w:rPr>
          <w:rFonts w:ascii="宋体" w:hAnsi="宋体"/>
          <w:snapToGrid w:val="0"/>
          <w:color w:val="auto"/>
          <w:kern w:val="0"/>
          <w:szCs w:val="21"/>
          <w:u w:val="single"/>
        </w:rPr>
        <w:tab/>
      </w:r>
      <w:r>
        <w:rPr>
          <w:rFonts w:ascii="宋体" w:hAnsi="宋体"/>
          <w:snapToGrid w:val="0"/>
          <w:color w:val="auto"/>
          <w:kern w:val="0"/>
          <w:szCs w:val="21"/>
          <w:u w:val="single"/>
        </w:rPr>
        <w:t>（</w:t>
      </w:r>
      <w:r>
        <w:rPr>
          <w:rFonts w:hint="eastAsia" w:ascii="宋体" w:hAnsi="宋体"/>
          <w:snapToGrid w:val="0"/>
          <w:color w:val="auto"/>
          <w:kern w:val="0"/>
          <w:szCs w:val="21"/>
          <w:u w:val="single"/>
          <w:lang w:eastAsia="zh-CN"/>
        </w:rPr>
        <w:t>比选人</w:t>
      </w:r>
      <w:r>
        <w:rPr>
          <w:rFonts w:ascii="宋体" w:hAnsi="宋体"/>
          <w:snapToGrid w:val="0"/>
          <w:color w:val="auto"/>
          <w:kern w:val="0"/>
          <w:szCs w:val="21"/>
          <w:u w:val="single"/>
        </w:rPr>
        <w:t>名称）</w:t>
      </w:r>
      <w:r>
        <w:rPr>
          <w:rFonts w:ascii="宋体" w:hAnsi="宋体"/>
          <w:snapToGrid w:val="0"/>
          <w:color w:val="auto"/>
          <w:kern w:val="0"/>
          <w:szCs w:val="21"/>
        </w:rPr>
        <w:t>：</w:t>
      </w:r>
    </w:p>
    <w:p>
      <w:pPr>
        <w:tabs>
          <w:tab w:val="left" w:pos="2655"/>
          <w:tab w:val="left" w:pos="3520"/>
          <w:tab w:val="left" w:pos="4920"/>
          <w:tab w:val="left" w:pos="5715"/>
          <w:tab w:val="left" w:pos="6945"/>
          <w:tab w:val="left" w:pos="7980"/>
        </w:tabs>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 xml:space="preserve">. </w:t>
      </w:r>
      <w:r>
        <w:rPr>
          <w:rFonts w:ascii="宋体" w:hAnsi="宋体"/>
          <w:snapToGrid w:val="0"/>
          <w:color w:val="auto"/>
          <w:kern w:val="0"/>
          <w:szCs w:val="21"/>
        </w:rPr>
        <w:t>我方已仔细研究了</w:t>
      </w:r>
      <w:r>
        <w:rPr>
          <w:rFonts w:ascii="宋体" w:hAnsi="宋体"/>
          <w:snapToGrid w:val="0"/>
          <w:color w:val="auto"/>
          <w:kern w:val="0"/>
          <w:szCs w:val="21"/>
          <w:u w:val="single"/>
        </w:rPr>
        <w:tab/>
      </w:r>
      <w:r>
        <w:rPr>
          <w:rFonts w:ascii="宋体" w:hAnsi="宋体"/>
          <w:snapToGrid w:val="0"/>
          <w:color w:val="auto"/>
          <w:kern w:val="0"/>
          <w:szCs w:val="21"/>
          <w:u w:val="single"/>
        </w:rPr>
        <w:tab/>
      </w:r>
      <w:r>
        <w:rPr>
          <w:rFonts w:ascii="宋体" w:hAnsi="宋体"/>
          <w:snapToGrid w:val="0"/>
          <w:color w:val="auto"/>
          <w:kern w:val="0"/>
          <w:szCs w:val="21"/>
          <w:u w:val="single"/>
        </w:rPr>
        <w:t>（项目名称）</w:t>
      </w:r>
      <w:r>
        <w:rPr>
          <w:rFonts w:ascii="宋体" w:hAnsi="宋体"/>
          <w:snapToGrid w:val="0"/>
          <w:color w:val="auto"/>
          <w:kern w:val="0"/>
          <w:szCs w:val="21"/>
        </w:rPr>
        <w:t>招标文件的全部内容，愿意以人民币（大写）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）的投标总报价进行报价，其中</w:t>
      </w:r>
      <w:r>
        <w:rPr>
          <w:rFonts w:ascii="宋体" w:hAnsi="宋体"/>
          <w:snapToGrid w:val="0"/>
          <w:color w:val="auto"/>
          <w:kern w:val="0"/>
        </w:rPr>
        <w:t>安全文明施工费暂定金额为人民币</w:t>
      </w:r>
      <w:r>
        <w:rPr>
          <w:rFonts w:ascii="宋体" w:hAnsi="宋体"/>
          <w:snapToGrid w:val="0"/>
          <w:color w:val="auto"/>
          <w:kern w:val="0"/>
          <w:szCs w:val="21"/>
        </w:rPr>
        <w:t>（大写）</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szCs w:val="21"/>
        </w:rPr>
        <w:t>，身份证号码为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，身份证号码为</w:t>
      </w:r>
      <w:r>
        <w:rPr>
          <w:rFonts w:hint="eastAsia" w:ascii="宋体" w:hAnsi="宋体"/>
          <w:snapToGrid w:val="0"/>
          <w:color w:val="auto"/>
          <w:kern w:val="0"/>
          <w:szCs w:val="21"/>
          <w:u w:val="single"/>
        </w:rPr>
        <w:t xml:space="preserve">        </w:t>
      </w:r>
      <w:r>
        <w:rPr>
          <w:rFonts w:ascii="宋体" w:hAnsi="宋体"/>
          <w:snapToGrid w:val="0"/>
          <w:color w:val="auto"/>
          <w:kern w:val="0"/>
          <w:szCs w:val="21"/>
        </w:rPr>
        <w:t>。工期</w:t>
      </w:r>
      <w:r>
        <w:rPr>
          <w:rFonts w:hint="eastAsia" w:ascii="宋体" w:hAnsi="宋体"/>
          <w:snapToGrid w:val="0"/>
          <w:color w:val="auto"/>
          <w:kern w:val="0"/>
          <w:szCs w:val="21"/>
          <w:u w:val="single"/>
        </w:rPr>
        <w:t>达到招标文件的要求</w:t>
      </w:r>
      <w:r>
        <w:rPr>
          <w:rFonts w:ascii="宋体" w:hAnsi="宋体"/>
          <w:snapToGrid w:val="0"/>
          <w:color w:val="auto"/>
          <w:kern w:val="0"/>
          <w:szCs w:val="21"/>
        </w:rPr>
        <w:t>，</w:t>
      </w:r>
      <w:r>
        <w:rPr>
          <w:rFonts w:hint="eastAsia" w:ascii="宋体" w:hAnsi="宋体"/>
          <w:snapToGrid w:val="0"/>
          <w:color w:val="auto"/>
          <w:kern w:val="0"/>
          <w:szCs w:val="21"/>
        </w:rPr>
        <w:t>缺陷责任期</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w:t>
      </w:r>
      <w:r>
        <w:rPr>
          <w:rFonts w:ascii="宋体" w:hAnsi="宋体"/>
          <w:snapToGrid w:val="0"/>
          <w:color w:val="auto"/>
          <w:kern w:val="0"/>
          <w:szCs w:val="21"/>
        </w:rPr>
        <w:t xml:space="preserve"> 按合同约定实施和完成承包工程，修补工程中的任何缺陷，工程质量</w:t>
      </w:r>
      <w:r>
        <w:rPr>
          <w:rFonts w:hint="eastAsia" w:ascii="宋体" w:hAnsi="宋体"/>
          <w:snapToGrid w:val="0"/>
          <w:color w:val="auto"/>
          <w:kern w:val="0"/>
          <w:szCs w:val="21"/>
          <w:u w:val="single"/>
        </w:rPr>
        <w:t>达到招标文件的要求</w:t>
      </w:r>
      <w:r>
        <w:rPr>
          <w:rFonts w:ascii="宋体" w:hAnsi="宋体"/>
          <w:snapToGrid w:val="0"/>
          <w:color w:val="auto"/>
          <w:kern w:val="0"/>
          <w:szCs w:val="21"/>
        </w:rPr>
        <w:t>。</w:t>
      </w:r>
    </w:p>
    <w:p>
      <w:pPr>
        <w:autoSpaceDE w:val="0"/>
        <w:autoSpaceDN w:val="0"/>
        <w:adjustRightInd w:val="0"/>
        <w:spacing w:line="4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w:t>
      </w:r>
      <w:r>
        <w:rPr>
          <w:rFonts w:hint="eastAsia" w:ascii="宋体" w:hAnsi="宋体"/>
          <w:snapToGrid w:val="0"/>
          <w:color w:val="auto"/>
          <w:kern w:val="0"/>
          <w:szCs w:val="21"/>
        </w:rPr>
        <w:t xml:space="preserve">. </w:t>
      </w:r>
      <w:r>
        <w:rPr>
          <w:rFonts w:ascii="宋体" w:hAnsi="宋体"/>
          <w:snapToGrid w:val="0"/>
          <w:color w:val="auto"/>
          <w:kern w:val="0"/>
          <w:szCs w:val="21"/>
        </w:rPr>
        <w:t>我方承诺</w:t>
      </w:r>
      <w:r>
        <w:rPr>
          <w:rFonts w:hint="eastAsia" w:ascii="宋体" w:hAnsi="宋体"/>
          <w:snapToGrid w:val="0"/>
          <w:color w:val="auto"/>
          <w:kern w:val="0"/>
          <w:szCs w:val="21"/>
        </w:rPr>
        <w:t>响应招标文件规定的投标有效期，</w:t>
      </w:r>
      <w:r>
        <w:rPr>
          <w:rFonts w:ascii="宋体" w:hAnsi="宋体"/>
          <w:snapToGrid w:val="0"/>
          <w:color w:val="auto"/>
          <w:kern w:val="0"/>
          <w:szCs w:val="21"/>
        </w:rPr>
        <w:t>在投标有效期内不修改、撤销投标文件。</w:t>
      </w:r>
    </w:p>
    <w:p>
      <w:pPr>
        <w:tabs>
          <w:tab w:val="left" w:pos="2730"/>
          <w:tab w:val="left" w:pos="7980"/>
        </w:tabs>
        <w:autoSpaceDE w:val="0"/>
        <w:autoSpaceDN w:val="0"/>
        <w:adjustRightInd w:val="0"/>
        <w:spacing w:line="4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ascii="宋体" w:hAnsi="宋体"/>
          <w:snapToGrid w:val="0"/>
          <w:color w:val="auto"/>
          <w:kern w:val="0"/>
          <w:szCs w:val="21"/>
          <w:u w:val="single"/>
        </w:rPr>
        <w:tab/>
      </w:r>
      <w:r>
        <w:rPr>
          <w:rFonts w:ascii="宋体" w:hAnsi="宋体"/>
          <w:snapToGrid w:val="0"/>
          <w:color w:val="auto"/>
          <w:kern w:val="0"/>
          <w:szCs w:val="21"/>
        </w:rPr>
        <w:t>（¥</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投标保证金有效期</w:t>
      </w:r>
      <w:r>
        <w:rPr>
          <w:rFonts w:ascii="宋体" w:hAnsi="宋体"/>
          <w:snapToGrid w:val="0"/>
          <w:color w:val="auto"/>
          <w:kern w:val="0"/>
          <w:szCs w:val="21"/>
        </w:rPr>
        <w:t>与</w:t>
      </w:r>
      <w:r>
        <w:rPr>
          <w:rFonts w:hint="eastAsia" w:ascii="宋体" w:hAnsi="宋体"/>
          <w:snapToGrid w:val="0"/>
          <w:color w:val="auto"/>
          <w:kern w:val="0"/>
          <w:szCs w:val="21"/>
        </w:rPr>
        <w:t>投标有效期</w:t>
      </w:r>
      <w:r>
        <w:rPr>
          <w:rFonts w:ascii="宋体" w:hAnsi="宋体"/>
          <w:snapToGrid w:val="0"/>
          <w:color w:val="auto"/>
          <w:kern w:val="0"/>
          <w:szCs w:val="21"/>
        </w:rPr>
        <w:t>一致，在此期间，若我方违反招投标有关法律、法规及本招标文件的相关规定，投标保证金的受益人为</w:t>
      </w:r>
      <w:r>
        <w:rPr>
          <w:rFonts w:hint="eastAsia" w:ascii="宋体" w:hAnsi="宋体"/>
          <w:snapToGrid w:val="0"/>
          <w:color w:val="auto"/>
          <w:kern w:val="0"/>
          <w:szCs w:val="21"/>
          <w:lang w:eastAsia="zh-CN"/>
        </w:rPr>
        <w:t>比选人</w:t>
      </w:r>
      <w:r>
        <w:rPr>
          <w:rFonts w:ascii="宋体" w:hAnsi="宋体"/>
          <w:snapToGrid w:val="0"/>
          <w:color w:val="auto"/>
          <w:kern w:val="0"/>
          <w:szCs w:val="21"/>
        </w:rPr>
        <w:t>。</w:t>
      </w:r>
    </w:p>
    <w:p>
      <w:pPr>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pPr>
        <w:autoSpaceDE w:val="0"/>
        <w:autoSpaceDN w:val="0"/>
        <w:adjustRightInd w:val="0"/>
        <w:spacing w:line="4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pPr>
        <w:autoSpaceDE w:val="0"/>
        <w:autoSpaceDN w:val="0"/>
        <w:adjustRightInd w:val="0"/>
        <w:spacing w:line="4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pPr>
        <w:autoSpaceDE w:val="0"/>
        <w:autoSpaceDN w:val="0"/>
        <w:adjustRightInd w:val="0"/>
        <w:spacing w:line="4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（3）我方承诺按照招标文件规定向你方递交履约担保。</w:t>
      </w:r>
    </w:p>
    <w:p>
      <w:pPr>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（4）我方承诺在合同约定的期限内完成并移交全部合同工程。</w:t>
      </w:r>
    </w:p>
    <w:p>
      <w:pPr>
        <w:autoSpaceDE w:val="0"/>
        <w:autoSpaceDN w:val="0"/>
        <w:adjustRightInd w:val="0"/>
        <w:spacing w:line="48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（5）我方承诺以不低于招标文件第七章 技术标准和要求中所列的技术指标和参数要求完成全部合同工程。</w:t>
      </w:r>
    </w:p>
    <w:p>
      <w:pPr>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在此声明，所递交的投标文件及有关资料内容完整、真实和准确，且不存在第二章“投标人</w:t>
      </w:r>
      <w:r>
        <w:rPr>
          <w:rFonts w:ascii="宋体" w:hAnsi="宋体"/>
          <w:snapToGrid w:val="0"/>
          <w:color w:val="auto"/>
          <w:kern w:val="0"/>
          <w:szCs w:val="21"/>
        </w:rPr>
        <w:t>须知”第 1.4.3 项规定的任何一种情形。同时我方承诺接受招标文件及附件、</w:t>
      </w:r>
      <w:r>
        <w:rPr>
          <w:rFonts w:hint="eastAsia" w:ascii="宋体" w:hAnsi="宋体"/>
          <w:snapToGrid w:val="0"/>
          <w:color w:val="auto"/>
          <w:kern w:val="0"/>
          <w:szCs w:val="21"/>
        </w:rPr>
        <w:t>澄清</w:t>
      </w:r>
      <w:r>
        <w:rPr>
          <w:rFonts w:ascii="宋体" w:hAnsi="宋体"/>
          <w:snapToGrid w:val="0"/>
          <w:color w:val="auto"/>
          <w:kern w:val="0"/>
          <w:szCs w:val="21"/>
        </w:rPr>
        <w:t>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pPr>
        <w:tabs>
          <w:tab w:val="left" w:pos="5985"/>
        </w:tabs>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pPr>
        <w:tabs>
          <w:tab w:val="left" w:pos="7140"/>
          <w:tab w:val="left" w:pos="7560"/>
          <w:tab w:val="left" w:pos="8300"/>
        </w:tabs>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tabs>
          <w:tab w:val="left" w:pos="7035"/>
          <w:tab w:val="left" w:pos="7560"/>
          <w:tab w:val="left" w:pos="8300"/>
        </w:tabs>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48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pPr>
        <w:tabs>
          <w:tab w:val="left" w:pos="8300"/>
        </w:tabs>
        <w:autoSpaceDE w:val="0"/>
        <w:autoSpaceDN w:val="0"/>
        <w:adjustRightInd w:val="0"/>
        <w:spacing w:line="48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480" w:lineRule="exact"/>
        <w:ind w:firstLine="420" w:firstLineChars="200"/>
        <w:rPr>
          <w:rFonts w:ascii="宋体" w:hAnsi="宋体"/>
          <w:snapToGrid w:val="0"/>
          <w:color w:val="auto"/>
          <w:kern w:val="0"/>
          <w:sz w:val="20"/>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480" w:lineRule="exact"/>
        <w:ind w:firstLine="420" w:firstLineChars="200"/>
        <w:jc w:val="right"/>
        <w:rPr>
          <w:rFonts w:ascii="宋体" w:hAnsi="宋体"/>
          <w:color w:val="auto"/>
          <w:kern w:val="0"/>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pStyle w:val="4"/>
        <w:numPr>
          <w:ilvl w:val="0"/>
          <w:numId w:val="8"/>
        </w:numPr>
        <w:spacing w:line="240" w:lineRule="auto"/>
        <w:rPr>
          <w:rFonts w:ascii="宋体" w:hAnsi="宋体"/>
          <w:b w:val="0"/>
          <w:bCs w:val="0"/>
          <w:color w:val="auto"/>
        </w:rPr>
      </w:pPr>
      <w:bookmarkStart w:id="543" w:name="_Toc287620815"/>
      <w:bookmarkStart w:id="544" w:name="_Toc287607868"/>
      <w:bookmarkStart w:id="545" w:name="_Toc277082644"/>
      <w:bookmarkStart w:id="546" w:name="_Toc430530531"/>
      <w:bookmarkStart w:id="547" w:name="_Toc224103496"/>
      <w:r>
        <w:rPr>
          <w:rFonts w:ascii="宋体" w:hAnsi="宋体"/>
          <w:color w:val="auto"/>
          <w:sz w:val="28"/>
        </w:rPr>
        <w:br w:type="page"/>
      </w:r>
      <w:bookmarkStart w:id="548" w:name="_Toc534185832"/>
      <w:bookmarkStart w:id="549" w:name="_Toc14835"/>
      <w:bookmarkStart w:id="550" w:name="_Toc18360"/>
      <w:bookmarkStart w:id="551" w:name="_Toc509218855"/>
      <w:r>
        <w:rPr>
          <w:rFonts w:ascii="宋体" w:hAnsi="宋体"/>
          <w:b w:val="0"/>
          <w:bCs w:val="0"/>
          <w:color w:val="auto"/>
        </w:rPr>
        <w:t>投标函附录</w:t>
      </w:r>
      <w:bookmarkEnd w:id="543"/>
      <w:bookmarkEnd w:id="544"/>
      <w:bookmarkEnd w:id="545"/>
      <w:bookmarkEnd w:id="546"/>
      <w:bookmarkEnd w:id="547"/>
      <w:bookmarkEnd w:id="548"/>
      <w:bookmarkEnd w:id="549"/>
      <w:bookmarkEnd w:id="550"/>
      <w:bookmarkEnd w:id="551"/>
    </w:p>
    <w:p>
      <w:pPr>
        <w:rPr>
          <w:color w:val="auto"/>
        </w:rPr>
      </w:pPr>
    </w:p>
    <w:tbl>
      <w:tblPr>
        <w:tblStyle w:val="53"/>
        <w:tblW w:w="9761"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451"/>
        <w:gridCol w:w="2388"/>
        <w:gridCol w:w="2987"/>
        <w:gridCol w:w="10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trPr>
        <w:tc>
          <w:tcPr>
            <w:tcW w:w="851"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序号</w:t>
            </w:r>
          </w:p>
        </w:tc>
        <w:tc>
          <w:tcPr>
            <w:tcW w:w="2451"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条款名称</w:t>
            </w:r>
          </w:p>
        </w:tc>
        <w:tc>
          <w:tcPr>
            <w:tcW w:w="2388"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合同条款号</w:t>
            </w:r>
          </w:p>
        </w:tc>
        <w:tc>
          <w:tcPr>
            <w:tcW w:w="2987"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约定内容</w:t>
            </w:r>
          </w:p>
        </w:tc>
        <w:tc>
          <w:tcPr>
            <w:tcW w:w="1084"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pPr>
              <w:autoSpaceDE w:val="0"/>
              <w:autoSpaceDN w:val="0"/>
              <w:adjustRightInd w:val="0"/>
              <w:jc w:val="center"/>
              <w:rPr>
                <w:rFonts w:ascii="宋体" w:hAnsi="宋体"/>
                <w:snapToGrid w:val="0"/>
                <w:color w:val="auto"/>
                <w:kern w:val="0"/>
                <w:szCs w:val="21"/>
              </w:rPr>
            </w:pPr>
            <w:r>
              <w:rPr>
                <w:rFonts w:hint="eastAsia" w:ascii="宋体" w:hAnsi="宋体"/>
                <w:snapToGrid w:val="0"/>
                <w:color w:val="auto"/>
                <w:kern w:val="0"/>
                <w:szCs w:val="21"/>
              </w:rPr>
              <w:t>1</w:t>
            </w:r>
          </w:p>
        </w:tc>
        <w:tc>
          <w:tcPr>
            <w:tcW w:w="2451"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工期</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1.1.4.3</w:t>
            </w:r>
          </w:p>
        </w:tc>
        <w:tc>
          <w:tcPr>
            <w:tcW w:w="2987" w:type="dxa"/>
            <w:vAlign w:val="center"/>
          </w:tcPr>
          <w:p>
            <w:pPr>
              <w:tabs>
                <w:tab w:val="left" w:pos="1560"/>
              </w:tabs>
              <w:autoSpaceDE w:val="0"/>
              <w:autoSpaceDN w:val="0"/>
              <w:adjustRightInd w:val="0"/>
              <w:jc w:val="center"/>
              <w:rPr>
                <w:rFonts w:ascii="宋体" w:hAnsi="宋体"/>
                <w:snapToGrid w:val="0"/>
                <w:color w:val="auto"/>
                <w:kern w:val="0"/>
                <w:szCs w:val="21"/>
              </w:rPr>
            </w:pPr>
          </w:p>
        </w:tc>
        <w:tc>
          <w:tcPr>
            <w:tcW w:w="1084" w:type="dxa"/>
            <w:vAlign w:val="center"/>
          </w:tcPr>
          <w:p>
            <w:pPr>
              <w:autoSpaceDE w:val="0"/>
              <w:autoSpaceDN w:val="0"/>
              <w:adjustRightInd w:val="0"/>
              <w:jc w:val="center"/>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pPr>
              <w:autoSpaceDE w:val="0"/>
              <w:autoSpaceDN w:val="0"/>
              <w:adjustRightInd w:val="0"/>
              <w:jc w:val="center"/>
              <w:rPr>
                <w:rFonts w:ascii="宋体" w:hAnsi="宋体"/>
                <w:snapToGrid w:val="0"/>
                <w:color w:val="auto"/>
                <w:kern w:val="0"/>
                <w:szCs w:val="21"/>
              </w:rPr>
            </w:pPr>
            <w:r>
              <w:rPr>
                <w:rFonts w:hint="eastAsia" w:ascii="宋体" w:hAnsi="宋体"/>
                <w:snapToGrid w:val="0"/>
                <w:color w:val="auto"/>
                <w:kern w:val="0"/>
                <w:szCs w:val="21"/>
              </w:rPr>
              <w:t>2</w:t>
            </w:r>
          </w:p>
        </w:tc>
        <w:tc>
          <w:tcPr>
            <w:tcW w:w="2451" w:type="dxa"/>
            <w:vAlign w:val="center"/>
          </w:tcPr>
          <w:p>
            <w:pPr>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分包</w:t>
            </w:r>
          </w:p>
        </w:tc>
        <w:tc>
          <w:tcPr>
            <w:tcW w:w="2388" w:type="dxa"/>
            <w:vAlign w:val="center"/>
          </w:tcPr>
          <w:p>
            <w:pPr>
              <w:tabs>
                <w:tab w:val="left" w:pos="2051"/>
              </w:tabs>
              <w:autoSpaceDE w:val="0"/>
              <w:autoSpaceDN w:val="0"/>
              <w:adjustRightInd w:val="0"/>
              <w:jc w:val="center"/>
              <w:rPr>
                <w:rFonts w:hint="default" w:ascii="宋体" w:hAnsi="宋体" w:eastAsia="宋体"/>
                <w:snapToGrid w:val="0"/>
                <w:color w:val="auto"/>
                <w:kern w:val="0"/>
                <w:szCs w:val="21"/>
                <w:lang w:val="en-US" w:eastAsia="zh-CN"/>
              </w:rPr>
            </w:pPr>
            <w:r>
              <w:rPr>
                <w:rFonts w:hint="eastAsia" w:ascii="宋体" w:hAnsi="宋体"/>
                <w:snapToGrid w:val="0"/>
                <w:color w:val="auto"/>
                <w:kern w:val="0"/>
                <w:szCs w:val="21"/>
                <w:lang w:val="en-US" w:eastAsia="zh-CN"/>
              </w:rPr>
              <w:t>4.3</w:t>
            </w:r>
          </w:p>
        </w:tc>
        <w:tc>
          <w:tcPr>
            <w:tcW w:w="2987" w:type="dxa"/>
            <w:vAlign w:val="center"/>
          </w:tcPr>
          <w:p>
            <w:pPr>
              <w:autoSpaceDE w:val="0"/>
              <w:autoSpaceDN w:val="0"/>
              <w:adjustRightInd w:val="0"/>
              <w:jc w:val="center"/>
              <w:rPr>
                <w:rFonts w:ascii="宋体" w:hAnsi="宋体"/>
                <w:snapToGrid w:val="0"/>
                <w:color w:val="auto"/>
                <w:kern w:val="0"/>
                <w:szCs w:val="21"/>
              </w:rPr>
            </w:pPr>
          </w:p>
        </w:tc>
        <w:tc>
          <w:tcPr>
            <w:tcW w:w="1084" w:type="dxa"/>
            <w:vAlign w:val="center"/>
          </w:tcPr>
          <w:p>
            <w:pPr>
              <w:autoSpaceDE w:val="0"/>
              <w:autoSpaceDN w:val="0"/>
              <w:adjustRightInd w:val="0"/>
              <w:jc w:val="center"/>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pPr>
              <w:autoSpaceDE w:val="0"/>
              <w:autoSpaceDN w:val="0"/>
              <w:adjustRightInd w:val="0"/>
              <w:jc w:val="center"/>
              <w:rPr>
                <w:rFonts w:ascii="宋体" w:hAnsi="宋体"/>
                <w:snapToGrid w:val="0"/>
                <w:color w:val="auto"/>
                <w:kern w:val="0"/>
                <w:szCs w:val="21"/>
              </w:rPr>
            </w:pPr>
            <w:r>
              <w:rPr>
                <w:rFonts w:hint="eastAsia" w:ascii="宋体" w:hAnsi="宋体"/>
                <w:snapToGrid w:val="0"/>
                <w:color w:val="auto"/>
                <w:kern w:val="0"/>
                <w:szCs w:val="21"/>
              </w:rPr>
              <w:t>3</w:t>
            </w:r>
          </w:p>
        </w:tc>
        <w:tc>
          <w:tcPr>
            <w:tcW w:w="2451" w:type="dxa"/>
            <w:vAlign w:val="center"/>
          </w:tcPr>
          <w:p>
            <w:pPr>
              <w:autoSpaceDE w:val="0"/>
              <w:autoSpaceDN w:val="0"/>
              <w:adjustRightInd w:val="0"/>
              <w:jc w:val="center"/>
              <w:rPr>
                <w:rFonts w:ascii="宋体" w:hAnsi="宋体"/>
                <w:snapToGrid w:val="0"/>
                <w:color w:val="auto"/>
                <w:kern w:val="0"/>
                <w:szCs w:val="21"/>
              </w:rPr>
            </w:pPr>
            <w:r>
              <w:rPr>
                <w:rFonts w:hint="eastAsia" w:ascii="宋体" w:hAnsi="宋体"/>
                <w:snapToGrid w:val="0"/>
                <w:color w:val="auto"/>
                <w:kern w:val="0"/>
                <w:szCs w:val="21"/>
              </w:rPr>
              <w:t>工程质量</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rPr>
            </w:pPr>
            <w:r>
              <w:rPr>
                <w:rFonts w:hint="eastAsia" w:ascii="宋体" w:hAnsi="宋体"/>
                <w:snapToGrid w:val="0"/>
                <w:color w:val="auto"/>
                <w:kern w:val="0"/>
                <w:szCs w:val="21"/>
              </w:rPr>
              <w:t>5.1</w:t>
            </w:r>
          </w:p>
        </w:tc>
        <w:tc>
          <w:tcPr>
            <w:tcW w:w="2987" w:type="dxa"/>
            <w:vAlign w:val="center"/>
          </w:tcPr>
          <w:p>
            <w:pPr>
              <w:autoSpaceDE w:val="0"/>
              <w:autoSpaceDN w:val="0"/>
              <w:adjustRightInd w:val="0"/>
              <w:jc w:val="center"/>
              <w:rPr>
                <w:rFonts w:ascii="宋体" w:hAnsi="宋体"/>
                <w:snapToGrid w:val="0"/>
                <w:color w:val="auto"/>
                <w:kern w:val="0"/>
                <w:szCs w:val="21"/>
              </w:rPr>
            </w:pPr>
          </w:p>
        </w:tc>
        <w:tc>
          <w:tcPr>
            <w:tcW w:w="1084" w:type="dxa"/>
            <w:vAlign w:val="center"/>
          </w:tcPr>
          <w:p>
            <w:pPr>
              <w:autoSpaceDE w:val="0"/>
              <w:autoSpaceDN w:val="0"/>
              <w:adjustRightInd w:val="0"/>
              <w:jc w:val="center"/>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451"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1084" w:type="dxa"/>
            <w:vAlign w:val="center"/>
          </w:tcPr>
          <w:p>
            <w:pPr>
              <w:autoSpaceDE w:val="0"/>
              <w:autoSpaceDN w:val="0"/>
              <w:adjustRightInd w:val="0"/>
              <w:jc w:val="center"/>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851"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451"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rPr>
            </w:pPr>
            <w:r>
              <w:rPr>
                <w:rFonts w:ascii="宋体" w:hAnsi="宋体"/>
                <w:snapToGrid w:val="0"/>
                <w:color w:val="auto"/>
                <w:kern w:val="0"/>
                <w:szCs w:val="21"/>
              </w:rPr>
              <w:t>……</w:t>
            </w:r>
          </w:p>
        </w:tc>
        <w:tc>
          <w:tcPr>
            <w:tcW w:w="1084" w:type="dxa"/>
            <w:vAlign w:val="center"/>
          </w:tcPr>
          <w:p>
            <w:pPr>
              <w:autoSpaceDE w:val="0"/>
              <w:autoSpaceDN w:val="0"/>
              <w:adjustRightInd w:val="0"/>
              <w:jc w:val="center"/>
              <w:rPr>
                <w:rFonts w:ascii="宋体" w:hAnsi="宋体"/>
                <w:snapToGrid w:val="0"/>
                <w:color w:val="auto"/>
                <w:kern w:val="0"/>
                <w:szCs w:val="21"/>
              </w:rPr>
            </w:pPr>
          </w:p>
        </w:tc>
      </w:tr>
    </w:tbl>
    <w:p>
      <w:pPr>
        <w:spacing w:line="360" w:lineRule="auto"/>
        <w:rPr>
          <w:rFonts w:ascii="宋体" w:hAnsi="宋体"/>
          <w:snapToGrid w:val="0"/>
          <w:color w:val="auto"/>
          <w:w w:val="99"/>
        </w:rPr>
      </w:pPr>
    </w:p>
    <w:p>
      <w:pPr>
        <w:spacing w:line="360" w:lineRule="auto"/>
        <w:rPr>
          <w:rFonts w:ascii="宋体" w:hAnsi="宋体"/>
          <w:snapToGrid w:val="0"/>
          <w:color w:val="auto"/>
          <w:kern w:val="0"/>
          <w:sz w:val="32"/>
          <w:szCs w:val="32"/>
        </w:rPr>
      </w:pPr>
    </w:p>
    <w:p>
      <w:pPr>
        <w:spacing w:line="360" w:lineRule="auto"/>
        <w:rPr>
          <w:rFonts w:ascii="宋体" w:hAnsi="宋体"/>
          <w:snapToGrid w:val="0"/>
          <w:color w:val="auto"/>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rPr>
      </w:pPr>
      <w:r>
        <w:rPr>
          <w:rFonts w:hint="eastAsia" w:ascii="宋体" w:hAnsi="宋体"/>
          <w:snapToGrid w:val="0"/>
          <w:color w:val="auto"/>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rPr>
      </w:pPr>
    </w:p>
    <w:p>
      <w:pPr>
        <w:pStyle w:val="4"/>
        <w:spacing w:line="240" w:lineRule="auto"/>
        <w:rPr>
          <w:rFonts w:ascii="宋体" w:hAnsi="宋体"/>
          <w:snapToGrid w:val="0"/>
          <w:color w:val="auto"/>
          <w:kern w:val="0"/>
          <w:szCs w:val="21"/>
        </w:rPr>
      </w:pPr>
      <w:r>
        <w:rPr>
          <w:rFonts w:ascii="宋体" w:hAnsi="宋体"/>
          <w:snapToGrid w:val="0"/>
          <w:color w:val="auto"/>
        </w:rPr>
        <w:br w:type="page"/>
      </w:r>
      <w:bookmarkStart w:id="552" w:name="_Toc287607869"/>
      <w:bookmarkStart w:id="553" w:name="_Toc27100"/>
      <w:bookmarkStart w:id="554" w:name="_Toc287620816"/>
      <w:bookmarkStart w:id="555" w:name="_Toc430530532"/>
      <w:bookmarkStart w:id="556" w:name="_Toc277082645"/>
      <w:bookmarkStart w:id="557" w:name="_Toc3126"/>
      <w:bookmarkStart w:id="558" w:name="_Toc224103497"/>
      <w:r>
        <w:rPr>
          <w:rFonts w:ascii="宋体" w:hAnsi="宋体"/>
          <w:b w:val="0"/>
          <w:bCs w:val="0"/>
          <w:color w:val="auto"/>
        </w:rPr>
        <w:t>（三）</w:t>
      </w:r>
      <w:r>
        <w:rPr>
          <w:rFonts w:hint="eastAsia" w:ascii="宋体" w:hAnsi="宋体"/>
          <w:b w:val="0"/>
          <w:bCs w:val="0"/>
          <w:color w:val="auto"/>
        </w:rPr>
        <w:t>法定代表人身份证明或附有法定代表人身份证明的授权委托书</w:t>
      </w:r>
      <w:bookmarkEnd w:id="552"/>
      <w:bookmarkEnd w:id="553"/>
      <w:bookmarkEnd w:id="554"/>
      <w:bookmarkEnd w:id="555"/>
      <w:bookmarkEnd w:id="556"/>
      <w:bookmarkEnd w:id="557"/>
      <w:bookmarkEnd w:id="558"/>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700" w:lineRule="exact"/>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700" w:lineRule="exact"/>
        <w:ind w:firstLine="810" w:firstLineChars="386"/>
        <w:jc w:val="left"/>
        <w:rPr>
          <w:rFonts w:ascii="宋体" w:hAnsi="宋体"/>
          <w:color w:val="auto"/>
          <w:kern w:val="0"/>
          <w:szCs w:val="21"/>
        </w:rPr>
      </w:pPr>
    </w:p>
    <w:p>
      <w:pPr>
        <w:autoSpaceDE w:val="0"/>
        <w:autoSpaceDN w:val="0"/>
        <w:adjustRightInd w:val="0"/>
        <w:snapToGrid w:val="0"/>
        <w:spacing w:line="700" w:lineRule="exact"/>
        <w:ind w:firstLine="810" w:firstLineChars="386"/>
        <w:jc w:val="left"/>
        <w:rPr>
          <w:rFonts w:ascii="宋体" w:hAnsi="宋体"/>
          <w:color w:val="auto"/>
          <w:szCs w:val="21"/>
        </w:rPr>
      </w:pPr>
      <w:r>
        <w:rPr>
          <w:rFonts w:hint="eastAsia" w:ascii="宋体" w:hAnsi="宋体"/>
          <w:color w:val="auto"/>
          <w:kern w:val="0"/>
          <w:szCs w:val="21"/>
        </w:rPr>
        <w:t>附：法定代表人身份证明扫描件（双面）</w:t>
      </w:r>
    </w:p>
    <w:p>
      <w:pPr>
        <w:pStyle w:val="19"/>
        <w:spacing w:after="0" w:line="700" w:lineRule="exact"/>
        <w:rPr>
          <w:rFonts w:ascii="宋体" w:hAnsi="宋体"/>
          <w:color w:val="auto"/>
          <w:szCs w:val="21"/>
        </w:rPr>
      </w:pPr>
    </w:p>
    <w:p>
      <w:pPr>
        <w:tabs>
          <w:tab w:val="left" w:pos="5475"/>
        </w:tabs>
        <w:autoSpaceDE w:val="0"/>
        <w:autoSpaceDN w:val="0"/>
        <w:adjustRightInd w:val="0"/>
        <w:snapToGrid w:val="0"/>
        <w:spacing w:line="700" w:lineRule="exact"/>
        <w:jc w:val="left"/>
        <w:rPr>
          <w:rFonts w:ascii="宋体" w:hAnsi="宋体"/>
          <w:color w:val="auto"/>
          <w:kern w:val="0"/>
          <w:sz w:val="20"/>
        </w:rPr>
      </w:pPr>
    </w:p>
    <w:p>
      <w:pPr>
        <w:tabs>
          <w:tab w:val="left" w:pos="5460"/>
        </w:tabs>
        <w:autoSpaceDE w:val="0"/>
        <w:autoSpaceDN w:val="0"/>
        <w:adjustRightInd w:val="0"/>
        <w:snapToGrid w:val="0"/>
        <w:spacing w:line="700" w:lineRule="exact"/>
        <w:ind w:firstLine="2100"/>
        <w:jc w:val="right"/>
        <w:rPr>
          <w:rFonts w:ascii="宋体" w:hAnsi="宋体"/>
          <w:color w:val="auto"/>
          <w:kern w:val="0"/>
          <w:sz w:val="20"/>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tabs>
          <w:tab w:val="left" w:pos="4935"/>
          <w:tab w:val="left" w:pos="5460"/>
          <w:tab w:val="left" w:pos="6400"/>
        </w:tabs>
        <w:wordWrap w:val="0"/>
        <w:autoSpaceDE w:val="0"/>
        <w:autoSpaceDN w:val="0"/>
        <w:adjustRightInd w:val="0"/>
        <w:snapToGrid w:val="0"/>
        <w:spacing w:line="700" w:lineRule="exact"/>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700" w:lineRule="exact"/>
        <w:jc w:val="left"/>
        <w:rPr>
          <w:rFonts w:ascii="宋体" w:hAnsi="宋体"/>
          <w:color w:val="auto"/>
          <w:kern w:val="0"/>
        </w:rPr>
      </w:pPr>
    </w:p>
    <w:p>
      <w:pPr>
        <w:spacing w:line="700" w:lineRule="exact"/>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snapToGrid w:val="0"/>
          <w:color w:val="auto"/>
          <w:kern w:val="0"/>
          <w:sz w:val="32"/>
          <w:szCs w:val="32"/>
        </w:rPr>
      </w:pPr>
      <w:r>
        <w:rPr>
          <w:rFonts w:ascii="宋体" w:hAnsi="宋体"/>
          <w:color w:val="auto"/>
          <w:kern w:val="0"/>
        </w:rPr>
        <w:br w:type="page"/>
      </w:r>
      <w:r>
        <w:rPr>
          <w:rFonts w:ascii="宋体" w:hAnsi="宋体"/>
          <w:snapToGrid w:val="0"/>
          <w:color w:val="auto"/>
          <w:kern w:val="0"/>
          <w:sz w:val="32"/>
          <w:szCs w:val="32"/>
        </w:rPr>
        <w:t>授权委托书</w:t>
      </w:r>
    </w:p>
    <w:p>
      <w:pPr>
        <w:pStyle w:val="19"/>
        <w:rPr>
          <w:color w:val="auto"/>
        </w:rPr>
      </w:pPr>
    </w:p>
    <w:p>
      <w:pPr>
        <w:tabs>
          <w:tab w:val="left" w:pos="1680"/>
          <w:tab w:val="left" w:pos="4215"/>
          <w:tab w:val="left" w:pos="4305"/>
          <w:tab w:val="left" w:pos="8000"/>
        </w:tabs>
        <w:autoSpaceDE w:val="0"/>
        <w:autoSpaceDN w:val="0"/>
        <w:adjustRightInd w:val="0"/>
        <w:snapToGrid w:val="0"/>
        <w:spacing w:line="700" w:lineRule="exact"/>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color w:val="auto"/>
          <w:kern w:val="0"/>
          <w:szCs w:val="21"/>
        </w:rPr>
      </w:pPr>
      <w:r>
        <w:rPr>
          <w:rFonts w:ascii="宋体" w:hAnsi="宋体"/>
          <w:color w:val="auto"/>
          <w:kern w:val="0"/>
          <w:szCs w:val="21"/>
        </w:rPr>
        <w:t>代理人无转委托权。</w:t>
      </w:r>
    </w:p>
    <w:p>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color w:val="auto"/>
          <w:kern w:val="0"/>
          <w:szCs w:val="21"/>
        </w:rPr>
      </w:pPr>
    </w:p>
    <w:p>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70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700" w:lineRule="exact"/>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700" w:lineRule="exact"/>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700" w:lineRule="exact"/>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6825"/>
        </w:tabs>
        <w:autoSpaceDE w:val="0"/>
        <w:autoSpaceDN w:val="0"/>
        <w:adjustRightInd w:val="0"/>
        <w:snapToGrid w:val="0"/>
        <w:spacing w:line="700" w:lineRule="exact"/>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5260"/>
        </w:tabs>
        <w:autoSpaceDE w:val="0"/>
        <w:autoSpaceDN w:val="0"/>
        <w:adjustRightInd w:val="0"/>
        <w:snapToGrid w:val="0"/>
        <w:spacing w:line="700" w:lineRule="exact"/>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pPr>
        <w:autoSpaceDE w:val="0"/>
        <w:autoSpaceDN w:val="0"/>
        <w:adjustRightInd w:val="0"/>
        <w:snapToGrid w:val="0"/>
        <w:spacing w:line="700" w:lineRule="exact"/>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700" w:lineRule="exact"/>
        <w:ind w:firstLine="3780"/>
        <w:jc w:val="right"/>
        <w:rPr>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700" w:lineRule="exact"/>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700" w:lineRule="exact"/>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4"/>
        <w:spacing w:line="700" w:lineRule="exact"/>
        <w:rPr>
          <w:rFonts w:ascii="宋体" w:hAnsi="宋体"/>
          <w:snapToGrid w:val="0"/>
          <w:color w:val="auto"/>
          <w:kern w:val="0"/>
        </w:rPr>
      </w:pPr>
      <w:bookmarkStart w:id="559" w:name="_Toc224103498"/>
      <w:bookmarkStart w:id="560" w:name="_Toc277082646"/>
      <w:bookmarkStart w:id="561" w:name="_Toc287607870"/>
      <w:bookmarkStart w:id="562" w:name="_Toc287620817"/>
      <w:bookmarkStart w:id="563" w:name="_Toc3760"/>
      <w:bookmarkStart w:id="564" w:name="_Toc12381"/>
      <w:bookmarkStart w:id="565" w:name="_Toc430530534"/>
      <w:bookmarkStart w:id="566" w:name="_Toc287620819"/>
      <w:bookmarkStart w:id="567" w:name="_Toc224103500"/>
      <w:bookmarkStart w:id="568" w:name="_Toc287607872"/>
      <w:bookmarkStart w:id="569" w:name="_Toc6386"/>
      <w:bookmarkStart w:id="570" w:name="_Toc6971"/>
      <w:r>
        <w:rPr>
          <w:rFonts w:ascii="宋体" w:hAnsi="宋体"/>
          <w:b w:val="0"/>
          <w:bCs w:val="0"/>
          <w:color w:val="auto"/>
        </w:rPr>
        <w:t>（四）</w:t>
      </w:r>
      <w:bookmarkEnd w:id="559"/>
      <w:bookmarkEnd w:id="560"/>
      <w:bookmarkEnd w:id="561"/>
      <w:bookmarkEnd w:id="562"/>
      <w:r>
        <w:rPr>
          <w:rFonts w:hint="eastAsia" w:ascii="宋体" w:hAnsi="宋体"/>
          <w:b w:val="0"/>
          <w:bCs w:val="0"/>
          <w:color w:val="auto"/>
        </w:rPr>
        <w:t>低价风险担保提交承诺书</w:t>
      </w:r>
      <w:bookmarkEnd w:id="563"/>
      <w:bookmarkEnd w:id="564"/>
    </w:p>
    <w:p>
      <w:pPr>
        <w:autoSpaceDE w:val="0"/>
        <w:autoSpaceDN w:val="0"/>
        <w:adjustRightInd w:val="0"/>
        <w:snapToGrid w:val="0"/>
        <w:spacing w:line="700" w:lineRule="exact"/>
        <w:jc w:val="center"/>
        <w:rPr>
          <w:rFonts w:ascii="宋体" w:hAnsi="宋体"/>
          <w:snapToGrid w:val="0"/>
          <w:color w:val="auto"/>
          <w:kern w:val="0"/>
          <w:sz w:val="32"/>
          <w:szCs w:val="32"/>
        </w:rPr>
      </w:pPr>
      <w:r>
        <w:rPr>
          <w:rFonts w:hint="eastAsia" w:ascii="宋体" w:hAnsi="宋体"/>
          <w:snapToGrid w:val="0"/>
          <w:color w:val="auto"/>
          <w:kern w:val="0"/>
          <w:sz w:val="32"/>
          <w:szCs w:val="32"/>
        </w:rPr>
        <w:t>（投标报价低于招标项目最高限价的85%时采用）</w:t>
      </w:r>
    </w:p>
    <w:p>
      <w:pPr>
        <w:autoSpaceDE w:val="0"/>
        <w:autoSpaceDN w:val="0"/>
        <w:adjustRightInd w:val="0"/>
        <w:snapToGrid w:val="0"/>
        <w:spacing w:line="700" w:lineRule="exact"/>
        <w:jc w:val="center"/>
        <w:rPr>
          <w:rFonts w:ascii="宋体" w:hAnsi="宋体"/>
          <w:snapToGrid w:val="0"/>
          <w:color w:val="auto"/>
          <w:kern w:val="0"/>
          <w:sz w:val="32"/>
          <w:szCs w:val="32"/>
        </w:rPr>
      </w:pPr>
    </w:p>
    <w:p>
      <w:pPr>
        <w:autoSpaceDE w:val="0"/>
        <w:autoSpaceDN w:val="0"/>
        <w:adjustRightInd w:val="0"/>
        <w:snapToGrid w:val="0"/>
        <w:spacing w:line="700" w:lineRule="exact"/>
        <w:rPr>
          <w:rFonts w:ascii="宋体" w:hAnsi="宋体" w:cs="宋体"/>
          <w:snapToGrid w:val="0"/>
          <w:color w:val="auto"/>
          <w:kern w:val="0"/>
          <w:szCs w:val="21"/>
        </w:rPr>
      </w:pPr>
      <w:r>
        <w:rPr>
          <w:rFonts w:hint="eastAsia" w:ascii="宋体" w:hAnsi="宋体" w:cs="宋体"/>
          <w:snapToGrid w:val="0"/>
          <w:color w:val="auto"/>
          <w:kern w:val="0"/>
          <w:szCs w:val="21"/>
          <w:u w:val="single"/>
        </w:rPr>
        <w:t xml:space="preserve">           （招标人名称）</w:t>
      </w:r>
      <w:r>
        <w:rPr>
          <w:rFonts w:hint="eastAsia" w:ascii="宋体" w:hAnsi="宋体" w:cs="宋体"/>
          <w:snapToGrid w:val="0"/>
          <w:color w:val="auto"/>
          <w:kern w:val="0"/>
          <w:szCs w:val="21"/>
        </w:rPr>
        <w:t>：</w:t>
      </w:r>
    </w:p>
    <w:p>
      <w:pPr>
        <w:autoSpaceDE w:val="0"/>
        <w:autoSpaceDN w:val="0"/>
        <w:adjustRightInd w:val="0"/>
        <w:snapToGrid w:val="0"/>
        <w:spacing w:line="70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我公司</w:t>
      </w:r>
      <w:r>
        <w:rPr>
          <w:rFonts w:hint="eastAsia" w:ascii="宋体" w:hAnsi="宋体" w:cs="宋体"/>
          <w:snapToGrid w:val="0"/>
          <w:color w:val="auto"/>
          <w:kern w:val="0"/>
          <w:szCs w:val="21"/>
          <w:u w:val="single"/>
        </w:rPr>
        <w:t xml:space="preserve">        （投标人名称）</w:t>
      </w:r>
      <w:r>
        <w:rPr>
          <w:rFonts w:hint="eastAsia" w:ascii="宋体" w:hAnsi="宋体" w:cs="宋体"/>
          <w:snapToGrid w:val="0"/>
          <w:color w:val="auto"/>
          <w:kern w:val="0"/>
          <w:szCs w:val="21"/>
        </w:rPr>
        <w:t>参加了你单位</w:t>
      </w:r>
      <w:r>
        <w:rPr>
          <w:rFonts w:hint="eastAsia" w:ascii="宋体" w:hAnsi="宋体" w:cs="宋体"/>
          <w:snapToGrid w:val="0"/>
          <w:color w:val="auto"/>
          <w:kern w:val="0"/>
          <w:szCs w:val="21"/>
          <w:u w:val="single"/>
        </w:rPr>
        <w:t xml:space="preserve">        （项目名称）</w:t>
      </w:r>
      <w:r>
        <w:rPr>
          <w:rFonts w:hint="eastAsia" w:ascii="宋体" w:hAnsi="宋体" w:cs="宋体"/>
          <w:snapToGrid w:val="0"/>
          <w:color w:val="auto"/>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700" w:lineRule="exact"/>
        <w:ind w:firstLine="640"/>
        <w:rPr>
          <w:rFonts w:ascii="宋体" w:hAnsi="宋体" w:cs="宋体"/>
          <w:snapToGrid w:val="0"/>
          <w:color w:val="auto"/>
          <w:kern w:val="0"/>
          <w:szCs w:val="21"/>
        </w:rPr>
      </w:pPr>
    </w:p>
    <w:p>
      <w:pPr>
        <w:autoSpaceDE w:val="0"/>
        <w:autoSpaceDN w:val="0"/>
        <w:adjustRightInd w:val="0"/>
        <w:snapToGrid w:val="0"/>
        <w:spacing w:line="700" w:lineRule="exact"/>
        <w:ind w:firstLine="640"/>
        <w:rPr>
          <w:rFonts w:ascii="宋体" w:hAnsi="宋体" w:cs="宋体"/>
          <w:snapToGrid w:val="0"/>
          <w:color w:val="auto"/>
          <w:kern w:val="0"/>
          <w:szCs w:val="21"/>
        </w:rPr>
      </w:pPr>
      <w:r>
        <w:rPr>
          <w:rFonts w:hint="eastAsia" w:ascii="宋体" w:hAnsi="宋体" w:cs="宋体"/>
          <w:snapToGrid w:val="0"/>
          <w:color w:val="auto"/>
          <w:kern w:val="0"/>
          <w:szCs w:val="21"/>
        </w:rPr>
        <w:t>特此承诺。</w:t>
      </w:r>
    </w:p>
    <w:p>
      <w:pPr>
        <w:autoSpaceDE w:val="0"/>
        <w:autoSpaceDN w:val="0"/>
        <w:adjustRightInd w:val="0"/>
        <w:snapToGrid w:val="0"/>
        <w:spacing w:line="700" w:lineRule="exact"/>
        <w:rPr>
          <w:rFonts w:ascii="宋体" w:hAnsi="宋体" w:cs="宋体"/>
          <w:snapToGrid w:val="0"/>
          <w:color w:val="auto"/>
          <w:kern w:val="0"/>
          <w:sz w:val="32"/>
          <w:szCs w:val="32"/>
        </w:rPr>
      </w:pPr>
    </w:p>
    <w:p>
      <w:pPr>
        <w:autoSpaceDE w:val="0"/>
        <w:autoSpaceDN w:val="0"/>
        <w:adjustRightInd w:val="0"/>
        <w:snapToGrid w:val="0"/>
        <w:spacing w:line="700" w:lineRule="exact"/>
        <w:ind w:firstLine="640"/>
        <w:rPr>
          <w:rFonts w:ascii="宋体" w:hAnsi="宋体" w:cs="宋体"/>
          <w:snapToGrid w:val="0"/>
          <w:color w:val="auto"/>
          <w:kern w:val="0"/>
          <w:sz w:val="32"/>
          <w:szCs w:val="32"/>
        </w:rPr>
      </w:pPr>
    </w:p>
    <w:p>
      <w:pPr>
        <w:tabs>
          <w:tab w:val="left" w:pos="4200"/>
          <w:tab w:val="left" w:pos="4620"/>
        </w:tabs>
        <w:autoSpaceDE w:val="0"/>
        <w:autoSpaceDN w:val="0"/>
        <w:adjustRightInd w:val="0"/>
        <w:snapToGrid w:val="0"/>
        <w:spacing w:line="700" w:lineRule="exact"/>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70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7140"/>
          <w:tab w:val="left" w:pos="7560"/>
          <w:tab w:val="left" w:pos="8300"/>
        </w:tabs>
        <w:autoSpaceDE w:val="0"/>
        <w:autoSpaceDN w:val="0"/>
        <w:adjustRightInd w:val="0"/>
        <w:spacing w:line="700" w:lineRule="exact"/>
        <w:ind w:firstLine="420" w:firstLineChars="200"/>
        <w:rPr>
          <w:rFonts w:ascii="宋体" w:hAnsi="宋体"/>
          <w:snapToGrid w:val="0"/>
          <w:color w:val="auto"/>
          <w:kern w:val="0"/>
          <w:szCs w:val="21"/>
        </w:rPr>
      </w:pPr>
    </w:p>
    <w:p>
      <w:pPr>
        <w:pStyle w:val="3"/>
        <w:jc w:val="right"/>
        <w:rPr>
          <w:rFonts w:ascii="宋体" w:hAnsi="宋体"/>
          <w:b w:val="0"/>
          <w:bCs w:val="0"/>
          <w:color w:val="auto"/>
          <w:kern w:val="0"/>
          <w:sz w:val="21"/>
          <w:szCs w:val="21"/>
        </w:rPr>
      </w:pPr>
      <w:r>
        <w:rPr>
          <w:rFonts w:hint="eastAsia" w:ascii="宋体" w:hAnsi="宋体"/>
          <w:b w:val="0"/>
          <w:bCs w:val="0"/>
          <w:color w:val="auto"/>
          <w:kern w:val="0"/>
          <w:sz w:val="21"/>
          <w:szCs w:val="21"/>
          <w:u w:val="single"/>
        </w:rPr>
        <w:t xml:space="preserve">    </w:t>
      </w:r>
      <w:r>
        <w:rPr>
          <w:rFonts w:ascii="宋体" w:hAnsi="宋体"/>
          <w:b w:val="0"/>
          <w:bCs w:val="0"/>
          <w:color w:val="auto"/>
          <w:kern w:val="0"/>
          <w:sz w:val="21"/>
          <w:szCs w:val="21"/>
        </w:rPr>
        <w:t>年</w:t>
      </w:r>
      <w:r>
        <w:rPr>
          <w:rFonts w:hint="eastAsia" w:ascii="宋体" w:hAnsi="宋体"/>
          <w:b w:val="0"/>
          <w:bCs w:val="0"/>
          <w:color w:val="auto"/>
          <w:kern w:val="0"/>
          <w:sz w:val="21"/>
          <w:szCs w:val="21"/>
          <w:u w:val="single"/>
        </w:rPr>
        <w:t xml:space="preserve">    </w:t>
      </w:r>
      <w:r>
        <w:rPr>
          <w:rFonts w:ascii="宋体" w:hAnsi="宋体"/>
          <w:b w:val="0"/>
          <w:bCs w:val="0"/>
          <w:color w:val="auto"/>
          <w:kern w:val="0"/>
          <w:sz w:val="21"/>
          <w:szCs w:val="21"/>
        </w:rPr>
        <w:t>月</w:t>
      </w:r>
      <w:r>
        <w:rPr>
          <w:rFonts w:hint="eastAsia" w:ascii="宋体" w:hAnsi="宋体"/>
          <w:b w:val="0"/>
          <w:bCs w:val="0"/>
          <w:color w:val="auto"/>
          <w:kern w:val="0"/>
          <w:sz w:val="21"/>
          <w:szCs w:val="21"/>
          <w:u w:val="single"/>
        </w:rPr>
        <w:t xml:space="preserve">    </w:t>
      </w:r>
      <w:r>
        <w:rPr>
          <w:rFonts w:ascii="宋体" w:hAnsi="宋体"/>
          <w:b w:val="0"/>
          <w:bCs w:val="0"/>
          <w:color w:val="auto"/>
          <w:kern w:val="0"/>
          <w:sz w:val="21"/>
          <w:szCs w:val="21"/>
        </w:rPr>
        <w:t>日</w:t>
      </w:r>
    </w:p>
    <w:p>
      <w:pPr>
        <w:rPr>
          <w:rFonts w:ascii="宋体" w:hAnsi="宋体"/>
          <w:color w:val="auto"/>
          <w:kern w:val="0"/>
          <w:szCs w:val="21"/>
        </w:rPr>
      </w:pPr>
      <w:r>
        <w:rPr>
          <w:rFonts w:ascii="宋体" w:hAnsi="宋体"/>
          <w:color w:val="auto"/>
          <w:kern w:val="0"/>
          <w:szCs w:val="21"/>
        </w:rPr>
        <w:br w:type="page"/>
      </w:r>
    </w:p>
    <w:p>
      <w:pPr>
        <w:pStyle w:val="3"/>
        <w:jc w:val="center"/>
        <w:rPr>
          <w:rFonts w:ascii="宋体" w:hAnsi="宋体"/>
          <w:b w:val="0"/>
          <w:bCs w:val="0"/>
          <w:color w:val="auto"/>
        </w:rPr>
      </w:pPr>
      <w:r>
        <w:rPr>
          <w:rFonts w:hint="eastAsia" w:ascii="宋体" w:hAnsi="宋体"/>
          <w:b w:val="0"/>
          <w:bCs w:val="0"/>
          <w:color w:val="auto"/>
        </w:rPr>
        <w:t>二、经济部分</w:t>
      </w:r>
      <w:bookmarkEnd w:id="565"/>
      <w:bookmarkEnd w:id="566"/>
      <w:bookmarkEnd w:id="567"/>
      <w:bookmarkEnd w:id="568"/>
      <w:bookmarkEnd w:id="569"/>
      <w:bookmarkEnd w:id="570"/>
    </w:p>
    <w:p>
      <w:pPr>
        <w:spacing w:line="360" w:lineRule="auto"/>
        <w:jc w:val="center"/>
        <w:rPr>
          <w:rFonts w:ascii="宋体" w:hAnsi="宋体"/>
          <w:color w:val="auto"/>
          <w:kern w:val="0"/>
          <w:sz w:val="32"/>
          <w:szCs w:val="32"/>
        </w:rPr>
      </w:pPr>
      <w:r>
        <w:rPr>
          <w:rFonts w:ascii="宋体" w:hAnsi="宋体"/>
          <w:color w:val="auto"/>
          <w:kern w:val="0"/>
          <w:sz w:val="28"/>
          <w:szCs w:val="28"/>
        </w:rPr>
        <w:br w:type="page"/>
      </w:r>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经济部分</w:t>
      </w: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autoSpaceDE w:val="0"/>
        <w:autoSpaceDN w:val="0"/>
        <w:adjustRightInd w:val="0"/>
        <w:snapToGrid w:val="0"/>
        <w:spacing w:line="360" w:lineRule="auto"/>
        <w:jc w:val="left"/>
        <w:rPr>
          <w:rFonts w:ascii="宋体" w:hAnsi="宋体"/>
          <w:b/>
          <w:color w:val="auto"/>
          <w:kern w:val="0"/>
          <w:sz w:val="20"/>
        </w:rPr>
      </w:pPr>
    </w:p>
    <w:p>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b/>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tabs>
          <w:tab w:val="left" w:pos="3280"/>
          <w:tab w:val="left" w:pos="4680"/>
          <w:tab w:val="left" w:pos="6080"/>
        </w:tabs>
        <w:autoSpaceDE w:val="0"/>
        <w:autoSpaceDN w:val="0"/>
        <w:adjustRightInd w:val="0"/>
        <w:snapToGrid w:val="0"/>
        <w:spacing w:after="120" w:afterLines="50" w:line="360" w:lineRule="auto"/>
        <w:jc w:val="center"/>
        <w:rPr>
          <w:rFonts w:ascii="宋体" w:hAnsi="宋体"/>
          <w:color w:val="auto"/>
          <w:kern w:val="0"/>
          <w:sz w:val="28"/>
          <w:szCs w:val="28"/>
        </w:rPr>
      </w:pP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ascii="宋体" w:hAnsi="宋体"/>
          <w:color w:val="auto"/>
          <w:w w:val="99"/>
          <w:kern w:val="0"/>
          <w:sz w:val="28"/>
          <w:szCs w:val="28"/>
        </w:rPr>
        <w:t>年</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ascii="宋体" w:hAnsi="宋体"/>
          <w:color w:val="auto"/>
          <w:w w:val="99"/>
          <w:kern w:val="0"/>
          <w:sz w:val="28"/>
          <w:szCs w:val="28"/>
        </w:rPr>
        <w:t>月</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ascii="宋体" w:hAnsi="宋体"/>
          <w:color w:val="auto"/>
          <w:w w:val="99"/>
          <w:kern w:val="0"/>
          <w:sz w:val="28"/>
          <w:szCs w:val="28"/>
        </w:rPr>
        <w:t>日</w:t>
      </w:r>
    </w:p>
    <w:p>
      <w:pPr>
        <w:autoSpaceDE w:val="0"/>
        <w:autoSpaceDN w:val="0"/>
        <w:adjustRightInd w:val="0"/>
        <w:snapToGrid w:val="0"/>
        <w:spacing w:line="360" w:lineRule="auto"/>
        <w:jc w:val="left"/>
        <w:rPr>
          <w:rFonts w:ascii="宋体" w:hAnsi="宋体"/>
          <w:color w:val="auto"/>
          <w:kern w:val="0"/>
          <w:sz w:val="24"/>
          <w:szCs w:val="21"/>
        </w:rPr>
      </w:pPr>
      <w:r>
        <w:rPr>
          <w:rFonts w:ascii="宋体" w:hAnsi="宋体"/>
          <w:color w:val="auto"/>
          <w:kern w:val="0"/>
          <w:sz w:val="24"/>
          <w:szCs w:val="21"/>
        </w:rPr>
        <w:br w:type="page"/>
      </w:r>
    </w:p>
    <w:p>
      <w:pPr>
        <w:autoSpaceDE w:val="0"/>
        <w:autoSpaceDN w:val="0"/>
        <w:adjustRightInd w:val="0"/>
        <w:snapToGrid w:val="0"/>
        <w:spacing w:line="360" w:lineRule="auto"/>
        <w:jc w:val="center"/>
        <w:rPr>
          <w:rFonts w:ascii="宋体" w:hAnsi="宋体"/>
          <w:color w:val="auto"/>
          <w:kern w:val="0"/>
          <w:sz w:val="32"/>
          <w:szCs w:val="32"/>
        </w:rPr>
      </w:pPr>
      <w:r>
        <w:rPr>
          <w:rFonts w:hint="eastAsia" w:ascii="宋体" w:hAnsi="宋体"/>
          <w:color w:val="auto"/>
          <w:kern w:val="0"/>
          <w:sz w:val="32"/>
          <w:szCs w:val="32"/>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4"/>
        <w:spacing w:line="240" w:lineRule="auto"/>
        <w:rPr>
          <w:rFonts w:ascii="宋体" w:hAnsi="宋体"/>
          <w:b w:val="0"/>
          <w:bCs w:val="0"/>
          <w:color w:val="auto"/>
        </w:rPr>
      </w:pPr>
      <w:bookmarkStart w:id="571" w:name="_Toc287607873"/>
      <w:bookmarkStart w:id="572" w:name="_Toc224103501"/>
      <w:bookmarkStart w:id="573" w:name="_Toc277082648"/>
      <w:bookmarkStart w:id="574" w:name="_Toc430530535"/>
      <w:bookmarkStart w:id="575" w:name="_Toc287620820"/>
      <w:r>
        <w:rPr>
          <w:rFonts w:ascii="宋体" w:hAnsi="宋体"/>
          <w:b w:val="0"/>
          <w:bCs w:val="0"/>
          <w:color w:val="auto"/>
          <w:kern w:val="0"/>
          <w:sz w:val="21"/>
          <w:szCs w:val="21"/>
        </w:rPr>
        <w:br w:type="page"/>
      </w:r>
      <w:bookmarkStart w:id="576" w:name="_Toc31355"/>
      <w:bookmarkStart w:id="577" w:name="_Toc29951"/>
      <w:bookmarkStart w:id="578" w:name="_Toc8771"/>
      <w:r>
        <w:rPr>
          <w:rFonts w:hint="eastAsia" w:ascii="宋体" w:hAnsi="宋体"/>
          <w:b w:val="0"/>
          <w:bCs w:val="0"/>
          <w:color w:val="auto"/>
        </w:rPr>
        <w:t>（一）已标价工程量清单</w:t>
      </w:r>
      <w:bookmarkEnd w:id="571"/>
      <w:bookmarkEnd w:id="572"/>
      <w:bookmarkEnd w:id="573"/>
      <w:bookmarkEnd w:id="574"/>
      <w:bookmarkEnd w:id="575"/>
      <w:bookmarkEnd w:id="576"/>
      <w:bookmarkEnd w:id="577"/>
      <w:bookmarkEnd w:id="578"/>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pPr>
        <w:pStyle w:val="3"/>
        <w:rPr>
          <w:rFonts w:ascii="宋体" w:hAnsi="宋体"/>
          <w:color w:val="auto"/>
          <w:kern w:val="0"/>
          <w:sz w:val="24"/>
          <w:szCs w:val="21"/>
        </w:rPr>
      </w:pPr>
      <w:bookmarkStart w:id="579" w:name="_Toc430530536"/>
      <w:bookmarkStart w:id="580" w:name="_Toc224103502"/>
      <w:bookmarkStart w:id="581" w:name="_Toc287620821"/>
      <w:bookmarkStart w:id="582" w:name="_Toc287607874"/>
      <w:r>
        <w:rPr>
          <w:rFonts w:ascii="宋体" w:hAnsi="宋体"/>
          <w:color w:val="auto"/>
        </w:rPr>
        <w:br w:type="page"/>
      </w:r>
    </w:p>
    <w:p>
      <w:pPr>
        <w:pStyle w:val="3"/>
        <w:jc w:val="center"/>
        <w:rPr>
          <w:rFonts w:ascii="宋体" w:hAnsi="宋体"/>
          <w:b w:val="0"/>
          <w:bCs w:val="0"/>
          <w:color w:val="auto"/>
        </w:rPr>
      </w:pPr>
      <w:bookmarkStart w:id="583" w:name="_Toc13970"/>
      <w:bookmarkStart w:id="584" w:name="_Toc11334"/>
      <w:r>
        <w:rPr>
          <w:rFonts w:hint="eastAsia" w:ascii="宋体" w:hAnsi="宋体"/>
          <w:b w:val="0"/>
          <w:bCs w:val="0"/>
          <w:color w:val="auto"/>
        </w:rPr>
        <w:t>三、</w:t>
      </w:r>
      <w:bookmarkEnd w:id="579"/>
      <w:bookmarkEnd w:id="580"/>
      <w:bookmarkEnd w:id="581"/>
      <w:bookmarkEnd w:id="582"/>
      <w:r>
        <w:rPr>
          <w:rFonts w:hint="eastAsia" w:ascii="宋体" w:hAnsi="宋体"/>
          <w:b w:val="0"/>
          <w:bCs w:val="0"/>
          <w:color w:val="auto"/>
        </w:rPr>
        <w:t>资格审查部分</w:t>
      </w:r>
      <w:bookmarkEnd w:id="583"/>
      <w:bookmarkEnd w:id="584"/>
    </w:p>
    <w:p>
      <w:pPr>
        <w:spacing w:line="360" w:lineRule="auto"/>
        <w:jc w:val="center"/>
        <w:rPr>
          <w:rFonts w:ascii="宋体" w:hAnsi="宋体"/>
          <w:color w:val="auto"/>
          <w:kern w:val="0"/>
          <w:sz w:val="32"/>
          <w:szCs w:val="32"/>
        </w:rPr>
      </w:pPr>
      <w:r>
        <w:rPr>
          <w:rFonts w:ascii="宋体" w:hAnsi="宋体"/>
          <w:color w:val="auto"/>
          <w:sz w:val="32"/>
          <w:szCs w:val="32"/>
        </w:rPr>
        <w:br w:type="page"/>
      </w:r>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center"/>
        <w:rPr>
          <w:rFonts w:ascii="宋体" w:hAnsi="宋体"/>
          <w:color w:val="auto"/>
          <w:kern w:val="0"/>
          <w:sz w:val="36"/>
          <w:szCs w:val="36"/>
        </w:rPr>
      </w:pPr>
      <w:r>
        <w:rPr>
          <w:rFonts w:hint="eastAsia" w:ascii="宋体" w:hAnsi="宋体"/>
          <w:color w:val="auto"/>
          <w:kern w:val="0"/>
          <w:sz w:val="36"/>
          <w:szCs w:val="36"/>
        </w:rPr>
        <w:t>资格审查部分</w:t>
      </w:r>
    </w:p>
    <w:p>
      <w:pPr>
        <w:autoSpaceDE w:val="0"/>
        <w:autoSpaceDN w:val="0"/>
        <w:adjustRightInd w:val="0"/>
        <w:snapToGrid w:val="0"/>
        <w:spacing w:line="360" w:lineRule="auto"/>
        <w:jc w:val="left"/>
        <w:rPr>
          <w:rFonts w:ascii="宋体" w:hAnsi="宋体" w:cs="MingLiU"/>
          <w:color w:val="auto"/>
          <w:kern w:val="0"/>
          <w:sz w:val="20"/>
        </w:rPr>
      </w:pPr>
    </w:p>
    <w:p>
      <w:pPr>
        <w:adjustRightInd w:val="0"/>
        <w:snapToGrid w:val="0"/>
        <w:spacing w:line="264" w:lineRule="auto"/>
        <w:rPr>
          <w:rFonts w:ascii="宋体" w:hAnsi="宋体"/>
          <w:color w:val="auto"/>
          <w:szCs w:val="21"/>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autoSpaceDE w:val="0"/>
        <w:autoSpaceDN w:val="0"/>
        <w:adjustRightInd w:val="0"/>
        <w:snapToGrid w:val="0"/>
        <w:spacing w:line="360" w:lineRule="auto"/>
        <w:jc w:val="left"/>
        <w:rPr>
          <w:rFonts w:ascii="宋体" w:hAnsi="宋体" w:cs="MingLiU"/>
          <w:color w:val="auto"/>
          <w:kern w:val="0"/>
          <w:sz w:val="20"/>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line="480" w:lineRule="auto"/>
        <w:ind w:firstLine="1108" w:firstLineChars="400"/>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rPr>
      </w:pP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年</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月</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198"/>
          <w:kern w:val="0"/>
          <w:sz w:val="28"/>
          <w:szCs w:val="28"/>
          <w:u w:val="single"/>
        </w:rPr>
        <w:t xml:space="preserve"> </w:t>
      </w:r>
      <w:r>
        <w:rPr>
          <w:rFonts w:hint="eastAsia" w:ascii="宋体" w:hAnsi="宋体"/>
          <w:color w:val="auto"/>
          <w:w w:val="198"/>
          <w:kern w:val="0"/>
          <w:sz w:val="28"/>
          <w:szCs w:val="28"/>
          <w:u w:val="single"/>
        </w:rPr>
        <w:t xml:space="preserve"> </w:t>
      </w:r>
      <w:r>
        <w:rPr>
          <w:rFonts w:ascii="宋体" w:hAnsi="宋体"/>
          <w:color w:val="auto"/>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rPr>
      </w:pPr>
      <w:r>
        <w:rPr>
          <w:rFonts w:ascii="宋体" w:hAnsi="宋体"/>
          <w:color w:val="auto"/>
          <w:w w:val="99"/>
          <w:kern w:val="0"/>
          <w:sz w:val="28"/>
          <w:szCs w:val="28"/>
        </w:rPr>
        <w:br w:type="page"/>
      </w:r>
    </w:p>
    <w:p>
      <w:pPr>
        <w:autoSpaceDE w:val="0"/>
        <w:autoSpaceDN w:val="0"/>
        <w:adjustRightInd w:val="0"/>
        <w:snapToGrid w:val="0"/>
        <w:jc w:val="center"/>
        <w:rPr>
          <w:rFonts w:ascii="宋体" w:hAnsi="宋体"/>
          <w:color w:val="auto"/>
          <w:kern w:val="0"/>
          <w:sz w:val="32"/>
          <w:szCs w:val="32"/>
        </w:rPr>
      </w:pPr>
      <w:r>
        <w:rPr>
          <w:rFonts w:hint="eastAsia" w:ascii="宋体" w:hAnsi="宋体"/>
          <w:color w:val="auto"/>
          <w:kern w:val="0"/>
          <w:sz w:val="32"/>
          <w:szCs w:val="32"/>
        </w:rPr>
        <w:t>目  录</w:t>
      </w:r>
    </w:p>
    <w:p>
      <w:pPr>
        <w:spacing w:line="360" w:lineRule="auto"/>
        <w:jc w:val="center"/>
        <w:rPr>
          <w:rFonts w:ascii="宋体" w:hAnsi="宋体"/>
          <w:b/>
          <w:color w:val="auto"/>
          <w:kern w:val="0"/>
          <w:sz w:val="32"/>
          <w:szCs w:val="32"/>
        </w:rPr>
      </w:pPr>
    </w:p>
    <w:p>
      <w:pPr>
        <w:spacing w:line="700" w:lineRule="exact"/>
        <w:ind w:firstLine="480" w:firstLineChars="200"/>
        <w:rPr>
          <w:rFonts w:ascii="宋体" w:hAnsi="宋体"/>
          <w:color w:val="auto"/>
          <w:sz w:val="24"/>
          <w:szCs w:val="24"/>
        </w:rPr>
      </w:pPr>
      <w:r>
        <w:rPr>
          <w:rFonts w:ascii="宋体" w:hAnsi="宋体"/>
          <w:color w:val="auto"/>
          <w:sz w:val="24"/>
          <w:szCs w:val="24"/>
        </w:rPr>
        <w:t>（一）</w:t>
      </w:r>
      <w:r>
        <w:rPr>
          <w:rFonts w:hint="eastAsia" w:ascii="宋体" w:hAnsi="宋体"/>
          <w:color w:val="auto"/>
          <w:sz w:val="24"/>
          <w:szCs w:val="24"/>
        </w:rPr>
        <w:t>法定代表人身份证明或附有法定代表人身份证明的授权委托书</w:t>
      </w:r>
    </w:p>
    <w:p>
      <w:pPr>
        <w:spacing w:line="700" w:lineRule="exact"/>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二</w:t>
      </w:r>
      <w:r>
        <w:rPr>
          <w:rFonts w:ascii="宋体" w:hAnsi="宋体"/>
          <w:color w:val="auto"/>
          <w:sz w:val="24"/>
          <w:szCs w:val="24"/>
        </w:rPr>
        <w:t>）投标人基本情况表</w:t>
      </w:r>
    </w:p>
    <w:p>
      <w:pPr>
        <w:spacing w:line="700" w:lineRule="exact"/>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三</w:t>
      </w:r>
      <w:r>
        <w:rPr>
          <w:rFonts w:ascii="宋体" w:hAnsi="宋体"/>
          <w:color w:val="auto"/>
          <w:sz w:val="24"/>
          <w:szCs w:val="24"/>
        </w:rPr>
        <w:t>）项目管理机构</w:t>
      </w:r>
    </w:p>
    <w:p>
      <w:pPr>
        <w:spacing w:line="700" w:lineRule="exact"/>
        <w:ind w:firstLine="480" w:firstLineChars="200"/>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四</w:t>
      </w:r>
      <w:r>
        <w:rPr>
          <w:rFonts w:ascii="宋体" w:hAnsi="宋体"/>
          <w:color w:val="auto"/>
          <w:sz w:val="24"/>
          <w:szCs w:val="24"/>
        </w:rPr>
        <w:t>）</w:t>
      </w:r>
      <w:r>
        <w:rPr>
          <w:rFonts w:hint="eastAsia" w:ascii="宋体" w:hAnsi="宋体"/>
          <w:color w:val="auto"/>
          <w:sz w:val="24"/>
          <w:szCs w:val="24"/>
        </w:rPr>
        <w:t>承诺</w:t>
      </w:r>
    </w:p>
    <w:p>
      <w:pPr>
        <w:spacing w:line="700" w:lineRule="exact"/>
        <w:ind w:firstLine="480" w:firstLineChars="200"/>
        <w:jc w:val="left"/>
        <w:rPr>
          <w:rFonts w:ascii="宋体" w:hAnsi="宋体"/>
          <w:b/>
          <w:color w:val="auto"/>
          <w:kern w:val="0"/>
          <w:sz w:val="24"/>
          <w:szCs w:val="24"/>
        </w:rPr>
      </w:pPr>
      <w:r>
        <w:rPr>
          <w:rFonts w:ascii="宋体" w:hAnsi="宋体"/>
          <w:color w:val="auto"/>
          <w:sz w:val="24"/>
          <w:szCs w:val="24"/>
        </w:rPr>
        <w:t>（</w:t>
      </w:r>
      <w:r>
        <w:rPr>
          <w:rFonts w:hint="eastAsia" w:ascii="宋体" w:hAnsi="宋体"/>
          <w:color w:val="auto"/>
          <w:sz w:val="24"/>
          <w:szCs w:val="24"/>
        </w:rPr>
        <w:t>五</w:t>
      </w:r>
      <w:r>
        <w:rPr>
          <w:rFonts w:ascii="宋体" w:hAnsi="宋体"/>
          <w:color w:val="auto"/>
          <w:sz w:val="24"/>
          <w:szCs w:val="24"/>
        </w:rPr>
        <w:t>）其他资料</w:t>
      </w:r>
    </w:p>
    <w:p>
      <w:pPr>
        <w:spacing w:line="360" w:lineRule="auto"/>
        <w:jc w:val="center"/>
        <w:rPr>
          <w:rFonts w:ascii="宋体" w:hAnsi="宋体"/>
          <w:b/>
          <w:color w:val="auto"/>
          <w:kern w:val="0"/>
          <w:sz w:val="32"/>
          <w:szCs w:val="32"/>
        </w:rPr>
      </w:pPr>
    </w:p>
    <w:p>
      <w:pPr>
        <w:pStyle w:val="4"/>
        <w:spacing w:line="240" w:lineRule="auto"/>
        <w:rPr>
          <w:rFonts w:ascii="宋体" w:hAnsi="宋体"/>
          <w:color w:val="auto"/>
          <w:sz w:val="36"/>
          <w:szCs w:val="36"/>
        </w:rPr>
      </w:pPr>
      <w:r>
        <w:rPr>
          <w:rFonts w:ascii="宋体" w:hAnsi="宋体"/>
          <w:color w:val="auto"/>
        </w:rPr>
        <w:br w:type="page"/>
      </w:r>
      <w:bookmarkStart w:id="585" w:name="_Toc19892"/>
      <w:bookmarkStart w:id="586" w:name="_Toc224103511"/>
      <w:bookmarkStart w:id="587" w:name="_Toc287607883"/>
      <w:bookmarkStart w:id="588" w:name="_Toc277082657"/>
      <w:bookmarkStart w:id="589" w:name="_Toc430530546"/>
      <w:bookmarkStart w:id="590" w:name="_Toc287620830"/>
      <w:bookmarkStart w:id="591" w:name="_Toc15507"/>
      <w:r>
        <w:rPr>
          <w:rFonts w:hint="eastAsia" w:ascii="宋体" w:hAnsi="宋体"/>
          <w:b w:val="0"/>
          <w:bCs w:val="0"/>
          <w:color w:val="auto"/>
        </w:rPr>
        <w:t>（一）法定代表人身份证明或附有法定代表人身份证明的授权委托书</w:t>
      </w:r>
      <w:bookmarkEnd w:id="585"/>
      <w:bookmarkEnd w:id="586"/>
      <w:bookmarkEnd w:id="587"/>
      <w:bookmarkEnd w:id="588"/>
      <w:bookmarkEnd w:id="589"/>
      <w:bookmarkEnd w:id="590"/>
      <w:bookmarkEnd w:id="591"/>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700" w:lineRule="exact"/>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700" w:lineRule="exact"/>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700" w:lineRule="exact"/>
        <w:ind w:firstLine="810" w:firstLineChars="386"/>
        <w:jc w:val="left"/>
        <w:rPr>
          <w:rFonts w:ascii="宋体" w:hAnsi="宋体"/>
          <w:color w:val="auto"/>
          <w:kern w:val="0"/>
          <w:szCs w:val="21"/>
        </w:rPr>
      </w:pPr>
    </w:p>
    <w:p>
      <w:pPr>
        <w:autoSpaceDE w:val="0"/>
        <w:autoSpaceDN w:val="0"/>
        <w:adjustRightInd w:val="0"/>
        <w:snapToGrid w:val="0"/>
        <w:spacing w:line="700" w:lineRule="exact"/>
        <w:ind w:firstLine="810" w:firstLineChars="386"/>
        <w:jc w:val="left"/>
        <w:rPr>
          <w:rFonts w:ascii="宋体" w:hAnsi="宋体"/>
          <w:color w:val="auto"/>
          <w:szCs w:val="21"/>
        </w:rPr>
      </w:pPr>
      <w:r>
        <w:rPr>
          <w:rFonts w:hint="eastAsia" w:ascii="宋体" w:hAnsi="宋体"/>
          <w:color w:val="auto"/>
          <w:kern w:val="0"/>
          <w:szCs w:val="21"/>
        </w:rPr>
        <w:t>附：法定代表人身份证明扫描件（双面）</w:t>
      </w:r>
    </w:p>
    <w:p>
      <w:pPr>
        <w:autoSpaceDE w:val="0"/>
        <w:autoSpaceDN w:val="0"/>
        <w:adjustRightInd w:val="0"/>
        <w:snapToGrid w:val="0"/>
        <w:spacing w:line="700" w:lineRule="exact"/>
        <w:ind w:firstLine="420" w:firstLineChars="200"/>
        <w:jc w:val="right"/>
        <w:rPr>
          <w:rFonts w:ascii="宋体" w:hAnsi="宋体"/>
          <w:color w:val="auto"/>
          <w:kern w:val="0"/>
          <w:szCs w:val="21"/>
        </w:rPr>
      </w:pPr>
    </w:p>
    <w:p>
      <w:pPr>
        <w:autoSpaceDE w:val="0"/>
        <w:autoSpaceDN w:val="0"/>
        <w:adjustRightInd w:val="0"/>
        <w:snapToGrid w:val="0"/>
        <w:spacing w:line="700" w:lineRule="exact"/>
        <w:ind w:firstLine="420" w:firstLineChars="200"/>
        <w:jc w:val="right"/>
        <w:rPr>
          <w:rFonts w:ascii="宋体" w:hAnsi="宋体"/>
          <w:color w:val="auto"/>
          <w:kern w:val="0"/>
          <w:sz w:val="20"/>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tabs>
          <w:tab w:val="left" w:pos="4935"/>
          <w:tab w:val="left" w:pos="5460"/>
          <w:tab w:val="left" w:pos="6400"/>
        </w:tabs>
        <w:wordWrap w:val="0"/>
        <w:autoSpaceDE w:val="0"/>
        <w:autoSpaceDN w:val="0"/>
        <w:adjustRightInd w:val="0"/>
        <w:snapToGrid w:val="0"/>
        <w:spacing w:line="700" w:lineRule="exact"/>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700" w:lineRule="exact"/>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700" w:lineRule="exact"/>
        <w:ind w:firstLine="411" w:firstLineChars="196"/>
        <w:jc w:val="left"/>
        <w:rPr>
          <w:rFonts w:ascii="宋体" w:hAnsi="宋体"/>
          <w:color w:val="auto"/>
          <w:kern w:val="0"/>
          <w:szCs w:val="21"/>
        </w:rPr>
      </w:pPr>
      <w:r>
        <w:rPr>
          <w:rFonts w:ascii="宋体" w:hAnsi="宋体"/>
          <w:color w:val="auto"/>
        </w:rPr>
        <w:t>注：法定代表人身份证明需按上述格式填写完整，不可缺少内容。在此基础上增加内容的不影响其有效性</w:t>
      </w:r>
      <w:r>
        <w:rPr>
          <w:rFonts w:hint="eastAsia" w:ascii="宋体" w:hAnsi="宋体"/>
          <w:color w:val="auto"/>
          <w:kern w:val="0"/>
          <w:szCs w:val="21"/>
        </w:rPr>
        <w:t>。</w:t>
      </w:r>
    </w:p>
    <w:p>
      <w:pPr>
        <w:tabs>
          <w:tab w:val="left" w:pos="1680"/>
          <w:tab w:val="left" w:pos="4215"/>
          <w:tab w:val="left" w:pos="4305"/>
          <w:tab w:val="left" w:pos="8000"/>
        </w:tabs>
        <w:autoSpaceDE w:val="0"/>
        <w:autoSpaceDN w:val="0"/>
        <w:adjustRightInd w:val="0"/>
        <w:snapToGrid w:val="0"/>
        <w:spacing w:line="700" w:lineRule="exact"/>
        <w:ind w:firstLine="411" w:firstLineChars="196"/>
        <w:jc w:val="left"/>
        <w:rPr>
          <w:rFonts w:ascii="宋体" w:hAnsi="宋体"/>
          <w:color w:val="auto"/>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rPr>
      </w:pPr>
      <w:r>
        <w:rPr>
          <w:rFonts w:ascii="宋体" w:hAnsi="宋体"/>
          <w:b/>
          <w:color w:val="auto"/>
          <w:kern w:val="0"/>
          <w:sz w:val="28"/>
          <w:szCs w:val="28"/>
        </w:rPr>
        <w:br w:type="page"/>
      </w:r>
      <w:r>
        <w:rPr>
          <w:rFonts w:ascii="宋体" w:hAnsi="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rPr>
      </w:pPr>
    </w:p>
    <w:p>
      <w:pPr>
        <w:tabs>
          <w:tab w:val="left" w:pos="1680"/>
          <w:tab w:val="left" w:pos="4215"/>
          <w:tab w:val="left" w:pos="4305"/>
          <w:tab w:val="left" w:pos="8000"/>
        </w:tabs>
        <w:autoSpaceDE w:val="0"/>
        <w:autoSpaceDN w:val="0"/>
        <w:adjustRightInd w:val="0"/>
        <w:snapToGrid w:val="0"/>
        <w:spacing w:line="700" w:lineRule="exact"/>
        <w:ind w:firstLine="420"/>
        <w:jc w:val="left"/>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 修改</w:t>
      </w:r>
      <w:r>
        <w:rPr>
          <w:rFonts w:hint="eastAsia" w:ascii="宋体" w:hAnsi="宋体"/>
          <w:color w:val="auto"/>
          <w:w w:val="200"/>
          <w:kern w:val="0"/>
          <w:szCs w:val="21"/>
          <w:u w:val="single"/>
        </w:rPr>
        <w:t xml:space="preserve">        </w:t>
      </w:r>
      <w:r>
        <w:rPr>
          <w:rFonts w:ascii="宋体" w:hAnsi="宋体"/>
          <w:color w:val="auto"/>
          <w:kern w:val="0"/>
          <w:szCs w:val="21"/>
          <w:u w:val="single"/>
        </w:rPr>
        <w:t>（项</w:t>
      </w:r>
      <w:r>
        <w:rPr>
          <w:rFonts w:ascii="宋体" w:hAnsi="宋体"/>
          <w:color w:val="auto"/>
          <w:spacing w:val="-1"/>
          <w:kern w:val="0"/>
          <w:szCs w:val="21"/>
          <w:u w:val="single"/>
        </w:rPr>
        <w:t>目</w:t>
      </w:r>
      <w:r>
        <w:rPr>
          <w:rFonts w:ascii="宋体" w:hAnsi="宋体"/>
          <w:color w:val="auto"/>
          <w:kern w:val="0"/>
          <w:szCs w:val="21"/>
          <w:u w:val="single"/>
        </w:rPr>
        <w:t>名称）</w:t>
      </w:r>
      <w:r>
        <w:rPr>
          <w:rFonts w:ascii="宋体" w:hAnsi="宋体"/>
          <w:color w:val="auto"/>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hint="eastAsia" w:ascii="宋体" w:hAnsi="宋体"/>
          <w:color w:val="auto"/>
          <w:w w:val="200"/>
          <w:kern w:val="0"/>
          <w:szCs w:val="21"/>
          <w:u w:val="single"/>
        </w:rPr>
        <w:t xml:space="preserve">        </w:t>
      </w:r>
      <w:r>
        <w:rPr>
          <w:rFonts w:ascii="宋体" w:hAnsi="宋体"/>
          <w:color w:val="auto"/>
          <w:kern w:val="0"/>
          <w:szCs w:val="21"/>
        </w:rPr>
        <w:t xml:space="preserve">。 </w:t>
      </w:r>
    </w:p>
    <w:p>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color w:val="auto"/>
          <w:kern w:val="0"/>
          <w:szCs w:val="21"/>
        </w:rPr>
      </w:pPr>
      <w:r>
        <w:rPr>
          <w:rFonts w:ascii="宋体" w:hAnsi="宋体"/>
          <w:color w:val="auto"/>
          <w:kern w:val="0"/>
          <w:szCs w:val="21"/>
        </w:rPr>
        <w:t>代理人无转委托权。</w:t>
      </w:r>
    </w:p>
    <w:p>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color w:val="auto"/>
          <w:kern w:val="0"/>
          <w:szCs w:val="21"/>
        </w:rPr>
      </w:pPr>
    </w:p>
    <w:p>
      <w:pPr>
        <w:tabs>
          <w:tab w:val="left" w:pos="1680"/>
          <w:tab w:val="left" w:pos="4200"/>
          <w:tab w:val="left" w:pos="4305"/>
          <w:tab w:val="left" w:pos="8000"/>
        </w:tabs>
        <w:autoSpaceDE w:val="0"/>
        <w:autoSpaceDN w:val="0"/>
        <w:adjustRightInd w:val="0"/>
        <w:snapToGrid w:val="0"/>
        <w:spacing w:line="700" w:lineRule="exact"/>
        <w:ind w:firstLine="420"/>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70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700" w:lineRule="exact"/>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700" w:lineRule="exact"/>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hint="eastAsia" w:ascii="宋体" w:hAnsi="宋体"/>
          <w:color w:val="auto"/>
          <w:spacing w:val="-1"/>
          <w:kern w:val="0"/>
          <w:szCs w:val="21"/>
        </w:rPr>
        <w:t>）</w:t>
      </w:r>
    </w:p>
    <w:p>
      <w:pPr>
        <w:tabs>
          <w:tab w:val="left" w:pos="6825"/>
        </w:tabs>
        <w:autoSpaceDE w:val="0"/>
        <w:autoSpaceDN w:val="0"/>
        <w:adjustRightInd w:val="0"/>
        <w:snapToGrid w:val="0"/>
        <w:spacing w:line="700" w:lineRule="exact"/>
        <w:ind w:firstLine="420" w:firstLineChars="200"/>
        <w:jc w:val="left"/>
        <w:rPr>
          <w:rFonts w:ascii="宋体" w:hAnsi="宋体"/>
          <w:color w:val="auto"/>
          <w:w w:val="200"/>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6825"/>
        </w:tabs>
        <w:autoSpaceDE w:val="0"/>
        <w:autoSpaceDN w:val="0"/>
        <w:adjustRightInd w:val="0"/>
        <w:snapToGrid w:val="0"/>
        <w:spacing w:line="700" w:lineRule="exact"/>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5260"/>
        </w:tabs>
        <w:autoSpaceDE w:val="0"/>
        <w:autoSpaceDN w:val="0"/>
        <w:adjustRightInd w:val="0"/>
        <w:snapToGrid w:val="0"/>
        <w:spacing w:line="700" w:lineRule="exact"/>
        <w:ind w:firstLine="420" w:firstLineChars="200"/>
        <w:jc w:val="left"/>
        <w:rPr>
          <w:rFonts w:ascii="宋体" w:hAnsi="宋体"/>
          <w:color w:val="auto"/>
          <w:kern w:val="0"/>
          <w:szCs w:val="21"/>
        </w:rPr>
      </w:pPr>
      <w:r>
        <w:rPr>
          <w:rFonts w:hint="eastAsia" w:ascii="宋体" w:hAnsi="宋体"/>
          <w:color w:val="auto"/>
          <w:kern w:val="0"/>
          <w:szCs w:val="21"/>
        </w:rPr>
        <w:t xml:space="preserve">委托代理人电话（手机）：                                          </w:t>
      </w:r>
    </w:p>
    <w:p>
      <w:pPr>
        <w:autoSpaceDE w:val="0"/>
        <w:autoSpaceDN w:val="0"/>
        <w:adjustRightInd w:val="0"/>
        <w:snapToGrid w:val="0"/>
        <w:spacing w:line="700" w:lineRule="exact"/>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700" w:lineRule="exact"/>
        <w:ind w:firstLine="3780"/>
        <w:jc w:val="right"/>
        <w:rPr>
          <w:rFonts w:ascii="宋体" w:hAnsi="宋体"/>
          <w:color w:val="auto"/>
          <w:kern w:val="0"/>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hint="eastAsia" w:ascii="宋体" w:hAnsi="宋体"/>
          <w:color w:val="auto"/>
          <w:w w:val="200"/>
          <w:kern w:val="0"/>
          <w:szCs w:val="21"/>
          <w:u w:val="single"/>
          <w:lang w:eastAsia="zh-CN"/>
        </w:rPr>
        <w:t>6月12日</w:t>
      </w:r>
      <w:r>
        <w:rPr>
          <w:rFonts w:hint="eastAsia"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700" w:lineRule="exact"/>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700" w:lineRule="exact"/>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autoSpaceDE w:val="0"/>
        <w:autoSpaceDN w:val="0"/>
        <w:adjustRightInd w:val="0"/>
        <w:snapToGrid w:val="0"/>
        <w:jc w:val="center"/>
        <w:rPr>
          <w:rFonts w:ascii="宋体" w:hAnsi="宋体"/>
          <w:color w:val="auto"/>
        </w:rPr>
      </w:pPr>
      <w:r>
        <w:rPr>
          <w:rFonts w:ascii="宋体" w:hAnsi="宋体"/>
          <w:color w:val="auto"/>
        </w:rPr>
        <w:br w:type="page"/>
      </w:r>
    </w:p>
    <w:p>
      <w:pPr>
        <w:pStyle w:val="4"/>
        <w:spacing w:line="240" w:lineRule="auto"/>
        <w:rPr>
          <w:rFonts w:ascii="宋体" w:hAnsi="宋体"/>
          <w:color w:val="auto"/>
        </w:rPr>
      </w:pPr>
      <w:bookmarkStart w:id="592" w:name="_Toc287607884"/>
      <w:bookmarkStart w:id="593" w:name="_Toc277082658"/>
      <w:bookmarkStart w:id="594" w:name="_Toc224103512"/>
      <w:bookmarkStart w:id="595" w:name="_Toc430530547"/>
      <w:bookmarkStart w:id="596" w:name="_Toc287620831"/>
      <w:bookmarkStart w:id="597" w:name="_Toc5288"/>
      <w:bookmarkStart w:id="598" w:name="_Toc9914"/>
      <w:r>
        <w:rPr>
          <w:rFonts w:hint="eastAsia" w:ascii="宋体" w:hAnsi="宋体"/>
          <w:b w:val="0"/>
          <w:bCs w:val="0"/>
          <w:color w:val="auto"/>
        </w:rPr>
        <w:t>（二）</w:t>
      </w:r>
      <w:bookmarkEnd w:id="592"/>
      <w:bookmarkEnd w:id="593"/>
      <w:bookmarkEnd w:id="594"/>
      <w:bookmarkEnd w:id="595"/>
      <w:bookmarkEnd w:id="596"/>
      <w:bookmarkStart w:id="599" w:name="_Toc287607887"/>
      <w:bookmarkStart w:id="600" w:name="_Toc277082659"/>
      <w:r>
        <w:rPr>
          <w:rFonts w:hint="eastAsia" w:ascii="宋体" w:hAnsi="宋体"/>
          <w:b w:val="0"/>
          <w:bCs w:val="0"/>
          <w:color w:val="auto"/>
        </w:rPr>
        <w:t>投标人基本情况表</w:t>
      </w:r>
      <w:bookmarkEnd w:id="597"/>
      <w:bookmarkEnd w:id="598"/>
    </w:p>
    <w:tbl>
      <w:tblPr>
        <w:tblStyle w:val="53"/>
        <w:tblW w:w="9770"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6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908"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3066"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3066"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3066"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908"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612"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技术负责人</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612"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5917" w:type="dxa"/>
            <w:gridSpan w:val="7"/>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537"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营业执照号</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537"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537"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537"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537"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908"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908" w:type="dxa"/>
            <w:gridSpan w:val="9"/>
            <w:vAlign w:val="center"/>
          </w:tcPr>
          <w:p>
            <w:pPr>
              <w:autoSpaceDE w:val="0"/>
              <w:autoSpaceDN w:val="0"/>
              <w:adjustRightInd w:val="0"/>
              <w:snapToGrid w:val="0"/>
              <w:jc w:val="center"/>
              <w:rPr>
                <w:rFonts w:ascii="宋体" w:hAnsi="宋体"/>
                <w:color w:val="auto"/>
                <w:kern w:val="0"/>
                <w:szCs w:val="21"/>
              </w:rPr>
            </w:pPr>
          </w:p>
        </w:tc>
      </w:tr>
    </w:tbl>
    <w:p>
      <w:pPr>
        <w:spacing w:line="360" w:lineRule="auto"/>
        <w:jc w:val="center"/>
        <w:rPr>
          <w:rFonts w:ascii="宋体" w:hAnsi="宋体"/>
          <w:color w:val="auto"/>
          <w:szCs w:val="21"/>
        </w:rPr>
      </w:pPr>
    </w:p>
    <w:p>
      <w:pPr>
        <w:pStyle w:val="4"/>
        <w:spacing w:line="240" w:lineRule="auto"/>
        <w:rPr>
          <w:rFonts w:ascii="宋体" w:hAnsi="宋体"/>
          <w:color w:val="auto"/>
        </w:rPr>
      </w:pPr>
      <w:r>
        <w:rPr>
          <w:rFonts w:ascii="宋体" w:hAnsi="宋体"/>
          <w:color w:val="auto"/>
          <w:szCs w:val="21"/>
        </w:rPr>
        <w:br w:type="page"/>
      </w:r>
      <w:bookmarkStart w:id="601" w:name="_Toc509218863"/>
      <w:bookmarkStart w:id="602" w:name="_Toc3838"/>
      <w:bookmarkStart w:id="603" w:name="_Toc534185840"/>
      <w:bookmarkStart w:id="604" w:name="_Toc25844"/>
      <w:r>
        <w:rPr>
          <w:rFonts w:hint="eastAsia" w:ascii="宋体" w:hAnsi="宋体"/>
          <w:b w:val="0"/>
          <w:bCs w:val="0"/>
          <w:color w:val="auto"/>
        </w:rPr>
        <w:t>（三）项目管理机构</w:t>
      </w:r>
      <w:bookmarkEnd w:id="601"/>
      <w:bookmarkEnd w:id="602"/>
      <w:bookmarkEnd w:id="603"/>
      <w:bookmarkEnd w:id="604"/>
    </w:p>
    <w:p>
      <w:pPr>
        <w:autoSpaceDE w:val="0"/>
        <w:autoSpaceDN w:val="0"/>
        <w:adjustRightInd w:val="0"/>
        <w:snapToGrid w:val="0"/>
        <w:spacing w:line="360" w:lineRule="auto"/>
        <w:jc w:val="center"/>
        <w:rPr>
          <w:rFonts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53"/>
        <w:tblW w:w="9756"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61"/>
        <w:gridCol w:w="705"/>
        <w:gridCol w:w="795"/>
        <w:gridCol w:w="1200"/>
        <w:gridCol w:w="735"/>
        <w:gridCol w:w="735"/>
        <w:gridCol w:w="825"/>
        <w:gridCol w:w="2430"/>
        <w:gridCol w:w="11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3" w:hRule="exact"/>
        </w:trPr>
        <w:tc>
          <w:tcPr>
            <w:tcW w:w="1161"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职务</w:t>
            </w:r>
          </w:p>
        </w:tc>
        <w:tc>
          <w:tcPr>
            <w:tcW w:w="705"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姓名</w:t>
            </w:r>
          </w:p>
        </w:tc>
        <w:tc>
          <w:tcPr>
            <w:tcW w:w="795"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职称</w:t>
            </w:r>
          </w:p>
        </w:tc>
        <w:tc>
          <w:tcPr>
            <w:tcW w:w="5925" w:type="dxa"/>
            <w:gridSpan w:val="5"/>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执业或职业资格证明</w:t>
            </w:r>
          </w:p>
        </w:tc>
        <w:tc>
          <w:tcPr>
            <w:tcW w:w="1170"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161" w:type="dxa"/>
            <w:vMerge w:val="continue"/>
          </w:tcPr>
          <w:p>
            <w:pPr>
              <w:autoSpaceDE w:val="0"/>
              <w:autoSpaceDN w:val="0"/>
              <w:adjustRightInd w:val="0"/>
              <w:snapToGrid w:val="0"/>
              <w:jc w:val="left"/>
              <w:rPr>
                <w:rFonts w:ascii="宋体" w:hAnsi="宋体"/>
                <w:color w:val="auto"/>
                <w:kern w:val="0"/>
                <w:szCs w:val="21"/>
              </w:rPr>
            </w:pPr>
          </w:p>
        </w:tc>
        <w:tc>
          <w:tcPr>
            <w:tcW w:w="705" w:type="dxa"/>
            <w:vMerge w:val="continue"/>
          </w:tcPr>
          <w:p>
            <w:pPr>
              <w:autoSpaceDE w:val="0"/>
              <w:autoSpaceDN w:val="0"/>
              <w:adjustRightInd w:val="0"/>
              <w:snapToGrid w:val="0"/>
              <w:jc w:val="left"/>
              <w:rPr>
                <w:rFonts w:ascii="宋体" w:hAnsi="宋体"/>
                <w:color w:val="auto"/>
                <w:kern w:val="0"/>
                <w:szCs w:val="21"/>
              </w:rPr>
            </w:pPr>
          </w:p>
        </w:tc>
        <w:tc>
          <w:tcPr>
            <w:tcW w:w="795" w:type="dxa"/>
            <w:vMerge w:val="continue"/>
          </w:tcPr>
          <w:p>
            <w:pPr>
              <w:autoSpaceDE w:val="0"/>
              <w:autoSpaceDN w:val="0"/>
              <w:adjustRightInd w:val="0"/>
              <w:snapToGrid w:val="0"/>
              <w:jc w:val="left"/>
              <w:rPr>
                <w:rFonts w:ascii="宋体" w:hAnsi="宋体"/>
                <w:color w:val="auto"/>
                <w:kern w:val="0"/>
                <w:szCs w:val="21"/>
              </w:rPr>
            </w:pPr>
          </w:p>
        </w:tc>
        <w:tc>
          <w:tcPr>
            <w:tcW w:w="1200"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证书名称</w:t>
            </w:r>
          </w:p>
        </w:tc>
        <w:tc>
          <w:tcPr>
            <w:tcW w:w="73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级别</w:t>
            </w:r>
          </w:p>
        </w:tc>
        <w:tc>
          <w:tcPr>
            <w:tcW w:w="73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证号</w:t>
            </w:r>
          </w:p>
        </w:tc>
        <w:tc>
          <w:tcPr>
            <w:tcW w:w="8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专业</w:t>
            </w:r>
          </w:p>
        </w:tc>
        <w:tc>
          <w:tcPr>
            <w:tcW w:w="2430"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养老保险</w:t>
            </w: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161"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项目经理</w:t>
            </w: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161"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项目技术</w:t>
            </w:r>
          </w:p>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负责人</w:t>
            </w: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tcPr>
          <w:p>
            <w:pPr>
              <w:autoSpaceDE w:val="0"/>
              <w:autoSpaceDN w:val="0"/>
              <w:adjustRightInd w:val="0"/>
              <w:snapToGrid w:val="0"/>
              <w:jc w:val="left"/>
              <w:rPr>
                <w:rFonts w:ascii="宋体" w:hAnsi="宋体"/>
                <w:color w:val="auto"/>
                <w:kern w:val="0"/>
                <w:szCs w:val="21"/>
              </w:rPr>
            </w:pPr>
          </w:p>
        </w:tc>
        <w:tc>
          <w:tcPr>
            <w:tcW w:w="705" w:type="dxa"/>
          </w:tcPr>
          <w:p>
            <w:pPr>
              <w:autoSpaceDE w:val="0"/>
              <w:autoSpaceDN w:val="0"/>
              <w:adjustRightInd w:val="0"/>
              <w:snapToGrid w:val="0"/>
              <w:jc w:val="left"/>
              <w:rPr>
                <w:rFonts w:ascii="宋体" w:hAnsi="宋体"/>
                <w:color w:val="auto"/>
                <w:kern w:val="0"/>
                <w:szCs w:val="21"/>
              </w:rPr>
            </w:pPr>
          </w:p>
        </w:tc>
        <w:tc>
          <w:tcPr>
            <w:tcW w:w="795" w:type="dxa"/>
          </w:tcPr>
          <w:p>
            <w:pPr>
              <w:autoSpaceDE w:val="0"/>
              <w:autoSpaceDN w:val="0"/>
              <w:adjustRightInd w:val="0"/>
              <w:snapToGrid w:val="0"/>
              <w:jc w:val="left"/>
              <w:rPr>
                <w:rFonts w:ascii="宋体" w:hAnsi="宋体"/>
                <w:color w:val="auto"/>
                <w:kern w:val="0"/>
                <w:szCs w:val="21"/>
              </w:rPr>
            </w:pPr>
          </w:p>
        </w:tc>
        <w:tc>
          <w:tcPr>
            <w:tcW w:w="1200"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735" w:type="dxa"/>
          </w:tcPr>
          <w:p>
            <w:pPr>
              <w:autoSpaceDE w:val="0"/>
              <w:autoSpaceDN w:val="0"/>
              <w:adjustRightInd w:val="0"/>
              <w:snapToGrid w:val="0"/>
              <w:jc w:val="left"/>
              <w:rPr>
                <w:rFonts w:ascii="宋体" w:hAnsi="宋体"/>
                <w:color w:val="auto"/>
                <w:kern w:val="0"/>
                <w:szCs w:val="21"/>
              </w:rPr>
            </w:pPr>
          </w:p>
        </w:tc>
        <w:tc>
          <w:tcPr>
            <w:tcW w:w="825" w:type="dxa"/>
          </w:tcPr>
          <w:p>
            <w:pPr>
              <w:autoSpaceDE w:val="0"/>
              <w:autoSpaceDN w:val="0"/>
              <w:adjustRightInd w:val="0"/>
              <w:snapToGrid w:val="0"/>
              <w:jc w:val="left"/>
              <w:rPr>
                <w:rFonts w:ascii="宋体" w:hAnsi="宋体"/>
                <w:color w:val="auto"/>
                <w:kern w:val="0"/>
                <w:szCs w:val="21"/>
              </w:rPr>
            </w:pPr>
          </w:p>
        </w:tc>
        <w:tc>
          <w:tcPr>
            <w:tcW w:w="2430" w:type="dxa"/>
          </w:tcPr>
          <w:p>
            <w:pPr>
              <w:autoSpaceDE w:val="0"/>
              <w:autoSpaceDN w:val="0"/>
              <w:adjustRightInd w:val="0"/>
              <w:snapToGrid w:val="0"/>
              <w:jc w:val="left"/>
              <w:rPr>
                <w:rFonts w:ascii="宋体" w:hAnsi="宋体"/>
                <w:color w:val="auto"/>
                <w:kern w:val="0"/>
                <w:szCs w:val="21"/>
              </w:rPr>
            </w:pPr>
          </w:p>
        </w:tc>
        <w:tc>
          <w:tcPr>
            <w:tcW w:w="1170" w:type="dxa"/>
          </w:tcPr>
          <w:p>
            <w:pPr>
              <w:autoSpaceDE w:val="0"/>
              <w:autoSpaceDN w:val="0"/>
              <w:adjustRightInd w:val="0"/>
              <w:snapToGrid w:val="0"/>
              <w:jc w:val="left"/>
              <w:rPr>
                <w:rFonts w:ascii="宋体" w:hAnsi="宋体"/>
                <w:color w:val="auto"/>
                <w:kern w:val="0"/>
                <w:szCs w:val="21"/>
              </w:rPr>
            </w:pPr>
          </w:p>
        </w:tc>
      </w:tr>
    </w:tbl>
    <w:p>
      <w:pPr>
        <w:spacing w:line="20" w:lineRule="exact"/>
        <w:jc w:val="center"/>
        <w:rPr>
          <w:rFonts w:ascii="宋体" w:hAnsi="宋体"/>
          <w:color w:val="auto"/>
          <w:szCs w:val="21"/>
        </w:rPr>
      </w:pPr>
    </w:p>
    <w:p>
      <w:pPr>
        <w:spacing w:line="360" w:lineRule="auto"/>
        <w:jc w:val="left"/>
        <w:rPr>
          <w:rFonts w:ascii="宋体" w:hAnsi="宋体"/>
          <w:color w:val="auto"/>
          <w:szCs w:val="21"/>
        </w:rPr>
      </w:pPr>
      <w:r>
        <w:rPr>
          <w:rFonts w:hint="eastAsia" w:ascii="宋体" w:hAnsi="宋体"/>
          <w:color w:val="auto"/>
          <w:szCs w:val="21"/>
        </w:rPr>
        <w:t>备注：本表仅填项目经理、项目技术负责人相关信息。</w:t>
      </w:r>
    </w:p>
    <w:p>
      <w:pPr>
        <w:spacing w:line="360" w:lineRule="auto"/>
        <w:ind w:firstLine="640"/>
        <w:jc w:val="center"/>
        <w:rPr>
          <w:rFonts w:ascii="宋体" w:hAnsi="宋体"/>
          <w:color w:val="auto"/>
          <w:sz w:val="32"/>
          <w:szCs w:val="32"/>
        </w:rPr>
      </w:pPr>
      <w:r>
        <w:rPr>
          <w:rFonts w:ascii="宋体" w:hAnsi="宋体"/>
          <w:color w:val="auto"/>
          <w:sz w:val="32"/>
          <w:szCs w:val="32"/>
        </w:rPr>
        <w:br w:type="page"/>
      </w:r>
      <w:r>
        <w:rPr>
          <w:rFonts w:hint="eastAsia" w:ascii="宋体" w:hAnsi="宋体"/>
          <w:color w:val="auto"/>
          <w:sz w:val="32"/>
          <w:szCs w:val="32"/>
        </w:rPr>
        <w:t>项目经理及项目技术负责人简历表</w:t>
      </w:r>
      <w:bookmarkEnd w:id="599"/>
      <w:bookmarkEnd w:id="600"/>
    </w:p>
    <w:tbl>
      <w:tblPr>
        <w:tblStyle w:val="53"/>
        <w:tblW w:w="975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71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年龄</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学历</w:t>
            </w:r>
          </w:p>
        </w:tc>
        <w:tc>
          <w:tcPr>
            <w:tcW w:w="2718"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职务</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拟在本合同任职</w:t>
            </w:r>
          </w:p>
        </w:tc>
        <w:tc>
          <w:tcPr>
            <w:tcW w:w="2718"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毕业学校</w:t>
            </w:r>
          </w:p>
        </w:tc>
        <w:tc>
          <w:tcPr>
            <w:tcW w:w="8449"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年</w:t>
            </w:r>
            <w:r>
              <w:rPr>
                <w:rFonts w:ascii="宋体" w:hAnsi="宋体"/>
                <w:color w:val="auto"/>
                <w:spacing w:val="-1"/>
                <w:kern w:val="0"/>
                <w:szCs w:val="21"/>
              </w:rPr>
              <w:t>毕</w:t>
            </w:r>
            <w:r>
              <w:rPr>
                <w:rFonts w:ascii="宋体" w:hAnsi="宋体"/>
                <w:color w:val="auto"/>
                <w:kern w:val="0"/>
                <w:szCs w:val="21"/>
              </w:rPr>
              <w:t>业于</w:t>
            </w:r>
            <w:r>
              <w:rPr>
                <w:rFonts w:ascii="宋体" w:hAnsi="宋体"/>
                <w:color w:val="auto"/>
                <w:kern w:val="0"/>
                <w:szCs w:val="21"/>
              </w:rPr>
              <w:tab/>
            </w:r>
            <w:r>
              <w:rPr>
                <w:rFonts w:ascii="宋体" w:hAnsi="宋体"/>
                <w:color w:val="auto"/>
                <w:kern w:val="0"/>
                <w:szCs w:val="21"/>
              </w:rPr>
              <w:t>学校</w:t>
            </w:r>
            <w:r>
              <w:rPr>
                <w:rFonts w:ascii="宋体" w:hAnsi="宋体"/>
                <w:color w:val="auto"/>
                <w:kern w:val="0"/>
                <w:szCs w:val="21"/>
              </w:rPr>
              <w:tab/>
            </w:r>
            <w:r>
              <w:rPr>
                <w:rFonts w:ascii="宋体" w:hAnsi="宋体"/>
                <w:color w:val="auto"/>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9755" w:type="dxa"/>
            <w:gridSpan w:val="9"/>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担任职务</w:t>
            </w:r>
          </w:p>
        </w:tc>
        <w:tc>
          <w:tcPr>
            <w:tcW w:w="2896" w:type="dxa"/>
            <w:gridSpan w:val="2"/>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896" w:type="dxa"/>
            <w:gridSpan w:val="2"/>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rPr>
      </w:pPr>
      <w:bookmarkStart w:id="605" w:name="_Toc224103515"/>
    </w:p>
    <w:bookmarkEnd w:id="605"/>
    <w:p>
      <w:pPr>
        <w:pStyle w:val="4"/>
        <w:spacing w:line="360" w:lineRule="auto"/>
        <w:rPr>
          <w:rFonts w:ascii="宋体" w:hAnsi="宋体"/>
          <w:b w:val="0"/>
          <w:color w:val="auto"/>
        </w:rPr>
      </w:pPr>
      <w:bookmarkStart w:id="606" w:name="_Toc224103520"/>
      <w:bookmarkStart w:id="607" w:name="_Toc287607893"/>
      <w:bookmarkStart w:id="608" w:name="_Toc277082663"/>
      <w:bookmarkStart w:id="609" w:name="_Toc509218866"/>
      <w:bookmarkStart w:id="610" w:name="_Toc534185843"/>
      <w:bookmarkStart w:id="611" w:name="_Toc287620839"/>
      <w:bookmarkStart w:id="612" w:name="_Toc430530552"/>
      <w:bookmarkStart w:id="613" w:name="_Toc1320"/>
      <w:bookmarkStart w:id="614" w:name="_Toc26467"/>
      <w:r>
        <w:rPr>
          <w:rFonts w:ascii="宋体" w:hAnsi="宋体"/>
          <w:b w:val="0"/>
          <w:color w:val="auto"/>
        </w:rPr>
        <w:t>（</w:t>
      </w:r>
      <w:r>
        <w:rPr>
          <w:rFonts w:hint="eastAsia" w:ascii="宋体" w:hAnsi="宋体"/>
          <w:b w:val="0"/>
          <w:color w:val="auto"/>
        </w:rPr>
        <w:t>四</w:t>
      </w:r>
      <w:r>
        <w:rPr>
          <w:rFonts w:ascii="宋体" w:hAnsi="宋体"/>
          <w:b w:val="0"/>
          <w:color w:val="auto"/>
        </w:rPr>
        <w:t>）</w:t>
      </w:r>
      <w:bookmarkEnd w:id="606"/>
      <w:bookmarkEnd w:id="607"/>
      <w:bookmarkEnd w:id="608"/>
      <w:bookmarkEnd w:id="609"/>
      <w:bookmarkEnd w:id="610"/>
      <w:bookmarkEnd w:id="611"/>
      <w:bookmarkEnd w:id="612"/>
      <w:r>
        <w:rPr>
          <w:rFonts w:hint="eastAsia" w:ascii="宋体" w:hAnsi="宋体"/>
          <w:b w:val="0"/>
          <w:color w:val="auto"/>
        </w:rPr>
        <w:t>承诺</w:t>
      </w:r>
      <w:bookmarkEnd w:id="613"/>
      <w:bookmarkEnd w:id="614"/>
    </w:p>
    <w:p>
      <w:pPr>
        <w:snapToGrid w:val="0"/>
        <w:spacing w:line="500" w:lineRule="exact"/>
        <w:rPr>
          <w:rFonts w:ascii="宋体" w:hAnsi="宋体"/>
          <w:color w:val="auto"/>
          <w:szCs w:val="21"/>
          <w:u w:val="single"/>
        </w:rPr>
      </w:pPr>
      <w:r>
        <w:rPr>
          <w:rFonts w:hint="eastAsia" w:ascii="宋体" w:hAnsi="宋体"/>
          <w:color w:val="auto"/>
          <w:szCs w:val="21"/>
          <w:u w:val="single"/>
        </w:rPr>
        <w:t xml:space="preserve">          （</w:t>
      </w:r>
      <w:r>
        <w:rPr>
          <w:rFonts w:hint="eastAsia" w:ascii="宋体" w:hAnsi="宋体"/>
          <w:color w:val="auto"/>
          <w:szCs w:val="21"/>
          <w:u w:val="single"/>
          <w:lang w:eastAsia="zh-CN"/>
        </w:rPr>
        <w:t>比选人</w:t>
      </w:r>
      <w:r>
        <w:rPr>
          <w:rFonts w:hint="eastAsia" w:ascii="宋体" w:hAnsi="宋体"/>
          <w:color w:val="auto"/>
          <w:szCs w:val="21"/>
          <w:u w:val="single"/>
        </w:rPr>
        <w:t>名称）</w:t>
      </w:r>
      <w:r>
        <w:rPr>
          <w:rFonts w:hint="eastAsia" w:ascii="宋体" w:hAnsi="宋体"/>
          <w:color w:val="auto"/>
          <w:szCs w:val="21"/>
        </w:rPr>
        <w:t>：</w:t>
      </w:r>
    </w:p>
    <w:p>
      <w:pPr>
        <w:snapToGrid w:val="0"/>
        <w:spacing w:line="50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rPr>
        <w:t xml:space="preserve">        （项目名称）</w:t>
      </w:r>
      <w:r>
        <w:rPr>
          <w:rFonts w:hint="eastAsia" w:ascii="宋体" w:hAnsi="宋体"/>
          <w:color w:val="auto"/>
          <w:szCs w:val="21"/>
        </w:rPr>
        <w:t>的投标，自愿作出以下承诺：</w:t>
      </w:r>
    </w:p>
    <w:p>
      <w:pPr>
        <w:snapToGrid w:val="0"/>
        <w:spacing w:line="500" w:lineRule="exact"/>
        <w:ind w:firstLine="420" w:firstLineChars="200"/>
        <w:rPr>
          <w:rFonts w:ascii="宋体" w:hAnsi="宋体"/>
          <w:color w:val="auto"/>
          <w:szCs w:val="21"/>
        </w:rPr>
      </w:pPr>
      <w:r>
        <w:rPr>
          <w:rFonts w:hint="eastAsia" w:ascii="宋体" w:hAnsi="宋体"/>
          <w:color w:val="auto"/>
          <w:szCs w:val="21"/>
        </w:rPr>
        <w:t>1、我公司投标截止日投标资格情况不存在下列情形之一：</w:t>
      </w:r>
    </w:p>
    <w:p>
      <w:pPr>
        <w:snapToGrid w:val="0"/>
        <w:spacing w:line="50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pPr>
        <w:snapToGrid w:val="0"/>
        <w:spacing w:line="500" w:lineRule="exact"/>
        <w:ind w:firstLine="420" w:firstLineChars="200"/>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pPr>
        <w:snapToGrid w:val="0"/>
        <w:spacing w:line="500" w:lineRule="exact"/>
        <w:ind w:firstLine="420" w:firstLineChars="200"/>
        <w:rPr>
          <w:rFonts w:ascii="宋体" w:hAnsi="宋体"/>
          <w:color w:val="auto"/>
          <w:szCs w:val="21"/>
        </w:rPr>
      </w:pPr>
      <w:r>
        <w:rPr>
          <w:rFonts w:hint="eastAsia" w:ascii="宋体" w:hAnsi="宋体"/>
          <w:color w:val="auto"/>
          <w:szCs w:val="21"/>
        </w:rPr>
        <w:t>（3）被列入《重庆市工程建设领域招标投标信用管理暂行办法》规定的黑名单且在记分有效期内；</w:t>
      </w:r>
    </w:p>
    <w:p>
      <w:pPr>
        <w:snapToGrid w:val="0"/>
        <w:spacing w:line="500" w:lineRule="exact"/>
        <w:ind w:firstLine="420" w:firstLineChars="200"/>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pPr>
        <w:snapToGrid w:val="0"/>
        <w:spacing w:line="500" w:lineRule="exact"/>
        <w:ind w:firstLine="420" w:firstLineChars="200"/>
        <w:rPr>
          <w:rFonts w:ascii="宋体" w:hAnsi="宋体"/>
          <w:color w:val="auto"/>
          <w:szCs w:val="21"/>
        </w:rPr>
      </w:pPr>
      <w:r>
        <w:rPr>
          <w:rFonts w:hint="eastAsia" w:ascii="宋体" w:hAnsi="宋体"/>
          <w:color w:val="auto"/>
          <w:szCs w:val="21"/>
        </w:rPr>
        <w:t>（5）被重庆市住房和城乡建设主管部门暂停在渝承揽新业务且在暂停期内。</w:t>
      </w:r>
    </w:p>
    <w:p>
      <w:pPr>
        <w:snapToGrid w:val="0"/>
        <w:spacing w:line="500" w:lineRule="exact"/>
        <w:ind w:firstLine="420" w:firstLineChars="200"/>
        <w:rPr>
          <w:rFonts w:ascii="宋体" w:hAnsi="宋体"/>
          <w:color w:val="auto"/>
          <w:szCs w:val="21"/>
        </w:rPr>
      </w:pPr>
      <w:r>
        <w:rPr>
          <w:rFonts w:hint="eastAsia" w:ascii="宋体" w:hAnsi="宋体"/>
          <w:color w:val="auto"/>
          <w:szCs w:val="21"/>
        </w:rPr>
        <w:t>2、我公司拟派的项目经理按注册建造师的相关规定到岗履职和未被禁止参与投标。</w:t>
      </w:r>
    </w:p>
    <w:p>
      <w:pPr>
        <w:snapToGrid w:val="0"/>
        <w:spacing w:line="500" w:lineRule="exact"/>
        <w:ind w:firstLine="420" w:firstLineChars="200"/>
        <w:rPr>
          <w:rFonts w:ascii="宋体" w:hAnsi="宋体"/>
          <w:color w:val="auto"/>
          <w:szCs w:val="21"/>
        </w:rPr>
      </w:pPr>
      <w:r>
        <w:rPr>
          <w:rFonts w:hint="eastAsia" w:ascii="宋体" w:hAnsi="宋体"/>
          <w:color w:val="auto"/>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500" w:lineRule="exact"/>
        <w:ind w:firstLine="420" w:firstLineChars="200"/>
        <w:rPr>
          <w:rFonts w:ascii="宋体" w:hAnsi="宋体"/>
          <w:color w:val="auto"/>
          <w:szCs w:val="21"/>
        </w:rPr>
      </w:pPr>
      <w:r>
        <w:rPr>
          <w:rFonts w:hint="eastAsia" w:ascii="宋体" w:hAnsi="宋体"/>
          <w:color w:val="auto"/>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500" w:lineRule="exact"/>
        <w:ind w:firstLine="420" w:firstLineChars="200"/>
        <w:rPr>
          <w:rFonts w:ascii="宋体" w:hAnsi="宋体"/>
          <w:color w:val="auto"/>
          <w:szCs w:val="21"/>
        </w:rPr>
      </w:pPr>
      <w:r>
        <w:rPr>
          <w:rFonts w:hint="eastAsia" w:ascii="宋体" w:hAnsi="宋体"/>
          <w:color w:val="auto"/>
          <w:szCs w:val="21"/>
        </w:rPr>
        <w:t>2.3为保证我公司拟派的项目经理到本项目到岗履职，我公司还承诺：</w:t>
      </w:r>
    </w:p>
    <w:p>
      <w:pPr>
        <w:snapToGrid w:val="0"/>
        <w:spacing w:line="500" w:lineRule="exact"/>
        <w:ind w:firstLine="420" w:firstLineChars="200"/>
        <w:rPr>
          <w:rFonts w:ascii="宋体" w:hAnsi="宋体"/>
          <w:color w:val="auto"/>
          <w:szCs w:val="21"/>
        </w:rPr>
      </w:pPr>
      <w:r>
        <w:rPr>
          <w:rFonts w:hint="eastAsia" w:ascii="宋体" w:hAnsi="宋体"/>
          <w:color w:val="auto"/>
          <w:szCs w:val="21"/>
        </w:rPr>
        <w:t>若我公司拟派本项目的项目经理有在其他项目任职的情形的（或有在其他项目中标或拟中标的情形的），应在收到中标通知书后</w:t>
      </w:r>
      <w:r>
        <w:rPr>
          <w:rFonts w:hint="eastAsia" w:ascii="宋体" w:hAnsi="宋体"/>
          <w:color w:val="auto"/>
          <w:szCs w:val="21"/>
          <w:u w:val="single"/>
        </w:rPr>
        <w:t xml:space="preserve"> 14 </w:t>
      </w:r>
      <w:r>
        <w:rPr>
          <w:rFonts w:hint="eastAsia" w:ascii="宋体" w:hAnsi="宋体"/>
          <w:color w:val="auto"/>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500" w:lineRule="exact"/>
        <w:ind w:firstLine="420" w:firstLineChars="200"/>
        <w:rPr>
          <w:rFonts w:ascii="宋体" w:hAnsi="宋体"/>
          <w:color w:val="auto"/>
          <w:szCs w:val="21"/>
        </w:rPr>
      </w:pPr>
      <w:r>
        <w:rPr>
          <w:rFonts w:hint="eastAsia" w:ascii="宋体" w:hAnsi="宋体"/>
          <w:color w:val="auto"/>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500" w:lineRule="exact"/>
        <w:ind w:firstLine="420" w:firstLineChars="200"/>
        <w:rPr>
          <w:rFonts w:ascii="宋体" w:hAnsi="宋体"/>
          <w:color w:val="auto"/>
          <w:szCs w:val="21"/>
        </w:rPr>
      </w:pPr>
      <w:r>
        <w:rPr>
          <w:rFonts w:hint="eastAsia" w:ascii="宋体" w:hAnsi="宋体"/>
          <w:color w:val="auto"/>
          <w:szCs w:val="21"/>
        </w:rPr>
        <w:t>若我公司拟派项目经理放弃在其他项目中标或拟中标的将提供：①经中标或拟中标的其他项目建设单位同意的放弃中标函。</w:t>
      </w:r>
    </w:p>
    <w:p>
      <w:pPr>
        <w:snapToGrid w:val="0"/>
        <w:spacing w:line="500" w:lineRule="exact"/>
        <w:ind w:firstLine="420" w:firstLineChars="200"/>
        <w:rPr>
          <w:rFonts w:ascii="宋体" w:hAnsi="宋体"/>
          <w:color w:val="auto"/>
          <w:szCs w:val="21"/>
        </w:rPr>
      </w:pPr>
      <w:r>
        <w:rPr>
          <w:rFonts w:hint="eastAsia" w:ascii="宋体" w:hAnsi="宋体"/>
          <w:color w:val="auto"/>
          <w:szCs w:val="21"/>
        </w:rPr>
        <w:t>3、我公司若中标，在签订合同之前，将按照建设行政主管部门的要求组建施工项目部，配置项目管理班子，出具任命文件。任命文件应当明确施工项目部的职责、岗位设置、人员配备，并书面通知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lang w:eastAsia="zh-CN"/>
        </w:rPr>
        <w:t>比选人</w:t>
      </w:r>
      <w:r>
        <w:rPr>
          <w:rFonts w:hint="eastAsia" w:ascii="宋体" w:hAnsi="宋体"/>
          <w:color w:val="auto"/>
          <w:szCs w:val="21"/>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lang w:eastAsia="zh-CN"/>
        </w:rPr>
        <w:t>比选人</w:t>
      </w:r>
      <w:r>
        <w:rPr>
          <w:rFonts w:hint="eastAsia" w:ascii="宋体" w:hAnsi="宋体"/>
          <w:color w:val="auto"/>
          <w:szCs w:val="21"/>
        </w:rPr>
        <w:t>造成损失的，我公司依法承担违约赔偿责任。</w:t>
      </w:r>
    </w:p>
    <w:p>
      <w:pPr>
        <w:snapToGrid w:val="0"/>
        <w:spacing w:line="500" w:lineRule="exact"/>
        <w:ind w:firstLine="420" w:firstLineChars="200"/>
        <w:rPr>
          <w:rFonts w:ascii="宋体" w:hAnsi="宋体"/>
          <w:color w:val="auto"/>
          <w:szCs w:val="21"/>
        </w:rPr>
      </w:pPr>
      <w:r>
        <w:rPr>
          <w:rFonts w:hint="eastAsia" w:ascii="宋体" w:hAnsi="宋体"/>
          <w:color w:val="auto"/>
          <w:szCs w:val="21"/>
        </w:rPr>
        <w:t>4、我公司在资格审查部分中提供的相关证明材料真实有效，不存在弄虚作假情形。</w:t>
      </w:r>
      <w:r>
        <w:rPr>
          <w:rFonts w:hint="eastAsia" w:ascii="宋体" w:hAnsi="宋体"/>
          <w:color w:val="auto"/>
          <w:szCs w:val="21"/>
          <w:lang w:eastAsia="zh-CN"/>
        </w:rPr>
        <w:t>比选人</w:t>
      </w:r>
      <w:r>
        <w:rPr>
          <w:rFonts w:hint="eastAsia" w:ascii="宋体" w:hAnsi="宋体"/>
          <w:color w:val="auto"/>
          <w:szCs w:val="21"/>
        </w:rPr>
        <w:t>在合同签订前均有权对我司提供的资料进行核实，若发现弄虚作假，取消中标资格，并按相关法律法规报招标投标监督部门处理，投标保证金不予退还，我司自愿承担因此造成的相关责任并赔偿相应损失。</w:t>
      </w:r>
    </w:p>
    <w:p>
      <w:pPr>
        <w:snapToGrid w:val="0"/>
        <w:spacing w:line="500" w:lineRule="exact"/>
        <w:ind w:firstLine="420" w:firstLineChars="200"/>
        <w:rPr>
          <w:rFonts w:ascii="宋体" w:hAnsi="宋体"/>
          <w:color w:val="auto"/>
          <w:szCs w:val="21"/>
        </w:rPr>
      </w:pPr>
      <w:r>
        <w:rPr>
          <w:rFonts w:hint="eastAsia" w:ascii="宋体" w:hAnsi="宋体"/>
          <w:color w:val="auto"/>
          <w:szCs w:val="21"/>
        </w:rPr>
        <w:t>5、我公司不存在第二章 投标人须知第 1.4.3 项规定的任何一种情形。</w:t>
      </w:r>
    </w:p>
    <w:p>
      <w:pPr>
        <w:snapToGrid w:val="0"/>
        <w:spacing w:line="500" w:lineRule="exact"/>
        <w:ind w:firstLine="420" w:firstLineChars="200"/>
        <w:rPr>
          <w:rFonts w:ascii="宋体" w:hAnsi="宋体"/>
          <w:color w:val="auto"/>
          <w:szCs w:val="21"/>
        </w:rPr>
      </w:pPr>
      <w:r>
        <w:rPr>
          <w:rFonts w:hint="eastAsia" w:ascii="宋体" w:hAnsi="宋体"/>
          <w:color w:val="auto"/>
          <w:szCs w:val="21"/>
        </w:rPr>
        <w:t>6、我公司的投标文件符合第二章 投标人须知第 1.3.1 项的规定。</w:t>
      </w:r>
    </w:p>
    <w:p>
      <w:pPr>
        <w:snapToGrid w:val="0"/>
        <w:spacing w:line="500" w:lineRule="exact"/>
        <w:ind w:firstLine="420" w:firstLineChars="200"/>
        <w:rPr>
          <w:rFonts w:ascii="宋体" w:hAnsi="宋体"/>
          <w:color w:val="auto"/>
          <w:szCs w:val="21"/>
        </w:rPr>
      </w:pPr>
      <w:r>
        <w:rPr>
          <w:rFonts w:hint="eastAsia" w:ascii="宋体" w:hAnsi="宋体"/>
          <w:color w:val="auto"/>
          <w:szCs w:val="21"/>
        </w:rPr>
        <w:t>7、我公司的投标文件符合第四章 合同条款及格式规定，投标文件中没有</w:t>
      </w:r>
      <w:r>
        <w:rPr>
          <w:rFonts w:hint="eastAsia" w:ascii="宋体" w:hAnsi="宋体"/>
          <w:color w:val="auto"/>
          <w:szCs w:val="21"/>
          <w:lang w:eastAsia="zh-CN"/>
        </w:rPr>
        <w:t>比选人</w:t>
      </w:r>
      <w:r>
        <w:rPr>
          <w:rFonts w:hint="eastAsia" w:ascii="宋体" w:hAnsi="宋体"/>
          <w:color w:val="auto"/>
          <w:szCs w:val="21"/>
        </w:rPr>
        <w:t>不能接受的条件。</w:t>
      </w:r>
    </w:p>
    <w:p>
      <w:pPr>
        <w:snapToGrid w:val="0"/>
        <w:spacing w:line="500" w:lineRule="exact"/>
        <w:ind w:firstLine="420" w:firstLineChars="200"/>
        <w:rPr>
          <w:rFonts w:ascii="宋体" w:hAnsi="宋体"/>
          <w:color w:val="auto"/>
          <w:szCs w:val="21"/>
        </w:rPr>
      </w:pPr>
      <w:r>
        <w:rPr>
          <w:rFonts w:hint="eastAsia" w:ascii="宋体" w:hAnsi="宋体"/>
          <w:color w:val="auto"/>
          <w:szCs w:val="21"/>
        </w:rPr>
        <w:t>8、我公司的投标文件符合第七章 技术标准和要求（如有）。</w:t>
      </w:r>
    </w:p>
    <w:p>
      <w:pPr>
        <w:snapToGrid w:val="0"/>
        <w:spacing w:line="500" w:lineRule="exact"/>
        <w:ind w:firstLine="420" w:firstLineChars="200"/>
        <w:rPr>
          <w:rFonts w:ascii="宋体" w:hAnsi="宋体"/>
          <w:color w:val="auto"/>
          <w:szCs w:val="21"/>
        </w:rPr>
      </w:pPr>
    </w:p>
    <w:p>
      <w:pPr>
        <w:tabs>
          <w:tab w:val="left" w:pos="4200"/>
          <w:tab w:val="left" w:pos="4620"/>
        </w:tabs>
        <w:autoSpaceDE w:val="0"/>
        <w:autoSpaceDN w:val="0"/>
        <w:adjustRightInd w:val="0"/>
        <w:snapToGrid w:val="0"/>
        <w:spacing w:line="500" w:lineRule="exact"/>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50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napToGrid w:val="0"/>
        <w:spacing w:line="500" w:lineRule="exact"/>
        <w:ind w:firstLine="420" w:firstLineChars="200"/>
        <w:jc w:val="right"/>
        <w:rPr>
          <w:rFonts w:ascii="宋体" w:hAnsi="宋体"/>
          <w:color w:val="auto"/>
          <w:szCs w:val="21"/>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spacing w:line="500" w:lineRule="exact"/>
        <w:rPr>
          <w:color w:val="auto"/>
        </w:rPr>
      </w:pPr>
    </w:p>
    <w:p>
      <w:pPr>
        <w:spacing w:line="500" w:lineRule="exact"/>
        <w:jc w:val="center"/>
        <w:rPr>
          <w:rFonts w:ascii="宋体" w:hAnsi="宋体"/>
          <w:bCs/>
          <w:color w:val="auto"/>
          <w:sz w:val="32"/>
          <w:szCs w:val="32"/>
        </w:rPr>
      </w:pPr>
      <w:r>
        <w:rPr>
          <w:color w:val="auto"/>
        </w:rPr>
        <w:br w:type="page"/>
      </w:r>
    </w:p>
    <w:p>
      <w:pPr>
        <w:jc w:val="center"/>
        <w:rPr>
          <w:rFonts w:ascii="宋体" w:hAnsi="宋体"/>
          <w:bCs/>
          <w:color w:val="auto"/>
          <w:sz w:val="32"/>
          <w:szCs w:val="32"/>
        </w:rPr>
      </w:pPr>
      <w:bookmarkStart w:id="615" w:name="_Toc24788"/>
      <w:bookmarkStart w:id="616" w:name="_Toc14813"/>
      <w:r>
        <w:rPr>
          <w:rFonts w:hint="eastAsia" w:ascii="宋体" w:hAnsi="宋体"/>
          <w:bCs/>
          <w:color w:val="auto"/>
          <w:sz w:val="32"/>
          <w:szCs w:val="32"/>
        </w:rPr>
        <w:t>（五）其他资料</w:t>
      </w:r>
      <w:bookmarkEnd w:id="615"/>
      <w:bookmarkEnd w:id="616"/>
    </w:p>
    <w:sectPr>
      <w:footerReference r:id="rId11" w:type="first"/>
      <w:headerReference r:id="rId9" w:type="default"/>
      <w:footerReference r:id="rId10" w:type="default"/>
      <w:pgSz w:w="11906" w:h="16838"/>
      <w:pgMar w:top="1247" w:right="1133" w:bottom="1247" w:left="993"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1" w:csb1="00000000"/>
  </w:font>
  <w:font w:name="方正楷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黑体_GBK">
    <w:panose1 w:val="02000000000000000000"/>
    <w:charset w:val="86"/>
    <w:family w:val="auto"/>
    <w:pitch w:val="default"/>
    <w:sig w:usb0="00000001" w:usb1="08000000" w:usb2="00000000" w:usb3="00000000" w:csb0="00040000" w:csb1="00000000"/>
  </w:font>
  <w:font w:name="ˎ̥">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方正仿宋_GBK"/>
    <w:panose1 w:val="00000000000000000000"/>
    <w:charset w:val="86"/>
    <w:family w:val="auto"/>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书宋简体">
    <w:altName w:val="方正书宋_GBK"/>
    <w:panose1 w:val="00000000000000000000"/>
    <w:charset w:val="86"/>
    <w:family w:val="auto"/>
    <w:pitch w:val="default"/>
    <w:sig w:usb0="00000000" w:usb1="00000000" w:usb2="00000000" w:usb3="00000000" w:csb0="00040000" w:csb1="00000000"/>
  </w:font>
  <w:font w:name="华文细黑">
    <w:altName w:val="思源黑体"/>
    <w:panose1 w:val="02010600040101010101"/>
    <w:charset w:val="86"/>
    <w:family w:val="auto"/>
    <w:pitch w:val="default"/>
    <w:sig w:usb0="00000000" w:usb1="00000000" w:usb2="00000000" w:usb3="00000000" w:csb0="0004009F" w:csb1="DFD70000"/>
  </w:font>
  <w:font w:name="思源黑体">
    <w:panose1 w:val="020B0500000000000000"/>
    <w:charset w:val="86"/>
    <w:family w:val="auto"/>
    <w:pitch w:val="default"/>
    <w:sig w:usb0="30000083" w:usb1="2BDF3C10" w:usb2="00000016" w:usb3="00000000" w:csb0="602E0107" w:csb1="00000000"/>
  </w:font>
  <w:font w:name="MingLiU">
    <w:altName w:val="方正书宋_GBK"/>
    <w:panose1 w:val="02020509000000000000"/>
    <w:charset w:val="88"/>
    <w:family w:val="modern"/>
    <w:pitch w:val="default"/>
    <w:sig w:usb0="00000000" w:usb1="00000000" w:usb2="00000016" w:usb3="00000000" w:csb0="00100001" w:csb1="00000000"/>
  </w:font>
  <w:font w:name="仿宋">
    <w:altName w:val="方正仿宋_GBK"/>
    <w:panose1 w:val="02010609060101010101"/>
    <w:charset w:val="86"/>
    <w:family w:val="auto"/>
    <w:pitch w:val="default"/>
    <w:sig w:usb0="00000000" w:usb1="00000000" w:usb2="00000016" w:usb3="00000000" w:csb0="00040001" w:csb1="00000000"/>
  </w:font>
  <w:font w:name="MingLiUfalt">
    <w:altName w:val="思源黑体"/>
    <w:panose1 w:val="00000000000000000000"/>
    <w:charset w:val="88"/>
    <w:family w:val="auto"/>
    <w:pitch w:val="default"/>
    <w:sig w:usb0="00000000" w:usb1="00000000" w:usb2="00000010" w:usb3="00000000" w:csb0="00100000" w:csb1="00000000"/>
  </w:font>
  <w:font w:name="微软雅黑">
    <w:altName w:val="方正黑体_GBK"/>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Style w:val="57"/>
                            </w:rPr>
                          </w:pPr>
                          <w:r>
                            <w:fldChar w:fldCharType="begin"/>
                          </w:r>
                          <w:r>
                            <w:rPr>
                              <w:rStyle w:val="57"/>
                            </w:rPr>
                            <w:instrText xml:space="preserve">PAGE  </w:instrText>
                          </w:r>
                          <w:r>
                            <w:fldChar w:fldCharType="separate"/>
                          </w:r>
                          <w:r>
                            <w:rPr>
                              <w:rStyle w:val="57"/>
                            </w:rPr>
                            <w:t>24</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GhCnFrBAQAAjQMAAA4AAAAAAAAAAQAgAAAA&#10;NAEAAGRycy9lMm9Eb2MueG1sUEsFBgAAAAAGAAYAWQEAAGcFAAAAAA==&#10;">
              <v:fill on="f" focussize="0,0"/>
              <v:stroke on="f"/>
              <v:imagedata o:title=""/>
              <o:lock v:ext="edit" aspectratio="f"/>
              <v:textbox inset="0mm,0mm,0mm,0mm" style="mso-fit-shape-to-text:t;">
                <w:txbxContent>
                  <w:p>
                    <w:pPr>
                      <w:pStyle w:val="34"/>
                      <w:rPr>
                        <w:rStyle w:val="57"/>
                      </w:rPr>
                    </w:pPr>
                    <w:r>
                      <w:fldChar w:fldCharType="begin"/>
                    </w:r>
                    <w:r>
                      <w:rPr>
                        <w:rStyle w:val="57"/>
                      </w:rPr>
                      <w:instrText xml:space="preserve">PAGE  </w:instrText>
                    </w:r>
                    <w:r>
                      <w:fldChar w:fldCharType="separate"/>
                    </w:r>
                    <w:r>
                      <w:rPr>
                        <w:rStyle w:val="57"/>
                      </w:rP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0gGDCAQAAjQ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w1dUuK4xYGff/44/3o8P3wnb7I8fYAas+4C5qXhvR9waWY/oDOzHlS0+Yt8CMZR3NNFXDkk&#10;IvKj1XK1qjAkMDZfEJ89PQ8R0gfpLclGQyNOr4jKj58gjalzSq7m/K02pkzQuL8ciJk9LPc+9pit&#10;NOyGidDOtyfk0+PgG+pwzykxHx3qmndkNuJs7CYj14Dw7pCwcOkno45QUzGcUmE0bVRegz/vJevp&#10;L9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AL9IBgwgEAAI0DAAAOAAAAAAAAAAEAIAAA&#10;ADQBAABkcnMvZTJvRG9jLnhtbFBLBQYAAAAABgAGAFkBAABo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8"/>
      <w:lvlText w:val="%1．"/>
      <w:lvlJc w:val="left"/>
      <w:pPr>
        <w:ind w:left="360" w:hanging="360"/>
      </w:pPr>
      <w:rPr>
        <w:rFonts w:hint="default"/>
      </w:rPr>
    </w:lvl>
    <w:lvl w:ilvl="1" w:tentative="0">
      <w:start w:val="1"/>
      <w:numFmt w:val="decimal"/>
      <w:lvlText w:val="2.%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1">
    <w:nsid w:val="00000005"/>
    <w:multiLevelType w:val="multilevel"/>
    <w:tmpl w:val="00000005"/>
    <w:lvl w:ilvl="0" w:tentative="0">
      <w:start w:val="1"/>
      <w:numFmt w:val="decimal"/>
      <w:pStyle w:val="13"/>
      <w:lvlText w:val="%1."/>
      <w:lvlJc w:val="left"/>
      <w:pPr>
        <w:ind w:left="780" w:hanging="360"/>
      </w:pPr>
      <w:rPr>
        <w:rFonts w:hint="default"/>
        <w:color w:val="auto"/>
      </w:r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abstractNum w:abstractNumId="2">
    <w:nsid w:val="0000000D"/>
    <w:multiLevelType w:val="multilevel"/>
    <w:tmpl w:val="0000000D"/>
    <w:lvl w:ilvl="0" w:tentative="0">
      <w:start w:val="1"/>
      <w:numFmt w:val="decimal"/>
      <w:pStyle w:val="23"/>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3">
    <w:nsid w:val="0000000F"/>
    <w:multiLevelType w:val="multilevel"/>
    <w:tmpl w:val="0000000F"/>
    <w:lvl w:ilvl="0" w:tentative="0">
      <w:start w:val="1"/>
      <w:numFmt w:val="bullet"/>
      <w:pStyle w:val="18"/>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1"/>
    <w:multiLevelType w:val="singleLevel"/>
    <w:tmpl w:val="00000011"/>
    <w:lvl w:ilvl="0" w:tentative="0">
      <w:start w:val="23"/>
      <w:numFmt w:val="decimal"/>
      <w:suff w:val="space"/>
      <w:lvlText w:val="%1."/>
      <w:lvlJc w:val="left"/>
    </w:lvl>
  </w:abstractNum>
  <w:abstractNum w:abstractNumId="5">
    <w:nsid w:val="00000013"/>
    <w:multiLevelType w:val="multilevel"/>
    <w:tmpl w:val="00000013"/>
    <w:lvl w:ilvl="0" w:tentative="0">
      <w:start w:val="1"/>
      <w:numFmt w:val="decimal"/>
      <w:pStyle w:val="14"/>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6">
    <w:nsid w:val="385A1603"/>
    <w:multiLevelType w:val="multilevel"/>
    <w:tmpl w:val="385A1603"/>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2782BA5"/>
    <w:multiLevelType w:val="singleLevel"/>
    <w:tmpl w:val="62782BA5"/>
    <w:lvl w:ilvl="0" w:tentative="0">
      <w:start w:val="2"/>
      <w:numFmt w:val="chineseCounting"/>
      <w:suff w:val="nothing"/>
      <w:lvlText w:val="（%1）"/>
      <w:lvlJc w:val="left"/>
      <w:rPr>
        <w:rFonts w:hint="eastAsia"/>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mVhMzg4YTM5MTNmMjNkZmFlMDQ0MTRlYWZmNDcifQ=="/>
  </w:docVars>
  <w:rsids>
    <w:rsidRoot w:val="00000000"/>
    <w:rsid w:val="006C695B"/>
    <w:rsid w:val="00AE44C0"/>
    <w:rsid w:val="01160E5D"/>
    <w:rsid w:val="0139304C"/>
    <w:rsid w:val="025307AA"/>
    <w:rsid w:val="02F56D74"/>
    <w:rsid w:val="032F746B"/>
    <w:rsid w:val="038720C2"/>
    <w:rsid w:val="03B95284"/>
    <w:rsid w:val="04DF263B"/>
    <w:rsid w:val="054E390D"/>
    <w:rsid w:val="05C04FA9"/>
    <w:rsid w:val="06112117"/>
    <w:rsid w:val="06862B05"/>
    <w:rsid w:val="06A0349B"/>
    <w:rsid w:val="06A364EB"/>
    <w:rsid w:val="073970A8"/>
    <w:rsid w:val="07FF2725"/>
    <w:rsid w:val="08FE019F"/>
    <w:rsid w:val="09444A74"/>
    <w:rsid w:val="09C30CC4"/>
    <w:rsid w:val="0A110938"/>
    <w:rsid w:val="0AC93A97"/>
    <w:rsid w:val="0B0F2A1E"/>
    <w:rsid w:val="0B2367D5"/>
    <w:rsid w:val="0BE8710E"/>
    <w:rsid w:val="0EC91AD3"/>
    <w:rsid w:val="10516B48"/>
    <w:rsid w:val="10650056"/>
    <w:rsid w:val="143C4803"/>
    <w:rsid w:val="149E570D"/>
    <w:rsid w:val="165D1C65"/>
    <w:rsid w:val="16FC0452"/>
    <w:rsid w:val="17C748AA"/>
    <w:rsid w:val="192D7CC1"/>
    <w:rsid w:val="19FF72E9"/>
    <w:rsid w:val="1B530567"/>
    <w:rsid w:val="1D660B43"/>
    <w:rsid w:val="1ED037C4"/>
    <w:rsid w:val="1F65724C"/>
    <w:rsid w:val="1F7F84E9"/>
    <w:rsid w:val="1F9039D2"/>
    <w:rsid w:val="201259CE"/>
    <w:rsid w:val="207D4DD2"/>
    <w:rsid w:val="20C72306"/>
    <w:rsid w:val="22B7675D"/>
    <w:rsid w:val="2371276E"/>
    <w:rsid w:val="23FB0A5B"/>
    <w:rsid w:val="24E72DC2"/>
    <w:rsid w:val="25575B08"/>
    <w:rsid w:val="25F62E02"/>
    <w:rsid w:val="262F2991"/>
    <w:rsid w:val="26D62895"/>
    <w:rsid w:val="26EB3E67"/>
    <w:rsid w:val="29B34D91"/>
    <w:rsid w:val="2A837BD4"/>
    <w:rsid w:val="2A9515A1"/>
    <w:rsid w:val="2AE13EFE"/>
    <w:rsid w:val="2C2123F2"/>
    <w:rsid w:val="2D8F09B9"/>
    <w:rsid w:val="2E31233D"/>
    <w:rsid w:val="2EF3369A"/>
    <w:rsid w:val="2F39519C"/>
    <w:rsid w:val="304D7F7E"/>
    <w:rsid w:val="30975BF6"/>
    <w:rsid w:val="321C1B85"/>
    <w:rsid w:val="323611B3"/>
    <w:rsid w:val="327D2B4E"/>
    <w:rsid w:val="337D1FCD"/>
    <w:rsid w:val="33C34071"/>
    <w:rsid w:val="33CC574C"/>
    <w:rsid w:val="3465737D"/>
    <w:rsid w:val="348A234E"/>
    <w:rsid w:val="354010C3"/>
    <w:rsid w:val="36B60470"/>
    <w:rsid w:val="3848158E"/>
    <w:rsid w:val="39120EAD"/>
    <w:rsid w:val="3A42034E"/>
    <w:rsid w:val="3A5C70FE"/>
    <w:rsid w:val="3BF70375"/>
    <w:rsid w:val="3C92067A"/>
    <w:rsid w:val="3D2A0465"/>
    <w:rsid w:val="3D556267"/>
    <w:rsid w:val="3D5A2CFA"/>
    <w:rsid w:val="40231D53"/>
    <w:rsid w:val="40C528A8"/>
    <w:rsid w:val="412342BD"/>
    <w:rsid w:val="422C1B3B"/>
    <w:rsid w:val="43E51F12"/>
    <w:rsid w:val="43F81C45"/>
    <w:rsid w:val="4427252A"/>
    <w:rsid w:val="44485D56"/>
    <w:rsid w:val="457271D8"/>
    <w:rsid w:val="46191654"/>
    <w:rsid w:val="46DE6680"/>
    <w:rsid w:val="46F5559A"/>
    <w:rsid w:val="477F187D"/>
    <w:rsid w:val="47BD0FF8"/>
    <w:rsid w:val="4845019B"/>
    <w:rsid w:val="49016A01"/>
    <w:rsid w:val="49035628"/>
    <w:rsid w:val="4A0E4AF1"/>
    <w:rsid w:val="4A185A6B"/>
    <w:rsid w:val="4A404346"/>
    <w:rsid w:val="4A58733E"/>
    <w:rsid w:val="4B296D88"/>
    <w:rsid w:val="4B8C001B"/>
    <w:rsid w:val="4C63633F"/>
    <w:rsid w:val="4CD3324F"/>
    <w:rsid w:val="4CE54D31"/>
    <w:rsid w:val="4D3F08E5"/>
    <w:rsid w:val="4D526DC8"/>
    <w:rsid w:val="4DFA4000"/>
    <w:rsid w:val="4F776A6B"/>
    <w:rsid w:val="50103002"/>
    <w:rsid w:val="50FF785D"/>
    <w:rsid w:val="5176565F"/>
    <w:rsid w:val="51976825"/>
    <w:rsid w:val="529C01BD"/>
    <w:rsid w:val="52AB07CA"/>
    <w:rsid w:val="53C14AE0"/>
    <w:rsid w:val="54DA68DA"/>
    <w:rsid w:val="54F215CF"/>
    <w:rsid w:val="55452810"/>
    <w:rsid w:val="56261658"/>
    <w:rsid w:val="56765E2E"/>
    <w:rsid w:val="56A81F1A"/>
    <w:rsid w:val="57922F7C"/>
    <w:rsid w:val="57A00704"/>
    <w:rsid w:val="58A95996"/>
    <w:rsid w:val="597643ED"/>
    <w:rsid w:val="5B6B2007"/>
    <w:rsid w:val="5BB901D2"/>
    <w:rsid w:val="5C4E644E"/>
    <w:rsid w:val="5CDB44BF"/>
    <w:rsid w:val="5FCB6008"/>
    <w:rsid w:val="60E92BEA"/>
    <w:rsid w:val="61AF7988"/>
    <w:rsid w:val="64307C97"/>
    <w:rsid w:val="6462781C"/>
    <w:rsid w:val="647A7046"/>
    <w:rsid w:val="648C5704"/>
    <w:rsid w:val="65FD698B"/>
    <w:rsid w:val="663955FE"/>
    <w:rsid w:val="66680A54"/>
    <w:rsid w:val="66BC2B4E"/>
    <w:rsid w:val="672B1B34"/>
    <w:rsid w:val="67804D2B"/>
    <w:rsid w:val="67B24110"/>
    <w:rsid w:val="67FE5C43"/>
    <w:rsid w:val="68BD7860"/>
    <w:rsid w:val="69A51678"/>
    <w:rsid w:val="6ACC507C"/>
    <w:rsid w:val="6B716BE0"/>
    <w:rsid w:val="6BA3608B"/>
    <w:rsid w:val="6BB072D9"/>
    <w:rsid w:val="6CB905E6"/>
    <w:rsid w:val="6E6B2E90"/>
    <w:rsid w:val="6F6879E4"/>
    <w:rsid w:val="71406291"/>
    <w:rsid w:val="7157594D"/>
    <w:rsid w:val="720A50C9"/>
    <w:rsid w:val="722C5E47"/>
    <w:rsid w:val="72690CD9"/>
    <w:rsid w:val="72DA1A44"/>
    <w:rsid w:val="73B54BAD"/>
    <w:rsid w:val="74BE7D72"/>
    <w:rsid w:val="75E576FB"/>
    <w:rsid w:val="7649745D"/>
    <w:rsid w:val="76D47947"/>
    <w:rsid w:val="76E95A11"/>
    <w:rsid w:val="777F5833"/>
    <w:rsid w:val="79B23E01"/>
    <w:rsid w:val="7A346298"/>
    <w:rsid w:val="7A6A08DA"/>
    <w:rsid w:val="7AB53C86"/>
    <w:rsid w:val="7ABD240B"/>
    <w:rsid w:val="7B0661B0"/>
    <w:rsid w:val="7D54367E"/>
    <w:rsid w:val="7EE12780"/>
    <w:rsid w:val="7FA75CF2"/>
    <w:rsid w:val="7FD00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7"/>
    <w:qFormat/>
    <w:uiPriority w:val="0"/>
    <w:pPr>
      <w:keepNext/>
      <w:keepLines/>
      <w:adjustRightInd w:val="0"/>
      <w:snapToGrid w:val="0"/>
      <w:spacing w:before="260" w:after="260" w:line="360" w:lineRule="auto"/>
      <w:outlineLvl w:val="1"/>
    </w:pPr>
    <w:rPr>
      <w:rFonts w:ascii="Cambria" w:hAnsi="Cambria"/>
      <w:b/>
      <w:bCs/>
      <w:sz w:val="32"/>
      <w:szCs w:val="32"/>
    </w:rPr>
  </w:style>
  <w:style w:type="paragraph" w:styleId="4">
    <w:name w:val="heading 3"/>
    <w:basedOn w:val="1"/>
    <w:next w:val="1"/>
    <w:link w:val="68"/>
    <w:qFormat/>
    <w:uiPriority w:val="0"/>
    <w:pPr>
      <w:keepNext/>
      <w:keepLines/>
      <w:adjustRightInd w:val="0"/>
      <w:snapToGrid w:val="0"/>
      <w:spacing w:line="480" w:lineRule="auto"/>
      <w:jc w:val="center"/>
      <w:outlineLvl w:val="2"/>
    </w:pPr>
    <w:rPr>
      <w:b/>
      <w:bCs/>
      <w:sz w:val="32"/>
      <w:szCs w:val="32"/>
    </w:rPr>
  </w:style>
  <w:style w:type="paragraph" w:styleId="5">
    <w:name w:val="heading 4"/>
    <w:basedOn w:val="1"/>
    <w:next w:val="1"/>
    <w:link w:val="69"/>
    <w:qFormat/>
    <w:uiPriority w:val="0"/>
    <w:pPr>
      <w:widowControl/>
      <w:spacing w:before="100" w:beforeAutospacing="1" w:after="100" w:afterAutospacing="1"/>
      <w:jc w:val="left"/>
      <w:outlineLvl w:val="3"/>
    </w:pPr>
    <w:rPr>
      <w:rFonts w:ascii="宋体" w:hAnsi="宋体" w:cs="宋体"/>
      <w:b/>
      <w:bCs/>
      <w:sz w:val="24"/>
      <w:szCs w:val="24"/>
    </w:rPr>
  </w:style>
  <w:style w:type="paragraph" w:styleId="6">
    <w:name w:val="heading 5"/>
    <w:basedOn w:val="1"/>
    <w:next w:val="1"/>
    <w:link w:val="70"/>
    <w:qFormat/>
    <w:uiPriority w:val="0"/>
    <w:pPr>
      <w:widowControl/>
      <w:spacing w:before="100" w:beforeAutospacing="1" w:after="100" w:afterAutospacing="1"/>
      <w:jc w:val="left"/>
      <w:outlineLvl w:val="4"/>
    </w:pPr>
    <w:rPr>
      <w:rFonts w:ascii="宋体" w:hAnsi="宋体" w:cs="宋体"/>
      <w:b/>
      <w:bCs/>
    </w:rPr>
  </w:style>
  <w:style w:type="paragraph" w:styleId="7">
    <w:name w:val="heading 6"/>
    <w:basedOn w:val="8"/>
    <w:next w:val="1"/>
    <w:link w:val="71"/>
    <w:qFormat/>
    <w:uiPriority w:val="0"/>
    <w:pPr>
      <w:keepNext/>
      <w:keepLines/>
      <w:ind w:firstLine="200" w:firstLineChars="200"/>
      <w:outlineLvl w:val="5"/>
    </w:pPr>
    <w:rPr>
      <w:rFonts w:hAnsi="Arial"/>
    </w:rPr>
  </w:style>
  <w:style w:type="paragraph" w:styleId="9">
    <w:name w:val="heading 7"/>
    <w:basedOn w:val="1"/>
    <w:next w:val="1"/>
    <w:link w:val="72"/>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73"/>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74"/>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54">
    <w:name w:val="Default Paragraph Font"/>
    <w:unhideWhenUsed/>
    <w:qFormat/>
    <w:uiPriority w:val="1"/>
  </w:style>
  <w:style w:type="table" w:default="1" w:styleId="53">
    <w:name w:val="Normal Table"/>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12">
    <w:name w:val="toc 7"/>
    <w:basedOn w:val="1"/>
    <w:next w:val="1"/>
    <w:qFormat/>
    <w:uiPriority w:val="0"/>
    <w:pPr>
      <w:ind w:left="2520" w:leftChars="1200"/>
    </w:pPr>
  </w:style>
  <w:style w:type="paragraph" w:styleId="13">
    <w:name w:val="List Bullet 4"/>
    <w:basedOn w:val="1"/>
    <w:qFormat/>
    <w:uiPriority w:val="0"/>
    <w:pPr>
      <w:numPr>
        <w:ilvl w:val="0"/>
        <w:numId w:val="1"/>
      </w:numPr>
      <w:tabs>
        <w:tab w:val="left" w:pos="1620"/>
      </w:tabs>
      <w:ind w:left="600" w:hanging="200"/>
    </w:pPr>
  </w:style>
  <w:style w:type="paragraph" w:styleId="14">
    <w:name w:val="List Bullet"/>
    <w:basedOn w:val="1"/>
    <w:qFormat/>
    <w:uiPriority w:val="0"/>
    <w:pPr>
      <w:numPr>
        <w:ilvl w:val="0"/>
        <w:numId w:val="2"/>
      </w:numPr>
      <w:tabs>
        <w:tab w:val="left" w:pos="360"/>
      </w:tabs>
      <w:ind w:hanging="200"/>
    </w:pPr>
  </w:style>
  <w:style w:type="paragraph" w:styleId="15">
    <w:name w:val="Document Map"/>
    <w:basedOn w:val="1"/>
    <w:link w:val="75"/>
    <w:qFormat/>
    <w:uiPriority w:val="0"/>
    <w:pPr>
      <w:shd w:val="clear" w:color="auto" w:fill="000080"/>
    </w:pPr>
    <w:rPr>
      <w:szCs w:val="24"/>
    </w:rPr>
  </w:style>
  <w:style w:type="paragraph" w:styleId="16">
    <w:name w:val="annotation text"/>
    <w:basedOn w:val="1"/>
    <w:link w:val="76"/>
    <w:qFormat/>
    <w:uiPriority w:val="0"/>
    <w:pPr>
      <w:jc w:val="left"/>
    </w:pPr>
    <w:rPr>
      <w:szCs w:val="24"/>
    </w:rPr>
  </w:style>
  <w:style w:type="paragraph" w:styleId="17">
    <w:name w:val="Body Text 3"/>
    <w:basedOn w:val="1"/>
    <w:link w:val="77"/>
    <w:qFormat/>
    <w:uiPriority w:val="0"/>
    <w:pPr>
      <w:spacing w:after="120"/>
    </w:pPr>
    <w:rPr>
      <w:sz w:val="16"/>
      <w:szCs w:val="16"/>
    </w:rPr>
  </w:style>
  <w:style w:type="paragraph" w:styleId="18">
    <w:name w:val="List Bullet 3"/>
    <w:basedOn w:val="1"/>
    <w:qFormat/>
    <w:uiPriority w:val="0"/>
    <w:pPr>
      <w:numPr>
        <w:ilvl w:val="0"/>
        <w:numId w:val="3"/>
      </w:numPr>
      <w:tabs>
        <w:tab w:val="left" w:pos="1200"/>
        <w:tab w:val="clear" w:pos="360"/>
      </w:tabs>
      <w:ind w:left="400" w:hanging="200"/>
    </w:pPr>
  </w:style>
  <w:style w:type="paragraph" w:styleId="19">
    <w:name w:val="Body Text"/>
    <w:basedOn w:val="1"/>
    <w:next w:val="20"/>
    <w:link w:val="65"/>
    <w:qFormat/>
    <w:uiPriority w:val="0"/>
    <w:pPr>
      <w:spacing w:after="120"/>
    </w:pPr>
    <w:rPr>
      <w:szCs w:val="24"/>
    </w:rPr>
  </w:style>
  <w:style w:type="paragraph" w:customStyle="1" w:styleId="20">
    <w:name w:val="目录 53"/>
    <w:next w:val="1"/>
    <w:qFormat/>
    <w:uiPriority w:val="99"/>
    <w:pPr>
      <w:wordWrap w:val="0"/>
      <w:ind w:left="1275"/>
      <w:jc w:val="both"/>
    </w:pPr>
    <w:rPr>
      <w:rFonts w:ascii="Calibri" w:hAnsi="Calibri" w:eastAsia="宋体" w:cs="Times New Roman"/>
      <w:sz w:val="21"/>
      <w:lang w:val="en-US" w:eastAsia="zh-CN" w:bidi="ar-SA"/>
    </w:rPr>
  </w:style>
  <w:style w:type="paragraph" w:styleId="21">
    <w:name w:val="Body Text Indent"/>
    <w:basedOn w:val="1"/>
    <w:link w:val="78"/>
    <w:qFormat/>
    <w:uiPriority w:val="0"/>
    <w:pPr>
      <w:ind w:firstLine="407" w:firstLineChars="200"/>
    </w:pPr>
    <w:rPr>
      <w:szCs w:val="24"/>
    </w:rPr>
  </w:style>
  <w:style w:type="paragraph" w:styleId="2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3">
    <w:name w:val="List Bullet 2"/>
    <w:basedOn w:val="1"/>
    <w:qFormat/>
    <w:uiPriority w:val="0"/>
    <w:pPr>
      <w:numPr>
        <w:ilvl w:val="0"/>
        <w:numId w:val="4"/>
      </w:numPr>
      <w:tabs>
        <w:tab w:val="left" w:pos="780"/>
      </w:tabs>
      <w:ind w:left="200" w:hanging="200"/>
    </w:pPr>
  </w:style>
  <w:style w:type="paragraph" w:styleId="24">
    <w:name w:val="index 4"/>
    <w:basedOn w:val="1"/>
    <w:next w:val="1"/>
    <w:qFormat/>
    <w:uiPriority w:val="0"/>
    <w:pPr>
      <w:ind w:left="600" w:leftChars="600"/>
    </w:pPr>
    <w:rPr>
      <w:szCs w:val="21"/>
    </w:rPr>
  </w:style>
  <w:style w:type="paragraph" w:styleId="25">
    <w:name w:val="toc 5"/>
    <w:basedOn w:val="1"/>
    <w:next w:val="1"/>
    <w:qFormat/>
    <w:uiPriority w:val="0"/>
    <w:pPr>
      <w:ind w:left="1680" w:leftChars="800"/>
    </w:pPr>
  </w:style>
  <w:style w:type="paragraph" w:styleId="26">
    <w:name w:val="toc 3"/>
    <w:basedOn w:val="1"/>
    <w:next w:val="1"/>
    <w:qFormat/>
    <w:uiPriority w:val="0"/>
    <w:pPr>
      <w:ind w:left="840" w:leftChars="400"/>
    </w:pPr>
  </w:style>
  <w:style w:type="paragraph" w:styleId="27">
    <w:name w:val="Plain Text"/>
    <w:basedOn w:val="1"/>
    <w:link w:val="79"/>
    <w:qFormat/>
    <w:uiPriority w:val="0"/>
    <w:rPr>
      <w:rFonts w:ascii="宋体" w:hAnsi="Courier New" w:cs="Courier New"/>
      <w:szCs w:val="21"/>
    </w:rPr>
  </w:style>
  <w:style w:type="paragraph" w:styleId="28">
    <w:name w:val="List Bullet 5"/>
    <w:basedOn w:val="1"/>
    <w:qFormat/>
    <w:uiPriority w:val="0"/>
    <w:pPr>
      <w:numPr>
        <w:ilvl w:val="0"/>
        <w:numId w:val="5"/>
      </w:numPr>
      <w:tabs>
        <w:tab w:val="left" w:pos="2040"/>
      </w:tabs>
      <w:ind w:left="800" w:hanging="200"/>
    </w:pPr>
  </w:style>
  <w:style w:type="paragraph" w:styleId="29">
    <w:name w:val="toc 8"/>
    <w:basedOn w:val="1"/>
    <w:next w:val="1"/>
    <w:qFormat/>
    <w:uiPriority w:val="0"/>
    <w:pPr>
      <w:ind w:left="2940" w:leftChars="1400"/>
    </w:pPr>
  </w:style>
  <w:style w:type="paragraph" w:styleId="30">
    <w:name w:val="Date"/>
    <w:basedOn w:val="1"/>
    <w:next w:val="1"/>
    <w:link w:val="80"/>
    <w:qFormat/>
    <w:uiPriority w:val="0"/>
    <w:pPr>
      <w:ind w:left="100" w:leftChars="2500"/>
    </w:pPr>
    <w:rPr>
      <w:szCs w:val="24"/>
    </w:rPr>
  </w:style>
  <w:style w:type="paragraph" w:styleId="31">
    <w:name w:val="Body Text Indent 2"/>
    <w:basedOn w:val="1"/>
    <w:link w:val="81"/>
    <w:qFormat/>
    <w:uiPriority w:val="0"/>
    <w:pPr>
      <w:widowControl/>
      <w:spacing w:line="480" w:lineRule="auto"/>
      <w:ind w:firstLine="560"/>
      <w:jc w:val="left"/>
    </w:pPr>
    <w:rPr>
      <w:sz w:val="28"/>
      <w:szCs w:val="24"/>
    </w:rPr>
  </w:style>
  <w:style w:type="paragraph" w:styleId="32">
    <w:name w:val="endnote text"/>
    <w:basedOn w:val="1"/>
    <w:link w:val="82"/>
    <w:qFormat/>
    <w:uiPriority w:val="0"/>
    <w:pPr>
      <w:widowControl/>
      <w:snapToGrid w:val="0"/>
      <w:jc w:val="left"/>
    </w:pPr>
    <w:rPr>
      <w:rFonts w:ascii="Arial" w:hAnsi="Arial" w:cs="Arial"/>
      <w:szCs w:val="24"/>
      <w:lang w:eastAsia="en-US"/>
    </w:rPr>
  </w:style>
  <w:style w:type="paragraph" w:styleId="33">
    <w:name w:val="Balloon Text"/>
    <w:basedOn w:val="1"/>
    <w:link w:val="83"/>
    <w:qFormat/>
    <w:uiPriority w:val="0"/>
    <w:rPr>
      <w:sz w:val="18"/>
      <w:szCs w:val="18"/>
    </w:rPr>
  </w:style>
  <w:style w:type="paragraph" w:styleId="34">
    <w:name w:val="footer"/>
    <w:basedOn w:val="1"/>
    <w:link w:val="84"/>
    <w:qFormat/>
    <w:uiPriority w:val="0"/>
    <w:pPr>
      <w:tabs>
        <w:tab w:val="center" w:pos="4153"/>
        <w:tab w:val="right" w:pos="8306"/>
      </w:tabs>
      <w:snapToGrid w:val="0"/>
      <w:jc w:val="left"/>
    </w:pPr>
    <w:rPr>
      <w:sz w:val="18"/>
      <w:szCs w:val="18"/>
    </w:rPr>
  </w:style>
  <w:style w:type="paragraph" w:styleId="35">
    <w:name w:val="header"/>
    <w:basedOn w:val="1"/>
    <w:link w:val="85"/>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8608"/>
      </w:tabs>
      <w:spacing w:line="480" w:lineRule="exact"/>
      <w:jc w:val="distribute"/>
    </w:pPr>
    <w:rPr>
      <w:rFonts w:ascii="宋体" w:hAnsi="宋体"/>
      <w:b/>
      <w:bCs/>
      <w:caps/>
      <w:color w:val="000000"/>
      <w:kern w:val="44"/>
      <w:sz w:val="24"/>
      <w:lang w:val="zh-CN"/>
    </w:rPr>
  </w:style>
  <w:style w:type="paragraph" w:styleId="37">
    <w:name w:val="toc 4"/>
    <w:basedOn w:val="1"/>
    <w:next w:val="1"/>
    <w:qFormat/>
    <w:uiPriority w:val="0"/>
    <w:pPr>
      <w:ind w:left="1260" w:leftChars="600"/>
    </w:pPr>
  </w:style>
  <w:style w:type="paragraph" w:styleId="38">
    <w:name w:val="Subtitle"/>
    <w:basedOn w:val="1"/>
    <w:link w:val="86"/>
    <w:qFormat/>
    <w:uiPriority w:val="0"/>
    <w:pPr>
      <w:widowControl/>
      <w:jc w:val="center"/>
    </w:pPr>
    <w:rPr>
      <w:szCs w:val="24"/>
      <w:u w:val="single"/>
      <w:lang w:eastAsia="en-US"/>
    </w:rPr>
  </w:style>
  <w:style w:type="paragraph" w:styleId="39">
    <w:name w:val="footnote text"/>
    <w:basedOn w:val="1"/>
    <w:link w:val="87"/>
    <w:qFormat/>
    <w:uiPriority w:val="0"/>
    <w:pPr>
      <w:widowControl/>
      <w:snapToGrid w:val="0"/>
      <w:jc w:val="left"/>
    </w:pPr>
    <w:rPr>
      <w:rFonts w:ascii="Arial" w:hAnsi="Arial" w:cs="Arial"/>
      <w:sz w:val="18"/>
      <w:szCs w:val="18"/>
      <w:lang w:eastAsia="en-US"/>
    </w:rPr>
  </w:style>
  <w:style w:type="paragraph" w:styleId="40">
    <w:name w:val="toc 6"/>
    <w:basedOn w:val="1"/>
    <w:next w:val="1"/>
    <w:qFormat/>
    <w:uiPriority w:val="0"/>
    <w:pPr>
      <w:ind w:left="2100" w:leftChars="1000"/>
    </w:pPr>
  </w:style>
  <w:style w:type="paragraph" w:styleId="41">
    <w:name w:val="Body Text Indent 3"/>
    <w:basedOn w:val="1"/>
    <w:link w:val="88"/>
    <w:qFormat/>
    <w:uiPriority w:val="0"/>
    <w:pPr>
      <w:spacing w:line="360" w:lineRule="auto"/>
      <w:ind w:firstLine="280" w:firstLineChars="100"/>
    </w:pPr>
    <w:rPr>
      <w:rFonts w:ascii="宋体" w:hAnsi="宋体"/>
      <w:sz w:val="28"/>
      <w:szCs w:val="28"/>
    </w:rPr>
  </w:style>
  <w:style w:type="paragraph" w:styleId="42">
    <w:name w:val="table of figures"/>
    <w:basedOn w:val="1"/>
    <w:next w:val="1"/>
    <w:qFormat/>
    <w:uiPriority w:val="0"/>
    <w:pPr>
      <w:ind w:left="200" w:leftChars="200" w:hanging="200" w:hangingChars="200"/>
    </w:pPr>
  </w:style>
  <w:style w:type="paragraph" w:styleId="43">
    <w:name w:val="toc 2"/>
    <w:basedOn w:val="1"/>
    <w:next w:val="1"/>
    <w:qFormat/>
    <w:uiPriority w:val="0"/>
    <w:pPr>
      <w:ind w:left="420" w:leftChars="200"/>
    </w:pPr>
  </w:style>
  <w:style w:type="paragraph" w:styleId="44">
    <w:name w:val="toc 9"/>
    <w:basedOn w:val="1"/>
    <w:next w:val="1"/>
    <w:qFormat/>
    <w:uiPriority w:val="0"/>
    <w:pPr>
      <w:ind w:left="3360" w:leftChars="1600"/>
    </w:pPr>
  </w:style>
  <w:style w:type="paragraph" w:styleId="45">
    <w:name w:val="Body Text 2"/>
    <w:basedOn w:val="1"/>
    <w:link w:val="89"/>
    <w:qFormat/>
    <w:uiPriority w:val="0"/>
    <w:rPr>
      <w:i/>
      <w:iCs/>
      <w:sz w:val="26"/>
      <w:szCs w:val="24"/>
    </w:rPr>
  </w:style>
  <w:style w:type="paragraph" w:styleId="46">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8">
    <w:name w:val="index 1"/>
    <w:basedOn w:val="1"/>
    <w:next w:val="1"/>
    <w:qFormat/>
    <w:uiPriority w:val="0"/>
    <w:pPr>
      <w:spacing w:line="220" w:lineRule="exact"/>
      <w:jc w:val="center"/>
    </w:pPr>
    <w:rPr>
      <w:rFonts w:ascii="仿宋_GB2312" w:eastAsia="仿宋_GB2312"/>
      <w:szCs w:val="21"/>
    </w:rPr>
  </w:style>
  <w:style w:type="paragraph" w:styleId="49">
    <w:name w:val="Title"/>
    <w:basedOn w:val="1"/>
    <w:link w:val="91"/>
    <w:qFormat/>
    <w:uiPriority w:val="0"/>
    <w:pPr>
      <w:widowControl/>
      <w:jc w:val="center"/>
    </w:pPr>
    <w:rPr>
      <w:szCs w:val="24"/>
      <w:u w:val="single"/>
      <w:lang w:eastAsia="en-US"/>
    </w:rPr>
  </w:style>
  <w:style w:type="paragraph" w:styleId="50">
    <w:name w:val="annotation subject"/>
    <w:basedOn w:val="16"/>
    <w:next w:val="16"/>
    <w:link w:val="92"/>
    <w:qFormat/>
    <w:uiPriority w:val="0"/>
    <w:rPr>
      <w:b/>
      <w:bCs/>
    </w:rPr>
  </w:style>
  <w:style w:type="paragraph" w:styleId="51">
    <w:name w:val="Body Text First Indent"/>
    <w:basedOn w:val="19"/>
    <w:unhideWhenUsed/>
    <w:qFormat/>
    <w:uiPriority w:val="99"/>
    <w:pPr>
      <w:spacing w:line="275" w:lineRule="atLeast"/>
      <w:ind w:firstLine="420"/>
      <w:textAlignment w:val="baseline"/>
    </w:pPr>
    <w:rPr>
      <w:rFonts w:hAnsi="Calibri" w:eastAsia="楷体_GB2312"/>
      <w:szCs w:val="20"/>
    </w:rPr>
  </w:style>
  <w:style w:type="paragraph" w:styleId="52">
    <w:name w:val="Body Text First Indent 2"/>
    <w:basedOn w:val="21"/>
    <w:link w:val="93"/>
    <w:qFormat/>
    <w:uiPriority w:val="0"/>
    <w:pPr>
      <w:spacing w:after="120"/>
      <w:ind w:left="420" w:leftChars="200" w:firstLine="420"/>
    </w:pPr>
  </w:style>
  <w:style w:type="character" w:styleId="55">
    <w:name w:val="Strong"/>
    <w:basedOn w:val="54"/>
    <w:qFormat/>
    <w:uiPriority w:val="0"/>
    <w:rPr>
      <w:b/>
      <w:bCs/>
    </w:rPr>
  </w:style>
  <w:style w:type="character" w:styleId="56">
    <w:name w:val="endnote reference"/>
    <w:basedOn w:val="54"/>
    <w:qFormat/>
    <w:uiPriority w:val="0"/>
    <w:rPr>
      <w:vertAlign w:val="superscript"/>
    </w:rPr>
  </w:style>
  <w:style w:type="character" w:styleId="57">
    <w:name w:val="page number"/>
    <w:basedOn w:val="54"/>
    <w:qFormat/>
    <w:uiPriority w:val="0"/>
    <w:rPr>
      <w:rFonts w:ascii="Verdana" w:hAnsi="Verdana" w:eastAsia="仿宋_GB2312"/>
      <w:sz w:val="24"/>
      <w:lang w:val="en-US" w:eastAsia="en-US" w:bidi="ar-SA"/>
    </w:rPr>
  </w:style>
  <w:style w:type="character" w:styleId="58">
    <w:name w:val="FollowedHyperlink"/>
    <w:basedOn w:val="54"/>
    <w:qFormat/>
    <w:uiPriority w:val="0"/>
    <w:rPr>
      <w:color w:val="800080"/>
      <w:u w:val="single"/>
    </w:rPr>
  </w:style>
  <w:style w:type="character" w:styleId="59">
    <w:name w:val="Hyperlink"/>
    <w:basedOn w:val="54"/>
    <w:qFormat/>
    <w:uiPriority w:val="99"/>
    <w:rPr>
      <w:color w:val="0000FF"/>
      <w:u w:val="single"/>
    </w:rPr>
  </w:style>
  <w:style w:type="character" w:styleId="60">
    <w:name w:val="annotation reference"/>
    <w:basedOn w:val="54"/>
    <w:qFormat/>
    <w:uiPriority w:val="0"/>
    <w:rPr>
      <w:sz w:val="21"/>
      <w:szCs w:val="21"/>
    </w:rPr>
  </w:style>
  <w:style w:type="character" w:styleId="61">
    <w:name w:val="footnote reference"/>
    <w:basedOn w:val="54"/>
    <w:qFormat/>
    <w:uiPriority w:val="0"/>
    <w:rPr>
      <w:vertAlign w:val="superscript"/>
    </w:rPr>
  </w:style>
  <w:style w:type="paragraph" w:customStyle="1" w:styleId="62">
    <w:name w:val="BodyText"/>
    <w:basedOn w:val="1"/>
    <w:next w:val="63"/>
    <w:qFormat/>
    <w:uiPriority w:val="0"/>
    <w:pPr>
      <w:jc w:val="both"/>
      <w:textAlignment w:val="baseline"/>
    </w:pPr>
    <w:rPr>
      <w:rFonts w:ascii="仿宋_GB2312" w:hAnsi="Times New Roman" w:eastAsia="仿宋_GB2312"/>
      <w:kern w:val="2"/>
      <w:sz w:val="32"/>
      <w:szCs w:val="24"/>
      <w:lang w:val="en-US" w:eastAsia="zh-CN" w:bidi="ar-SA"/>
    </w:rPr>
  </w:style>
  <w:style w:type="paragraph" w:customStyle="1" w:styleId="63">
    <w:name w:val="UserStyle_1"/>
    <w:next w:val="1"/>
    <w:qFormat/>
    <w:uiPriority w:val="0"/>
    <w:pPr>
      <w:widowControl/>
      <w:ind w:left="1275"/>
      <w:jc w:val="both"/>
      <w:textAlignment w:val="baseline"/>
    </w:pPr>
    <w:rPr>
      <w:rFonts w:ascii="Calibri" w:hAnsi="Calibri" w:eastAsia="宋体" w:cs="Times New Roman"/>
      <w:kern w:val="0"/>
      <w:sz w:val="21"/>
      <w:szCs w:val="20"/>
      <w:lang w:val="en-US" w:eastAsia="zh-CN" w:bidi="ar-SA"/>
    </w:rPr>
  </w:style>
  <w:style w:type="paragraph" w:customStyle="1" w:styleId="64">
    <w:name w:val="BodyText1I"/>
    <w:basedOn w:val="62"/>
    <w:qFormat/>
    <w:uiPriority w:val="0"/>
    <w:pPr>
      <w:spacing w:line="360" w:lineRule="auto"/>
      <w:ind w:firstLine="420"/>
      <w:jc w:val="both"/>
      <w:textAlignment w:val="baseline"/>
    </w:pPr>
    <w:rPr>
      <w:rFonts w:ascii="宋体" w:hAnsi="宋体" w:eastAsia="仿宋_GB2312"/>
      <w:kern w:val="2"/>
      <w:sz w:val="24"/>
      <w:szCs w:val="24"/>
      <w:lang w:val="en-US" w:eastAsia="zh-CN" w:bidi="ar-SA"/>
    </w:rPr>
  </w:style>
  <w:style w:type="character" w:customStyle="1" w:styleId="65">
    <w:name w:val="正文文本 Char"/>
    <w:basedOn w:val="54"/>
    <w:link w:val="19"/>
    <w:qFormat/>
    <w:uiPriority w:val="0"/>
    <w:rPr>
      <w:rFonts w:eastAsia="宋体"/>
      <w:kern w:val="2"/>
      <w:sz w:val="21"/>
      <w:szCs w:val="24"/>
      <w:lang w:val="en-US" w:eastAsia="zh-CN" w:bidi="ar-SA"/>
    </w:rPr>
  </w:style>
  <w:style w:type="character" w:customStyle="1" w:styleId="66">
    <w:name w:val="标题 1 Char"/>
    <w:basedOn w:val="54"/>
    <w:link w:val="2"/>
    <w:qFormat/>
    <w:uiPriority w:val="0"/>
    <w:rPr>
      <w:rFonts w:eastAsia="宋体"/>
      <w:b/>
      <w:bCs/>
      <w:kern w:val="44"/>
      <w:sz w:val="44"/>
      <w:szCs w:val="44"/>
      <w:lang w:val="en-US" w:eastAsia="zh-CN" w:bidi="ar-SA"/>
    </w:rPr>
  </w:style>
  <w:style w:type="character" w:customStyle="1" w:styleId="67">
    <w:name w:val="标题 2 Char"/>
    <w:basedOn w:val="54"/>
    <w:link w:val="3"/>
    <w:qFormat/>
    <w:uiPriority w:val="0"/>
    <w:rPr>
      <w:rFonts w:ascii="Cambria" w:hAnsi="Cambria" w:eastAsia="宋体"/>
      <w:b/>
      <w:bCs/>
      <w:kern w:val="2"/>
      <w:sz w:val="32"/>
      <w:szCs w:val="32"/>
      <w:lang w:val="en-US" w:eastAsia="zh-CN" w:bidi="ar-SA"/>
    </w:rPr>
  </w:style>
  <w:style w:type="character" w:customStyle="1" w:styleId="68">
    <w:name w:val="标题 3 Char"/>
    <w:basedOn w:val="54"/>
    <w:link w:val="4"/>
    <w:qFormat/>
    <w:uiPriority w:val="0"/>
    <w:rPr>
      <w:rFonts w:ascii="Times New Roman" w:hAnsi="Times New Roman" w:eastAsia="宋体"/>
      <w:b/>
      <w:bCs/>
      <w:kern w:val="2"/>
      <w:sz w:val="32"/>
      <w:szCs w:val="32"/>
      <w:lang w:val="en-US" w:eastAsia="zh-CN" w:bidi="ar-SA"/>
    </w:rPr>
  </w:style>
  <w:style w:type="character" w:customStyle="1" w:styleId="69">
    <w:name w:val="标题 4 Char"/>
    <w:basedOn w:val="54"/>
    <w:link w:val="5"/>
    <w:qFormat/>
    <w:uiPriority w:val="0"/>
    <w:rPr>
      <w:rFonts w:ascii="宋体" w:hAnsi="宋体" w:eastAsia="宋体" w:cs="宋体"/>
      <w:b/>
      <w:bCs/>
      <w:sz w:val="24"/>
      <w:szCs w:val="24"/>
      <w:lang w:val="en-US" w:eastAsia="zh-CN" w:bidi="ar-SA"/>
    </w:rPr>
  </w:style>
  <w:style w:type="character" w:customStyle="1" w:styleId="70">
    <w:name w:val="标题 5 Char"/>
    <w:basedOn w:val="54"/>
    <w:link w:val="6"/>
    <w:qFormat/>
    <w:uiPriority w:val="0"/>
    <w:rPr>
      <w:rFonts w:ascii="宋体" w:hAnsi="宋体" w:eastAsia="宋体" w:cs="宋体"/>
      <w:b/>
      <w:bCs/>
      <w:lang w:val="en-US" w:eastAsia="zh-CN" w:bidi="ar-SA"/>
    </w:rPr>
  </w:style>
  <w:style w:type="character" w:customStyle="1" w:styleId="71">
    <w:name w:val="标题 6 Char"/>
    <w:basedOn w:val="54"/>
    <w:link w:val="7"/>
    <w:qFormat/>
    <w:uiPriority w:val="0"/>
    <w:rPr>
      <w:rFonts w:hAnsi="Arial" w:eastAsia="仿宋_GB2312"/>
      <w:sz w:val="30"/>
      <w:lang w:val="en-US" w:eastAsia="zh-CN" w:bidi="ar-SA"/>
    </w:rPr>
  </w:style>
  <w:style w:type="character" w:customStyle="1" w:styleId="72">
    <w:name w:val="标题 7 Char"/>
    <w:basedOn w:val="54"/>
    <w:link w:val="9"/>
    <w:qFormat/>
    <w:uiPriority w:val="0"/>
    <w:rPr>
      <w:rFonts w:eastAsia="仿宋_GB2312"/>
      <w:sz w:val="30"/>
      <w:lang w:val="en-US" w:eastAsia="zh-CN" w:bidi="ar-SA"/>
    </w:rPr>
  </w:style>
  <w:style w:type="character" w:customStyle="1" w:styleId="73">
    <w:name w:val="标题 8 Char"/>
    <w:basedOn w:val="54"/>
    <w:link w:val="10"/>
    <w:qFormat/>
    <w:uiPriority w:val="0"/>
    <w:rPr>
      <w:rFonts w:hAnsi="Arial" w:eastAsia="仿宋_GB2312"/>
      <w:sz w:val="30"/>
      <w:lang w:val="en-US" w:eastAsia="zh-CN" w:bidi="ar-SA"/>
    </w:rPr>
  </w:style>
  <w:style w:type="character" w:customStyle="1" w:styleId="74">
    <w:name w:val="标题 9 Char"/>
    <w:basedOn w:val="54"/>
    <w:link w:val="11"/>
    <w:qFormat/>
    <w:uiPriority w:val="0"/>
    <w:rPr>
      <w:rFonts w:eastAsia="仿宋_GB2312"/>
      <w:sz w:val="30"/>
      <w:lang w:val="en-US" w:eastAsia="zh-CN" w:bidi="ar-SA"/>
    </w:rPr>
  </w:style>
  <w:style w:type="character" w:customStyle="1" w:styleId="75">
    <w:name w:val="文档结构图 Char"/>
    <w:basedOn w:val="54"/>
    <w:link w:val="15"/>
    <w:qFormat/>
    <w:uiPriority w:val="0"/>
    <w:rPr>
      <w:rFonts w:eastAsia="宋体"/>
      <w:kern w:val="2"/>
      <w:sz w:val="21"/>
      <w:szCs w:val="24"/>
      <w:lang w:val="en-US" w:eastAsia="zh-CN" w:bidi="ar-SA"/>
    </w:rPr>
  </w:style>
  <w:style w:type="character" w:customStyle="1" w:styleId="76">
    <w:name w:val="批注文字 Char"/>
    <w:basedOn w:val="54"/>
    <w:link w:val="16"/>
    <w:qFormat/>
    <w:uiPriority w:val="0"/>
    <w:rPr>
      <w:rFonts w:eastAsia="宋体"/>
      <w:kern w:val="2"/>
      <w:sz w:val="21"/>
      <w:szCs w:val="24"/>
      <w:lang w:val="en-US" w:eastAsia="zh-CN" w:bidi="ar-SA"/>
    </w:rPr>
  </w:style>
  <w:style w:type="character" w:customStyle="1" w:styleId="77">
    <w:name w:val="正文文本 3 Char"/>
    <w:basedOn w:val="54"/>
    <w:link w:val="17"/>
    <w:qFormat/>
    <w:uiPriority w:val="0"/>
    <w:rPr>
      <w:rFonts w:eastAsia="宋体"/>
      <w:kern w:val="2"/>
      <w:sz w:val="16"/>
      <w:szCs w:val="16"/>
      <w:lang w:val="en-US" w:eastAsia="zh-CN" w:bidi="ar-SA"/>
    </w:rPr>
  </w:style>
  <w:style w:type="character" w:customStyle="1" w:styleId="78">
    <w:name w:val="正文文本缩进 Char"/>
    <w:basedOn w:val="54"/>
    <w:link w:val="21"/>
    <w:qFormat/>
    <w:uiPriority w:val="0"/>
    <w:rPr>
      <w:rFonts w:eastAsia="宋体"/>
      <w:kern w:val="2"/>
      <w:sz w:val="21"/>
      <w:szCs w:val="24"/>
      <w:lang w:val="en-US" w:eastAsia="zh-CN" w:bidi="ar-SA"/>
    </w:rPr>
  </w:style>
  <w:style w:type="character" w:customStyle="1" w:styleId="79">
    <w:name w:val="纯文本 Char"/>
    <w:basedOn w:val="54"/>
    <w:link w:val="27"/>
    <w:qFormat/>
    <w:uiPriority w:val="0"/>
    <w:rPr>
      <w:rFonts w:ascii="宋体" w:hAnsi="Courier New" w:eastAsia="宋体" w:cs="Courier New"/>
      <w:kern w:val="2"/>
      <w:sz w:val="21"/>
      <w:szCs w:val="21"/>
      <w:lang w:val="en-US" w:eastAsia="zh-CN" w:bidi="ar-SA"/>
    </w:rPr>
  </w:style>
  <w:style w:type="character" w:customStyle="1" w:styleId="80">
    <w:name w:val="日期 Char"/>
    <w:basedOn w:val="54"/>
    <w:link w:val="30"/>
    <w:qFormat/>
    <w:uiPriority w:val="0"/>
    <w:rPr>
      <w:rFonts w:eastAsia="宋体"/>
      <w:kern w:val="2"/>
      <w:sz w:val="21"/>
      <w:szCs w:val="24"/>
      <w:lang w:val="en-US" w:eastAsia="zh-CN" w:bidi="ar-SA"/>
    </w:rPr>
  </w:style>
  <w:style w:type="character" w:customStyle="1" w:styleId="81">
    <w:name w:val="正文文本缩进 2 Char"/>
    <w:basedOn w:val="54"/>
    <w:link w:val="31"/>
    <w:qFormat/>
    <w:uiPriority w:val="0"/>
    <w:rPr>
      <w:rFonts w:eastAsia="宋体"/>
      <w:sz w:val="28"/>
      <w:szCs w:val="24"/>
      <w:lang w:val="en-US" w:eastAsia="zh-CN" w:bidi="ar-SA"/>
    </w:rPr>
  </w:style>
  <w:style w:type="character" w:customStyle="1" w:styleId="82">
    <w:name w:val="尾注文本 Char"/>
    <w:basedOn w:val="54"/>
    <w:link w:val="32"/>
    <w:qFormat/>
    <w:uiPriority w:val="0"/>
    <w:rPr>
      <w:rFonts w:ascii="Arial" w:hAnsi="Arial" w:eastAsia="宋体" w:cs="Arial"/>
      <w:szCs w:val="24"/>
      <w:lang w:val="en-US" w:eastAsia="en-US" w:bidi="ar-SA"/>
    </w:rPr>
  </w:style>
  <w:style w:type="character" w:customStyle="1" w:styleId="83">
    <w:name w:val="批注框文本 Char"/>
    <w:basedOn w:val="54"/>
    <w:link w:val="33"/>
    <w:qFormat/>
    <w:uiPriority w:val="0"/>
    <w:rPr>
      <w:rFonts w:eastAsia="宋体"/>
      <w:kern w:val="2"/>
      <w:sz w:val="18"/>
      <w:szCs w:val="18"/>
      <w:lang w:val="en-US" w:eastAsia="zh-CN" w:bidi="ar-SA"/>
    </w:rPr>
  </w:style>
  <w:style w:type="character" w:customStyle="1" w:styleId="84">
    <w:name w:val="页脚 Char"/>
    <w:basedOn w:val="54"/>
    <w:link w:val="34"/>
    <w:qFormat/>
    <w:uiPriority w:val="0"/>
    <w:rPr>
      <w:rFonts w:eastAsia="宋体"/>
      <w:kern w:val="2"/>
      <w:sz w:val="18"/>
      <w:szCs w:val="18"/>
      <w:lang w:val="en-US" w:eastAsia="zh-CN" w:bidi="ar-SA"/>
    </w:rPr>
  </w:style>
  <w:style w:type="character" w:customStyle="1" w:styleId="85">
    <w:name w:val="页眉 Char"/>
    <w:basedOn w:val="54"/>
    <w:link w:val="35"/>
    <w:qFormat/>
    <w:uiPriority w:val="0"/>
    <w:rPr>
      <w:rFonts w:eastAsia="宋体"/>
      <w:kern w:val="2"/>
      <w:sz w:val="18"/>
      <w:szCs w:val="18"/>
      <w:lang w:val="en-US" w:eastAsia="zh-CN" w:bidi="ar-SA"/>
    </w:rPr>
  </w:style>
  <w:style w:type="character" w:customStyle="1" w:styleId="86">
    <w:name w:val="副标题 Char"/>
    <w:basedOn w:val="54"/>
    <w:link w:val="38"/>
    <w:qFormat/>
    <w:uiPriority w:val="0"/>
    <w:rPr>
      <w:rFonts w:eastAsia="宋体"/>
      <w:szCs w:val="24"/>
      <w:u w:val="single"/>
      <w:lang w:val="en-US" w:eastAsia="en-US" w:bidi="ar-SA"/>
    </w:rPr>
  </w:style>
  <w:style w:type="character" w:customStyle="1" w:styleId="87">
    <w:name w:val="脚注文本 Char"/>
    <w:basedOn w:val="54"/>
    <w:link w:val="39"/>
    <w:qFormat/>
    <w:uiPriority w:val="0"/>
    <w:rPr>
      <w:rFonts w:ascii="Arial" w:hAnsi="Arial" w:eastAsia="宋体" w:cs="Arial"/>
      <w:sz w:val="18"/>
      <w:szCs w:val="18"/>
      <w:lang w:val="en-US" w:eastAsia="en-US" w:bidi="ar-SA"/>
    </w:rPr>
  </w:style>
  <w:style w:type="character" w:customStyle="1" w:styleId="88">
    <w:name w:val="正文文本缩进 3 Char"/>
    <w:basedOn w:val="54"/>
    <w:link w:val="41"/>
    <w:qFormat/>
    <w:uiPriority w:val="0"/>
    <w:rPr>
      <w:rFonts w:ascii="宋体" w:hAnsi="宋体" w:eastAsia="宋体"/>
      <w:kern w:val="2"/>
      <w:sz w:val="28"/>
      <w:szCs w:val="28"/>
      <w:lang w:val="en-US" w:eastAsia="zh-CN" w:bidi="ar-SA"/>
    </w:rPr>
  </w:style>
  <w:style w:type="character" w:customStyle="1" w:styleId="89">
    <w:name w:val="正文文本 2 Char"/>
    <w:basedOn w:val="54"/>
    <w:link w:val="45"/>
    <w:qFormat/>
    <w:uiPriority w:val="0"/>
    <w:rPr>
      <w:rFonts w:eastAsia="宋体"/>
      <w:i/>
      <w:iCs/>
      <w:kern w:val="2"/>
      <w:sz w:val="26"/>
      <w:szCs w:val="24"/>
      <w:lang w:val="en-US" w:eastAsia="zh-CN" w:bidi="ar-SA"/>
    </w:rPr>
  </w:style>
  <w:style w:type="character" w:customStyle="1" w:styleId="90">
    <w:name w:val="HTML 预设格式 Char"/>
    <w:basedOn w:val="54"/>
    <w:link w:val="46"/>
    <w:qFormat/>
    <w:uiPriority w:val="0"/>
    <w:rPr>
      <w:rFonts w:ascii="宋体" w:hAnsi="宋体" w:eastAsia="宋体" w:cs="宋体"/>
      <w:color w:val="000000"/>
      <w:sz w:val="24"/>
      <w:szCs w:val="24"/>
      <w:lang w:val="en-US" w:eastAsia="zh-CN" w:bidi="ar-SA"/>
    </w:rPr>
  </w:style>
  <w:style w:type="character" w:customStyle="1" w:styleId="91">
    <w:name w:val="标题 Char"/>
    <w:basedOn w:val="54"/>
    <w:link w:val="49"/>
    <w:qFormat/>
    <w:uiPriority w:val="0"/>
    <w:rPr>
      <w:rFonts w:eastAsia="宋体"/>
      <w:szCs w:val="24"/>
      <w:u w:val="single"/>
      <w:lang w:val="en-US" w:eastAsia="en-US" w:bidi="ar-SA"/>
    </w:rPr>
  </w:style>
  <w:style w:type="character" w:customStyle="1" w:styleId="92">
    <w:name w:val="批注主题 Char"/>
    <w:basedOn w:val="76"/>
    <w:link w:val="50"/>
    <w:qFormat/>
    <w:uiPriority w:val="0"/>
    <w:rPr>
      <w:rFonts w:eastAsia="宋体"/>
      <w:b/>
      <w:bCs/>
      <w:kern w:val="2"/>
      <w:sz w:val="21"/>
      <w:szCs w:val="24"/>
      <w:lang w:val="en-US" w:eastAsia="zh-CN" w:bidi="ar-SA"/>
    </w:rPr>
  </w:style>
  <w:style w:type="character" w:customStyle="1" w:styleId="93">
    <w:name w:val="正文首行缩进 2 Char"/>
    <w:basedOn w:val="94"/>
    <w:link w:val="52"/>
    <w:qFormat/>
    <w:uiPriority w:val="0"/>
    <w:rPr>
      <w:rFonts w:ascii="宋体" w:hAnsi="宋体" w:eastAsia="宋体" w:cs="Times New Roman"/>
      <w:kern w:val="2"/>
      <w:sz w:val="24"/>
      <w:szCs w:val="24"/>
      <w:lang w:val="en-US" w:eastAsia="zh-CN" w:bidi="ar-SA"/>
    </w:rPr>
  </w:style>
  <w:style w:type="character" w:customStyle="1" w:styleId="94">
    <w:name w:val="Char Char69"/>
    <w:basedOn w:val="54"/>
    <w:qFormat/>
    <w:uiPriority w:val="0"/>
    <w:rPr>
      <w:rFonts w:ascii="宋体" w:hAnsi="宋体" w:eastAsia="宋体" w:cs="Times New Roman"/>
      <w:kern w:val="2"/>
      <w:sz w:val="24"/>
      <w:szCs w:val="24"/>
      <w:lang w:val="en-US" w:eastAsia="zh-CN" w:bidi="ar-SA"/>
    </w:rPr>
  </w:style>
  <w:style w:type="character" w:customStyle="1" w:styleId="95">
    <w:name w:val="Char Char84"/>
    <w:basedOn w:val="54"/>
    <w:qFormat/>
    <w:uiPriority w:val="0"/>
    <w:rPr>
      <w:rFonts w:eastAsia="宋体" w:cs="Times New Roman"/>
      <w:b/>
      <w:bCs/>
      <w:kern w:val="2"/>
      <w:sz w:val="32"/>
      <w:szCs w:val="32"/>
      <w:lang w:val="en-US" w:eastAsia="zh-CN" w:bidi="ar-SA"/>
    </w:rPr>
  </w:style>
  <w:style w:type="character" w:customStyle="1" w:styleId="96">
    <w:name w:val="Char Char36"/>
    <w:basedOn w:val="97"/>
    <w:qFormat/>
    <w:uiPriority w:val="0"/>
    <w:rPr>
      <w:rFonts w:eastAsia="宋体" w:cs="Times New Roman"/>
      <w:b/>
      <w:bCs/>
      <w:kern w:val="2"/>
      <w:sz w:val="24"/>
      <w:szCs w:val="24"/>
      <w:lang w:val="en-US" w:eastAsia="zh-CN" w:bidi="ar-SA"/>
    </w:rPr>
  </w:style>
  <w:style w:type="character" w:customStyle="1" w:styleId="97">
    <w:name w:val="Char Char42"/>
    <w:basedOn w:val="54"/>
    <w:qFormat/>
    <w:uiPriority w:val="0"/>
    <w:rPr>
      <w:rFonts w:eastAsia="宋体" w:cs="Times New Roman"/>
      <w:sz w:val="24"/>
      <w:lang w:val="en-US" w:eastAsia="zh-CN" w:bidi="ar-SA"/>
    </w:rPr>
  </w:style>
  <w:style w:type="character" w:customStyle="1" w:styleId="98">
    <w:name w:val="Char Char38"/>
    <w:basedOn w:val="54"/>
    <w:qFormat/>
    <w:uiPriority w:val="0"/>
    <w:rPr>
      <w:rFonts w:eastAsia="宋体" w:cs="Times New Roman"/>
      <w:kern w:val="2"/>
      <w:sz w:val="24"/>
      <w:szCs w:val="24"/>
      <w:lang w:val="en-US" w:eastAsia="zh-CN" w:bidi="ar-SA"/>
    </w:rPr>
  </w:style>
  <w:style w:type="character" w:customStyle="1" w:styleId="99">
    <w:name w:val="Char Char11"/>
    <w:basedOn w:val="54"/>
    <w:qFormat/>
    <w:uiPriority w:val="0"/>
    <w:rPr>
      <w:rFonts w:eastAsia="黑体"/>
      <w:kern w:val="2"/>
      <w:sz w:val="44"/>
      <w:szCs w:val="44"/>
      <w:lang w:val="en-US" w:eastAsia="zh-CN" w:bidi="ar-SA"/>
    </w:rPr>
  </w:style>
  <w:style w:type="character" w:customStyle="1" w:styleId="100">
    <w:name w:val="Char Char75"/>
    <w:basedOn w:val="54"/>
    <w:qFormat/>
    <w:uiPriority w:val="0"/>
    <w:rPr>
      <w:rFonts w:eastAsia="宋体" w:cs="Times New Roman"/>
      <w:sz w:val="24"/>
      <w:lang w:val="en-US" w:eastAsia="zh-CN" w:bidi="ar-SA"/>
    </w:rPr>
  </w:style>
  <w:style w:type="character" w:customStyle="1" w:styleId="101">
    <w:name w:val="Char Char81"/>
    <w:basedOn w:val="54"/>
    <w:qFormat/>
    <w:uiPriority w:val="0"/>
    <w:rPr>
      <w:rFonts w:ascii="Arial" w:hAnsi="Arial" w:eastAsia="黑体" w:cs="Times New Roman"/>
      <w:b/>
      <w:bCs/>
      <w:kern w:val="2"/>
      <w:sz w:val="24"/>
      <w:szCs w:val="24"/>
      <w:lang w:val="en-US" w:eastAsia="zh-CN" w:bidi="ar-SA"/>
    </w:rPr>
  </w:style>
  <w:style w:type="character" w:customStyle="1" w:styleId="102">
    <w:name w:val="Char Char Char"/>
    <w:basedOn w:val="54"/>
    <w:qFormat/>
    <w:uiPriority w:val="0"/>
    <w:rPr>
      <w:kern w:val="2"/>
      <w:sz w:val="21"/>
      <w:szCs w:val="24"/>
      <w:shd w:val="clear" w:color="auto" w:fill="000080"/>
    </w:rPr>
  </w:style>
  <w:style w:type="character" w:customStyle="1" w:styleId="103">
    <w:name w:val="Char Char54"/>
    <w:basedOn w:val="54"/>
    <w:qFormat/>
    <w:uiPriority w:val="0"/>
    <w:rPr>
      <w:rFonts w:ascii="Arial" w:hAnsi="Arial" w:eastAsia="黑体" w:cs="Times New Roman"/>
      <w:b/>
      <w:bCs/>
      <w:kern w:val="2"/>
      <w:sz w:val="28"/>
      <w:szCs w:val="28"/>
      <w:lang w:val="en-US" w:eastAsia="zh-CN" w:bidi="ar-SA"/>
    </w:rPr>
  </w:style>
  <w:style w:type="character" w:customStyle="1" w:styleId="104">
    <w:name w:val="标题 3 Char Char"/>
    <w:basedOn w:val="54"/>
    <w:qFormat/>
    <w:uiPriority w:val="0"/>
    <w:rPr>
      <w:rFonts w:eastAsia="宋体" w:cs="Times New Roman"/>
      <w:b/>
      <w:bCs/>
      <w:kern w:val="2"/>
      <w:sz w:val="32"/>
      <w:szCs w:val="32"/>
      <w:lang w:val="en-US" w:eastAsia="zh-CN" w:bidi="ar-SA"/>
    </w:rPr>
  </w:style>
  <w:style w:type="character" w:customStyle="1" w:styleId="105">
    <w:name w:val="Char Char56"/>
    <w:basedOn w:val="54"/>
    <w:qFormat/>
    <w:uiPriority w:val="0"/>
    <w:rPr>
      <w:rFonts w:ascii="Arial" w:hAnsi="Arial" w:eastAsia="黑体" w:cs="Times New Roman"/>
      <w:b/>
      <w:bCs/>
      <w:kern w:val="2"/>
      <w:sz w:val="32"/>
      <w:szCs w:val="32"/>
      <w:lang w:val="en-US" w:eastAsia="zh-CN" w:bidi="ar-SA"/>
    </w:rPr>
  </w:style>
  <w:style w:type="character" w:customStyle="1" w:styleId="106">
    <w:name w:val="Char Char21"/>
    <w:basedOn w:val="54"/>
    <w:qFormat/>
    <w:uiPriority w:val="0"/>
    <w:rPr>
      <w:rFonts w:ascii="宋体" w:hAnsi="宋体" w:cs="宋体"/>
      <w:b/>
      <w:bCs/>
      <w:sz w:val="24"/>
      <w:szCs w:val="24"/>
    </w:rPr>
  </w:style>
  <w:style w:type="character" w:customStyle="1" w:styleId="107">
    <w:name w:val="l1"/>
    <w:basedOn w:val="54"/>
    <w:qFormat/>
    <w:uiPriority w:val="0"/>
  </w:style>
  <w:style w:type="character" w:customStyle="1" w:styleId="108">
    <w:name w:val="style121"/>
    <w:basedOn w:val="54"/>
    <w:qFormat/>
    <w:uiPriority w:val="0"/>
    <w:rPr>
      <w:rFonts w:hint="eastAsia" w:ascii="宋体" w:hAnsi="宋体" w:eastAsia="宋体"/>
      <w:sz w:val="18"/>
      <w:szCs w:val="18"/>
    </w:rPr>
  </w:style>
  <w:style w:type="character" w:customStyle="1" w:styleId="109">
    <w:name w:val="Char Char4"/>
    <w:basedOn w:val="54"/>
    <w:qFormat/>
    <w:uiPriority w:val="0"/>
    <w:rPr>
      <w:szCs w:val="24"/>
      <w:u w:val="single"/>
      <w:lang w:eastAsia="en-US"/>
    </w:rPr>
  </w:style>
  <w:style w:type="character" w:customStyle="1" w:styleId="110">
    <w:name w:val="Char Char63"/>
    <w:basedOn w:val="54"/>
    <w:qFormat/>
    <w:uiPriority w:val="0"/>
    <w:rPr>
      <w:rFonts w:eastAsia="宋体" w:cs="Times New Roman"/>
      <w:kern w:val="2"/>
      <w:sz w:val="18"/>
      <w:szCs w:val="18"/>
      <w:lang w:val="en-US" w:eastAsia="zh-CN" w:bidi="ar-SA"/>
    </w:rPr>
  </w:style>
  <w:style w:type="character" w:customStyle="1" w:styleId="111">
    <w:name w:val="Char Char23"/>
    <w:basedOn w:val="54"/>
    <w:qFormat/>
    <w:uiPriority w:val="0"/>
    <w:rPr>
      <w:rFonts w:ascii="Cambria" w:hAnsi="Cambria" w:eastAsia="宋体" w:cs="Times New Roman"/>
      <w:b/>
      <w:bCs/>
      <w:kern w:val="2"/>
      <w:sz w:val="32"/>
      <w:szCs w:val="32"/>
    </w:rPr>
  </w:style>
  <w:style w:type="character" w:customStyle="1" w:styleId="112">
    <w:name w:val="Intense Quote Char1"/>
    <w:basedOn w:val="54"/>
    <w:link w:val="113"/>
    <w:qFormat/>
    <w:uiPriority w:val="0"/>
    <w:rPr>
      <w:rFonts w:ascii="Calibri" w:hAnsi="Calibri" w:eastAsia="宋体"/>
      <w:b/>
      <w:bCs/>
      <w:i/>
      <w:iCs/>
      <w:color w:val="4F81BD"/>
      <w:kern w:val="2"/>
      <w:sz w:val="22"/>
      <w:szCs w:val="22"/>
      <w:lang w:val="en-US" w:eastAsia="zh-CN" w:bidi="ar-SA"/>
    </w:rPr>
  </w:style>
  <w:style w:type="paragraph" w:customStyle="1" w:styleId="113">
    <w:name w:val="明显引用1"/>
    <w:basedOn w:val="1"/>
    <w:next w:val="1"/>
    <w:link w:val="112"/>
    <w:qFormat/>
    <w:uiPriority w:val="0"/>
    <w:pPr>
      <w:pBdr>
        <w:bottom w:val="single" w:color="4F81BD" w:sz="4" w:space="4"/>
      </w:pBdr>
      <w:spacing w:before="200" w:after="280"/>
      <w:ind w:left="936" w:right="936"/>
    </w:pPr>
    <w:rPr>
      <w:rFonts w:ascii="Calibri" w:hAnsi="Calibri"/>
      <w:b/>
      <w:bCs/>
      <w:i/>
      <w:iCs/>
      <w:color w:val="4F81BD"/>
      <w:sz w:val="22"/>
      <w:szCs w:val="22"/>
    </w:rPr>
  </w:style>
  <w:style w:type="character" w:customStyle="1" w:styleId="114">
    <w:name w:val="Footnote Text Char1"/>
    <w:basedOn w:val="54"/>
    <w:qFormat/>
    <w:uiPriority w:val="0"/>
    <w:rPr>
      <w:rFonts w:cs="Times New Roman"/>
      <w:kern w:val="2"/>
      <w:sz w:val="18"/>
      <w:szCs w:val="18"/>
    </w:rPr>
  </w:style>
  <w:style w:type="character" w:customStyle="1" w:styleId="115">
    <w:name w:val="Char Char85"/>
    <w:basedOn w:val="54"/>
    <w:qFormat/>
    <w:uiPriority w:val="0"/>
    <w:rPr>
      <w:rFonts w:ascii="Arial" w:hAnsi="Arial" w:eastAsia="黑体" w:cs="Times New Roman"/>
      <w:b/>
      <w:bCs/>
      <w:kern w:val="2"/>
      <w:sz w:val="32"/>
      <w:szCs w:val="32"/>
      <w:lang w:val="en-US" w:eastAsia="zh-CN" w:bidi="ar-SA"/>
    </w:rPr>
  </w:style>
  <w:style w:type="character" w:customStyle="1" w:styleId="116">
    <w:name w:val="Char Char17"/>
    <w:basedOn w:val="54"/>
    <w:qFormat/>
    <w:uiPriority w:val="0"/>
    <w:rPr>
      <w:rFonts w:hAnsi="Arial" w:eastAsia="仿宋_GB2312"/>
      <w:sz w:val="30"/>
    </w:rPr>
  </w:style>
  <w:style w:type="character" w:customStyle="1" w:styleId="117">
    <w:name w:val="unnamed1"/>
    <w:basedOn w:val="54"/>
    <w:qFormat/>
    <w:uiPriority w:val="0"/>
  </w:style>
  <w:style w:type="character" w:customStyle="1" w:styleId="118">
    <w:name w:val="ca-141"/>
    <w:basedOn w:val="54"/>
    <w:qFormat/>
    <w:uiPriority w:val="0"/>
    <w:rPr>
      <w:rFonts w:hint="eastAsia" w:ascii="仿宋_GB2312" w:eastAsia="仿宋_GB2312"/>
      <w:sz w:val="21"/>
      <w:szCs w:val="21"/>
    </w:rPr>
  </w:style>
  <w:style w:type="character" w:customStyle="1" w:styleId="119">
    <w:name w:val="Char Char64"/>
    <w:basedOn w:val="54"/>
    <w:qFormat/>
    <w:uiPriority w:val="0"/>
    <w:rPr>
      <w:rFonts w:ascii="宋体" w:hAnsi="宋体" w:eastAsia="宋体" w:cs="宋体"/>
      <w:color w:val="000000"/>
      <w:sz w:val="24"/>
      <w:szCs w:val="24"/>
      <w:lang w:val="en-US" w:eastAsia="zh-CN" w:bidi="ar-SA"/>
    </w:rPr>
  </w:style>
  <w:style w:type="character" w:customStyle="1" w:styleId="120">
    <w:name w:val="main_tdbg_7601"/>
    <w:basedOn w:val="54"/>
    <w:qFormat/>
    <w:uiPriority w:val="0"/>
    <w:rPr>
      <w:sz w:val="14"/>
      <w:szCs w:val="14"/>
    </w:rPr>
  </w:style>
  <w:style w:type="character" w:customStyle="1" w:styleId="121">
    <w:name w:val="14t1"/>
    <w:basedOn w:val="54"/>
    <w:qFormat/>
    <w:uiPriority w:val="0"/>
    <w:rPr>
      <w:rFonts w:hint="eastAsia" w:ascii="宋体" w:hAnsi="宋体" w:eastAsia="宋体"/>
      <w:sz w:val="11"/>
      <w:szCs w:val="11"/>
    </w:rPr>
  </w:style>
  <w:style w:type="character" w:customStyle="1" w:styleId="122">
    <w:name w:val="Char Char72"/>
    <w:basedOn w:val="54"/>
    <w:qFormat/>
    <w:uiPriority w:val="0"/>
    <w:rPr>
      <w:rFonts w:eastAsia="宋体" w:cs="Times New Roman"/>
      <w:kern w:val="2"/>
      <w:sz w:val="24"/>
      <w:szCs w:val="24"/>
      <w:lang w:val="en-US" w:eastAsia="zh-CN" w:bidi="ar-SA"/>
    </w:rPr>
  </w:style>
  <w:style w:type="character" w:customStyle="1" w:styleId="123">
    <w:name w:val="Char Char73"/>
    <w:basedOn w:val="54"/>
    <w:qFormat/>
    <w:uiPriority w:val="0"/>
    <w:rPr>
      <w:rFonts w:eastAsia="宋体" w:cs="Times New Roman"/>
      <w:sz w:val="24"/>
      <w:szCs w:val="24"/>
      <w:u w:val="single"/>
      <w:lang w:val="en-US" w:eastAsia="en-US" w:bidi="ar-SA"/>
    </w:rPr>
  </w:style>
  <w:style w:type="character" w:customStyle="1" w:styleId="124">
    <w:name w:val="Quote Char1"/>
    <w:basedOn w:val="54"/>
    <w:link w:val="125"/>
    <w:qFormat/>
    <w:uiPriority w:val="0"/>
    <w:rPr>
      <w:rFonts w:ascii="Calibri" w:hAnsi="Calibri" w:eastAsia="宋体"/>
      <w:i/>
      <w:iCs/>
      <w:color w:val="000000"/>
      <w:kern w:val="2"/>
      <w:sz w:val="22"/>
      <w:szCs w:val="22"/>
      <w:lang w:val="en-US" w:eastAsia="zh-CN" w:bidi="ar-SA"/>
    </w:rPr>
  </w:style>
  <w:style w:type="paragraph" w:customStyle="1" w:styleId="125">
    <w:name w:val="引用1"/>
    <w:basedOn w:val="1"/>
    <w:next w:val="1"/>
    <w:link w:val="124"/>
    <w:qFormat/>
    <w:uiPriority w:val="0"/>
    <w:rPr>
      <w:rFonts w:ascii="Calibri" w:hAnsi="Calibri"/>
      <w:i/>
      <w:iCs/>
      <w:color w:val="000000"/>
      <w:sz w:val="22"/>
      <w:szCs w:val="22"/>
    </w:rPr>
  </w:style>
  <w:style w:type="character" w:customStyle="1" w:styleId="126">
    <w:name w:val="Char Char1"/>
    <w:basedOn w:val="54"/>
    <w:qFormat/>
    <w:uiPriority w:val="0"/>
    <w:rPr>
      <w:rFonts w:eastAsia="宋体" w:cs="Times New Roman"/>
      <w:kern w:val="2"/>
      <w:sz w:val="18"/>
      <w:szCs w:val="18"/>
      <w:lang w:val="en-US" w:eastAsia="zh-CN" w:bidi="ar-SA"/>
    </w:rPr>
  </w:style>
  <w:style w:type="character" w:customStyle="1" w:styleId="127">
    <w:name w:val="Char Char12"/>
    <w:basedOn w:val="54"/>
    <w:qFormat/>
    <w:uiPriority w:val="0"/>
    <w:rPr>
      <w:rFonts w:ascii="宋体" w:hAnsi="Courier New" w:cs="Courier New"/>
      <w:kern w:val="2"/>
      <w:sz w:val="21"/>
      <w:szCs w:val="21"/>
    </w:rPr>
  </w:style>
  <w:style w:type="character" w:customStyle="1" w:styleId="128">
    <w:name w:val="样式3 Char Char"/>
    <w:basedOn w:val="104"/>
    <w:qFormat/>
    <w:uiPriority w:val="0"/>
    <w:rPr>
      <w:rFonts w:ascii="宋体" w:hAnsi="宋体" w:eastAsia="仿宋_GB2312" w:cs="Times New Roman"/>
      <w:kern w:val="2"/>
      <w:sz w:val="32"/>
      <w:szCs w:val="32"/>
      <w:lang w:val="en-US" w:eastAsia="zh-CN" w:bidi="ar-SA"/>
    </w:rPr>
  </w:style>
  <w:style w:type="character" w:customStyle="1" w:styleId="129">
    <w:name w:val="0d1471"/>
    <w:basedOn w:val="54"/>
    <w:qFormat/>
    <w:uiPriority w:val="0"/>
    <w:rPr>
      <w:color w:val="000000"/>
      <w:sz w:val="11"/>
      <w:szCs w:val="11"/>
      <w:u w:val="none"/>
    </w:rPr>
  </w:style>
  <w:style w:type="character" w:customStyle="1" w:styleId="130">
    <w:name w:val="Char Char33"/>
    <w:basedOn w:val="54"/>
    <w:qFormat/>
    <w:uiPriority w:val="0"/>
    <w:rPr>
      <w:rFonts w:ascii="宋体" w:hAnsi="Courier New" w:eastAsia="宋体" w:cs="Times New Roman"/>
      <w:kern w:val="2"/>
      <w:sz w:val="21"/>
      <w:szCs w:val="21"/>
      <w:lang w:val="en-US" w:eastAsia="zh-CN" w:bidi="ar-SA"/>
    </w:rPr>
  </w:style>
  <w:style w:type="character" w:customStyle="1" w:styleId="131">
    <w:name w:val="Char Char71"/>
    <w:basedOn w:val="54"/>
    <w:qFormat/>
    <w:uiPriority w:val="0"/>
    <w:rPr>
      <w:rFonts w:eastAsia="宋体" w:cs="Times New Roman"/>
      <w:sz w:val="24"/>
      <w:lang w:val="en-US" w:eastAsia="zh-CN" w:bidi="ar-SA"/>
    </w:rPr>
  </w:style>
  <w:style w:type="character" w:customStyle="1" w:styleId="132">
    <w:name w:val="Char Char47"/>
    <w:basedOn w:val="54"/>
    <w:qFormat/>
    <w:uiPriority w:val="0"/>
    <w:rPr>
      <w:rFonts w:eastAsia="宋体" w:cs="Times New Roman"/>
      <w:sz w:val="24"/>
      <w:szCs w:val="24"/>
      <w:u w:val="single"/>
      <w:lang w:val="en-US" w:eastAsia="en-US" w:bidi="ar-SA"/>
    </w:rPr>
  </w:style>
  <w:style w:type="character" w:customStyle="1" w:styleId="133">
    <w:name w:val="手改 Char Char"/>
    <w:basedOn w:val="54"/>
    <w:qFormat/>
    <w:uiPriority w:val="0"/>
    <w:rPr>
      <w:kern w:val="2"/>
      <w:sz w:val="21"/>
      <w:szCs w:val="24"/>
    </w:rPr>
  </w:style>
  <w:style w:type="character" w:customStyle="1" w:styleId="134">
    <w:name w:val="Char Char19"/>
    <w:basedOn w:val="54"/>
    <w:qFormat/>
    <w:uiPriority w:val="0"/>
    <w:rPr>
      <w:rFonts w:hAnsi="Arial" w:eastAsia="仿宋_GB2312"/>
      <w:sz w:val="30"/>
    </w:rPr>
  </w:style>
  <w:style w:type="character" w:customStyle="1" w:styleId="135">
    <w:name w:val="Char Char44"/>
    <w:basedOn w:val="54"/>
    <w:qFormat/>
    <w:uiPriority w:val="0"/>
    <w:rPr>
      <w:rFonts w:eastAsia="宋体" w:cs="Times New Roman"/>
      <w:sz w:val="24"/>
      <w:szCs w:val="24"/>
      <w:u w:val="single"/>
      <w:lang w:val="en-US" w:eastAsia="en-US" w:bidi="ar-SA"/>
    </w:rPr>
  </w:style>
  <w:style w:type="character" w:customStyle="1" w:styleId="136">
    <w:name w:val="Char Char3"/>
    <w:basedOn w:val="54"/>
    <w:qFormat/>
    <w:uiPriority w:val="0"/>
    <w:rPr>
      <w:rFonts w:ascii="Arial" w:hAnsi="Arial" w:cs="Arial"/>
      <w:sz w:val="18"/>
      <w:szCs w:val="18"/>
      <w:lang w:eastAsia="en-US"/>
    </w:rPr>
  </w:style>
  <w:style w:type="character" w:customStyle="1" w:styleId="137">
    <w:name w:val="Char Char8"/>
    <w:basedOn w:val="54"/>
    <w:qFormat/>
    <w:uiPriority w:val="0"/>
    <w:rPr>
      <w:kern w:val="2"/>
      <w:sz w:val="18"/>
      <w:szCs w:val="18"/>
    </w:rPr>
  </w:style>
  <w:style w:type="character" w:customStyle="1" w:styleId="138">
    <w:name w:val="Char Char10"/>
    <w:basedOn w:val="54"/>
    <w:qFormat/>
    <w:uiPriority w:val="0"/>
    <w:rPr>
      <w:kern w:val="2"/>
      <w:sz w:val="21"/>
      <w:szCs w:val="24"/>
    </w:rPr>
  </w:style>
  <w:style w:type="character" w:customStyle="1" w:styleId="139">
    <w:name w:val="Char Char60"/>
    <w:basedOn w:val="54"/>
    <w:qFormat/>
    <w:uiPriority w:val="0"/>
    <w:rPr>
      <w:rFonts w:eastAsia="宋体" w:cs="Times New Roman"/>
      <w:kern w:val="2"/>
      <w:sz w:val="18"/>
      <w:szCs w:val="18"/>
      <w:lang w:val="en-US" w:eastAsia="zh-CN" w:bidi="ar-SA"/>
    </w:rPr>
  </w:style>
  <w:style w:type="character" w:customStyle="1" w:styleId="140">
    <w:name w:val="样式1 Char Char"/>
    <w:basedOn w:val="141"/>
    <w:link w:val="142"/>
    <w:qFormat/>
    <w:uiPriority w:val="0"/>
    <w:rPr>
      <w:rFonts w:ascii="宋体" w:hAnsi="宋体" w:eastAsia="宋体" w:cs="Times New Roman"/>
      <w:kern w:val="2"/>
      <w:sz w:val="21"/>
      <w:szCs w:val="21"/>
      <w:lang w:val="en-US" w:eastAsia="zh-CN" w:bidi="ar-SA"/>
    </w:rPr>
  </w:style>
  <w:style w:type="character" w:customStyle="1" w:styleId="141">
    <w:name w:val="Char Char28"/>
    <w:basedOn w:val="54"/>
    <w:qFormat/>
    <w:uiPriority w:val="0"/>
    <w:rPr>
      <w:rFonts w:eastAsia="宋体" w:cs="Times New Roman"/>
      <w:b/>
      <w:bCs/>
      <w:kern w:val="44"/>
      <w:sz w:val="44"/>
      <w:szCs w:val="44"/>
      <w:lang w:val="en-US" w:eastAsia="zh-CN" w:bidi="ar-SA"/>
    </w:rPr>
  </w:style>
  <w:style w:type="paragraph" w:customStyle="1" w:styleId="142">
    <w:name w:val="样式1"/>
    <w:basedOn w:val="1"/>
    <w:next w:val="5"/>
    <w:link w:val="140"/>
    <w:qFormat/>
    <w:uiPriority w:val="0"/>
    <w:pPr>
      <w:spacing w:line="360" w:lineRule="auto"/>
      <w:ind w:firstLine="420" w:firstLineChars="200"/>
    </w:pPr>
    <w:rPr>
      <w:rFonts w:ascii="宋体" w:hAnsi="宋体"/>
      <w:szCs w:val="21"/>
    </w:rPr>
  </w:style>
  <w:style w:type="character" w:customStyle="1" w:styleId="143">
    <w:name w:val="normaltext1"/>
    <w:basedOn w:val="54"/>
    <w:qFormat/>
    <w:uiPriority w:val="0"/>
    <w:rPr>
      <w:rFonts w:hint="default" w:ascii="ˎ̥" w:hAnsi="ˎ̥"/>
      <w:sz w:val="9"/>
      <w:szCs w:val="9"/>
    </w:rPr>
  </w:style>
  <w:style w:type="character" w:customStyle="1" w:styleId="144">
    <w:name w:val="Char Char39"/>
    <w:basedOn w:val="54"/>
    <w:qFormat/>
    <w:uiPriority w:val="0"/>
    <w:rPr>
      <w:rFonts w:eastAsia="宋体" w:cs="Times New Roman"/>
      <w:kern w:val="2"/>
      <w:sz w:val="18"/>
      <w:szCs w:val="18"/>
      <w:lang w:val="en-US" w:eastAsia="zh-CN" w:bidi="ar-SA"/>
    </w:rPr>
  </w:style>
  <w:style w:type="character" w:customStyle="1" w:styleId="145">
    <w:name w:val="Char Char70"/>
    <w:basedOn w:val="54"/>
    <w:qFormat/>
    <w:uiPriority w:val="0"/>
    <w:rPr>
      <w:rFonts w:eastAsia="宋体" w:cs="Times New Roman"/>
      <w:kern w:val="2"/>
      <w:sz w:val="18"/>
      <w:szCs w:val="18"/>
      <w:lang w:val="en-US" w:eastAsia="zh-CN" w:bidi="ar-SA"/>
    </w:rPr>
  </w:style>
  <w:style w:type="character" w:customStyle="1" w:styleId="146">
    <w:name w:val="Char Char5"/>
    <w:basedOn w:val="54"/>
    <w:qFormat/>
    <w:uiPriority w:val="0"/>
    <w:rPr>
      <w:szCs w:val="24"/>
      <w:u w:val="single"/>
      <w:lang w:eastAsia="en-US"/>
    </w:rPr>
  </w:style>
  <w:style w:type="character" w:customStyle="1" w:styleId="147">
    <w:name w:val="Char Char131"/>
    <w:basedOn w:val="54"/>
    <w:qFormat/>
    <w:uiPriority w:val="0"/>
    <w:rPr>
      <w:kern w:val="2"/>
      <w:sz w:val="16"/>
      <w:szCs w:val="16"/>
    </w:rPr>
  </w:style>
  <w:style w:type="character" w:customStyle="1" w:styleId="148">
    <w:name w:val="ht1"/>
    <w:basedOn w:val="54"/>
    <w:qFormat/>
    <w:uiPriority w:val="0"/>
    <w:rPr>
      <w:rFonts w:ascii="黑体" w:eastAsia="黑体"/>
      <w:b/>
      <w:bCs/>
    </w:rPr>
  </w:style>
  <w:style w:type="character" w:customStyle="1" w:styleId="149">
    <w:name w:val="Char Char32"/>
    <w:basedOn w:val="54"/>
    <w:qFormat/>
    <w:uiPriority w:val="0"/>
    <w:rPr>
      <w:rFonts w:ascii="宋体" w:hAnsi="宋体" w:eastAsia="宋体" w:cs="Times New Roman"/>
      <w:kern w:val="2"/>
      <w:sz w:val="24"/>
      <w:szCs w:val="24"/>
      <w:lang w:val="en-US" w:eastAsia="zh-CN" w:bidi="ar-SA"/>
    </w:rPr>
  </w:style>
  <w:style w:type="character" w:customStyle="1" w:styleId="150">
    <w:name w:val="Char Char9"/>
    <w:basedOn w:val="138"/>
    <w:qFormat/>
    <w:uiPriority w:val="0"/>
    <w:rPr>
      <w:b/>
      <w:bCs/>
      <w:kern w:val="2"/>
      <w:sz w:val="21"/>
      <w:szCs w:val="24"/>
    </w:rPr>
  </w:style>
  <w:style w:type="character" w:customStyle="1" w:styleId="151">
    <w:name w:val="font161"/>
    <w:basedOn w:val="54"/>
    <w:qFormat/>
    <w:uiPriority w:val="0"/>
    <w:rPr>
      <w:b/>
      <w:bCs/>
      <w:sz w:val="32"/>
      <w:szCs w:val="32"/>
    </w:rPr>
  </w:style>
  <w:style w:type="character" w:customStyle="1" w:styleId="152">
    <w:name w:val="Char Char2"/>
    <w:basedOn w:val="54"/>
    <w:qFormat/>
    <w:uiPriority w:val="0"/>
    <w:rPr>
      <w:rFonts w:ascii="Arial" w:hAnsi="Arial" w:cs="Arial"/>
      <w:szCs w:val="24"/>
      <w:lang w:eastAsia="en-US"/>
    </w:rPr>
  </w:style>
  <w:style w:type="character" w:customStyle="1" w:styleId="153">
    <w:name w:val="Char Char83"/>
    <w:basedOn w:val="54"/>
    <w:qFormat/>
    <w:uiPriority w:val="0"/>
    <w:rPr>
      <w:rFonts w:ascii="Arial" w:hAnsi="Arial" w:eastAsia="黑体" w:cs="Times New Roman"/>
      <w:b/>
      <w:bCs/>
      <w:kern w:val="2"/>
      <w:sz w:val="28"/>
      <w:szCs w:val="28"/>
      <w:lang w:val="en-US" w:eastAsia="zh-CN" w:bidi="ar-SA"/>
    </w:rPr>
  </w:style>
  <w:style w:type="character" w:customStyle="1" w:styleId="154">
    <w:name w:val="Char Char14"/>
    <w:basedOn w:val="54"/>
    <w:qFormat/>
    <w:uiPriority w:val="0"/>
    <w:rPr>
      <w:kern w:val="2"/>
      <w:sz w:val="18"/>
      <w:szCs w:val="18"/>
    </w:rPr>
  </w:style>
  <w:style w:type="character" w:customStyle="1" w:styleId="155">
    <w:name w:val="Char Char20"/>
    <w:basedOn w:val="54"/>
    <w:qFormat/>
    <w:uiPriority w:val="0"/>
    <w:rPr>
      <w:rFonts w:ascii="宋体" w:hAnsi="宋体" w:cs="宋体"/>
      <w:b/>
      <w:bCs/>
    </w:rPr>
  </w:style>
  <w:style w:type="character" w:customStyle="1" w:styleId="156">
    <w:name w:val="Document Map Char1"/>
    <w:basedOn w:val="54"/>
    <w:qFormat/>
    <w:uiPriority w:val="0"/>
    <w:rPr>
      <w:rFonts w:cs="Times New Roman"/>
      <w:kern w:val="2"/>
      <w:sz w:val="2"/>
    </w:rPr>
  </w:style>
  <w:style w:type="character" w:customStyle="1" w:styleId="157">
    <w:name w:val="标题5 Char Char"/>
    <w:link w:val="158"/>
    <w:qFormat/>
    <w:uiPriority w:val="0"/>
    <w:rPr>
      <w:rFonts w:ascii="Arial" w:hAnsi="Arial"/>
      <w:b/>
      <w:sz w:val="32"/>
      <w:lang w:bidi="ar-SA"/>
    </w:rPr>
  </w:style>
  <w:style w:type="paragraph" w:customStyle="1" w:styleId="158">
    <w:name w:val="标题5"/>
    <w:basedOn w:val="4"/>
    <w:link w:val="157"/>
    <w:qFormat/>
    <w:uiPriority w:val="0"/>
    <w:pPr>
      <w:spacing w:line="413" w:lineRule="auto"/>
    </w:pPr>
    <w:rPr>
      <w:rFonts w:ascii="Arial" w:hAnsi="Arial"/>
      <w:bCs w:val="0"/>
      <w:kern w:val="0"/>
      <w:szCs w:val="20"/>
    </w:rPr>
  </w:style>
  <w:style w:type="character" w:customStyle="1" w:styleId="159">
    <w:name w:val="style21"/>
    <w:basedOn w:val="54"/>
    <w:qFormat/>
    <w:uiPriority w:val="0"/>
    <w:rPr>
      <w:b/>
      <w:bCs/>
      <w:sz w:val="28"/>
      <w:szCs w:val="28"/>
    </w:rPr>
  </w:style>
  <w:style w:type="character" w:customStyle="1" w:styleId="160">
    <w:name w:val="Char Char26"/>
    <w:basedOn w:val="54"/>
    <w:qFormat/>
    <w:uiPriority w:val="0"/>
    <w:rPr>
      <w:rFonts w:eastAsia="宋体" w:cs="Times New Roman"/>
      <w:b/>
      <w:bCs/>
      <w:kern w:val="2"/>
      <w:sz w:val="32"/>
      <w:szCs w:val="32"/>
      <w:lang w:val="en-US" w:eastAsia="zh-CN" w:bidi="ar-SA"/>
    </w:rPr>
  </w:style>
  <w:style w:type="character" w:customStyle="1" w:styleId="161">
    <w:name w:val="title11"/>
    <w:basedOn w:val="54"/>
    <w:qFormat/>
    <w:uiPriority w:val="0"/>
    <w:rPr>
      <w:b/>
      <w:bCs/>
      <w:color w:val="FFFFFF"/>
      <w:sz w:val="11"/>
      <w:szCs w:val="11"/>
    </w:rPr>
  </w:style>
  <w:style w:type="character" w:customStyle="1" w:styleId="162">
    <w:name w:val="Char Char62"/>
    <w:basedOn w:val="54"/>
    <w:qFormat/>
    <w:uiPriority w:val="0"/>
    <w:rPr>
      <w:rFonts w:ascii="宋体" w:hAnsi="Courier New" w:eastAsia="宋体" w:cs="Times New Roman"/>
      <w:kern w:val="2"/>
      <w:sz w:val="21"/>
      <w:szCs w:val="21"/>
      <w:lang w:val="en-US" w:eastAsia="zh-CN" w:bidi="ar-SA"/>
    </w:rPr>
  </w:style>
  <w:style w:type="character" w:customStyle="1" w:styleId="163">
    <w:name w:val="Char Char35"/>
    <w:basedOn w:val="54"/>
    <w:qFormat/>
    <w:uiPriority w:val="0"/>
    <w:rPr>
      <w:rFonts w:ascii="宋体" w:hAnsi="宋体" w:eastAsia="宋体" w:cs="宋体"/>
      <w:color w:val="000000"/>
      <w:sz w:val="24"/>
      <w:szCs w:val="24"/>
      <w:lang w:val="en-US" w:eastAsia="zh-CN" w:bidi="ar-SA"/>
    </w:rPr>
  </w:style>
  <w:style w:type="character" w:customStyle="1" w:styleId="164">
    <w:name w:val="Char Char15"/>
    <w:basedOn w:val="54"/>
    <w:qFormat/>
    <w:uiPriority w:val="0"/>
    <w:rPr>
      <w:kern w:val="2"/>
      <w:sz w:val="21"/>
      <w:szCs w:val="24"/>
    </w:rPr>
  </w:style>
  <w:style w:type="character" w:customStyle="1" w:styleId="165">
    <w:name w:val="Char Char74"/>
    <w:basedOn w:val="54"/>
    <w:qFormat/>
    <w:uiPriority w:val="0"/>
    <w:rPr>
      <w:rFonts w:eastAsia="宋体" w:cs="Times New Roman"/>
      <w:kern w:val="2"/>
      <w:sz w:val="24"/>
      <w:szCs w:val="24"/>
      <w:lang w:val="en-US" w:eastAsia="zh-CN" w:bidi="ar-SA"/>
    </w:rPr>
  </w:style>
  <w:style w:type="character" w:customStyle="1" w:styleId="166">
    <w:name w:val="Char Char78"/>
    <w:basedOn w:val="54"/>
    <w:qFormat/>
    <w:uiPriority w:val="0"/>
    <w:rPr>
      <w:rFonts w:ascii="Arial" w:hAnsi="Arial" w:eastAsia="黑体" w:cs="Times New Roman"/>
      <w:kern w:val="2"/>
      <w:sz w:val="21"/>
      <w:szCs w:val="21"/>
      <w:lang w:val="en-US" w:eastAsia="zh-CN" w:bidi="ar-SA"/>
    </w:rPr>
  </w:style>
  <w:style w:type="character" w:customStyle="1" w:styleId="167">
    <w:name w:val="intel3"/>
    <w:basedOn w:val="54"/>
    <w:qFormat/>
    <w:uiPriority w:val="0"/>
  </w:style>
  <w:style w:type="character" w:customStyle="1" w:styleId="168">
    <w:name w:val="Char Char29"/>
    <w:basedOn w:val="54"/>
    <w:qFormat/>
    <w:uiPriority w:val="0"/>
    <w:rPr>
      <w:rFonts w:cs="Times New Roman"/>
      <w:kern w:val="2"/>
      <w:sz w:val="16"/>
      <w:szCs w:val="16"/>
    </w:rPr>
  </w:style>
  <w:style w:type="character" w:customStyle="1" w:styleId="169">
    <w:name w:val="Char Char16"/>
    <w:basedOn w:val="54"/>
    <w:qFormat/>
    <w:uiPriority w:val="0"/>
    <w:rPr>
      <w:rFonts w:eastAsia="仿宋_GB2312"/>
      <w:sz w:val="30"/>
    </w:rPr>
  </w:style>
  <w:style w:type="character" w:customStyle="1" w:styleId="170">
    <w:name w:val="Char Char22"/>
    <w:basedOn w:val="54"/>
    <w:qFormat/>
    <w:uiPriority w:val="0"/>
    <w:rPr>
      <w:b/>
      <w:bCs/>
      <w:kern w:val="2"/>
      <w:sz w:val="32"/>
      <w:szCs w:val="32"/>
    </w:rPr>
  </w:style>
  <w:style w:type="character" w:customStyle="1" w:styleId="171">
    <w:name w:val="Char Char76"/>
    <w:basedOn w:val="54"/>
    <w:qFormat/>
    <w:uiPriority w:val="0"/>
    <w:rPr>
      <w:rFonts w:eastAsia="宋体" w:cs="Times New Roman"/>
      <w:sz w:val="24"/>
      <w:szCs w:val="24"/>
      <w:u w:val="single"/>
      <w:lang w:val="en-US" w:eastAsia="en-US" w:bidi="ar-SA"/>
    </w:rPr>
  </w:style>
  <w:style w:type="character" w:customStyle="1" w:styleId="172">
    <w:name w:val="批注主题 Char Char"/>
    <w:basedOn w:val="88"/>
    <w:qFormat/>
    <w:uiPriority w:val="0"/>
    <w:rPr>
      <w:rFonts w:ascii="宋体" w:hAnsi="宋体" w:eastAsia="宋体"/>
      <w:kern w:val="2"/>
      <w:sz w:val="24"/>
      <w:szCs w:val="28"/>
      <w:lang w:val="en-US" w:eastAsia="zh-CN" w:bidi="ar-SA"/>
    </w:rPr>
  </w:style>
  <w:style w:type="character" w:customStyle="1" w:styleId="173">
    <w:name w:val="style31"/>
    <w:basedOn w:val="54"/>
    <w:qFormat/>
    <w:uiPriority w:val="0"/>
    <w:rPr>
      <w:sz w:val="10"/>
      <w:szCs w:val="10"/>
    </w:rPr>
  </w:style>
  <w:style w:type="character" w:customStyle="1" w:styleId="174">
    <w:name w:val="Char Char59"/>
    <w:basedOn w:val="54"/>
    <w:qFormat/>
    <w:uiPriority w:val="0"/>
    <w:rPr>
      <w:rFonts w:eastAsia="宋体" w:cs="Times New Roman"/>
      <w:sz w:val="24"/>
      <w:lang w:val="en-US" w:eastAsia="zh-CN" w:bidi="ar-SA"/>
    </w:rPr>
  </w:style>
  <w:style w:type="character" w:customStyle="1" w:styleId="175">
    <w:name w:val="Char Char48"/>
    <w:basedOn w:val="176"/>
    <w:qFormat/>
    <w:uiPriority w:val="0"/>
    <w:rPr>
      <w:rFonts w:ascii="宋体" w:hAnsi="宋体" w:eastAsia="宋体" w:cs="Times New Roman"/>
      <w:kern w:val="2"/>
      <w:sz w:val="24"/>
      <w:szCs w:val="24"/>
      <w:lang w:val="en-US" w:eastAsia="zh-CN" w:bidi="ar-SA"/>
    </w:rPr>
  </w:style>
  <w:style w:type="character" w:customStyle="1" w:styleId="176">
    <w:name w:val="Char Char40"/>
    <w:basedOn w:val="54"/>
    <w:qFormat/>
    <w:uiPriority w:val="0"/>
    <w:rPr>
      <w:rFonts w:ascii="宋体" w:hAnsi="宋体" w:eastAsia="宋体" w:cs="Times New Roman"/>
      <w:kern w:val="2"/>
      <w:sz w:val="24"/>
      <w:szCs w:val="24"/>
      <w:lang w:val="en-US" w:eastAsia="zh-CN" w:bidi="ar-SA"/>
    </w:rPr>
  </w:style>
  <w:style w:type="character" w:customStyle="1" w:styleId="177">
    <w:name w:val="Char Char86"/>
    <w:basedOn w:val="54"/>
    <w:qFormat/>
    <w:uiPriority w:val="0"/>
    <w:rPr>
      <w:rFonts w:eastAsia="宋体" w:cs="Times New Roman"/>
      <w:b/>
      <w:bCs/>
      <w:kern w:val="44"/>
      <w:sz w:val="44"/>
      <w:szCs w:val="44"/>
      <w:lang w:val="en-US" w:eastAsia="zh-CN" w:bidi="ar-SA"/>
    </w:rPr>
  </w:style>
  <w:style w:type="character" w:customStyle="1" w:styleId="178">
    <w:name w:val="Char Char67"/>
    <w:basedOn w:val="54"/>
    <w:qFormat/>
    <w:uiPriority w:val="0"/>
    <w:rPr>
      <w:rFonts w:eastAsia="宋体" w:cs="Times New Roman"/>
      <w:kern w:val="2"/>
      <w:sz w:val="24"/>
      <w:szCs w:val="24"/>
      <w:lang w:val="en-US" w:eastAsia="zh-CN" w:bidi="ar-SA"/>
    </w:rPr>
  </w:style>
  <w:style w:type="character" w:customStyle="1" w:styleId="179">
    <w:name w:val="Char Char27"/>
    <w:basedOn w:val="54"/>
    <w:qFormat/>
    <w:uiPriority w:val="0"/>
    <w:rPr>
      <w:rFonts w:ascii="Arial" w:hAnsi="Arial" w:eastAsia="黑体" w:cs="Times New Roman"/>
      <w:b/>
      <w:bCs/>
      <w:kern w:val="2"/>
      <w:sz w:val="32"/>
      <w:szCs w:val="32"/>
      <w:lang w:val="en-US" w:eastAsia="zh-CN" w:bidi="ar-SA"/>
    </w:rPr>
  </w:style>
  <w:style w:type="character" w:customStyle="1" w:styleId="180">
    <w:name w:val="标题4 Char Char"/>
    <w:link w:val="181"/>
    <w:qFormat/>
    <w:uiPriority w:val="0"/>
    <w:rPr>
      <w:rFonts w:ascii="Arial" w:hAnsi="Arial"/>
      <w:b/>
      <w:sz w:val="32"/>
      <w:lang w:bidi="ar-SA"/>
    </w:rPr>
  </w:style>
  <w:style w:type="paragraph" w:customStyle="1" w:styleId="181">
    <w:name w:val="标题4"/>
    <w:basedOn w:val="3"/>
    <w:next w:val="24"/>
    <w:link w:val="180"/>
    <w:qFormat/>
    <w:uiPriority w:val="0"/>
    <w:pPr>
      <w:spacing w:line="413" w:lineRule="auto"/>
    </w:pPr>
    <w:rPr>
      <w:rFonts w:ascii="Arial" w:hAnsi="Arial"/>
      <w:bCs w:val="0"/>
      <w:kern w:val="0"/>
      <w:szCs w:val="20"/>
    </w:rPr>
  </w:style>
  <w:style w:type="character" w:customStyle="1" w:styleId="182">
    <w:name w:val="Char Char61"/>
    <w:basedOn w:val="54"/>
    <w:qFormat/>
    <w:uiPriority w:val="0"/>
    <w:rPr>
      <w:rFonts w:ascii="宋体" w:hAnsi="宋体" w:eastAsia="宋体" w:cs="Times New Roman"/>
      <w:kern w:val="2"/>
      <w:sz w:val="24"/>
      <w:szCs w:val="24"/>
      <w:lang w:val="en-US" w:eastAsia="zh-CN" w:bidi="ar-SA"/>
    </w:rPr>
  </w:style>
  <w:style w:type="character" w:customStyle="1" w:styleId="183">
    <w:name w:val="Char Char24"/>
    <w:basedOn w:val="54"/>
    <w:qFormat/>
    <w:uiPriority w:val="0"/>
    <w:rPr>
      <w:b/>
      <w:bCs/>
      <w:kern w:val="44"/>
      <w:sz w:val="44"/>
      <w:szCs w:val="44"/>
    </w:rPr>
  </w:style>
  <w:style w:type="character" w:customStyle="1" w:styleId="184">
    <w:name w:val="style161"/>
    <w:basedOn w:val="54"/>
    <w:qFormat/>
    <w:uiPriority w:val="0"/>
    <w:rPr>
      <w:b/>
      <w:bCs/>
      <w:color w:val="333333"/>
    </w:rPr>
  </w:style>
  <w:style w:type="character" w:customStyle="1" w:styleId="185">
    <w:name w:val="Char Char57"/>
    <w:basedOn w:val="54"/>
    <w:qFormat/>
    <w:uiPriority w:val="0"/>
    <w:rPr>
      <w:rFonts w:eastAsia="宋体" w:cs="Times New Roman"/>
      <w:b/>
      <w:bCs/>
      <w:kern w:val="44"/>
      <w:sz w:val="44"/>
      <w:szCs w:val="44"/>
      <w:lang w:val="en-US" w:eastAsia="zh-CN" w:bidi="ar-SA"/>
    </w:rPr>
  </w:style>
  <w:style w:type="character" w:customStyle="1" w:styleId="186">
    <w:name w:val="Char Char50"/>
    <w:basedOn w:val="54"/>
    <w:qFormat/>
    <w:uiPriority w:val="0"/>
    <w:rPr>
      <w:rFonts w:ascii="Arial" w:hAnsi="Arial" w:eastAsia="黑体" w:cs="Times New Roman"/>
      <w:kern w:val="2"/>
      <w:sz w:val="24"/>
      <w:szCs w:val="24"/>
      <w:lang w:val="en-US" w:eastAsia="zh-CN" w:bidi="ar-SA"/>
    </w:rPr>
  </w:style>
  <w:style w:type="character" w:customStyle="1" w:styleId="187">
    <w:name w:val="Char Char41"/>
    <w:basedOn w:val="54"/>
    <w:qFormat/>
    <w:uiPriority w:val="0"/>
    <w:rPr>
      <w:rFonts w:eastAsia="宋体" w:cs="Times New Roman"/>
      <w:kern w:val="2"/>
      <w:sz w:val="18"/>
      <w:szCs w:val="18"/>
      <w:lang w:val="en-US" w:eastAsia="zh-CN" w:bidi="ar-SA"/>
    </w:rPr>
  </w:style>
  <w:style w:type="character" w:customStyle="1" w:styleId="188">
    <w:name w:val="Char Char45"/>
    <w:basedOn w:val="54"/>
    <w:qFormat/>
    <w:uiPriority w:val="0"/>
    <w:rPr>
      <w:rFonts w:eastAsia="宋体" w:cs="Times New Roman"/>
      <w:kern w:val="2"/>
      <w:sz w:val="24"/>
      <w:szCs w:val="24"/>
      <w:lang w:val="en-US" w:eastAsia="zh-CN" w:bidi="ar-SA"/>
    </w:rPr>
  </w:style>
  <w:style w:type="character" w:customStyle="1" w:styleId="189">
    <w:name w:val="Endnote Text Char1"/>
    <w:basedOn w:val="54"/>
    <w:qFormat/>
    <w:uiPriority w:val="0"/>
    <w:rPr>
      <w:rFonts w:cs="Times New Roman"/>
      <w:kern w:val="2"/>
      <w:sz w:val="24"/>
      <w:szCs w:val="24"/>
    </w:rPr>
  </w:style>
  <w:style w:type="character" w:customStyle="1" w:styleId="190">
    <w:name w:val="Char Char18"/>
    <w:basedOn w:val="54"/>
    <w:qFormat/>
    <w:uiPriority w:val="0"/>
    <w:rPr>
      <w:rFonts w:eastAsia="仿宋_GB2312"/>
      <w:sz w:val="30"/>
    </w:rPr>
  </w:style>
  <w:style w:type="character" w:customStyle="1" w:styleId="191">
    <w:name w:val="ss16"/>
    <w:basedOn w:val="54"/>
    <w:qFormat/>
    <w:uiPriority w:val="0"/>
    <w:rPr>
      <w:rFonts w:hint="eastAsia" w:ascii="宋体" w:hAnsi="宋体" w:eastAsia="宋体"/>
      <w:color w:val="000000"/>
      <w:sz w:val="9"/>
      <w:szCs w:val="9"/>
    </w:rPr>
  </w:style>
  <w:style w:type="character" w:customStyle="1" w:styleId="192">
    <w:name w:val="Char Char49"/>
    <w:basedOn w:val="54"/>
    <w:qFormat/>
    <w:uiPriority w:val="0"/>
    <w:rPr>
      <w:rFonts w:ascii="Arial" w:hAnsi="Arial" w:eastAsia="黑体" w:cs="Times New Roman"/>
      <w:kern w:val="2"/>
      <w:sz w:val="21"/>
      <w:szCs w:val="21"/>
      <w:lang w:val="en-US" w:eastAsia="zh-CN" w:bidi="ar-SA"/>
    </w:rPr>
  </w:style>
  <w:style w:type="character" w:customStyle="1" w:styleId="193">
    <w:name w:val="Char Char52"/>
    <w:basedOn w:val="54"/>
    <w:qFormat/>
    <w:uiPriority w:val="0"/>
    <w:rPr>
      <w:rFonts w:ascii="Arial" w:hAnsi="Arial" w:eastAsia="黑体" w:cs="Times New Roman"/>
      <w:b/>
      <w:bCs/>
      <w:kern w:val="2"/>
      <w:sz w:val="24"/>
      <w:szCs w:val="24"/>
      <w:lang w:val="en-US" w:eastAsia="zh-CN" w:bidi="ar-SA"/>
    </w:rPr>
  </w:style>
  <w:style w:type="character" w:customStyle="1" w:styleId="194">
    <w:name w:val="Char Char53"/>
    <w:basedOn w:val="54"/>
    <w:qFormat/>
    <w:uiPriority w:val="0"/>
    <w:rPr>
      <w:rFonts w:eastAsia="宋体" w:cs="Times New Roman"/>
      <w:b/>
      <w:bCs/>
      <w:kern w:val="2"/>
      <w:sz w:val="28"/>
      <w:szCs w:val="28"/>
      <w:lang w:val="en-US" w:eastAsia="zh-CN" w:bidi="ar-SA"/>
    </w:rPr>
  </w:style>
  <w:style w:type="character" w:customStyle="1" w:styleId="195">
    <w:name w:val="Char Char43"/>
    <w:basedOn w:val="54"/>
    <w:qFormat/>
    <w:uiPriority w:val="0"/>
    <w:rPr>
      <w:rFonts w:eastAsia="宋体" w:cs="Times New Roman"/>
      <w:kern w:val="2"/>
      <w:sz w:val="24"/>
      <w:szCs w:val="24"/>
      <w:lang w:val="en-US" w:eastAsia="zh-CN" w:bidi="ar-SA"/>
    </w:rPr>
  </w:style>
  <w:style w:type="character" w:customStyle="1" w:styleId="196">
    <w:name w:val="Char Char82"/>
    <w:basedOn w:val="54"/>
    <w:qFormat/>
    <w:uiPriority w:val="0"/>
    <w:rPr>
      <w:rFonts w:eastAsia="宋体" w:cs="Times New Roman"/>
      <w:b/>
      <w:bCs/>
      <w:kern w:val="2"/>
      <w:sz w:val="28"/>
      <w:szCs w:val="28"/>
      <w:lang w:val="en-US" w:eastAsia="zh-CN" w:bidi="ar-SA"/>
    </w:rPr>
  </w:style>
  <w:style w:type="character" w:customStyle="1" w:styleId="197">
    <w:name w:val="Char Char13"/>
    <w:basedOn w:val="54"/>
    <w:qFormat/>
    <w:uiPriority w:val="0"/>
    <w:rPr>
      <w:kern w:val="2"/>
      <w:sz w:val="18"/>
      <w:szCs w:val="18"/>
    </w:rPr>
  </w:style>
  <w:style w:type="character" w:customStyle="1" w:styleId="198">
    <w:name w:val="正文文字4 Char Char"/>
    <w:basedOn w:val="54"/>
    <w:qFormat/>
    <w:uiPriority w:val="0"/>
    <w:rPr>
      <w:kern w:val="2"/>
      <w:sz w:val="21"/>
      <w:szCs w:val="24"/>
    </w:rPr>
  </w:style>
  <w:style w:type="character" w:customStyle="1" w:styleId="199">
    <w:name w:val="Char Char65"/>
    <w:basedOn w:val="131"/>
    <w:qFormat/>
    <w:uiPriority w:val="0"/>
    <w:rPr>
      <w:rFonts w:eastAsia="宋体" w:cs="Times New Roman"/>
      <w:b/>
      <w:bCs/>
      <w:kern w:val="2"/>
      <w:sz w:val="24"/>
      <w:szCs w:val="24"/>
      <w:lang w:val="en-US" w:eastAsia="zh-CN" w:bidi="ar-SA"/>
    </w:rPr>
  </w:style>
  <w:style w:type="character" w:customStyle="1" w:styleId="200">
    <w:name w:val="apple-converted-space"/>
    <w:basedOn w:val="54"/>
    <w:qFormat/>
    <w:uiPriority w:val="0"/>
  </w:style>
  <w:style w:type="character" w:customStyle="1" w:styleId="201">
    <w:name w:val="Char Char58"/>
    <w:basedOn w:val="54"/>
    <w:qFormat/>
    <w:uiPriority w:val="0"/>
    <w:rPr>
      <w:rFonts w:cs="Times New Roman"/>
      <w:kern w:val="2"/>
      <w:sz w:val="16"/>
      <w:szCs w:val="16"/>
    </w:rPr>
  </w:style>
  <w:style w:type="character" w:customStyle="1" w:styleId="202">
    <w:name w:val="Plain Text Char"/>
    <w:basedOn w:val="54"/>
    <w:qFormat/>
    <w:uiPriority w:val="0"/>
    <w:rPr>
      <w:rFonts w:ascii="宋体" w:hAnsi="Courier New" w:cs="Courier New"/>
      <w:kern w:val="2"/>
      <w:sz w:val="21"/>
      <w:szCs w:val="21"/>
    </w:rPr>
  </w:style>
  <w:style w:type="character" w:customStyle="1" w:styleId="203">
    <w:name w:val="Char Char31"/>
    <w:basedOn w:val="54"/>
    <w:qFormat/>
    <w:uiPriority w:val="0"/>
    <w:rPr>
      <w:rFonts w:eastAsia="宋体" w:cs="Times New Roman"/>
      <w:kern w:val="2"/>
      <w:sz w:val="18"/>
      <w:szCs w:val="18"/>
      <w:lang w:val="en-US" w:eastAsia="zh-CN" w:bidi="ar-SA"/>
    </w:rPr>
  </w:style>
  <w:style w:type="character" w:customStyle="1" w:styleId="204">
    <w:name w:val="Char Char34"/>
    <w:basedOn w:val="54"/>
    <w:qFormat/>
    <w:uiPriority w:val="0"/>
    <w:rPr>
      <w:rFonts w:eastAsia="宋体" w:cs="Times New Roman"/>
      <w:kern w:val="2"/>
      <w:sz w:val="18"/>
      <w:szCs w:val="18"/>
      <w:lang w:val="en-US" w:eastAsia="zh-CN" w:bidi="ar-SA"/>
    </w:rPr>
  </w:style>
  <w:style w:type="character" w:customStyle="1" w:styleId="205">
    <w:name w:val="Char Char80"/>
    <w:basedOn w:val="54"/>
    <w:qFormat/>
    <w:uiPriority w:val="0"/>
    <w:rPr>
      <w:rFonts w:eastAsia="宋体" w:cs="Times New Roman"/>
      <w:b/>
      <w:bCs/>
      <w:kern w:val="2"/>
      <w:sz w:val="24"/>
      <w:szCs w:val="24"/>
      <w:lang w:val="en-US" w:eastAsia="zh-CN" w:bidi="ar-SA"/>
    </w:rPr>
  </w:style>
  <w:style w:type="character" w:customStyle="1" w:styleId="206">
    <w:name w:val="docpro"/>
    <w:basedOn w:val="54"/>
    <w:qFormat/>
    <w:uiPriority w:val="0"/>
  </w:style>
  <w:style w:type="character" w:customStyle="1" w:styleId="207">
    <w:name w:val="Char Char51"/>
    <w:basedOn w:val="54"/>
    <w:qFormat/>
    <w:uiPriority w:val="0"/>
    <w:rPr>
      <w:rFonts w:eastAsia="宋体" w:cs="Times New Roman"/>
      <w:b/>
      <w:bCs/>
      <w:kern w:val="2"/>
      <w:sz w:val="24"/>
      <w:szCs w:val="24"/>
      <w:lang w:val="en-US" w:eastAsia="zh-CN" w:bidi="ar-SA"/>
    </w:rPr>
  </w:style>
  <w:style w:type="character" w:customStyle="1" w:styleId="208">
    <w:name w:val="Char Char68"/>
    <w:basedOn w:val="54"/>
    <w:qFormat/>
    <w:uiPriority w:val="0"/>
    <w:rPr>
      <w:rFonts w:eastAsia="宋体" w:cs="Times New Roman"/>
      <w:kern w:val="2"/>
      <w:sz w:val="18"/>
      <w:szCs w:val="18"/>
      <w:lang w:val="en-US" w:eastAsia="zh-CN" w:bidi="ar-SA"/>
    </w:rPr>
  </w:style>
  <w:style w:type="character" w:customStyle="1" w:styleId="209">
    <w:name w:val="Char Char6"/>
    <w:basedOn w:val="54"/>
    <w:qFormat/>
    <w:uiPriority w:val="0"/>
    <w:rPr>
      <w:rFonts w:ascii="宋体" w:hAnsi="宋体"/>
      <w:kern w:val="2"/>
      <w:sz w:val="28"/>
      <w:szCs w:val="28"/>
    </w:rPr>
  </w:style>
  <w:style w:type="character" w:customStyle="1" w:styleId="210">
    <w:name w:val="Char Char111"/>
    <w:basedOn w:val="54"/>
    <w:qFormat/>
    <w:uiPriority w:val="0"/>
    <w:rPr>
      <w:rFonts w:ascii="宋体" w:hAnsi="宋体" w:cs="宋体"/>
      <w:color w:val="000000"/>
      <w:sz w:val="24"/>
      <w:szCs w:val="24"/>
    </w:rPr>
  </w:style>
  <w:style w:type="character" w:customStyle="1" w:styleId="211">
    <w:name w:val="Char Char55"/>
    <w:basedOn w:val="54"/>
    <w:qFormat/>
    <w:uiPriority w:val="0"/>
    <w:rPr>
      <w:rFonts w:eastAsia="宋体" w:cs="Times New Roman"/>
      <w:b/>
      <w:bCs/>
      <w:kern w:val="2"/>
      <w:sz w:val="32"/>
      <w:szCs w:val="32"/>
      <w:lang w:val="en-US" w:eastAsia="zh-CN" w:bidi="ar-SA"/>
    </w:rPr>
  </w:style>
  <w:style w:type="character" w:customStyle="1" w:styleId="212">
    <w:name w:val="Char Char30"/>
    <w:basedOn w:val="54"/>
    <w:qFormat/>
    <w:uiPriority w:val="0"/>
    <w:rPr>
      <w:rFonts w:eastAsia="宋体" w:cs="Times New Roman"/>
      <w:sz w:val="24"/>
      <w:lang w:val="en-US" w:eastAsia="zh-CN" w:bidi="ar-SA"/>
    </w:rPr>
  </w:style>
  <w:style w:type="character" w:customStyle="1" w:styleId="213">
    <w:name w:val="Char Char25"/>
    <w:basedOn w:val="54"/>
    <w:qFormat/>
    <w:uiPriority w:val="0"/>
    <w:rPr>
      <w:rFonts w:ascii="Arial" w:hAnsi="Arial" w:eastAsia="黑体" w:cs="Times New Roman"/>
      <w:b/>
      <w:bCs/>
      <w:kern w:val="2"/>
      <w:sz w:val="28"/>
      <w:szCs w:val="28"/>
      <w:lang w:val="en-US" w:eastAsia="zh-CN" w:bidi="ar-SA"/>
    </w:rPr>
  </w:style>
  <w:style w:type="character" w:customStyle="1" w:styleId="214">
    <w:name w:val="Char Char46"/>
    <w:basedOn w:val="54"/>
    <w:qFormat/>
    <w:uiPriority w:val="0"/>
    <w:rPr>
      <w:rFonts w:eastAsia="宋体" w:cs="Times New Roman"/>
      <w:sz w:val="24"/>
      <w:lang w:val="en-US" w:eastAsia="zh-CN" w:bidi="ar-SA"/>
    </w:rPr>
  </w:style>
  <w:style w:type="character" w:customStyle="1" w:styleId="215">
    <w:name w:val="Char Char7"/>
    <w:basedOn w:val="54"/>
    <w:qFormat/>
    <w:uiPriority w:val="0"/>
    <w:rPr>
      <w:sz w:val="28"/>
      <w:szCs w:val="24"/>
    </w:rPr>
  </w:style>
  <w:style w:type="character" w:customStyle="1" w:styleId="216">
    <w:name w:val="Char Char79"/>
    <w:basedOn w:val="54"/>
    <w:qFormat/>
    <w:uiPriority w:val="0"/>
    <w:rPr>
      <w:rFonts w:ascii="Arial" w:hAnsi="Arial" w:eastAsia="黑体" w:cs="Times New Roman"/>
      <w:kern w:val="2"/>
      <w:sz w:val="24"/>
      <w:szCs w:val="24"/>
      <w:lang w:val="en-US" w:eastAsia="zh-CN" w:bidi="ar-SA"/>
    </w:rPr>
  </w:style>
  <w:style w:type="character" w:customStyle="1" w:styleId="217">
    <w:name w:val="color_red1"/>
    <w:basedOn w:val="54"/>
    <w:qFormat/>
    <w:uiPriority w:val="0"/>
    <w:rPr>
      <w:color w:val="FA0004"/>
    </w:rPr>
  </w:style>
  <w:style w:type="character" w:customStyle="1" w:styleId="218">
    <w:name w:val="Char Char37"/>
    <w:basedOn w:val="54"/>
    <w:qFormat/>
    <w:uiPriority w:val="0"/>
    <w:rPr>
      <w:rFonts w:cs="Times New Roman"/>
      <w:kern w:val="2"/>
      <w:sz w:val="24"/>
      <w:szCs w:val="24"/>
    </w:rPr>
  </w:style>
  <w:style w:type="paragraph" w:customStyle="1" w:styleId="21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20">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23">
    <w:name w:val="样式3"/>
    <w:basedOn w:val="4"/>
    <w:qFormat/>
    <w:uiPriority w:val="0"/>
    <w:pPr>
      <w:autoSpaceDE w:val="0"/>
      <w:autoSpaceDN w:val="0"/>
      <w:spacing w:line="360" w:lineRule="auto"/>
      <w:ind w:left="119" w:right="-23"/>
      <w:jc w:val="left"/>
    </w:pPr>
    <w:rPr>
      <w:rFonts w:ascii="宋体" w:hAnsi="宋体" w:eastAsia="仿宋_GB2312"/>
      <w:kern w:val="0"/>
      <w:sz w:val="24"/>
    </w:rPr>
  </w:style>
  <w:style w:type="paragraph" w:customStyle="1" w:styleId="224">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25">
    <w:name w:val="WW-表格标题"/>
    <w:basedOn w:val="226"/>
    <w:qFormat/>
    <w:uiPriority w:val="0"/>
  </w:style>
  <w:style w:type="paragraph" w:customStyle="1" w:styleId="226">
    <w:name w:val="WW-表格内容"/>
    <w:basedOn w:val="1"/>
    <w:qFormat/>
    <w:uiPriority w:val="0"/>
    <w:pPr>
      <w:suppressLineNumbers/>
      <w:suppressAutoHyphens/>
    </w:pPr>
  </w:style>
  <w:style w:type="paragraph" w:customStyle="1" w:styleId="227">
    <w:name w:val="Char Char Char Char Char Char Char"/>
    <w:basedOn w:val="1"/>
    <w:qFormat/>
    <w:uiPriority w:val="0"/>
    <w:rPr>
      <w:snapToGrid w:val="0"/>
      <w:color w:val="000000"/>
      <w:spacing w:val="16"/>
      <w:sz w:val="22"/>
      <w:szCs w:val="22"/>
    </w:rPr>
  </w:style>
  <w:style w:type="paragraph" w:customStyle="1" w:styleId="228">
    <w:name w:val="List Paragraph"/>
    <w:basedOn w:val="1"/>
    <w:qFormat/>
    <w:uiPriority w:val="0"/>
    <w:pPr>
      <w:ind w:firstLine="420" w:firstLineChars="200"/>
    </w:pPr>
    <w:rPr>
      <w:sz w:val="28"/>
      <w:szCs w:val="28"/>
    </w:rPr>
  </w:style>
  <w:style w:type="paragraph" w:customStyle="1" w:styleId="229">
    <w:name w:val="样式 标题 3 + (中文) 黑体 小四 非加粗 段前: 7.8 磅 段后: 0 磅 行距: 固定值 20 磅"/>
    <w:basedOn w:val="4"/>
    <w:next w:val="1"/>
    <w:qFormat/>
    <w:uiPriority w:val="0"/>
    <w:pPr>
      <w:spacing w:line="400" w:lineRule="exact"/>
    </w:pPr>
    <w:rPr>
      <w:rFonts w:eastAsia="黑体" w:cs="宋体"/>
      <w:b w:val="0"/>
      <w:bCs w:val="0"/>
      <w:sz w:val="24"/>
      <w:szCs w:val="20"/>
    </w:rPr>
  </w:style>
  <w:style w:type="paragraph" w:customStyle="1" w:styleId="23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31">
    <w:name w:val="Char2 Char Char Char Char Char Char Char Char Char Char Char Char1"/>
    <w:basedOn w:val="1"/>
    <w:qFormat/>
    <w:uiPriority w:val="0"/>
    <w:pPr>
      <w:spacing w:line="360" w:lineRule="auto"/>
      <w:ind w:firstLine="200" w:firstLineChars="200"/>
    </w:pPr>
    <w:rPr>
      <w:rFonts w:ascii="Tahoma" w:hAnsi="Tahoma"/>
      <w:sz w:val="24"/>
    </w:rPr>
  </w:style>
  <w:style w:type="paragraph" w:customStyle="1" w:styleId="232">
    <w:name w:val="样式2"/>
    <w:basedOn w:val="3"/>
    <w:qFormat/>
    <w:uiPriority w:val="0"/>
    <w:pPr>
      <w:autoSpaceDE w:val="0"/>
      <w:autoSpaceDN w:val="0"/>
      <w:spacing w:line="300" w:lineRule="exact"/>
      <w:ind w:left="220" w:right="-20"/>
      <w:jc w:val="center"/>
    </w:pPr>
    <w:rPr>
      <w:rFonts w:ascii="宋体" w:hAnsi="宋体" w:eastAsia="仿宋_GB2312"/>
      <w:w w:val="99"/>
      <w:kern w:val="0"/>
      <w:sz w:val="28"/>
      <w:szCs w:val="28"/>
    </w:rPr>
  </w:style>
  <w:style w:type="paragraph" w:customStyle="1" w:styleId="233">
    <w:name w:val="Char"/>
    <w:basedOn w:val="1"/>
    <w:qFormat/>
    <w:uiPriority w:val="0"/>
  </w:style>
  <w:style w:type="paragraph" w:customStyle="1" w:styleId="234">
    <w:name w:val="表格标题"/>
    <w:basedOn w:val="235"/>
    <w:qFormat/>
    <w:uiPriority w:val="0"/>
  </w:style>
  <w:style w:type="paragraph" w:customStyle="1" w:styleId="235">
    <w:name w:val="表格内容"/>
    <w:basedOn w:val="1"/>
    <w:qFormat/>
    <w:uiPriority w:val="0"/>
    <w:pPr>
      <w:suppressLineNumbers/>
      <w:suppressAutoHyphens/>
    </w:pPr>
  </w:style>
  <w:style w:type="paragraph" w:customStyle="1" w:styleId="236">
    <w:name w:val="目录"/>
    <w:basedOn w:val="1"/>
    <w:qFormat/>
    <w:uiPriority w:val="0"/>
    <w:pPr>
      <w:widowControl/>
      <w:jc w:val="center"/>
    </w:pPr>
    <w:rPr>
      <w:rFonts w:ascii="宋体"/>
      <w:b/>
      <w:kern w:val="0"/>
      <w:sz w:val="36"/>
    </w:rPr>
  </w:style>
  <w:style w:type="paragraph" w:customStyle="1" w:styleId="237">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rPr>
  </w:style>
  <w:style w:type="paragraph" w:customStyle="1" w:styleId="23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39">
    <w:name w:val="Char Char1 Char Char Char Char Char Char Char"/>
    <w:basedOn w:val="1"/>
    <w:qFormat/>
    <w:uiPriority w:val="0"/>
    <w:pPr>
      <w:pageBreakBefore/>
    </w:pPr>
    <w:rPr>
      <w:rFonts w:ascii="Calibri" w:hAnsi="Calibri" w:cs="Calibri"/>
    </w:rPr>
  </w:style>
  <w:style w:type="paragraph" w:customStyle="1" w:styleId="240">
    <w:name w:val="Char Char Char Char Char Char Char Char Char Char Char Char Char Char Char Char Char Char Char Char Char Char"/>
    <w:basedOn w:val="1"/>
    <w:qFormat/>
    <w:uiPriority w:val="0"/>
    <w:pPr>
      <w:widowControl/>
      <w:spacing w:line="400" w:lineRule="exact"/>
      <w:jc w:val="center"/>
    </w:pPr>
  </w:style>
  <w:style w:type="paragraph" w:customStyle="1" w:styleId="241">
    <w:name w:val="pa-27"/>
    <w:basedOn w:val="1"/>
    <w:qFormat/>
    <w:uiPriority w:val="0"/>
    <w:pPr>
      <w:widowControl/>
      <w:spacing w:line="360" w:lineRule="atLeast"/>
      <w:ind w:firstLine="420"/>
    </w:pPr>
    <w:rPr>
      <w:rFonts w:ascii="宋体" w:hAnsi="宋体" w:cs="宋体"/>
      <w:kern w:val="0"/>
      <w:sz w:val="24"/>
    </w:rPr>
  </w:style>
  <w:style w:type="paragraph" w:customStyle="1" w:styleId="24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4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样式 标题 1 + (西文) 宋体 非加粗 黑色 两端对齐 左侧:  0 厘米 首行缩进:  0.89 厘米"/>
    <w:basedOn w:val="2"/>
    <w:qFormat/>
    <w:uiPriority w:val="0"/>
    <w:pPr>
      <w:keepLines w:val="0"/>
      <w:tabs>
        <w:tab w:val="left" w:pos="1140"/>
      </w:tabs>
      <w:adjustRightInd w:val="0"/>
      <w:snapToGrid w:val="0"/>
      <w:spacing w:before="0" w:after="0" w:line="360" w:lineRule="auto"/>
      <w:ind w:left="1140" w:hanging="720"/>
      <w:jc w:val="center"/>
      <w:textAlignment w:val="baseline"/>
    </w:pPr>
    <w:rPr>
      <w:rFonts w:ascii="宋体" w:hAnsi="宋体" w:eastAsia="黑体"/>
      <w:bCs w:val="0"/>
      <w:color w:val="000000"/>
      <w:kern w:val="0"/>
      <w:sz w:val="30"/>
      <w:szCs w:val="30"/>
    </w:rPr>
  </w:style>
  <w:style w:type="paragraph" w:customStyle="1" w:styleId="245">
    <w:name w:val="表格"/>
    <w:basedOn w:val="1"/>
    <w:qFormat/>
    <w:uiPriority w:val="0"/>
    <w:pPr>
      <w:jc w:val="center"/>
      <w:textAlignment w:val="center"/>
    </w:pPr>
    <w:rPr>
      <w:rFonts w:ascii="华文细黑" w:hAnsi="华文细黑"/>
      <w:kern w:val="0"/>
    </w:rPr>
  </w:style>
  <w:style w:type="paragraph" w:customStyle="1" w:styleId="246">
    <w:name w:val="自定样式1"/>
    <w:basedOn w:val="1"/>
    <w:qFormat/>
    <w:uiPriority w:val="0"/>
    <w:pPr>
      <w:suppressAutoHyphens/>
      <w:jc w:val="center"/>
    </w:pPr>
    <w:rPr>
      <w:rFonts w:ascii="宋体" w:hAnsi="宋体"/>
      <w:color w:val="000000"/>
      <w:sz w:val="18"/>
    </w:rPr>
  </w:style>
  <w:style w:type="paragraph" w:customStyle="1" w:styleId="24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4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5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51">
    <w:name w:val="_Style 246"/>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5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54">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55">
    <w:name w:val="Char9"/>
    <w:basedOn w:val="15"/>
    <w:qFormat/>
    <w:uiPriority w:val="0"/>
    <w:pPr>
      <w:spacing w:line="360" w:lineRule="auto"/>
      <w:ind w:firstLine="200" w:firstLineChars="200"/>
    </w:pPr>
    <w:rPr>
      <w:rFonts w:ascii="Tahoma" w:hAnsi="Tahoma"/>
      <w:sz w:val="24"/>
    </w:rPr>
  </w:style>
  <w:style w:type="paragraph" w:customStyle="1" w:styleId="25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58">
    <w:name w:val="Char1"/>
    <w:basedOn w:val="1"/>
    <w:qFormat/>
    <w:uiPriority w:val="0"/>
    <w:pPr>
      <w:spacing w:before="156" w:beforeLines="50" w:after="156" w:afterLines="50"/>
      <w:ind w:firstLine="200" w:firstLineChars="200"/>
    </w:pPr>
    <w:rPr>
      <w:rFonts w:ascii="宋体" w:hAnsi="宋体" w:cs="Courier New"/>
      <w:spacing w:val="-2"/>
      <w:sz w:val="22"/>
      <w:szCs w:val="32"/>
    </w:rPr>
  </w:style>
  <w:style w:type="paragraph" w:customStyle="1" w:styleId="259">
    <w:name w:val="pa-34"/>
    <w:basedOn w:val="1"/>
    <w:qFormat/>
    <w:uiPriority w:val="0"/>
    <w:pPr>
      <w:widowControl/>
      <w:spacing w:line="360" w:lineRule="atLeast"/>
      <w:ind w:firstLine="420"/>
      <w:jc w:val="left"/>
    </w:pPr>
    <w:rPr>
      <w:rFonts w:ascii="宋体" w:hAnsi="宋体" w:cs="宋体"/>
      <w:kern w:val="0"/>
      <w:sz w:val="24"/>
    </w:rPr>
  </w:style>
  <w:style w:type="paragraph" w:customStyle="1" w:styleId="26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261">
    <w:name w:val="表格文字"/>
    <w:basedOn w:val="1"/>
    <w:qFormat/>
    <w:uiPriority w:val="0"/>
    <w:pPr>
      <w:adjustRightInd w:val="0"/>
      <w:spacing w:line="420" w:lineRule="atLeast"/>
      <w:jc w:val="left"/>
      <w:textAlignment w:val="baseline"/>
    </w:pPr>
    <w:rPr>
      <w:kern w:val="0"/>
    </w:rPr>
  </w:style>
  <w:style w:type="paragraph" w:customStyle="1" w:styleId="262">
    <w:name w:val="正  文"/>
    <w:basedOn w:val="1"/>
    <w:qFormat/>
    <w:uiPriority w:val="0"/>
    <w:pPr>
      <w:spacing w:line="360" w:lineRule="auto"/>
      <w:ind w:firstLine="200" w:firstLineChars="200"/>
    </w:pPr>
    <w:rPr>
      <w:rFonts w:ascii="宋体"/>
      <w:sz w:val="24"/>
    </w:rPr>
  </w:style>
  <w:style w:type="paragraph" w:customStyle="1" w:styleId="263">
    <w:name w:val="正文 New New New"/>
    <w:qFormat/>
    <w:uiPriority w:val="0"/>
    <w:pPr>
      <w:widowControl w:val="0"/>
      <w:jc w:val="both"/>
    </w:pPr>
    <w:rPr>
      <w:rFonts w:ascii="Times New Roman" w:hAnsi="Times New Roman" w:eastAsia="方正仿宋_GBK" w:cs="Times New Roman"/>
      <w:kern w:val="2"/>
      <w:sz w:val="21"/>
      <w:lang w:val="en-US" w:eastAsia="zh-CN" w:bidi="ar-SA"/>
    </w:rPr>
  </w:style>
  <w:style w:type="paragraph" w:customStyle="1" w:styleId="264">
    <w:name w:val="List Paragraph1"/>
    <w:basedOn w:val="1"/>
    <w:qFormat/>
    <w:uiPriority w:val="99"/>
    <w:pPr>
      <w:ind w:firstLine="42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79</Pages>
  <Words>40130</Words>
  <Characters>42359</Characters>
  <Lines>1</Lines>
  <Paragraphs>1</Paragraphs>
  <TotalTime>0</TotalTime>
  <ScaleCrop>false</ScaleCrop>
  <LinksUpToDate>false</LinksUpToDate>
  <CharactersWithSpaces>47082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2018-05-23T22:25:00Z</dcterms:created>
  <dc:creator>中金招标</dc:creator>
  <cp:lastModifiedBy>tlww</cp:lastModifiedBy>
  <cp:lastPrinted>2022-10-09T16:59:00Z</cp:lastPrinted>
  <dcterms:modified xsi:type="dcterms:W3CDTF">2024-06-28T14:32:26Z</dcterms:modified>
  <dc:title>铜梁县东城中学迁建工程2、3号（教学楼）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3941E4C0D21A4D55A3E46633532E58F0_13</vt:lpwstr>
  </property>
</Properties>
</file>