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jc w:val="center"/>
        <w:rPr>
          <w:rFonts w:hint="default" w:ascii="Times New Roman" w:hAnsi="Times New Roman" w:eastAsia="方正小标宋_GBK" w:cs="Times New Roman"/>
          <w:sz w:val="36"/>
          <w:szCs w:val="36"/>
        </w:rPr>
      </w:pPr>
      <w:bookmarkStart w:id="0" w:name="OLE_LINK1"/>
      <w:r>
        <w:rPr>
          <w:rFonts w:hint="default" w:ascii="Times New Roman" w:hAnsi="Times New Roman" w:eastAsia="方正小标宋_GBK" w:cs="Times New Roman"/>
          <w:sz w:val="36"/>
          <w:szCs w:val="36"/>
        </w:rPr>
        <w:t>重庆市铜梁区福果镇人民政府</w:t>
      </w:r>
    </w:p>
    <w:p>
      <w:pPr>
        <w:pStyle w:val="4"/>
        <w:spacing w:before="0" w:beforeAutospacing="0"/>
        <w:jc w:val="center"/>
        <w:rPr>
          <w:rFonts w:hint="default" w:ascii="Times New Roman" w:hAnsi="Times New Roman" w:eastAsia="方正小标宋_GBK" w:cs="Times New Roman"/>
          <w:sz w:val="36"/>
          <w:szCs w:val="36"/>
          <w:shd w:val="clear" w:color="auto" w:fill="FFFFFF"/>
        </w:rPr>
      </w:pPr>
      <w:r>
        <w:rPr>
          <w:rFonts w:hint="default" w:ascii="Times New Roman" w:hAnsi="Times New Roman" w:eastAsia="方正小标宋_GBK" w:cs="Times New Roman"/>
          <w:sz w:val="36"/>
          <w:szCs w:val="36"/>
          <w:shd w:val="clear" w:color="auto" w:fill="FFFFFF"/>
        </w:rPr>
        <w:t>2023年度决算公开说明</w:t>
      </w:r>
    </w:p>
    <w:p>
      <w:pPr>
        <w:pStyle w:val="4"/>
        <w:shd w:val="clear" w:color="auto" w:fill="FFFFFF"/>
        <w:rPr>
          <w:rFonts w:hint="default" w:ascii="Times New Roman" w:hAnsi="Times New Roman" w:eastAsia="黑体" w:cs="Times New Roman"/>
          <w:sz w:val="32"/>
          <w:szCs w:val="32"/>
        </w:rPr>
      </w:pPr>
      <w:r>
        <w:rPr>
          <w:rStyle w:val="6"/>
          <w:rFonts w:hint="default" w:ascii="Times New Roman" w:hAnsi="Times New Roman" w:eastAsia="黑体" w:cs="Times New Roman"/>
          <w:sz w:val="32"/>
          <w:szCs w:val="32"/>
          <w:shd w:val="clear" w:color="auto" w:fill="FFFFFF"/>
        </w:rPr>
        <w:t>一、部门基本情况</w:t>
      </w:r>
    </w:p>
    <w:p>
      <w:pPr>
        <w:pStyle w:val="4"/>
        <w:shd w:val="clear" w:color="auto" w:fill="FFFFFF"/>
        <w:ind w:firstLine="420"/>
        <w:rPr>
          <w:rFonts w:hint="default" w:ascii="Times New Roman" w:hAnsi="Times New Roman" w:eastAsia="方正仿宋_GBK" w:cs="Times New Roman"/>
          <w:sz w:val="32"/>
          <w:szCs w:val="32"/>
        </w:rPr>
      </w:pPr>
      <w:r>
        <w:rPr>
          <w:rStyle w:val="6"/>
          <w:rFonts w:hint="default" w:ascii="Times New Roman" w:hAnsi="Times New Roman" w:eastAsia="楷体" w:cs="Times New Roman"/>
          <w:sz w:val="32"/>
          <w:szCs w:val="32"/>
          <w:shd w:val="clear" w:color="auto" w:fill="FFFFFF"/>
        </w:rPr>
        <w:t>（一）职能职责</w:t>
      </w:r>
    </w:p>
    <w:p>
      <w:pPr>
        <w:pStyle w:val="4"/>
        <w:shd w:val="clear" w:color="auto" w:fill="FFFFFF"/>
        <w:ind w:firstLine="420"/>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一是贯彻执行党和国家的方针政策、法律法规和区委、区政府的决定、指示；负责政策法规宣传服务。二是负责辖区党的建设和精神文明建设工作。三是负责辖区经济发展规划、农村经营管理、经济社会统计、扶贫开发等工作；负责辖区财政收支、预决算、惠农资金兑付、财政资金监督检查、绩效评价、村级财务管理等工作；协同有关部门搞好市场监管，维护市场秩序，促进生产发展。对辖区生产生活状况进行登记、统计和监测。四是负责组织实施城镇化建设、基础设施建设与管理工作，协调规划建设管理；负责村镇规划、村镇建设、市政公用、村容整洁、生态环境保护与治理等工作。五是负责信访、社会治安综合治理、防范和处理邪教等工作；负责做好辖区安全生产综合监管、应急管理、消防管理等工作。向市、区有关部门反映村（居）民群众的意见和要求，办理人民群众的来信来访。六是负责民政、教育、卫生、计生、老龄事业发展、文化、体育、社会救助、残疾人事业、劳动就业、社会保障等工作；负责为农业农村事务提供服务；负责为推进群众文体活动、繁荣群众文体事业提供服务；负责为村（居）民劳动就业和社会保障提供服务。七是负责为退役军人管理事务提供服务；做好或配合做好民兵预备役、征兵、人民防空、防汛、防火、防震、抢险等工作。八是负责集中行使依法授权或委托的行政执法权；为辖区综合行政执法和监管服务提供保障。九是负责基层组织建设和民主法制建设，促进村（居）民自治。完成区委、区政府部署的各项任务。</w:t>
      </w:r>
    </w:p>
    <w:p>
      <w:pPr>
        <w:pStyle w:val="4"/>
        <w:shd w:val="clear" w:color="auto" w:fill="FFFFFF"/>
        <w:ind w:firstLine="420"/>
        <w:rPr>
          <w:rFonts w:hint="default" w:ascii="Times New Roman" w:hAnsi="Times New Roman" w:eastAsia="楷体" w:cs="Times New Roman"/>
          <w:sz w:val="32"/>
          <w:szCs w:val="32"/>
        </w:rPr>
      </w:pPr>
      <w:r>
        <w:rPr>
          <w:rStyle w:val="6"/>
          <w:rFonts w:hint="default" w:ascii="Times New Roman" w:hAnsi="Times New Roman" w:eastAsia="楷体" w:cs="Times New Roman"/>
          <w:sz w:val="32"/>
          <w:szCs w:val="32"/>
          <w:shd w:val="clear" w:color="auto" w:fill="FFFFFF"/>
        </w:rPr>
        <w:t>（二）机构设置</w:t>
      </w:r>
    </w:p>
    <w:p>
      <w:pPr>
        <w:pStyle w:val="13"/>
        <w:keepNext w:val="0"/>
        <w:keepLines w:val="0"/>
        <w:pageBreakBefore w:val="0"/>
        <w:widowControl w:val="0"/>
        <w:tabs>
          <w:tab w:val="center" w:pos="4153"/>
          <w:tab w:val="left" w:pos="7275"/>
        </w:tabs>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重庆市铜梁区福果镇人民政府内设10个机构处室，分别是党政办公室、党群办公室、经济发展办公室、民政和社区事务办公室、平安建设办公室、规划建设管理环保办公室、财政办公室、应急管理办公室、人大</w:t>
      </w:r>
      <w:r>
        <w:rPr>
          <w:rFonts w:hint="eastAsia" w:ascii="Times New Roman" w:hAnsi="Times New Roman" w:eastAsia="方正仿宋_GBK" w:cs="Times New Roman"/>
          <w:sz w:val="32"/>
          <w:szCs w:val="32"/>
          <w:lang w:val="en-US" w:eastAsia="zh-CN" w:bidi="ar-SA"/>
        </w:rPr>
        <w:t>常委会</w:t>
      </w:r>
      <w:r>
        <w:rPr>
          <w:rFonts w:hint="default" w:ascii="Times New Roman" w:hAnsi="Times New Roman" w:eastAsia="方正仿宋_GBK" w:cs="Times New Roman"/>
          <w:sz w:val="32"/>
          <w:szCs w:val="32"/>
          <w:lang w:val="en-US" w:eastAsia="zh-CN" w:bidi="ar-SA"/>
        </w:rPr>
        <w:t>办</w:t>
      </w:r>
      <w:bookmarkStart w:id="1" w:name="_GoBack"/>
      <w:bookmarkEnd w:id="1"/>
      <w:r>
        <w:rPr>
          <w:rFonts w:hint="default" w:ascii="Times New Roman" w:hAnsi="Times New Roman" w:eastAsia="方正仿宋_GBK" w:cs="Times New Roman"/>
          <w:sz w:val="32"/>
          <w:szCs w:val="32"/>
          <w:lang w:val="en-US" w:eastAsia="zh-CN" w:bidi="ar-SA"/>
        </w:rPr>
        <w:t>公室、综合行政执法办公室。</w:t>
      </w:r>
    </w:p>
    <w:p>
      <w:pPr>
        <w:pStyle w:val="13"/>
        <w:keepNext w:val="0"/>
        <w:keepLines w:val="0"/>
        <w:pageBreakBefore w:val="0"/>
        <w:widowControl w:val="0"/>
        <w:tabs>
          <w:tab w:val="center" w:pos="4153"/>
          <w:tab w:val="left" w:pos="7275"/>
        </w:tabs>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bidi="ar-SA"/>
        </w:rPr>
        <w:t>重庆市铜梁区福果镇人民政府属独立核算的行政单位。有下属非独立核算事业单位7个，分别是福果镇农业服务中心、福果镇文化服务中心、福果镇劳动就业和社会保障服务所、福果镇退役军人事务站、福果镇乡村产业培育中心、福果镇乡村生态治理中心、福果镇综合行政执法大队。</w:t>
      </w:r>
    </w:p>
    <w:p>
      <w:pPr>
        <w:pStyle w:val="4"/>
        <w:shd w:val="clear" w:color="auto" w:fill="FFFFFF"/>
        <w:rPr>
          <w:rStyle w:val="6"/>
          <w:rFonts w:hint="default" w:ascii="Times New Roman" w:hAnsi="Times New Roman" w:eastAsia="黑体" w:cs="Times New Roman"/>
          <w:sz w:val="32"/>
          <w:szCs w:val="32"/>
          <w:shd w:val="clear" w:color="auto" w:fill="FFFFFF"/>
        </w:rPr>
      </w:pPr>
      <w:r>
        <w:rPr>
          <w:rStyle w:val="6"/>
          <w:rFonts w:hint="default" w:ascii="Times New Roman" w:hAnsi="Times New Roman" w:eastAsia="黑体" w:cs="Times New Roman"/>
          <w:sz w:val="32"/>
          <w:szCs w:val="32"/>
          <w:shd w:val="clear" w:color="auto" w:fill="FFFFFF"/>
        </w:rPr>
        <w:t>二、部门决算情况说明</w:t>
      </w:r>
    </w:p>
    <w:p>
      <w:pPr>
        <w:pStyle w:val="8"/>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pPr>
        <w:pStyle w:val="4"/>
        <w:shd w:val="clear" w:color="auto" w:fill="FFFFFF"/>
        <w:ind w:firstLine="643" w:firstLineChars="200"/>
        <w:rPr>
          <w:rFonts w:hint="default" w:ascii="Times New Roman" w:hAnsi="Times New Roman" w:eastAsia="方正仿宋_GBK" w:cs="Times New Roman"/>
          <w:sz w:val="32"/>
          <w:szCs w:val="32"/>
          <w:lang w:val="en-US" w:eastAsia="zh-CN"/>
        </w:rPr>
      </w:pPr>
      <w:r>
        <w:rPr>
          <w:rStyle w:val="6"/>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2023年度收入总计3202.07万元，支出总计</w:t>
      </w:r>
      <w:r>
        <w:rPr>
          <w:rFonts w:hint="default" w:ascii="Times New Roman" w:hAnsi="Times New Roman" w:eastAsia="方正仿宋_GBK" w:cs="Times New Roman"/>
          <w:sz w:val="32"/>
          <w:szCs w:val="32"/>
        </w:rPr>
        <w:t>3202.07</w:t>
      </w:r>
      <w:r>
        <w:rPr>
          <w:rFonts w:hint="default" w:ascii="Times New Roman" w:hAnsi="Times New Roman" w:eastAsia="方正仿宋_GBK" w:cs="Times New Roman"/>
          <w:sz w:val="32"/>
          <w:szCs w:val="32"/>
          <w:shd w:val="clear" w:color="auto" w:fill="FFFFFF"/>
        </w:rPr>
        <w:t>万元。收支较上年决算数增加708.5万元，增长28.4%，主要原因是</w:t>
      </w:r>
      <w:r>
        <w:rPr>
          <w:rFonts w:hint="default" w:ascii="Times New Roman" w:hAnsi="Times New Roman" w:eastAsia="方正仿宋_GBK" w:cs="Times New Roman"/>
          <w:sz w:val="32"/>
          <w:szCs w:val="32"/>
          <w:shd w:val="clear" w:color="auto" w:fill="FFFFFF"/>
          <w:lang w:eastAsia="zh-CN"/>
        </w:rPr>
        <w:t>：一是</w:t>
      </w:r>
      <w:r>
        <w:rPr>
          <w:rFonts w:hint="default" w:ascii="Times New Roman" w:hAnsi="Times New Roman" w:eastAsia="方正仿宋_GBK" w:cs="Times New Roman"/>
          <w:sz w:val="32"/>
          <w:szCs w:val="32"/>
          <w:lang w:val="en-US" w:eastAsia="zh-CN"/>
        </w:rPr>
        <w:t>基础设施建设包含</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四好农村路</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建设项目和乡村振兴泥结石路硬化项目</w:t>
      </w:r>
      <w:r>
        <w:rPr>
          <w:rFonts w:hint="default" w:ascii="Times New Roman" w:hAnsi="Times New Roman" w:eastAsia="方正仿宋_GBK" w:cs="Times New Roman"/>
          <w:color w:val="000000"/>
          <w:sz w:val="32"/>
          <w:szCs w:val="32"/>
          <w:lang w:val="en-US" w:eastAsia="zh-CN"/>
        </w:rPr>
        <w:t>计入</w:t>
      </w:r>
      <w:r>
        <w:rPr>
          <w:rFonts w:hint="default" w:ascii="Times New Roman" w:hAnsi="Times New Roman" w:eastAsia="方正仿宋_GBK" w:cs="Times New Roman"/>
          <w:color w:val="000000"/>
          <w:sz w:val="32"/>
          <w:szCs w:val="32"/>
          <w:highlight w:val="none"/>
          <w:lang w:eastAsia="zh-CN"/>
        </w:rPr>
        <w:t>本级</w:t>
      </w:r>
      <w:r>
        <w:rPr>
          <w:rFonts w:hint="default" w:ascii="Times New Roman" w:hAnsi="Times New Roman" w:eastAsia="方正仿宋_GBK" w:cs="Times New Roman"/>
          <w:color w:val="000000"/>
          <w:sz w:val="32"/>
          <w:szCs w:val="32"/>
          <w:highlight w:val="none"/>
          <w:lang w:val="en-US" w:eastAsia="zh-CN"/>
        </w:rPr>
        <w:t>收入支出决算</w:t>
      </w:r>
      <w:r>
        <w:rPr>
          <w:rFonts w:hint="default" w:ascii="Times New Roman" w:hAnsi="Times New Roman" w:eastAsia="方正仿宋_GBK" w:cs="Times New Roman"/>
          <w:sz w:val="32"/>
          <w:szCs w:val="32"/>
          <w:highlight w:val="none"/>
          <w:lang w:val="en-US" w:eastAsia="zh-CN"/>
        </w:rPr>
        <w:t>，增加197.89万元；二是创建市级卫生镇，加强对人居环境的治理，城乡社区支出增加382.52万元，卫生健康支出</w:t>
      </w:r>
      <w:r>
        <w:rPr>
          <w:rFonts w:hint="eastAsia" w:ascii="Times New Roman" w:hAnsi="Times New Roman" w:eastAsia="方正仿宋_GBK" w:cs="Times New Roman"/>
          <w:sz w:val="32"/>
          <w:szCs w:val="32"/>
          <w:highlight w:val="none"/>
          <w:lang w:val="en-US" w:eastAsia="zh-CN"/>
        </w:rPr>
        <w:t>增加</w:t>
      </w:r>
      <w:r>
        <w:rPr>
          <w:rFonts w:hint="default" w:ascii="Times New Roman" w:hAnsi="Times New Roman" w:eastAsia="方正仿宋_GBK" w:cs="Times New Roman"/>
          <w:sz w:val="32"/>
          <w:szCs w:val="32"/>
          <w:highlight w:val="none"/>
          <w:lang w:val="en-US" w:eastAsia="zh-CN"/>
        </w:rPr>
        <w:t>83.82万元；三是</w:t>
      </w:r>
      <w:r>
        <w:rPr>
          <w:rFonts w:hint="eastAsia" w:ascii="Times New Roman" w:hAnsi="Times New Roman" w:eastAsia="方正仿宋_GBK"/>
          <w:bCs/>
          <w:sz w:val="32"/>
          <w:szCs w:val="32"/>
          <w:lang w:eastAsia="zh-CN"/>
        </w:rPr>
        <w:t>发展“一镇一主题”，开展第二届油菜花节和高粱节农文旅结合主题活动</w:t>
      </w:r>
      <w:r>
        <w:rPr>
          <w:rFonts w:hint="default" w:ascii="Times New Roman" w:hAnsi="Times New Roman" w:eastAsia="方正仿宋_GBK" w:cs="Times New Roman"/>
          <w:sz w:val="32"/>
          <w:szCs w:val="32"/>
          <w:highlight w:val="none"/>
          <w:lang w:val="en-US" w:eastAsia="zh-CN"/>
        </w:rPr>
        <w:t>，文化旅游体育与传媒支出增加19.09万元。</w:t>
      </w:r>
    </w:p>
    <w:p>
      <w:pPr>
        <w:pStyle w:val="4"/>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shd w:val="clear" w:color="auto" w:fill="FFFFFF"/>
        </w:rPr>
      </w:pPr>
      <w:r>
        <w:rPr>
          <w:rStyle w:val="6"/>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2023年度收入合计3202.07万元，较上年决算数增加708.5万元，增长28.4%，主要原因</w:t>
      </w:r>
      <w:r>
        <w:rPr>
          <w:rFonts w:hint="default" w:ascii="Times New Roman" w:hAnsi="Times New Roman" w:eastAsia="方正仿宋_GBK" w:cs="Times New Roman"/>
          <w:sz w:val="32"/>
          <w:szCs w:val="32"/>
          <w:shd w:val="clear" w:color="auto" w:fill="FFFFFF"/>
          <w:lang w:eastAsia="zh-CN"/>
        </w:rPr>
        <w:t>：一是</w:t>
      </w:r>
      <w:r>
        <w:rPr>
          <w:rFonts w:hint="default" w:ascii="Times New Roman" w:hAnsi="Times New Roman" w:eastAsia="方正仿宋_GBK" w:cs="Times New Roman"/>
          <w:sz w:val="32"/>
          <w:szCs w:val="32"/>
          <w:lang w:val="en-US" w:eastAsia="zh-CN"/>
        </w:rPr>
        <w:t>基础设施建设包含</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四好农村路</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建设项目和乡村振兴泥结石路硬化项目</w:t>
      </w:r>
      <w:r>
        <w:rPr>
          <w:rFonts w:hint="default" w:ascii="Times New Roman" w:hAnsi="Times New Roman" w:eastAsia="方正仿宋_GBK" w:cs="Times New Roman"/>
          <w:color w:val="000000"/>
          <w:sz w:val="32"/>
          <w:szCs w:val="32"/>
          <w:lang w:val="en-US" w:eastAsia="zh-CN"/>
        </w:rPr>
        <w:t>计入</w:t>
      </w:r>
      <w:r>
        <w:rPr>
          <w:rFonts w:hint="default" w:ascii="Times New Roman" w:hAnsi="Times New Roman" w:eastAsia="方正仿宋_GBK" w:cs="Times New Roman"/>
          <w:color w:val="000000"/>
          <w:sz w:val="32"/>
          <w:szCs w:val="32"/>
          <w:highlight w:val="none"/>
          <w:lang w:eastAsia="zh-CN"/>
        </w:rPr>
        <w:t>本级</w:t>
      </w:r>
      <w:r>
        <w:rPr>
          <w:rFonts w:hint="default" w:ascii="Times New Roman" w:hAnsi="Times New Roman" w:eastAsia="方正仿宋_GBK" w:cs="Times New Roman"/>
          <w:color w:val="000000"/>
          <w:sz w:val="32"/>
          <w:szCs w:val="32"/>
          <w:highlight w:val="none"/>
          <w:lang w:val="en-US" w:eastAsia="zh-CN"/>
        </w:rPr>
        <w:t>收入支出决算</w:t>
      </w:r>
      <w:r>
        <w:rPr>
          <w:rFonts w:hint="default" w:ascii="Times New Roman" w:hAnsi="Times New Roman" w:eastAsia="方正仿宋_GBK" w:cs="Times New Roman"/>
          <w:sz w:val="32"/>
          <w:szCs w:val="32"/>
          <w:highlight w:val="none"/>
          <w:lang w:val="en-US" w:eastAsia="zh-CN"/>
        </w:rPr>
        <w:t>，增加197.89万元；二是创建市级卫生镇，加强对人居环境的治理，城乡社区支出增加382.52万元，卫生健康支出</w:t>
      </w:r>
      <w:r>
        <w:rPr>
          <w:rFonts w:hint="eastAsia" w:ascii="Times New Roman" w:hAnsi="Times New Roman" w:eastAsia="方正仿宋_GBK" w:cs="Times New Roman"/>
          <w:sz w:val="32"/>
          <w:szCs w:val="32"/>
          <w:highlight w:val="none"/>
          <w:lang w:val="en-US" w:eastAsia="zh-CN"/>
        </w:rPr>
        <w:t>增加</w:t>
      </w:r>
      <w:r>
        <w:rPr>
          <w:rFonts w:hint="default" w:ascii="Times New Roman" w:hAnsi="Times New Roman" w:eastAsia="方正仿宋_GBK" w:cs="Times New Roman"/>
          <w:sz w:val="32"/>
          <w:szCs w:val="32"/>
          <w:highlight w:val="none"/>
          <w:lang w:val="en-US" w:eastAsia="zh-CN"/>
        </w:rPr>
        <w:t>83.82万元；三是</w:t>
      </w:r>
      <w:r>
        <w:rPr>
          <w:rFonts w:hint="eastAsia" w:ascii="Times New Roman" w:hAnsi="Times New Roman" w:eastAsia="方正仿宋_GBK"/>
          <w:bCs/>
          <w:sz w:val="32"/>
          <w:szCs w:val="32"/>
          <w:lang w:eastAsia="zh-CN"/>
        </w:rPr>
        <w:t>发展“一镇一主题”，开展第二届油菜花节和高粱节农文旅结合主题活动</w:t>
      </w:r>
      <w:r>
        <w:rPr>
          <w:rFonts w:hint="default" w:ascii="Times New Roman" w:hAnsi="Times New Roman" w:eastAsia="方正仿宋_GBK" w:cs="Times New Roman"/>
          <w:sz w:val="32"/>
          <w:szCs w:val="32"/>
          <w:highlight w:val="none"/>
          <w:lang w:val="en-US" w:eastAsia="zh-CN"/>
        </w:rPr>
        <w:t>，文化旅游体育与传媒支出增加19.09万元。</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3202.07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万元，占0.0%；经营收入</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万元，占0.0%；其他收入</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万元，占0.0%。此外，使用非财政拨款结余和专用结余</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pPr>
        <w:pStyle w:val="4"/>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shd w:val="clear" w:color="auto" w:fill="FFFFFF"/>
        </w:rPr>
      </w:pPr>
      <w:r>
        <w:rPr>
          <w:rStyle w:val="6"/>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3202.07</w:t>
      </w:r>
      <w:r>
        <w:rPr>
          <w:rFonts w:hint="default" w:ascii="Times New Roman" w:hAnsi="Times New Roman" w:eastAsia="方正仿宋_GBK" w:cs="Times New Roman"/>
          <w:sz w:val="32"/>
          <w:szCs w:val="32"/>
          <w:shd w:val="clear" w:color="auto" w:fill="FFFFFF"/>
        </w:rPr>
        <w:t>万元，较上年决算数增加708.5万元，增长28.4%，主要原因</w:t>
      </w:r>
      <w:r>
        <w:rPr>
          <w:rFonts w:hint="default" w:ascii="Times New Roman" w:hAnsi="Times New Roman" w:eastAsia="方正仿宋_GBK" w:cs="Times New Roman"/>
          <w:sz w:val="32"/>
          <w:szCs w:val="32"/>
          <w:shd w:val="clear" w:color="auto" w:fill="FFFFFF"/>
          <w:lang w:eastAsia="zh-CN"/>
        </w:rPr>
        <w:t>：一是</w:t>
      </w:r>
      <w:r>
        <w:rPr>
          <w:rFonts w:hint="default" w:ascii="Times New Roman" w:hAnsi="Times New Roman" w:eastAsia="方正仿宋_GBK" w:cs="Times New Roman"/>
          <w:sz w:val="32"/>
          <w:szCs w:val="32"/>
          <w:lang w:val="en-US" w:eastAsia="zh-CN"/>
        </w:rPr>
        <w:t>基础设施建设包含</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四好农村路</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建设项目和乡村振兴泥结石路硬化项目</w:t>
      </w:r>
      <w:r>
        <w:rPr>
          <w:rFonts w:hint="default" w:ascii="Times New Roman" w:hAnsi="Times New Roman" w:eastAsia="方正仿宋_GBK" w:cs="Times New Roman"/>
          <w:color w:val="000000"/>
          <w:sz w:val="32"/>
          <w:szCs w:val="32"/>
          <w:lang w:val="en-US" w:eastAsia="zh-CN"/>
        </w:rPr>
        <w:t>计入</w:t>
      </w:r>
      <w:r>
        <w:rPr>
          <w:rFonts w:hint="default" w:ascii="Times New Roman" w:hAnsi="Times New Roman" w:eastAsia="方正仿宋_GBK" w:cs="Times New Roman"/>
          <w:color w:val="000000"/>
          <w:sz w:val="32"/>
          <w:szCs w:val="32"/>
          <w:highlight w:val="none"/>
          <w:lang w:eastAsia="zh-CN"/>
        </w:rPr>
        <w:t>本级</w:t>
      </w:r>
      <w:r>
        <w:rPr>
          <w:rFonts w:hint="default" w:ascii="Times New Roman" w:hAnsi="Times New Roman" w:eastAsia="方正仿宋_GBK" w:cs="Times New Roman"/>
          <w:color w:val="000000"/>
          <w:sz w:val="32"/>
          <w:szCs w:val="32"/>
          <w:highlight w:val="none"/>
          <w:lang w:val="en-US" w:eastAsia="zh-CN"/>
        </w:rPr>
        <w:t>收入支出决算</w:t>
      </w:r>
      <w:r>
        <w:rPr>
          <w:rFonts w:hint="default" w:ascii="Times New Roman" w:hAnsi="Times New Roman" w:eastAsia="方正仿宋_GBK" w:cs="Times New Roman"/>
          <w:sz w:val="32"/>
          <w:szCs w:val="32"/>
          <w:highlight w:val="none"/>
          <w:lang w:val="en-US" w:eastAsia="zh-CN"/>
        </w:rPr>
        <w:t>，增加197.89万元；二是创建市级卫生镇，加强对人居环境的治理，城乡社区支出增加382.52万元，卫生健康支出</w:t>
      </w:r>
      <w:r>
        <w:rPr>
          <w:rFonts w:hint="eastAsia" w:ascii="Times New Roman" w:hAnsi="Times New Roman" w:eastAsia="方正仿宋_GBK" w:cs="Times New Roman"/>
          <w:sz w:val="32"/>
          <w:szCs w:val="32"/>
          <w:highlight w:val="none"/>
          <w:lang w:val="en-US" w:eastAsia="zh-CN"/>
        </w:rPr>
        <w:t>增加</w:t>
      </w:r>
      <w:r>
        <w:rPr>
          <w:rFonts w:hint="default" w:ascii="Times New Roman" w:hAnsi="Times New Roman" w:eastAsia="方正仿宋_GBK" w:cs="Times New Roman"/>
          <w:sz w:val="32"/>
          <w:szCs w:val="32"/>
          <w:highlight w:val="none"/>
          <w:lang w:val="en-US" w:eastAsia="zh-CN"/>
        </w:rPr>
        <w:t>83.82万元；三是</w:t>
      </w:r>
      <w:r>
        <w:rPr>
          <w:rFonts w:hint="eastAsia" w:ascii="Times New Roman" w:hAnsi="Times New Roman" w:eastAsia="方正仿宋_GBK"/>
          <w:bCs/>
          <w:sz w:val="32"/>
          <w:szCs w:val="32"/>
          <w:lang w:eastAsia="zh-CN"/>
        </w:rPr>
        <w:t>发展“一镇一主题”，开展第二届油菜花节和高粱节农文旅结合主题活动</w:t>
      </w:r>
      <w:r>
        <w:rPr>
          <w:rFonts w:hint="default" w:ascii="Times New Roman" w:hAnsi="Times New Roman" w:eastAsia="方正仿宋_GBK" w:cs="Times New Roman"/>
          <w:sz w:val="32"/>
          <w:szCs w:val="32"/>
          <w:highlight w:val="none"/>
          <w:lang w:val="en-US" w:eastAsia="zh-CN"/>
        </w:rPr>
        <w:t>，文化旅游体育与传媒支出增加19.09万元。</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1559.22</w:t>
      </w:r>
      <w:r>
        <w:rPr>
          <w:rFonts w:hint="default" w:ascii="Times New Roman" w:hAnsi="Times New Roman" w:eastAsia="方正仿宋_GBK" w:cs="Times New Roman"/>
          <w:sz w:val="32"/>
          <w:szCs w:val="32"/>
          <w:shd w:val="clear" w:color="auto" w:fill="FFFFFF"/>
        </w:rPr>
        <w:t>万元，占48.</w:t>
      </w:r>
      <w:r>
        <w:rPr>
          <w:rFonts w:hint="eastAsia" w:ascii="Times New Roman" w:hAnsi="Times New Roman" w:eastAsia="方正仿宋_GBK" w:cs="Times New Roman"/>
          <w:sz w:val="32"/>
          <w:szCs w:val="32"/>
          <w:shd w:val="clear" w:color="auto" w:fill="FFFFFF"/>
          <w:lang w:val="en-US" w:eastAsia="zh-CN"/>
        </w:rPr>
        <w:t>7</w:t>
      </w:r>
      <w:r>
        <w:rPr>
          <w:rFonts w:hint="default" w:ascii="Times New Roman" w:hAnsi="Times New Roman" w:eastAsia="方正仿宋_GBK" w:cs="Times New Roman"/>
          <w:sz w:val="32"/>
          <w:szCs w:val="32"/>
          <w:shd w:val="clear" w:color="auto" w:fill="FFFFFF"/>
        </w:rPr>
        <w:t>%；项目支出</w:t>
      </w:r>
      <w:r>
        <w:rPr>
          <w:rFonts w:hint="default" w:ascii="Times New Roman" w:hAnsi="Times New Roman" w:eastAsia="方正仿宋_GBK" w:cs="Times New Roman"/>
          <w:sz w:val="32"/>
          <w:szCs w:val="32"/>
        </w:rPr>
        <w:t>1642.85</w:t>
      </w:r>
      <w:r>
        <w:rPr>
          <w:rFonts w:hint="default" w:ascii="Times New Roman" w:hAnsi="Times New Roman" w:eastAsia="方正仿宋_GBK" w:cs="Times New Roman"/>
          <w:sz w:val="32"/>
          <w:szCs w:val="32"/>
          <w:shd w:val="clear" w:color="auto" w:fill="FFFFFF"/>
        </w:rPr>
        <w:t>万元，占51.3%；经营支出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万元，占0.0%。此外，结余分配</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pPr>
        <w:pStyle w:val="4"/>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lang w:eastAsia="zh-CN"/>
        </w:rPr>
      </w:pPr>
      <w:r>
        <w:rPr>
          <w:rStyle w:val="6"/>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万元，主要原因</w:t>
      </w:r>
      <w:r>
        <w:rPr>
          <w:rFonts w:hint="default" w:ascii="Times New Roman" w:hAnsi="Times New Roman" w:eastAsia="方正仿宋_GBK" w:cs="Times New Roman"/>
          <w:sz w:val="32"/>
          <w:szCs w:val="32"/>
          <w:shd w:val="clear" w:color="auto" w:fill="FFFFFF"/>
          <w:lang w:eastAsia="zh-CN"/>
        </w:rPr>
        <w:t>是本级财政为零基预算，每年滚动预算。</w:t>
      </w:r>
    </w:p>
    <w:p>
      <w:pPr>
        <w:pStyle w:val="8"/>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pPr>
        <w:pStyle w:val="4"/>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2023年度财政拨款收、支总计3202.07万元。与2022年相比，财政拨款收、支总计各增加708.5万元，增长28.4%。主要原因</w:t>
      </w:r>
      <w:r>
        <w:rPr>
          <w:rFonts w:hint="default" w:ascii="Times New Roman" w:hAnsi="Times New Roman" w:eastAsia="方正仿宋_GBK" w:cs="Times New Roman"/>
          <w:sz w:val="32"/>
          <w:szCs w:val="32"/>
          <w:shd w:val="clear" w:color="auto" w:fill="FFFFFF"/>
          <w:lang w:eastAsia="zh-CN"/>
        </w:rPr>
        <w:t>：一是</w:t>
      </w:r>
      <w:r>
        <w:rPr>
          <w:rFonts w:hint="default" w:ascii="Times New Roman" w:hAnsi="Times New Roman" w:eastAsia="方正仿宋_GBK" w:cs="Times New Roman"/>
          <w:sz w:val="32"/>
          <w:szCs w:val="32"/>
          <w:lang w:val="en-US" w:eastAsia="zh-CN"/>
        </w:rPr>
        <w:t>基础设施建设</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四好农村路</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建设项目和乡村振兴泥结石路硬化项目</w:t>
      </w:r>
      <w:r>
        <w:rPr>
          <w:rFonts w:hint="default" w:ascii="Times New Roman" w:hAnsi="Times New Roman" w:eastAsia="方正仿宋_GBK" w:cs="Times New Roman"/>
          <w:color w:val="000000"/>
          <w:sz w:val="32"/>
          <w:szCs w:val="32"/>
          <w:lang w:val="en-US" w:eastAsia="zh-CN"/>
        </w:rPr>
        <w:t>计入</w:t>
      </w:r>
      <w:r>
        <w:rPr>
          <w:rFonts w:hint="default" w:ascii="Times New Roman" w:hAnsi="Times New Roman" w:eastAsia="方正仿宋_GBK" w:cs="Times New Roman"/>
          <w:color w:val="000000"/>
          <w:sz w:val="32"/>
          <w:szCs w:val="32"/>
          <w:highlight w:val="none"/>
          <w:lang w:eastAsia="zh-CN"/>
        </w:rPr>
        <w:t>本级</w:t>
      </w:r>
      <w:r>
        <w:rPr>
          <w:rFonts w:hint="default" w:ascii="Times New Roman" w:hAnsi="Times New Roman" w:eastAsia="方正仿宋_GBK" w:cs="Times New Roman"/>
          <w:color w:val="000000"/>
          <w:sz w:val="32"/>
          <w:szCs w:val="32"/>
          <w:highlight w:val="none"/>
          <w:lang w:val="en-US" w:eastAsia="zh-CN"/>
        </w:rPr>
        <w:t>收入支出决算</w:t>
      </w:r>
      <w:r>
        <w:rPr>
          <w:rFonts w:hint="default" w:ascii="Times New Roman" w:hAnsi="Times New Roman" w:eastAsia="方正仿宋_GBK" w:cs="Times New Roman"/>
          <w:sz w:val="32"/>
          <w:szCs w:val="32"/>
          <w:highlight w:val="none"/>
          <w:lang w:val="en-US" w:eastAsia="zh-CN"/>
        </w:rPr>
        <w:t>，增加197.89万元；二是创建市级卫生镇，加强对人居环境的治理，城乡社区支出增加382.52万元，卫生健康支出</w:t>
      </w:r>
      <w:r>
        <w:rPr>
          <w:rFonts w:hint="eastAsia" w:ascii="Times New Roman" w:hAnsi="Times New Roman" w:eastAsia="方正仿宋_GBK" w:cs="Times New Roman"/>
          <w:sz w:val="32"/>
          <w:szCs w:val="32"/>
          <w:highlight w:val="none"/>
          <w:lang w:val="en-US" w:eastAsia="zh-CN"/>
        </w:rPr>
        <w:t>增加</w:t>
      </w:r>
      <w:r>
        <w:rPr>
          <w:rFonts w:hint="default" w:ascii="Times New Roman" w:hAnsi="Times New Roman" w:eastAsia="方正仿宋_GBK" w:cs="Times New Roman"/>
          <w:sz w:val="32"/>
          <w:szCs w:val="32"/>
          <w:highlight w:val="none"/>
          <w:lang w:val="en-US" w:eastAsia="zh-CN"/>
        </w:rPr>
        <w:t>83.82万元；三是</w:t>
      </w:r>
      <w:r>
        <w:rPr>
          <w:rFonts w:hint="eastAsia" w:ascii="Times New Roman" w:hAnsi="Times New Roman" w:eastAsia="方正仿宋_GBK"/>
          <w:bCs/>
          <w:sz w:val="32"/>
          <w:szCs w:val="32"/>
          <w:lang w:eastAsia="zh-CN"/>
        </w:rPr>
        <w:t>发展“一镇一主题”，开展第二届油菜花节和高粱节农文旅结合主题活动</w:t>
      </w:r>
      <w:r>
        <w:rPr>
          <w:rFonts w:hint="default" w:ascii="Times New Roman" w:hAnsi="Times New Roman" w:eastAsia="方正仿宋_GBK" w:cs="Times New Roman"/>
          <w:sz w:val="32"/>
          <w:szCs w:val="32"/>
          <w:highlight w:val="none"/>
          <w:lang w:val="en-US" w:eastAsia="zh-CN"/>
        </w:rPr>
        <w:t>，文化旅游体育与传媒支出增加19.09万元。</w:t>
      </w:r>
    </w:p>
    <w:p>
      <w:pPr>
        <w:pStyle w:val="8"/>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pPr>
        <w:pStyle w:val="4"/>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6"/>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3202.07</w:t>
      </w:r>
      <w:r>
        <w:rPr>
          <w:rFonts w:hint="default" w:ascii="Times New Roman" w:hAnsi="Times New Roman" w:eastAsia="方正仿宋_GBK" w:cs="Times New Roman"/>
          <w:sz w:val="32"/>
          <w:szCs w:val="32"/>
          <w:shd w:val="clear" w:color="auto" w:fill="FFFFFF"/>
        </w:rPr>
        <w:t>万元，较上年决算数增加708.5万元，增长28.4%。主要原因</w:t>
      </w:r>
      <w:r>
        <w:rPr>
          <w:rFonts w:hint="default" w:ascii="Times New Roman" w:hAnsi="Times New Roman" w:eastAsia="方正仿宋_GBK" w:cs="Times New Roman"/>
          <w:sz w:val="32"/>
          <w:szCs w:val="32"/>
          <w:shd w:val="clear" w:color="auto" w:fill="FFFFFF"/>
          <w:lang w:eastAsia="zh-CN"/>
        </w:rPr>
        <w:t>：一是</w:t>
      </w:r>
      <w:r>
        <w:rPr>
          <w:rFonts w:hint="default" w:ascii="Times New Roman" w:hAnsi="Times New Roman" w:eastAsia="方正仿宋_GBK" w:cs="Times New Roman"/>
          <w:sz w:val="32"/>
          <w:szCs w:val="32"/>
          <w:lang w:val="en-US" w:eastAsia="zh-CN"/>
        </w:rPr>
        <w:t>基础设施建设包含</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四好农村路</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建设项目和乡村振兴泥结石路硬化项目</w:t>
      </w:r>
      <w:r>
        <w:rPr>
          <w:rFonts w:hint="default" w:ascii="Times New Roman" w:hAnsi="Times New Roman" w:eastAsia="方正仿宋_GBK" w:cs="Times New Roman"/>
          <w:color w:val="000000"/>
          <w:sz w:val="32"/>
          <w:szCs w:val="32"/>
          <w:lang w:val="en-US" w:eastAsia="zh-CN"/>
        </w:rPr>
        <w:t>计入</w:t>
      </w:r>
      <w:r>
        <w:rPr>
          <w:rFonts w:hint="default" w:ascii="Times New Roman" w:hAnsi="Times New Roman" w:eastAsia="方正仿宋_GBK" w:cs="Times New Roman"/>
          <w:color w:val="000000"/>
          <w:sz w:val="32"/>
          <w:szCs w:val="32"/>
          <w:highlight w:val="none"/>
          <w:lang w:eastAsia="zh-CN"/>
        </w:rPr>
        <w:t>本级</w:t>
      </w:r>
      <w:r>
        <w:rPr>
          <w:rFonts w:hint="default" w:ascii="Times New Roman" w:hAnsi="Times New Roman" w:eastAsia="方正仿宋_GBK" w:cs="Times New Roman"/>
          <w:color w:val="000000"/>
          <w:sz w:val="32"/>
          <w:szCs w:val="32"/>
          <w:highlight w:val="none"/>
          <w:lang w:val="en-US" w:eastAsia="zh-CN"/>
        </w:rPr>
        <w:t>收入支出决算</w:t>
      </w:r>
      <w:r>
        <w:rPr>
          <w:rFonts w:hint="default" w:ascii="Times New Roman" w:hAnsi="Times New Roman" w:eastAsia="方正仿宋_GBK" w:cs="Times New Roman"/>
          <w:sz w:val="32"/>
          <w:szCs w:val="32"/>
          <w:highlight w:val="none"/>
          <w:lang w:val="en-US" w:eastAsia="zh-CN"/>
        </w:rPr>
        <w:t>，增加197.89万元；二是创建市级卫生镇，加强对人居环境的治理，城乡社区支出增加382.52万元，卫生健康支出</w:t>
      </w:r>
      <w:r>
        <w:rPr>
          <w:rFonts w:hint="eastAsia" w:ascii="Times New Roman" w:hAnsi="Times New Roman" w:eastAsia="方正仿宋_GBK" w:cs="Times New Roman"/>
          <w:sz w:val="32"/>
          <w:szCs w:val="32"/>
          <w:highlight w:val="none"/>
          <w:lang w:val="en-US" w:eastAsia="zh-CN"/>
        </w:rPr>
        <w:t>增加</w:t>
      </w:r>
      <w:r>
        <w:rPr>
          <w:rFonts w:hint="default" w:ascii="Times New Roman" w:hAnsi="Times New Roman" w:eastAsia="方正仿宋_GBK" w:cs="Times New Roman"/>
          <w:sz w:val="32"/>
          <w:szCs w:val="32"/>
          <w:highlight w:val="none"/>
          <w:lang w:val="en-US" w:eastAsia="zh-CN"/>
        </w:rPr>
        <w:t>83.82万元；三是</w:t>
      </w:r>
      <w:r>
        <w:rPr>
          <w:rFonts w:hint="eastAsia" w:ascii="Times New Roman" w:hAnsi="Times New Roman" w:eastAsia="方正仿宋_GBK"/>
          <w:bCs/>
          <w:sz w:val="32"/>
          <w:szCs w:val="32"/>
          <w:lang w:eastAsia="zh-CN"/>
        </w:rPr>
        <w:t>发展“一镇一主题”，开展第二届油菜花节和高粱节农文旅结合主题活动</w:t>
      </w:r>
      <w:r>
        <w:rPr>
          <w:rFonts w:hint="default" w:ascii="Times New Roman" w:hAnsi="Times New Roman" w:eastAsia="方正仿宋_GBK" w:cs="Times New Roman"/>
          <w:sz w:val="32"/>
          <w:szCs w:val="32"/>
          <w:highlight w:val="none"/>
          <w:lang w:val="en-US" w:eastAsia="zh-CN"/>
        </w:rPr>
        <w:t>，文化旅游体育与传媒支出增加19.09万元。</w:t>
      </w:r>
      <w:r>
        <w:rPr>
          <w:rFonts w:hint="default" w:ascii="Times New Roman" w:hAnsi="Times New Roman" w:eastAsia="方正仿宋_GBK" w:cs="Times New Roman"/>
          <w:sz w:val="32"/>
          <w:szCs w:val="32"/>
          <w:shd w:val="clear" w:color="auto" w:fill="FFFFFF"/>
        </w:rPr>
        <w:t>较年初预算数增加650.04万元，增长25.</w:t>
      </w:r>
      <w:r>
        <w:rPr>
          <w:rFonts w:hint="eastAsia"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rPr>
        <w:t>%。主要原因</w:t>
      </w:r>
      <w:r>
        <w:rPr>
          <w:rFonts w:hint="default" w:ascii="Times New Roman" w:hAnsi="Times New Roman" w:eastAsia="方正仿宋_GBK" w:cs="Times New Roman"/>
          <w:sz w:val="32"/>
          <w:szCs w:val="32"/>
          <w:shd w:val="clear" w:color="auto" w:fill="FFFFFF"/>
          <w:lang w:eastAsia="zh-CN"/>
        </w:rPr>
        <w:t>：一是</w:t>
      </w:r>
      <w:r>
        <w:rPr>
          <w:rFonts w:hint="default" w:ascii="Times New Roman" w:hAnsi="Times New Roman" w:eastAsia="方正仿宋_GBK" w:cs="Times New Roman"/>
          <w:sz w:val="32"/>
          <w:szCs w:val="32"/>
          <w:lang w:val="en-US" w:eastAsia="zh-CN"/>
        </w:rPr>
        <w:t>基础设施建设包含</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四好农村路</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建设项目和乡村振兴泥结石路硬化项目</w:t>
      </w:r>
      <w:r>
        <w:rPr>
          <w:rFonts w:hint="eastAsia" w:ascii="Times New Roman" w:hAnsi="Times New Roman" w:eastAsia="方正仿宋_GBK" w:cs="Times New Roman"/>
          <w:sz w:val="32"/>
          <w:szCs w:val="32"/>
          <w:lang w:val="en-US" w:eastAsia="zh-CN"/>
        </w:rPr>
        <w:t>未</w:t>
      </w:r>
      <w:r>
        <w:rPr>
          <w:rFonts w:hint="default" w:ascii="Times New Roman" w:hAnsi="Times New Roman" w:eastAsia="方正仿宋_GBK" w:cs="Times New Roman"/>
          <w:color w:val="000000"/>
          <w:sz w:val="32"/>
          <w:szCs w:val="32"/>
          <w:lang w:val="en-US" w:eastAsia="zh-CN"/>
        </w:rPr>
        <w:t>计入</w:t>
      </w:r>
      <w:r>
        <w:rPr>
          <w:rFonts w:hint="eastAsia" w:ascii="Times New Roman" w:hAnsi="Times New Roman" w:eastAsia="方正仿宋_GBK" w:cs="Times New Roman"/>
          <w:color w:val="000000"/>
          <w:sz w:val="32"/>
          <w:szCs w:val="32"/>
          <w:lang w:val="en-US" w:eastAsia="zh-CN"/>
        </w:rPr>
        <w:t>年初</w:t>
      </w:r>
      <w:r>
        <w:rPr>
          <w:rFonts w:hint="eastAsia" w:ascii="Times New Roman" w:hAnsi="Times New Roman" w:eastAsia="方正仿宋_GBK" w:cs="Times New Roman"/>
          <w:color w:val="000000"/>
          <w:sz w:val="32"/>
          <w:szCs w:val="32"/>
          <w:highlight w:val="none"/>
          <w:lang w:eastAsia="zh-CN"/>
        </w:rPr>
        <w:t>预算</w:t>
      </w:r>
      <w:r>
        <w:rPr>
          <w:rFonts w:hint="default" w:ascii="Times New Roman" w:hAnsi="Times New Roman" w:eastAsia="方正仿宋_GBK" w:cs="Times New Roman"/>
          <w:sz w:val="32"/>
          <w:szCs w:val="32"/>
          <w:highlight w:val="none"/>
          <w:lang w:val="en-US" w:eastAsia="zh-CN"/>
        </w:rPr>
        <w:t>，增加197.89万元；二是</w:t>
      </w:r>
      <w:r>
        <w:rPr>
          <w:rFonts w:hint="eastAsia" w:ascii="Times New Roman" w:hAnsi="Times New Roman" w:eastAsia="方正仿宋_GBK" w:cs="Times New Roman"/>
          <w:sz w:val="32"/>
          <w:szCs w:val="32"/>
          <w:highlight w:val="none"/>
          <w:lang w:val="en-US" w:eastAsia="zh-CN"/>
        </w:rPr>
        <w:t>拦河埝水库库岸环境安全应急综合治理未计入年初预算数，防汛救灾专项资金未计入年初预算数，</w:t>
      </w:r>
      <w:r>
        <w:rPr>
          <w:rFonts w:hint="default" w:ascii="Times New Roman" w:hAnsi="Times New Roman" w:eastAsia="方正仿宋_GBK" w:cs="Times New Roman"/>
          <w:sz w:val="32"/>
          <w:szCs w:val="32"/>
          <w:highlight w:val="none"/>
          <w:lang w:val="en-US" w:eastAsia="zh-CN"/>
        </w:rPr>
        <w:t>城乡社区支出增加382.52万元。</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pPr>
        <w:pStyle w:val="4"/>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highlight w:val="none"/>
          <w:lang w:val="en-US" w:eastAsia="zh-CN"/>
        </w:rPr>
      </w:pPr>
      <w:r>
        <w:rPr>
          <w:rStyle w:val="6"/>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3202.07</w:t>
      </w:r>
      <w:r>
        <w:rPr>
          <w:rFonts w:hint="default" w:ascii="Times New Roman" w:hAnsi="Times New Roman" w:eastAsia="方正仿宋_GBK" w:cs="Times New Roman"/>
          <w:sz w:val="32"/>
          <w:szCs w:val="32"/>
          <w:shd w:val="clear" w:color="auto" w:fill="FFFFFF"/>
        </w:rPr>
        <w:t>万元，较上年决算数增加708.5万元，增长28.4%。主要原因</w:t>
      </w:r>
      <w:r>
        <w:rPr>
          <w:rFonts w:hint="default" w:ascii="Times New Roman" w:hAnsi="Times New Roman" w:eastAsia="方正仿宋_GBK" w:cs="Times New Roman"/>
          <w:sz w:val="32"/>
          <w:szCs w:val="32"/>
          <w:shd w:val="clear" w:color="auto" w:fill="FFFFFF"/>
          <w:lang w:eastAsia="zh-CN"/>
        </w:rPr>
        <w:t>：一是</w:t>
      </w:r>
      <w:r>
        <w:rPr>
          <w:rFonts w:hint="default" w:ascii="Times New Roman" w:hAnsi="Times New Roman" w:eastAsia="方正仿宋_GBK" w:cs="Times New Roman"/>
          <w:sz w:val="32"/>
          <w:szCs w:val="32"/>
          <w:lang w:val="en-US" w:eastAsia="zh-CN"/>
        </w:rPr>
        <w:t>基础设施建设包含</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四好农村路</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建设项目和乡村振兴泥结石路硬化项目</w:t>
      </w:r>
      <w:r>
        <w:rPr>
          <w:rFonts w:hint="default" w:ascii="Times New Roman" w:hAnsi="Times New Roman" w:eastAsia="方正仿宋_GBK" w:cs="Times New Roman"/>
          <w:color w:val="000000"/>
          <w:sz w:val="32"/>
          <w:szCs w:val="32"/>
          <w:lang w:val="en-US" w:eastAsia="zh-CN"/>
        </w:rPr>
        <w:t>计入</w:t>
      </w:r>
      <w:r>
        <w:rPr>
          <w:rFonts w:hint="default" w:ascii="Times New Roman" w:hAnsi="Times New Roman" w:eastAsia="方正仿宋_GBK" w:cs="Times New Roman"/>
          <w:color w:val="000000"/>
          <w:sz w:val="32"/>
          <w:szCs w:val="32"/>
          <w:highlight w:val="none"/>
          <w:lang w:eastAsia="zh-CN"/>
        </w:rPr>
        <w:t>本级</w:t>
      </w:r>
      <w:r>
        <w:rPr>
          <w:rFonts w:hint="default" w:ascii="Times New Roman" w:hAnsi="Times New Roman" w:eastAsia="方正仿宋_GBK" w:cs="Times New Roman"/>
          <w:color w:val="000000"/>
          <w:sz w:val="32"/>
          <w:szCs w:val="32"/>
          <w:highlight w:val="none"/>
          <w:lang w:val="en-US" w:eastAsia="zh-CN"/>
        </w:rPr>
        <w:t>收入支出决算</w:t>
      </w:r>
      <w:r>
        <w:rPr>
          <w:rFonts w:hint="default" w:ascii="Times New Roman" w:hAnsi="Times New Roman" w:eastAsia="方正仿宋_GBK" w:cs="Times New Roman"/>
          <w:sz w:val="32"/>
          <w:szCs w:val="32"/>
          <w:highlight w:val="none"/>
          <w:lang w:val="en-US" w:eastAsia="zh-CN"/>
        </w:rPr>
        <w:t>，增加197.89万元；二是创建市级卫生镇，加强对人居环境的治理，城乡社区支出增加382.52万元，卫生健康支出</w:t>
      </w:r>
      <w:r>
        <w:rPr>
          <w:rFonts w:hint="eastAsia" w:ascii="Times New Roman" w:hAnsi="Times New Roman" w:eastAsia="方正仿宋_GBK" w:cs="Times New Roman"/>
          <w:sz w:val="32"/>
          <w:szCs w:val="32"/>
          <w:highlight w:val="none"/>
          <w:lang w:val="en-US" w:eastAsia="zh-CN"/>
        </w:rPr>
        <w:t>增加</w:t>
      </w:r>
      <w:r>
        <w:rPr>
          <w:rFonts w:hint="default" w:ascii="Times New Roman" w:hAnsi="Times New Roman" w:eastAsia="方正仿宋_GBK" w:cs="Times New Roman"/>
          <w:sz w:val="32"/>
          <w:szCs w:val="32"/>
          <w:highlight w:val="none"/>
          <w:lang w:val="en-US" w:eastAsia="zh-CN"/>
        </w:rPr>
        <w:t>83.82万元；三是</w:t>
      </w:r>
      <w:r>
        <w:rPr>
          <w:rFonts w:hint="eastAsia" w:ascii="Times New Roman" w:hAnsi="Times New Roman" w:eastAsia="方正仿宋_GBK"/>
          <w:bCs/>
          <w:sz w:val="32"/>
          <w:szCs w:val="32"/>
          <w:lang w:eastAsia="zh-CN"/>
        </w:rPr>
        <w:t>发展“一镇一主题”，开展第二届油菜花节和高粱节农文旅结合主题活动</w:t>
      </w:r>
      <w:r>
        <w:rPr>
          <w:rFonts w:hint="default" w:ascii="Times New Roman" w:hAnsi="Times New Roman" w:eastAsia="方正仿宋_GBK" w:cs="Times New Roman"/>
          <w:sz w:val="32"/>
          <w:szCs w:val="32"/>
          <w:highlight w:val="none"/>
          <w:lang w:val="en-US" w:eastAsia="zh-CN"/>
        </w:rPr>
        <w:t>，文化旅游体育与传媒支出增加19.09万元。</w:t>
      </w:r>
      <w:r>
        <w:rPr>
          <w:rFonts w:hint="default" w:ascii="Times New Roman" w:hAnsi="Times New Roman" w:eastAsia="方正仿宋_GBK" w:cs="Times New Roman"/>
          <w:sz w:val="32"/>
          <w:szCs w:val="32"/>
          <w:shd w:val="clear" w:color="auto" w:fill="FFFFFF"/>
        </w:rPr>
        <w:t>较年初预算数增加650.04万元，增长25.</w:t>
      </w:r>
      <w:r>
        <w:rPr>
          <w:rFonts w:hint="eastAsia"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rPr>
        <w:t>%。主要原因</w:t>
      </w:r>
      <w:r>
        <w:rPr>
          <w:rFonts w:hint="default" w:ascii="Times New Roman" w:hAnsi="Times New Roman" w:eastAsia="方正仿宋_GBK" w:cs="Times New Roman"/>
          <w:sz w:val="32"/>
          <w:szCs w:val="32"/>
          <w:shd w:val="clear" w:color="auto" w:fill="FFFFFF"/>
          <w:lang w:eastAsia="zh-CN"/>
        </w:rPr>
        <w:t>一是</w:t>
      </w:r>
      <w:r>
        <w:rPr>
          <w:rFonts w:hint="default" w:ascii="Times New Roman" w:hAnsi="Times New Roman" w:eastAsia="方正仿宋_GBK" w:cs="Times New Roman"/>
          <w:sz w:val="32"/>
          <w:szCs w:val="32"/>
          <w:lang w:val="en-US" w:eastAsia="zh-CN"/>
        </w:rPr>
        <w:t>基础设施建设包含</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四好农村路</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建设项目和乡村振兴泥结石路硬化项目</w:t>
      </w:r>
      <w:r>
        <w:rPr>
          <w:rFonts w:hint="eastAsia" w:ascii="Times New Roman" w:hAnsi="Times New Roman" w:eastAsia="方正仿宋_GBK" w:cs="Times New Roman"/>
          <w:sz w:val="32"/>
          <w:szCs w:val="32"/>
          <w:lang w:val="en-US" w:eastAsia="zh-CN"/>
        </w:rPr>
        <w:t>未</w:t>
      </w:r>
      <w:r>
        <w:rPr>
          <w:rFonts w:hint="default" w:ascii="Times New Roman" w:hAnsi="Times New Roman" w:eastAsia="方正仿宋_GBK" w:cs="Times New Roman"/>
          <w:color w:val="000000"/>
          <w:sz w:val="32"/>
          <w:szCs w:val="32"/>
          <w:lang w:val="en-US" w:eastAsia="zh-CN"/>
        </w:rPr>
        <w:t>计入</w:t>
      </w:r>
      <w:r>
        <w:rPr>
          <w:rFonts w:hint="eastAsia" w:ascii="Times New Roman" w:hAnsi="Times New Roman" w:eastAsia="方正仿宋_GBK" w:cs="Times New Roman"/>
          <w:color w:val="000000"/>
          <w:sz w:val="32"/>
          <w:szCs w:val="32"/>
          <w:lang w:val="en-US" w:eastAsia="zh-CN"/>
        </w:rPr>
        <w:t>年初</w:t>
      </w:r>
      <w:r>
        <w:rPr>
          <w:rFonts w:hint="eastAsia" w:ascii="Times New Roman" w:hAnsi="Times New Roman" w:eastAsia="方正仿宋_GBK" w:cs="Times New Roman"/>
          <w:color w:val="000000"/>
          <w:sz w:val="32"/>
          <w:szCs w:val="32"/>
          <w:highlight w:val="none"/>
          <w:lang w:eastAsia="zh-CN"/>
        </w:rPr>
        <w:t>预算</w:t>
      </w:r>
      <w:r>
        <w:rPr>
          <w:rFonts w:hint="default" w:ascii="Times New Roman" w:hAnsi="Times New Roman" w:eastAsia="方正仿宋_GBK" w:cs="Times New Roman"/>
          <w:sz w:val="32"/>
          <w:szCs w:val="32"/>
          <w:highlight w:val="none"/>
          <w:lang w:val="en-US" w:eastAsia="zh-CN"/>
        </w:rPr>
        <w:t>，增加197.89万元；二是</w:t>
      </w:r>
      <w:r>
        <w:rPr>
          <w:rFonts w:hint="eastAsia" w:ascii="Times New Roman" w:hAnsi="Times New Roman" w:eastAsia="方正仿宋_GBK" w:cs="Times New Roman"/>
          <w:sz w:val="32"/>
          <w:szCs w:val="32"/>
          <w:highlight w:val="none"/>
          <w:lang w:val="en-US" w:eastAsia="zh-CN"/>
        </w:rPr>
        <w:t>拦河埝水库库岸环境安全应急综合治理未计入年初预算数，防汛救灾专项资金未计入年初预算数，</w:t>
      </w:r>
      <w:r>
        <w:rPr>
          <w:rFonts w:hint="default" w:ascii="Times New Roman" w:hAnsi="Times New Roman" w:eastAsia="方正仿宋_GBK" w:cs="Times New Roman"/>
          <w:sz w:val="32"/>
          <w:szCs w:val="32"/>
          <w:highlight w:val="none"/>
          <w:lang w:val="en-US" w:eastAsia="zh-CN"/>
        </w:rPr>
        <w:t>城乡社区支出增加382.52万元。</w:t>
      </w:r>
    </w:p>
    <w:p>
      <w:pPr>
        <w:pStyle w:val="4"/>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lang w:eastAsia="zh-CN"/>
        </w:rPr>
      </w:pPr>
      <w:r>
        <w:rPr>
          <w:rStyle w:val="6"/>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万元，主要原因</w:t>
      </w:r>
      <w:r>
        <w:rPr>
          <w:rFonts w:hint="default" w:ascii="Times New Roman" w:hAnsi="Times New Roman" w:eastAsia="方正仿宋_GBK" w:cs="Times New Roman"/>
          <w:sz w:val="32"/>
          <w:szCs w:val="32"/>
          <w:shd w:val="clear" w:color="auto" w:fill="FFFFFF"/>
          <w:lang w:eastAsia="zh-CN"/>
        </w:rPr>
        <w:t>是本级财政为零基预算，每年滚动预算。</w:t>
      </w:r>
    </w:p>
    <w:p>
      <w:pPr>
        <w:pStyle w:val="4"/>
        <w:snapToGrid w:val="0"/>
        <w:spacing w:before="0" w:beforeAutospacing="0" w:after="0" w:afterAutospacing="0" w:line="600" w:lineRule="exact"/>
        <w:ind w:firstLine="643" w:firstLineChars="200"/>
        <w:jc w:val="both"/>
        <w:rPr>
          <w:rFonts w:hint="default" w:ascii="Times New Roman" w:hAnsi="Times New Roman" w:eastAsia="方正仿宋_GBK" w:cs="Times New Roman"/>
          <w:color w:val="FF0000"/>
          <w:sz w:val="32"/>
          <w:szCs w:val="32"/>
          <w:highlight w:val="cyan"/>
          <w:shd w:val="clear" w:color="auto" w:fill="FFFFFF"/>
        </w:rPr>
      </w:pPr>
      <w:r>
        <w:rPr>
          <w:rStyle w:val="6"/>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本部门2023年度一般公共预算财政拨款支出主要用于以下几个方面：</w:t>
      </w:r>
    </w:p>
    <w:p>
      <w:pPr>
        <w:pStyle w:val="4"/>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（1）一般公共服务支出</w:t>
      </w:r>
      <w:r>
        <w:rPr>
          <w:rFonts w:hint="default" w:ascii="Times New Roman" w:hAnsi="Times New Roman" w:eastAsia="方正仿宋_GBK" w:cs="Times New Roman"/>
          <w:sz w:val="32"/>
          <w:szCs w:val="32"/>
        </w:rPr>
        <w:t>682.52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21.3</w:t>
      </w:r>
      <w:r>
        <w:rPr>
          <w:rFonts w:hint="default" w:ascii="Times New Roman" w:hAnsi="Times New Roman" w:eastAsia="方正仿宋_GBK" w:cs="Times New Roman"/>
          <w:sz w:val="32"/>
          <w:szCs w:val="32"/>
          <w:shd w:val="clear" w:color="auto" w:fill="FFFFFF"/>
        </w:rPr>
        <w:t>%，较年初预算数增加105.62万元，增长18.3%，主要原因是</w:t>
      </w:r>
      <w:r>
        <w:rPr>
          <w:rFonts w:hint="eastAsia" w:ascii="Times New Roman" w:hAnsi="Times New Roman" w:eastAsia="方正仿宋_GBK" w:cs="Times New Roman"/>
          <w:sz w:val="32"/>
          <w:szCs w:val="32"/>
          <w:shd w:val="clear" w:color="auto" w:fill="FFFFFF"/>
          <w:lang w:eastAsia="zh-CN"/>
        </w:rPr>
        <w:t>新进人员</w:t>
      </w:r>
      <w:r>
        <w:rPr>
          <w:rFonts w:hint="eastAsia" w:ascii="Times New Roman" w:hAnsi="Times New Roman" w:eastAsia="方正仿宋_GBK" w:cs="Times New Roman"/>
          <w:sz w:val="32"/>
          <w:szCs w:val="32"/>
          <w:shd w:val="clear" w:color="auto" w:fill="FFFFFF"/>
          <w:lang w:val="en-US" w:eastAsia="zh-CN"/>
        </w:rPr>
        <w:t>3名，维修机关办公大楼，一般公共服务支出增加。</w:t>
      </w:r>
    </w:p>
    <w:p>
      <w:pPr>
        <w:pStyle w:val="4"/>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）国防支出</w:t>
      </w:r>
      <w:r>
        <w:rPr>
          <w:rFonts w:hint="default" w:ascii="Times New Roman" w:hAnsi="Times New Roman" w:eastAsia="方正仿宋_GBK" w:cs="Times New Roman"/>
          <w:sz w:val="32"/>
          <w:szCs w:val="32"/>
        </w:rPr>
        <w:t>2.08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shd w:val="clear" w:color="auto" w:fill="FFFFFF"/>
        </w:rPr>
        <w:t>%，较年初预算数减少1.92万元，下降48.0%，主要原因是</w:t>
      </w:r>
      <w:r>
        <w:rPr>
          <w:rFonts w:hint="eastAsia" w:ascii="Times New Roman" w:hAnsi="Times New Roman" w:eastAsia="方正仿宋_GBK" w:cs="Times New Roman"/>
          <w:sz w:val="32"/>
          <w:szCs w:val="32"/>
          <w:shd w:val="clear" w:color="auto" w:fill="FFFFFF"/>
          <w:lang w:eastAsia="zh-CN"/>
        </w:rPr>
        <w:t>基层武装民兵建设减少相关民兵拉练。</w:t>
      </w:r>
    </w:p>
    <w:p>
      <w:pPr>
        <w:pStyle w:val="4"/>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）文化旅游体育与传媒支出</w:t>
      </w:r>
      <w:r>
        <w:rPr>
          <w:rFonts w:hint="default" w:ascii="Times New Roman" w:hAnsi="Times New Roman" w:eastAsia="方正仿宋_GBK" w:cs="Times New Roman"/>
          <w:sz w:val="32"/>
          <w:szCs w:val="32"/>
        </w:rPr>
        <w:t>45.27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1.4</w:t>
      </w:r>
      <w:r>
        <w:rPr>
          <w:rFonts w:hint="default" w:ascii="Times New Roman" w:hAnsi="Times New Roman" w:eastAsia="方正仿宋_GBK" w:cs="Times New Roman"/>
          <w:sz w:val="32"/>
          <w:szCs w:val="32"/>
          <w:shd w:val="clear" w:color="auto" w:fill="FFFFFF"/>
        </w:rPr>
        <w:t>%，较年初预算数增加45.27万元，增长100.0%，主要原因</w:t>
      </w:r>
      <w:r>
        <w:rPr>
          <w:rFonts w:hint="eastAsia" w:ascii="Times New Roman" w:hAnsi="Times New Roman" w:eastAsia="方正仿宋_GBK" w:cs="Times New Roman"/>
          <w:sz w:val="32"/>
          <w:szCs w:val="32"/>
          <w:shd w:val="clear" w:color="auto" w:fill="FFFFFF"/>
          <w:lang w:eastAsia="zh-CN"/>
        </w:rPr>
        <w:t>是</w:t>
      </w:r>
      <w:r>
        <w:rPr>
          <w:rFonts w:hint="eastAsia" w:ascii="Times New Roman" w:hAnsi="Times New Roman" w:eastAsia="方正仿宋_GBK"/>
          <w:bCs/>
          <w:sz w:val="32"/>
          <w:szCs w:val="32"/>
          <w:lang w:eastAsia="zh-CN"/>
        </w:rPr>
        <w:t>发展“一镇一主题”，开展第二届油菜花节和高粱节农文旅结合主题活动</w:t>
      </w:r>
      <w:r>
        <w:rPr>
          <w:rFonts w:hint="eastAsia" w:ascii="Times New Roman" w:hAnsi="Times New Roman" w:eastAsia="方正仿宋_GBK" w:cs="Times New Roman"/>
          <w:sz w:val="32"/>
          <w:szCs w:val="32"/>
          <w:shd w:val="clear" w:color="auto" w:fill="FFFFFF"/>
          <w:lang w:val="en-US" w:eastAsia="zh-CN"/>
        </w:rPr>
        <w:t>。</w:t>
      </w:r>
    </w:p>
    <w:p>
      <w:pPr>
        <w:pStyle w:val="4"/>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314.39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9.8</w:t>
      </w:r>
      <w:r>
        <w:rPr>
          <w:rFonts w:hint="default" w:ascii="Times New Roman" w:hAnsi="Times New Roman" w:eastAsia="方正仿宋_GBK" w:cs="Times New Roman"/>
          <w:sz w:val="32"/>
          <w:szCs w:val="32"/>
          <w:shd w:val="clear" w:color="auto" w:fill="FFFFFF"/>
        </w:rPr>
        <w:t>%，较年初预算数增加96.66万元，增长44.</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%，主要原因</w:t>
      </w:r>
      <w:r>
        <w:rPr>
          <w:rFonts w:hint="eastAsia" w:ascii="Times New Roman" w:hAnsi="Times New Roman" w:eastAsia="方正仿宋_GBK" w:cs="Times New Roman"/>
          <w:sz w:val="32"/>
          <w:szCs w:val="32"/>
          <w:shd w:val="clear" w:color="auto" w:fill="FFFFFF"/>
          <w:lang w:eastAsia="zh-CN"/>
        </w:rPr>
        <w:t>是新进事业人员</w:t>
      </w:r>
      <w:r>
        <w:rPr>
          <w:rFonts w:hint="eastAsia" w:ascii="Times New Roman" w:hAnsi="Times New Roman" w:eastAsia="方正仿宋_GBK" w:cs="Times New Roman"/>
          <w:sz w:val="32"/>
          <w:szCs w:val="32"/>
          <w:shd w:val="clear" w:color="auto" w:fill="FFFFFF"/>
          <w:lang w:val="en-US" w:eastAsia="zh-CN"/>
        </w:rPr>
        <w:t>1名，行政人员2名。</w:t>
      </w:r>
    </w:p>
    <w:p>
      <w:pPr>
        <w:pStyle w:val="4"/>
        <w:snapToGrid w:val="0"/>
        <w:spacing w:before="0" w:beforeAutospacing="0" w:after="0" w:afterAutospacing="0" w:line="600" w:lineRule="exact"/>
        <w:ind w:firstLine="640" w:firstLineChars="200"/>
        <w:jc w:val="both"/>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57.59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1.8</w:t>
      </w:r>
      <w:r>
        <w:rPr>
          <w:rFonts w:hint="default" w:ascii="Times New Roman" w:hAnsi="Times New Roman" w:eastAsia="方正仿宋_GBK" w:cs="Times New Roman"/>
          <w:sz w:val="32"/>
          <w:szCs w:val="32"/>
          <w:shd w:val="clear" w:color="auto" w:fill="FFFFFF"/>
        </w:rPr>
        <w:t>%，较年初预算数减少38.4万元，下降40.0%，主要原因</w:t>
      </w:r>
      <w:r>
        <w:rPr>
          <w:rFonts w:hint="eastAsia" w:ascii="Times New Roman" w:hAnsi="Times New Roman" w:eastAsia="方正仿宋_GBK" w:cs="Times New Roman"/>
          <w:sz w:val="32"/>
          <w:szCs w:val="32"/>
          <w:shd w:val="clear" w:color="auto" w:fill="FFFFFF"/>
          <w:lang w:eastAsia="zh-CN"/>
        </w:rPr>
        <w:t>取消疫情防控，减少相应支出。</w:t>
      </w:r>
    </w:p>
    <w:p>
      <w:pPr>
        <w:pStyle w:val="4"/>
        <w:snapToGrid w:val="0"/>
        <w:spacing w:before="0" w:beforeAutospacing="0" w:after="0" w:afterAutospacing="0" w:line="600" w:lineRule="exact"/>
        <w:ind w:firstLine="640" w:firstLineChars="200"/>
        <w:jc w:val="both"/>
        <w:rPr>
          <w:rFonts w:hint="eastAsia"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6</w:t>
      </w:r>
      <w:r>
        <w:rPr>
          <w:rFonts w:hint="default" w:ascii="Times New Roman" w:hAnsi="Times New Roman" w:eastAsia="方正仿宋_GBK" w:cs="Times New Roman"/>
          <w:sz w:val="32"/>
          <w:szCs w:val="32"/>
          <w:shd w:val="clear" w:color="auto" w:fill="FFFFFF"/>
        </w:rPr>
        <w:t>）节能环保支出</w:t>
      </w:r>
      <w:r>
        <w:rPr>
          <w:rFonts w:hint="default" w:ascii="Times New Roman" w:hAnsi="Times New Roman" w:eastAsia="方正仿宋_GBK" w:cs="Times New Roman"/>
          <w:sz w:val="32"/>
          <w:szCs w:val="32"/>
        </w:rPr>
        <w:t>117.09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shd w:val="clear" w:color="auto" w:fill="FFFFFF"/>
        </w:rPr>
        <w:t>%，较年初预算数增加35.09万元，增长42.</w:t>
      </w:r>
      <w:r>
        <w:rPr>
          <w:rFonts w:hint="eastAsia" w:ascii="Times New Roman" w:hAnsi="Times New Roman" w:eastAsia="方正仿宋_GBK" w:cs="Times New Roman"/>
          <w:sz w:val="32"/>
          <w:szCs w:val="32"/>
          <w:shd w:val="clear" w:color="auto" w:fill="FFFFFF"/>
          <w:lang w:val="en-US" w:eastAsia="zh-CN"/>
        </w:rPr>
        <w:t>8</w:t>
      </w:r>
      <w:r>
        <w:rPr>
          <w:rFonts w:hint="default" w:ascii="Times New Roman" w:hAnsi="Times New Roman" w:eastAsia="方正仿宋_GBK" w:cs="Times New Roman"/>
          <w:sz w:val="32"/>
          <w:szCs w:val="32"/>
          <w:shd w:val="clear" w:color="auto" w:fill="FFFFFF"/>
        </w:rPr>
        <w:t>%，主要原因是</w:t>
      </w:r>
      <w:r>
        <w:rPr>
          <w:rFonts w:hint="eastAsia" w:ascii="Times New Roman" w:hAnsi="Times New Roman" w:eastAsia="方正仿宋_GBK" w:cs="Times New Roman"/>
          <w:sz w:val="32"/>
          <w:szCs w:val="32"/>
          <w:shd w:val="clear" w:color="auto" w:fill="FFFFFF"/>
          <w:lang w:eastAsia="zh-CN"/>
        </w:rPr>
        <w:t>拦河埝水库库岸环境安全应急综合治理</w:t>
      </w:r>
      <w:r>
        <w:rPr>
          <w:rFonts w:hint="eastAsia" w:ascii="Times New Roman" w:hAnsi="Times New Roman" w:eastAsia="方正仿宋_GBK"/>
          <w:bCs/>
          <w:sz w:val="32"/>
          <w:szCs w:val="32"/>
          <w:lang w:val="en-US" w:eastAsia="zh-CN"/>
        </w:rPr>
        <w:t>工程为专项资金，年初未纳入预算数。</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7</w:t>
      </w:r>
      <w:r>
        <w:rPr>
          <w:rFonts w:hint="default" w:ascii="Times New Roman" w:hAnsi="Times New Roman" w:eastAsia="方正仿宋_GBK" w:cs="Times New Roman"/>
          <w:sz w:val="32"/>
          <w:szCs w:val="32"/>
          <w:shd w:val="clear" w:color="auto" w:fill="FFFFFF"/>
        </w:rPr>
        <w:t>）城乡社区支出</w:t>
      </w:r>
      <w:r>
        <w:rPr>
          <w:rFonts w:hint="default" w:ascii="Times New Roman" w:hAnsi="Times New Roman" w:eastAsia="方正仿宋_GBK" w:cs="Times New Roman"/>
          <w:sz w:val="32"/>
          <w:szCs w:val="32"/>
        </w:rPr>
        <w:t>525.86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16.4</w:t>
      </w:r>
      <w:r>
        <w:rPr>
          <w:rFonts w:hint="default" w:ascii="Times New Roman" w:hAnsi="Times New Roman" w:eastAsia="方正仿宋_GBK" w:cs="Times New Roman"/>
          <w:sz w:val="32"/>
          <w:szCs w:val="32"/>
          <w:shd w:val="clear" w:color="auto" w:fill="FFFFFF"/>
        </w:rPr>
        <w:t>%，较年初预算数增加414.86万元，增长373.</w:t>
      </w:r>
      <w:r>
        <w:rPr>
          <w:rFonts w:hint="eastAsia" w:ascii="Times New Roman" w:hAnsi="Times New Roman" w:eastAsia="方正仿宋_GBK" w:cs="Times New Roman"/>
          <w:sz w:val="32"/>
          <w:szCs w:val="32"/>
          <w:shd w:val="clear" w:color="auto" w:fill="FFFFFF"/>
          <w:lang w:val="en-US" w:eastAsia="zh-CN"/>
        </w:rPr>
        <w:t>8</w:t>
      </w:r>
      <w:r>
        <w:rPr>
          <w:rFonts w:hint="default" w:ascii="Times New Roman" w:hAnsi="Times New Roman" w:eastAsia="方正仿宋_GBK" w:cs="Times New Roman"/>
          <w:sz w:val="32"/>
          <w:szCs w:val="32"/>
          <w:shd w:val="clear" w:color="auto" w:fill="FFFFFF"/>
        </w:rPr>
        <w:t>%，主要原因</w:t>
      </w:r>
      <w:r>
        <w:rPr>
          <w:rFonts w:hint="default" w:ascii="Times New Roman" w:hAnsi="Times New Roman" w:eastAsia="方正仿宋_GBK" w:cs="Times New Roman"/>
          <w:sz w:val="32"/>
          <w:szCs w:val="32"/>
          <w:highlight w:val="none"/>
          <w:lang w:val="en-US" w:eastAsia="zh-CN"/>
        </w:rPr>
        <w:t>创建市级卫生镇，</w:t>
      </w:r>
      <w:r>
        <w:rPr>
          <w:rFonts w:hint="eastAsia" w:ascii="Times New Roman" w:hAnsi="Times New Roman" w:eastAsia="方正仿宋_GBK" w:cs="Times New Roman"/>
          <w:sz w:val="32"/>
          <w:szCs w:val="32"/>
          <w:highlight w:val="none"/>
          <w:lang w:val="en-US" w:eastAsia="zh-CN"/>
        </w:rPr>
        <w:t>加大</w:t>
      </w:r>
      <w:r>
        <w:rPr>
          <w:rFonts w:hint="default" w:ascii="Times New Roman" w:hAnsi="Times New Roman" w:eastAsia="方正仿宋_GBK" w:cs="Times New Roman"/>
          <w:sz w:val="32"/>
          <w:szCs w:val="32"/>
          <w:highlight w:val="none"/>
          <w:lang w:val="en-US" w:eastAsia="zh-CN"/>
        </w:rPr>
        <w:t>对人居环境的治理</w:t>
      </w:r>
      <w:r>
        <w:rPr>
          <w:rFonts w:hint="eastAsia" w:ascii="Times New Roman" w:hAnsi="Times New Roman" w:eastAsia="方正仿宋_GBK" w:cs="Times New Roman"/>
          <w:sz w:val="32"/>
          <w:szCs w:val="32"/>
          <w:highlight w:val="none"/>
          <w:lang w:val="en-US" w:eastAsia="zh-CN"/>
        </w:rPr>
        <w:t>。</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Times New Roman" w:eastAsia="方正仿宋_GBK"/>
          <w:bCs/>
          <w:sz w:val="32"/>
          <w:szCs w:val="32"/>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8</w:t>
      </w:r>
      <w:r>
        <w:rPr>
          <w:rFonts w:hint="default" w:ascii="Times New Roman" w:hAnsi="Times New Roman" w:eastAsia="方正仿宋_GBK" w:cs="Times New Roman"/>
          <w:sz w:val="32"/>
          <w:szCs w:val="32"/>
          <w:shd w:val="clear" w:color="auto" w:fill="FFFFFF"/>
        </w:rPr>
        <w:t>）农林水支出</w:t>
      </w:r>
      <w:r>
        <w:rPr>
          <w:rFonts w:hint="default" w:ascii="Times New Roman" w:hAnsi="Times New Roman" w:eastAsia="方正仿宋_GBK" w:cs="Times New Roman"/>
          <w:sz w:val="32"/>
          <w:szCs w:val="32"/>
        </w:rPr>
        <w:t>1072.66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33.5</w:t>
      </w:r>
      <w:r>
        <w:rPr>
          <w:rFonts w:hint="default" w:ascii="Times New Roman" w:hAnsi="Times New Roman" w:eastAsia="方正仿宋_GBK" w:cs="Times New Roman"/>
          <w:sz w:val="32"/>
          <w:szCs w:val="32"/>
          <w:shd w:val="clear" w:color="auto" w:fill="FFFFFF"/>
        </w:rPr>
        <w:t>%，较年初预算数减少213.71万元，下降16.6%，主要原因</w:t>
      </w:r>
      <w:r>
        <w:rPr>
          <w:rFonts w:hint="eastAsia" w:ascii="Times New Roman" w:hAnsi="Times New Roman" w:eastAsia="方正仿宋_GBK" w:cs="Times New Roman"/>
          <w:sz w:val="32"/>
          <w:szCs w:val="32"/>
          <w:shd w:val="clear" w:color="auto" w:fill="FFFFFF"/>
          <w:lang w:eastAsia="zh-CN"/>
        </w:rPr>
        <w:t>是</w:t>
      </w:r>
      <w:r>
        <w:rPr>
          <w:rFonts w:hint="eastAsia" w:ascii="Times New Roman" w:hAnsi="Times New Roman" w:eastAsia="方正仿宋_GBK"/>
          <w:bCs/>
          <w:sz w:val="32"/>
          <w:szCs w:val="32"/>
          <w:lang w:eastAsia="zh-CN"/>
        </w:rPr>
        <w:t>农林水事业人员支出减少</w:t>
      </w:r>
      <w:r>
        <w:rPr>
          <w:rFonts w:ascii="Times New Roman" w:hAnsi="Times New Roman" w:eastAsia="方正仿宋_GBK"/>
          <w:bCs/>
          <w:sz w:val="32"/>
          <w:szCs w:val="32"/>
        </w:rPr>
        <w:t>。</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9</w:t>
      </w:r>
      <w:r>
        <w:rPr>
          <w:rFonts w:hint="default" w:ascii="Times New Roman" w:hAnsi="Times New Roman" w:eastAsia="方正仿宋_GBK" w:cs="Times New Roman"/>
          <w:sz w:val="32"/>
          <w:szCs w:val="32"/>
          <w:shd w:val="clear" w:color="auto" w:fill="FFFFFF"/>
        </w:rPr>
        <w:t>）交通运输支出</w:t>
      </w:r>
      <w:r>
        <w:rPr>
          <w:rFonts w:hint="default" w:ascii="Times New Roman" w:hAnsi="Times New Roman" w:eastAsia="方正仿宋_GBK" w:cs="Times New Roman"/>
          <w:sz w:val="32"/>
          <w:szCs w:val="32"/>
        </w:rPr>
        <w:t>232.75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7.</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shd w:val="clear" w:color="auto" w:fill="FFFFFF"/>
        </w:rPr>
        <w:t>%，较年初预算数增加184.75万元，增长384.9%，主要原因</w:t>
      </w:r>
      <w:r>
        <w:rPr>
          <w:rFonts w:hint="eastAsia" w:ascii="Times New Roman" w:hAnsi="Times New Roman" w:eastAsia="方正仿宋_GBK" w:cs="Times New Roman"/>
          <w:sz w:val="32"/>
          <w:szCs w:val="32"/>
          <w:shd w:val="clear" w:color="auto" w:fill="FFFFFF"/>
          <w:lang w:eastAsia="zh-CN"/>
        </w:rPr>
        <w:t>是</w:t>
      </w:r>
      <w:r>
        <w:rPr>
          <w:rFonts w:hint="default" w:ascii="Times New Roman" w:hAnsi="Times New Roman" w:eastAsia="方正仿宋_GBK" w:cs="Times New Roman"/>
          <w:sz w:val="32"/>
          <w:szCs w:val="32"/>
          <w:lang w:val="en-US" w:eastAsia="zh-CN"/>
        </w:rPr>
        <w:t>基础设施建设包含</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四好农村路</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建设项目和乡村振兴泥结石路硬化项目</w:t>
      </w:r>
      <w:r>
        <w:rPr>
          <w:rFonts w:hint="eastAsia" w:ascii="Times New Roman" w:hAnsi="Times New Roman" w:eastAsia="方正仿宋_GBK" w:cs="Times New Roman"/>
          <w:sz w:val="32"/>
          <w:szCs w:val="32"/>
          <w:lang w:val="en-US" w:eastAsia="zh-CN"/>
        </w:rPr>
        <w:t>年初未纳入预算。</w:t>
      </w:r>
    </w:p>
    <w:p>
      <w:pPr>
        <w:keepNext w:val="0"/>
        <w:keepLines w:val="0"/>
        <w:pageBreakBefore w:val="0"/>
        <w:kinsoku/>
        <w:wordWrap/>
        <w:overflowPunct/>
        <w:topLinePunct w:val="0"/>
        <w:autoSpaceDE/>
        <w:autoSpaceDN/>
        <w:bidi w:val="0"/>
        <w:adjustRightInd/>
        <w:spacing w:beforeAutospacing="0" w:afterAutospacing="0"/>
        <w:ind w:firstLine="640" w:firstLineChars="200"/>
        <w:textAlignment w:val="auto"/>
        <w:rPr>
          <w:rFonts w:hint="eastAsia" w:ascii="Times New Roman" w:hAnsi="Times New Roman" w:eastAsia="方正仿宋_GBK" w:cs="Times New Roman"/>
          <w:color w:val="FF0000"/>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（1</w:t>
      </w:r>
      <w:r>
        <w:rPr>
          <w:rFonts w:hint="eastAsia" w:ascii="Times New Roman" w:hAnsi="Times New Roman" w:eastAsia="方正仿宋_GBK" w:cs="Times New Roman"/>
          <w:sz w:val="32"/>
          <w:szCs w:val="32"/>
          <w:shd w:val="clear" w:color="auto" w:fill="FFFFFF"/>
          <w:lang w:val="en-US" w:eastAsia="zh-CN"/>
        </w:rPr>
        <w:t>0</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住房保障支出74.05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2.3</w:t>
      </w:r>
      <w:r>
        <w:rPr>
          <w:rFonts w:hint="default" w:ascii="Times New Roman" w:hAnsi="Times New Roman" w:eastAsia="方正仿宋_GBK" w:cs="Times New Roman"/>
          <w:sz w:val="32"/>
          <w:szCs w:val="32"/>
          <w:shd w:val="clear" w:color="auto" w:fill="FFFFFF"/>
        </w:rPr>
        <w:t>%，较年初预算数无增减</w:t>
      </w:r>
      <w:r>
        <w:rPr>
          <w:rFonts w:hint="eastAsia" w:ascii="Times New Roman" w:hAnsi="Times New Roman" w:eastAsia="方正仿宋_GBK" w:cs="Times New Roman"/>
          <w:sz w:val="32"/>
          <w:szCs w:val="32"/>
          <w:shd w:val="clear" w:color="auto" w:fill="FFFFFF"/>
          <w:lang w:eastAsia="zh-CN"/>
        </w:rPr>
        <w:t>。</w:t>
      </w:r>
    </w:p>
    <w:p>
      <w:pPr>
        <w:keepNext w:val="0"/>
        <w:keepLines w:val="0"/>
        <w:pageBreakBefore w:val="0"/>
        <w:kinsoku/>
        <w:wordWrap/>
        <w:overflowPunct/>
        <w:topLinePunct w:val="0"/>
        <w:autoSpaceDE/>
        <w:autoSpaceDN/>
        <w:bidi w:val="0"/>
        <w:adjustRightInd/>
        <w:spacing w:beforeAutospacing="0" w:afterAutospacing="0"/>
        <w:ind w:firstLine="640" w:firstLineChars="200"/>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11</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灾害防治及应急管理支出77.81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2.4</w:t>
      </w:r>
      <w:r>
        <w:rPr>
          <w:rFonts w:hint="default" w:ascii="Times New Roman" w:hAnsi="Times New Roman" w:eastAsia="方正仿宋_GBK" w:cs="Times New Roman"/>
          <w:sz w:val="32"/>
          <w:szCs w:val="32"/>
          <w:shd w:val="clear" w:color="auto" w:fill="FFFFFF"/>
        </w:rPr>
        <w:t>%，较年初预算数增加21.81万元，增长3</w:t>
      </w:r>
      <w:r>
        <w:rPr>
          <w:rFonts w:hint="eastAsia" w:ascii="Times New Roman" w:hAnsi="Times New Roman" w:eastAsia="方正仿宋_GBK" w:cs="Times New Roman"/>
          <w:sz w:val="32"/>
          <w:szCs w:val="32"/>
          <w:shd w:val="clear" w:color="auto" w:fill="FFFFFF"/>
          <w:lang w:val="en-US" w:eastAsia="zh-CN"/>
        </w:rPr>
        <w:t>9.0</w:t>
      </w:r>
      <w:r>
        <w:rPr>
          <w:rFonts w:hint="default" w:ascii="Times New Roman" w:hAnsi="Times New Roman" w:eastAsia="方正仿宋_GBK" w:cs="Times New Roman"/>
          <w:sz w:val="32"/>
          <w:szCs w:val="32"/>
          <w:shd w:val="clear" w:color="auto" w:fill="FFFFFF"/>
        </w:rPr>
        <w:t>%，主要原因</w:t>
      </w:r>
      <w:r>
        <w:rPr>
          <w:rFonts w:hint="eastAsia" w:ascii="Times New Roman" w:hAnsi="Times New Roman" w:eastAsia="方正仿宋_GBK" w:cs="Times New Roman"/>
          <w:sz w:val="32"/>
          <w:szCs w:val="32"/>
          <w:shd w:val="clear" w:color="auto" w:fill="FFFFFF"/>
          <w:lang w:eastAsia="zh-CN"/>
        </w:rPr>
        <w:t>是防汛救灾专项资金年初未纳入预算。</w:t>
      </w:r>
    </w:p>
    <w:p>
      <w:pPr>
        <w:pStyle w:val="8"/>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pPr>
        <w:pStyle w:val="4"/>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2023年度一般公共财政拨款基本支出</w:t>
      </w:r>
      <w:r>
        <w:rPr>
          <w:rFonts w:hint="default" w:ascii="Times New Roman" w:hAnsi="Times New Roman" w:eastAsia="方正仿宋_GBK" w:cs="Times New Roman"/>
          <w:sz w:val="32"/>
          <w:szCs w:val="32"/>
        </w:rPr>
        <w:t>1559.22</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1252.38</w:t>
      </w:r>
      <w:r>
        <w:rPr>
          <w:rFonts w:hint="default" w:ascii="Times New Roman" w:hAnsi="Times New Roman" w:eastAsia="方正仿宋_GBK" w:cs="Times New Roman"/>
          <w:sz w:val="32"/>
          <w:szCs w:val="32"/>
          <w:shd w:val="clear" w:color="auto" w:fill="FFFFFF"/>
        </w:rPr>
        <w:t>万元，较上年决算数增加60.64万元，增长5.</w:t>
      </w:r>
      <w:r>
        <w:rPr>
          <w:rFonts w:hint="eastAsia"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%，主要原因是</w:t>
      </w:r>
      <w:r>
        <w:rPr>
          <w:rFonts w:hint="eastAsia" w:ascii="Times New Roman" w:hAnsi="Times New Roman" w:eastAsia="方正仿宋_GBK" w:cs="Times New Roman"/>
          <w:sz w:val="32"/>
          <w:szCs w:val="32"/>
          <w:shd w:val="clear" w:color="auto" w:fill="FFFFFF"/>
          <w:lang w:eastAsia="zh-CN"/>
        </w:rPr>
        <w:t>新进事业人员</w:t>
      </w:r>
      <w:r>
        <w:rPr>
          <w:rFonts w:hint="eastAsia" w:ascii="Times New Roman" w:hAnsi="Times New Roman" w:eastAsia="方正仿宋_GBK" w:cs="Times New Roman"/>
          <w:sz w:val="32"/>
          <w:szCs w:val="32"/>
          <w:shd w:val="clear" w:color="auto" w:fill="FFFFFF"/>
          <w:lang w:val="en-US" w:eastAsia="zh-CN"/>
        </w:rPr>
        <w:t>1名，行政人员2名。</w:t>
      </w:r>
      <w:r>
        <w:rPr>
          <w:rFonts w:hint="default" w:ascii="Times New Roman" w:hAnsi="Times New Roman" w:eastAsia="方正仿宋_GBK" w:cs="Times New Roman"/>
          <w:sz w:val="32"/>
          <w:szCs w:val="32"/>
          <w:shd w:val="clear" w:color="auto" w:fill="FFFFFF"/>
        </w:rPr>
        <w:t>人员经费用途主要</w:t>
      </w:r>
      <w:r>
        <w:rPr>
          <w:rFonts w:hint="eastAsia" w:ascii="Times New Roman" w:hAnsi="Times New Roman" w:eastAsia="方正仿宋_GBK" w:cs="Times New Roman"/>
          <w:sz w:val="32"/>
          <w:szCs w:val="32"/>
          <w:shd w:val="clear" w:color="auto" w:fill="FFFFFF"/>
          <w:lang w:eastAsia="zh-CN"/>
        </w:rPr>
        <w:t>包括</w:t>
      </w:r>
      <w:r>
        <w:rPr>
          <w:rFonts w:hint="eastAsia" w:ascii="方正仿宋_GBK" w:hAnsi="方正仿宋_GBK" w:eastAsia="方正仿宋_GBK" w:cs="方正仿宋_GBK"/>
          <w:sz w:val="32"/>
          <w:szCs w:val="32"/>
          <w:lang w:val="en-US" w:eastAsia="zh-CN"/>
        </w:rPr>
        <w:t>在职人员工资福利及社会保险缴费</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306.85</w:t>
      </w:r>
      <w:r>
        <w:rPr>
          <w:rFonts w:hint="default" w:ascii="Times New Roman" w:hAnsi="Times New Roman" w:eastAsia="方正仿宋_GBK" w:cs="Times New Roman"/>
          <w:sz w:val="32"/>
          <w:szCs w:val="32"/>
          <w:shd w:val="clear" w:color="auto" w:fill="FFFFFF"/>
        </w:rPr>
        <w:t>万元，较上年决算数减少75.98万元，下降19.</w:t>
      </w:r>
      <w:r>
        <w:rPr>
          <w:rFonts w:hint="eastAsia" w:ascii="Times New Roman" w:hAnsi="Times New Roman" w:eastAsia="方正仿宋_GBK" w:cs="Times New Roman"/>
          <w:sz w:val="32"/>
          <w:szCs w:val="32"/>
          <w:shd w:val="clear" w:color="auto" w:fill="FFFFFF"/>
          <w:lang w:val="en-US" w:eastAsia="zh-CN"/>
        </w:rPr>
        <w:t>9</w:t>
      </w:r>
      <w:r>
        <w:rPr>
          <w:rFonts w:hint="default" w:ascii="Times New Roman" w:hAnsi="Times New Roman" w:eastAsia="方正仿宋_GBK" w:cs="Times New Roman"/>
          <w:sz w:val="32"/>
          <w:szCs w:val="32"/>
          <w:shd w:val="clear" w:color="auto" w:fill="FFFFFF"/>
        </w:rPr>
        <w:t>%，主要原因</w:t>
      </w:r>
      <w:r>
        <w:rPr>
          <w:rFonts w:hint="eastAsia" w:ascii="Times New Roman" w:hAnsi="Times New Roman" w:eastAsia="方正仿宋_GBK" w:cs="Times New Roman"/>
          <w:sz w:val="32"/>
          <w:szCs w:val="32"/>
          <w:shd w:val="clear" w:color="auto" w:fill="FFFFFF"/>
          <w:lang w:eastAsia="zh-CN"/>
        </w:rPr>
        <w:t>是严格落实中央八项规定，厉行节约。</w:t>
      </w:r>
      <w:r>
        <w:rPr>
          <w:rFonts w:hint="default" w:ascii="Times New Roman" w:hAnsi="Times New Roman" w:eastAsia="方正仿宋_GBK" w:cs="Times New Roman"/>
          <w:sz w:val="32"/>
          <w:szCs w:val="32"/>
          <w:shd w:val="clear" w:color="auto" w:fill="FFFFFF"/>
        </w:rPr>
        <w:t>公用经费用途主要包括</w:t>
      </w:r>
      <w:r>
        <w:rPr>
          <w:rFonts w:hint="eastAsia" w:ascii="方正仿宋_GBK" w:hAnsi="方正仿宋_GBK" w:eastAsia="方正仿宋_GBK" w:cs="方正仿宋_GBK"/>
          <w:sz w:val="32"/>
          <w:szCs w:val="32"/>
          <w:lang w:val="en-US" w:eastAsia="zh-CN"/>
        </w:rPr>
        <w:t>办公费、邮电费、水电费、维修维护费、公务用车运行维护费、差旅费、交通费</w:t>
      </w:r>
      <w:r>
        <w:rPr>
          <w:rFonts w:ascii="Times New Roman" w:hAnsi="Times New Roman" w:eastAsia="方正仿宋_GBK"/>
          <w:bCs/>
          <w:sz w:val="32"/>
          <w:szCs w:val="32"/>
        </w:rPr>
        <w:t>。</w:t>
      </w:r>
    </w:p>
    <w:p>
      <w:pPr>
        <w:pStyle w:val="8"/>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pPr>
        <w:pStyle w:val="4"/>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本部门2023年度无政府性基金预算财政拨款收支。</w:t>
      </w:r>
    </w:p>
    <w:p>
      <w:pPr>
        <w:pStyle w:val="8"/>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pPr>
        <w:pStyle w:val="4"/>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本部门2023年度无国有资本经营预算财政拨款支出。</w:t>
      </w:r>
    </w:p>
    <w:p>
      <w:pPr>
        <w:pStyle w:val="4"/>
        <w:shd w:val="clear" w:color="auto" w:fill="FFFFFF"/>
        <w:rPr>
          <w:rStyle w:val="6"/>
          <w:rFonts w:hint="default" w:ascii="Times New Roman" w:hAnsi="Times New Roman" w:eastAsia="黑体" w:cs="Times New Roman"/>
          <w:sz w:val="32"/>
          <w:szCs w:val="32"/>
          <w:shd w:val="clear" w:color="auto" w:fill="FFFFFF"/>
        </w:rPr>
      </w:pPr>
      <w:r>
        <w:rPr>
          <w:rStyle w:val="6"/>
          <w:rFonts w:hint="default" w:ascii="Times New Roman" w:hAnsi="Times New Roman" w:eastAsia="黑体" w:cs="Times New Roman"/>
          <w:sz w:val="32"/>
          <w:szCs w:val="32"/>
          <w:shd w:val="clear" w:color="auto" w:fill="FFFFFF"/>
        </w:rPr>
        <w:t>三、“三公”经费情况说明</w:t>
      </w:r>
    </w:p>
    <w:p>
      <w:pPr>
        <w:pStyle w:val="8"/>
        <w:autoSpaceDE w:val="0"/>
        <w:ind w:left="0" w:leftChars="0" w:firstLine="321" w:firstLineChars="100"/>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 xml:space="preserve"> （一）“三公”经费支出总体情况说明</w:t>
      </w:r>
    </w:p>
    <w:p>
      <w:pPr>
        <w:pStyle w:val="4"/>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3.64</w:t>
      </w:r>
      <w:r>
        <w:rPr>
          <w:rFonts w:hint="default" w:ascii="Times New Roman" w:hAnsi="Times New Roman" w:eastAsia="方正仿宋_GBK" w:cs="Times New Roman"/>
          <w:sz w:val="32"/>
          <w:szCs w:val="32"/>
          <w:shd w:val="clear" w:color="auto" w:fill="FFFFFF"/>
        </w:rPr>
        <w:t>万元，较年初预算数减少12.56万元，下降77.5%，主要原因是</w:t>
      </w:r>
      <w:r>
        <w:rPr>
          <w:rFonts w:hint="eastAsia" w:ascii="方正仿宋_GBK" w:hAnsi="方正仿宋_GBK" w:eastAsia="方正仿宋_GBK" w:cs="方正仿宋_GBK"/>
          <w:sz w:val="32"/>
          <w:szCs w:val="32"/>
          <w:lang w:val="en-US" w:eastAsia="zh-CN"/>
        </w:rPr>
        <w:t>落实中央八项规定精神，厉行节约</w:t>
      </w:r>
      <w:r>
        <w:rPr>
          <w:rFonts w:ascii="Times New Roman" w:hAnsi="Times New Roman" w:eastAsia="方正仿宋_GBK"/>
          <w:bCs/>
          <w:sz w:val="32"/>
          <w:szCs w:val="32"/>
        </w:rPr>
        <w:t>。</w:t>
      </w:r>
      <w:r>
        <w:rPr>
          <w:rFonts w:hint="default" w:ascii="Times New Roman" w:hAnsi="Times New Roman" w:eastAsia="方正仿宋_GBK" w:cs="Times New Roman"/>
          <w:sz w:val="32"/>
          <w:szCs w:val="32"/>
          <w:shd w:val="clear" w:color="auto" w:fill="FFFFFF"/>
        </w:rPr>
        <w:t>较上年支出数减少0.07万元，下降1.</w:t>
      </w:r>
      <w:r>
        <w:rPr>
          <w:rFonts w:hint="eastAsia" w:ascii="Times New Roman" w:hAnsi="Times New Roman" w:eastAsia="方正仿宋_GBK" w:cs="Times New Roman"/>
          <w:sz w:val="32"/>
          <w:szCs w:val="32"/>
          <w:shd w:val="clear" w:color="auto" w:fill="FFFFFF"/>
          <w:lang w:val="en-US" w:eastAsia="zh-CN"/>
        </w:rPr>
        <w:t>9</w:t>
      </w:r>
      <w:r>
        <w:rPr>
          <w:rFonts w:hint="default" w:ascii="Times New Roman" w:hAnsi="Times New Roman" w:eastAsia="方正仿宋_GBK" w:cs="Times New Roman"/>
          <w:sz w:val="32"/>
          <w:szCs w:val="32"/>
          <w:shd w:val="clear" w:color="auto" w:fill="FFFFFF"/>
        </w:rPr>
        <w:t>%，主要原因是</w:t>
      </w:r>
      <w:r>
        <w:rPr>
          <w:rFonts w:hint="eastAsia" w:ascii="Times New Roman" w:hAnsi="Times New Roman" w:eastAsia="方正仿宋_GBK"/>
          <w:bCs/>
          <w:color w:val="auto"/>
          <w:sz w:val="32"/>
          <w:szCs w:val="32"/>
          <w:highlight w:val="none"/>
          <w:lang w:eastAsia="zh-CN"/>
        </w:rPr>
        <w:t>森林防火巡逻及应急保障用车减少，公车维修养护费用减少。</w:t>
      </w:r>
    </w:p>
    <w:p>
      <w:pPr>
        <w:pStyle w:val="8"/>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（二）“三公”经费分项支出情况</w:t>
      </w:r>
    </w:p>
    <w:p>
      <w:pPr>
        <w:pStyle w:val="4"/>
        <w:snapToGrid w:val="0"/>
        <w:spacing w:before="0" w:beforeAutospacing="0" w:after="0" w:afterAutospacing="0" w:line="600" w:lineRule="exact"/>
        <w:ind w:firstLine="640" w:firstLineChars="200"/>
        <w:jc w:val="both"/>
        <w:rPr>
          <w:rFonts w:hint="eastAsia"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2023年度本单位因公出国（境）费用0万元，费用支出较年初预算数增加0万元，增长0.0%。较上年支出数增加0万元，增长0.0%。2023年度我单位无因公出国（境）支出，与上年度决算数持平。</w:t>
      </w:r>
      <w:r>
        <w:rPr>
          <w:rFonts w:hint="eastAsia" w:ascii="Times New Roman" w:hAnsi="Times New Roman" w:eastAsia="方正仿宋_GBK" w:cs="Times New Roman"/>
          <w:sz w:val="32"/>
          <w:szCs w:val="32"/>
          <w:shd w:val="clear" w:color="auto" w:fill="FFFFFF"/>
        </w:rPr>
        <w:br w:type="textWrapping"/>
      </w:r>
      <w:r>
        <w:rPr>
          <w:rFonts w:hint="eastAsia" w:ascii="Times New Roman" w:hAnsi="Times New Roman" w:eastAsia="方正仿宋_GBK" w:cs="Times New Roman"/>
          <w:sz w:val="32"/>
          <w:szCs w:val="32"/>
          <w:shd w:val="clear" w:color="auto" w:fill="FFFFFF"/>
          <w:lang w:val="en-US" w:eastAsia="zh-CN"/>
        </w:rPr>
        <w:t xml:space="preserve">    </w:t>
      </w:r>
      <w:r>
        <w:rPr>
          <w:rFonts w:hint="eastAsia" w:ascii="Times New Roman" w:hAnsi="Times New Roman" w:eastAsia="方正仿宋_GBK" w:cs="Times New Roman"/>
          <w:sz w:val="32"/>
          <w:szCs w:val="32"/>
          <w:shd w:val="clear" w:color="auto" w:fill="FFFFFF"/>
        </w:rPr>
        <w:t>公务车购置费0万元，费用支出较年初预算数增加0万元，增长0.0%。较上年支出数增加0万元，增长0.0%。</w:t>
      </w:r>
      <w:r>
        <w:rPr>
          <w:rFonts w:hint="eastAsia" w:ascii="Times New Roman" w:hAnsi="Times New Roman" w:eastAsia="方正仿宋_GBK" w:cs="Times New Roman"/>
          <w:sz w:val="32"/>
          <w:szCs w:val="32"/>
          <w:shd w:val="clear" w:color="auto" w:fill="FFFFFF"/>
          <w:lang w:val="en-US" w:eastAsia="zh-CN"/>
        </w:rPr>
        <w:t>2023年度我单位无公务车购置费支出，与上年度决算数持平</w:t>
      </w:r>
      <w:r>
        <w:rPr>
          <w:rFonts w:hint="eastAsia" w:ascii="Times New Roman" w:hAnsi="Times New Roman" w:eastAsia="方正仿宋_GBK" w:cs="Times New Roman"/>
          <w:sz w:val="32"/>
          <w:szCs w:val="32"/>
          <w:shd w:val="clear" w:color="auto" w:fill="FFFFFF"/>
          <w:lang w:eastAsia="zh-CN"/>
        </w:rPr>
        <w:t>。</w:t>
      </w:r>
    </w:p>
    <w:p>
      <w:pPr>
        <w:pStyle w:val="4"/>
        <w:snapToGrid w:val="0"/>
        <w:spacing w:before="0" w:beforeAutospacing="0" w:after="0" w:afterAutospacing="0" w:line="600" w:lineRule="exact"/>
        <w:ind w:firstLine="640" w:firstLineChars="200"/>
        <w:jc w:val="both"/>
        <w:rPr>
          <w:rFonts w:hint="eastAsia" w:ascii="Times New Roman" w:hAnsi="Times New Roman" w:eastAsia="方正仿宋_GBK"/>
          <w:bCs/>
          <w:color w:val="auto"/>
          <w:sz w:val="32"/>
          <w:szCs w:val="32"/>
          <w:highlight w:val="none"/>
          <w:lang w:eastAsia="zh-CN"/>
        </w:rPr>
      </w:pPr>
      <w:r>
        <w:rPr>
          <w:rFonts w:hint="default" w:ascii="Times New Roman" w:hAnsi="Times New Roman" w:eastAsia="方正仿宋_GBK" w:cs="Times New Roman"/>
          <w:sz w:val="32"/>
          <w:szCs w:val="32"/>
          <w:shd w:val="clear" w:color="auto" w:fill="FFFFFF"/>
        </w:rPr>
        <w:t>公务车运行维护费</w:t>
      </w:r>
      <w:r>
        <w:rPr>
          <w:rFonts w:hint="default" w:ascii="Times New Roman" w:hAnsi="Times New Roman" w:eastAsia="方正仿宋_GBK" w:cs="Times New Roman"/>
          <w:sz w:val="32"/>
          <w:szCs w:val="32"/>
        </w:rPr>
        <w:t>3.64</w:t>
      </w:r>
      <w:r>
        <w:rPr>
          <w:rFonts w:hint="default" w:ascii="Times New Roman" w:hAnsi="Times New Roman" w:eastAsia="方正仿宋_GBK" w:cs="Times New Roman"/>
          <w:sz w:val="32"/>
          <w:szCs w:val="32"/>
          <w:shd w:val="clear" w:color="auto" w:fill="FFFFFF"/>
        </w:rPr>
        <w:t>万元，主要用于</w:t>
      </w:r>
      <w:r>
        <w:rPr>
          <w:rFonts w:hint="eastAsia" w:ascii="方正仿宋_GBK" w:hAnsi="方正仿宋_GBK" w:eastAsia="方正仿宋_GBK" w:cs="方正仿宋_GBK"/>
          <w:kern w:val="0"/>
          <w:sz w:val="32"/>
          <w:szCs w:val="32"/>
          <w:lang w:val="en-US" w:eastAsia="zh-CN" w:bidi="ar-SA"/>
        </w:rPr>
        <w:t>森林防火巡逻及应急保障用车</w:t>
      </w:r>
      <w:r>
        <w:rPr>
          <w:rFonts w:ascii="Times New Roman" w:hAnsi="Times New Roman" w:eastAsia="方正仿宋_GBK"/>
          <w:bCs/>
          <w:sz w:val="32"/>
          <w:szCs w:val="32"/>
        </w:rPr>
        <w:t>。</w:t>
      </w:r>
      <w:r>
        <w:rPr>
          <w:rFonts w:hint="default" w:ascii="Times New Roman" w:hAnsi="Times New Roman" w:eastAsia="方正仿宋_GBK" w:cs="Times New Roman"/>
          <w:sz w:val="32"/>
          <w:szCs w:val="32"/>
          <w:shd w:val="clear" w:color="auto" w:fill="FFFFFF"/>
        </w:rPr>
        <w:t>费用支出较年初预算数减少12.56万元，下降77.5%，主要原因</w:t>
      </w:r>
      <w:r>
        <w:rPr>
          <w:rFonts w:hint="eastAsia" w:ascii="方正仿宋_GBK" w:hAnsi="方正仿宋_GBK" w:eastAsia="方正仿宋_GBK" w:cs="方正仿宋_GBK"/>
          <w:kern w:val="0"/>
          <w:sz w:val="32"/>
          <w:szCs w:val="32"/>
          <w:lang w:val="en-US" w:eastAsia="zh-CN" w:bidi="ar-SA"/>
        </w:rPr>
        <w:t>是落实中央八</w:t>
      </w:r>
      <w:r>
        <w:rPr>
          <w:rFonts w:hint="eastAsia" w:ascii="方正仿宋_GBK" w:hAnsi="方正仿宋_GBK" w:eastAsia="方正仿宋_GBK" w:cs="方正仿宋_GBK"/>
          <w:sz w:val="32"/>
          <w:szCs w:val="32"/>
          <w:lang w:val="en-US" w:eastAsia="zh-CN"/>
        </w:rPr>
        <w:t>项规定精神，厉行节约</w:t>
      </w:r>
      <w:r>
        <w:rPr>
          <w:rFonts w:ascii="Times New Roman" w:hAnsi="Times New Roman" w:eastAsia="方正仿宋_GBK"/>
          <w:bCs/>
          <w:sz w:val="32"/>
          <w:szCs w:val="32"/>
        </w:rPr>
        <w:t>。</w:t>
      </w:r>
      <w:r>
        <w:rPr>
          <w:rFonts w:hint="default" w:ascii="Times New Roman" w:hAnsi="Times New Roman" w:eastAsia="方正仿宋_GBK" w:cs="Times New Roman"/>
          <w:sz w:val="32"/>
          <w:szCs w:val="32"/>
          <w:shd w:val="clear" w:color="auto" w:fill="FFFFFF"/>
        </w:rPr>
        <w:t>较上年支出数减少0.07万元，下降1.</w:t>
      </w:r>
      <w:r>
        <w:rPr>
          <w:rFonts w:hint="eastAsia" w:ascii="Times New Roman" w:hAnsi="Times New Roman" w:eastAsia="方正仿宋_GBK" w:cs="Times New Roman"/>
          <w:sz w:val="32"/>
          <w:szCs w:val="32"/>
          <w:shd w:val="clear" w:color="auto" w:fill="FFFFFF"/>
          <w:lang w:val="en-US" w:eastAsia="zh-CN"/>
        </w:rPr>
        <w:t>9</w:t>
      </w:r>
      <w:r>
        <w:rPr>
          <w:rFonts w:hint="default" w:ascii="Times New Roman" w:hAnsi="Times New Roman" w:eastAsia="方正仿宋_GBK" w:cs="Times New Roman"/>
          <w:sz w:val="32"/>
          <w:szCs w:val="32"/>
          <w:shd w:val="clear" w:color="auto" w:fill="FFFFFF"/>
        </w:rPr>
        <w:t>%，主要原因是</w:t>
      </w:r>
      <w:r>
        <w:rPr>
          <w:rFonts w:hint="eastAsia" w:ascii="Times New Roman" w:hAnsi="Times New Roman" w:eastAsia="方正仿宋_GBK"/>
          <w:bCs/>
          <w:color w:val="auto"/>
          <w:sz w:val="32"/>
          <w:szCs w:val="32"/>
          <w:highlight w:val="none"/>
          <w:lang w:eastAsia="zh-CN"/>
        </w:rPr>
        <w:t>森林防火巡逻及应急保障用车减少，公车维修养护费用减少。</w:t>
      </w:r>
    </w:p>
    <w:p>
      <w:pPr>
        <w:pStyle w:val="8"/>
        <w:autoSpaceDE w:val="0"/>
        <w:ind w:firstLine="643"/>
        <w:rPr>
          <w:rFonts w:hint="eastAsia" w:ascii="Times New Roman" w:hAnsi="Times New Roman" w:eastAsia="方正仿宋_GBK" w:cs="Times New Roman"/>
          <w:sz w:val="32"/>
          <w:szCs w:val="32"/>
          <w:shd w:val="clear" w:color="auto" w:fill="FFFFFF"/>
          <w:lang w:eastAsia="zh-CN"/>
        </w:rPr>
      </w:pPr>
      <w:r>
        <w:rPr>
          <w:rFonts w:hint="eastAsia" w:ascii="Times New Roman" w:hAnsi="Times New Roman" w:eastAsia="方正仿宋_GBK" w:cs="Times New Roman"/>
          <w:sz w:val="32"/>
          <w:szCs w:val="32"/>
          <w:shd w:val="clear" w:color="auto" w:fill="FFFFFF"/>
          <w:lang w:eastAsia="zh-CN"/>
        </w:rPr>
        <w:t>公务接待费</w:t>
      </w:r>
      <w:r>
        <w:rPr>
          <w:rFonts w:hint="eastAsia" w:ascii="Times New Roman" w:hAnsi="Times New Roman" w:eastAsia="方正仿宋_GBK" w:cs="Times New Roman"/>
          <w:sz w:val="32"/>
          <w:szCs w:val="32"/>
          <w:shd w:val="clear" w:color="auto" w:fill="FFFFFF"/>
        </w:rPr>
        <w:t>0万元，费用支出较年初预算数增加0万元，增长0.0%。较上年支出数增加0万元，增长0.0%。</w:t>
      </w:r>
      <w:r>
        <w:rPr>
          <w:rFonts w:hint="eastAsia" w:ascii="Times New Roman" w:hAnsi="Times New Roman" w:eastAsia="方正仿宋_GBK" w:cs="Times New Roman"/>
          <w:sz w:val="32"/>
          <w:szCs w:val="32"/>
          <w:shd w:val="clear" w:color="auto" w:fill="FFFFFF"/>
          <w:lang w:val="en-US" w:eastAsia="zh-CN"/>
        </w:rPr>
        <w:t>2023年度我单位无公务接待费支出，与上年度决算数持平</w:t>
      </w:r>
      <w:r>
        <w:rPr>
          <w:rFonts w:hint="eastAsia" w:ascii="Times New Roman" w:hAnsi="Times New Roman" w:eastAsia="方正仿宋_GBK" w:cs="Times New Roman"/>
          <w:sz w:val="32"/>
          <w:szCs w:val="32"/>
          <w:shd w:val="clear" w:color="auto" w:fill="FFFFFF"/>
          <w:lang w:eastAsia="zh-CN"/>
        </w:rPr>
        <w:t>。</w:t>
      </w:r>
    </w:p>
    <w:p>
      <w:pPr>
        <w:pStyle w:val="8"/>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pPr>
        <w:pStyle w:val="4"/>
        <w:snapToGrid w:val="0"/>
        <w:spacing w:before="0" w:beforeAutospacing="0" w:after="0" w:afterAutospacing="0" w:line="600" w:lineRule="exact"/>
        <w:ind w:firstLine="640" w:firstLineChars="200"/>
        <w:jc w:val="both"/>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shd w:val="clear" w:color="auto" w:fill="FFFFFF"/>
        </w:rPr>
        <w:t>  2023年度本部门因公出国（境）共计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人。2023年本部门人均接待费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1.21</w:t>
      </w:r>
      <w:r>
        <w:rPr>
          <w:rFonts w:hint="default" w:ascii="Times New Roman" w:hAnsi="Times New Roman" w:eastAsia="方正仿宋_GBK" w:cs="Times New Roman"/>
          <w:sz w:val="32"/>
          <w:szCs w:val="32"/>
          <w:shd w:val="clear" w:color="auto" w:fill="FFFFFF"/>
        </w:rPr>
        <w:t>万元。</w:t>
      </w:r>
    </w:p>
    <w:p>
      <w:pPr>
        <w:pStyle w:val="4"/>
        <w:shd w:val="clear" w:color="auto" w:fill="FFFFFF"/>
        <w:rPr>
          <w:rStyle w:val="6"/>
          <w:rFonts w:hint="default" w:ascii="Times New Roman" w:hAnsi="Times New Roman" w:eastAsia="方正仿宋_GBK" w:cs="Times New Roman"/>
          <w:sz w:val="32"/>
          <w:szCs w:val="32"/>
          <w:shd w:val="clear" w:color="auto" w:fill="FFFFFF"/>
        </w:rPr>
      </w:pPr>
      <w:r>
        <w:rPr>
          <w:rStyle w:val="6"/>
          <w:rFonts w:hint="default" w:ascii="Times New Roman" w:hAnsi="Times New Roman" w:eastAsia="黑体" w:cs="Times New Roman"/>
          <w:sz w:val="32"/>
          <w:szCs w:val="32"/>
          <w:shd w:val="clear" w:color="auto" w:fill="FFFFFF"/>
        </w:rPr>
        <w:t>四、其他需要说明的事项</w:t>
      </w:r>
    </w:p>
    <w:p>
      <w:pPr>
        <w:pStyle w:val="8"/>
        <w:autoSpaceDE w:val="0"/>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（一）财政拨款会议费和培训费情况说明</w:t>
      </w:r>
    </w:p>
    <w:p>
      <w:pPr>
        <w:pStyle w:val="8"/>
        <w:autoSpaceDE w:val="0"/>
        <w:ind w:firstLine="643"/>
        <w:rPr>
          <w:rFonts w:hint="default" w:ascii="Times New Roman" w:hAnsi="Times New Roman" w:eastAsia="方正仿宋_GBK" w:cs="Times New Roman"/>
          <w:sz w:val="32"/>
          <w:szCs w:val="32"/>
        </w:rPr>
      </w:pPr>
      <w:r>
        <w:rPr>
          <w:rFonts w:hint="eastAsia" w:ascii="Times New Roman" w:hAnsi="Times New Roman" w:eastAsia="方正仿宋_GBK"/>
          <w:bCs/>
          <w:sz w:val="32"/>
          <w:szCs w:val="32"/>
          <w:lang w:val="en-US" w:eastAsia="zh-CN"/>
        </w:rPr>
        <w:t>本单位2023年度未发生会议费和培训费支出</w:t>
      </w:r>
      <w:r>
        <w:rPr>
          <w:rFonts w:ascii="Times New Roman" w:hAnsi="Times New Roman" w:eastAsia="方正仿宋_GBK"/>
          <w:bCs/>
          <w:sz w:val="32"/>
          <w:szCs w:val="32"/>
        </w:rPr>
        <w:t>。</w:t>
      </w:r>
    </w:p>
    <w:p>
      <w:pPr>
        <w:pStyle w:val="8"/>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pPr>
        <w:pStyle w:val="4"/>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2023年度本部门机关运行经费支出</w:t>
      </w:r>
      <w:r>
        <w:rPr>
          <w:rFonts w:hint="default" w:ascii="Times New Roman" w:hAnsi="Times New Roman" w:eastAsia="方正仿宋_GBK" w:cs="Times New Roman"/>
          <w:sz w:val="32"/>
          <w:szCs w:val="32"/>
        </w:rPr>
        <w:t>198.67</w:t>
      </w:r>
      <w:r>
        <w:rPr>
          <w:rFonts w:hint="default" w:ascii="Times New Roman" w:hAnsi="Times New Roman" w:eastAsia="方正仿宋_GBK" w:cs="Times New Roman"/>
          <w:sz w:val="32"/>
          <w:szCs w:val="32"/>
          <w:shd w:val="clear" w:color="auto" w:fill="FFFFFF"/>
        </w:rPr>
        <w:t>万元，机关运行经费主要用于开支</w:t>
      </w:r>
      <w:r>
        <w:rPr>
          <w:rFonts w:hint="eastAsia" w:ascii="方正仿宋_GBK" w:hAnsi="方正仿宋_GBK" w:eastAsia="方正仿宋_GBK" w:cs="方正仿宋_GBK"/>
          <w:sz w:val="32"/>
          <w:szCs w:val="32"/>
          <w:lang w:val="en-US" w:eastAsia="zh-CN"/>
        </w:rPr>
        <w:t>办公费、邮电费、水电费、维修维护费、公务用车运行维护费、差旅费、交通费</w:t>
      </w:r>
      <w:r>
        <w:rPr>
          <w:rFonts w:ascii="Times New Roman" w:hAnsi="Times New Roman" w:eastAsia="方正仿宋_GBK"/>
          <w:bCs/>
          <w:sz w:val="32"/>
          <w:szCs w:val="32"/>
        </w:rPr>
        <w:t>。</w:t>
      </w:r>
      <w:r>
        <w:rPr>
          <w:rFonts w:hint="default" w:ascii="Times New Roman" w:hAnsi="Times New Roman" w:eastAsia="方正仿宋_GBK" w:cs="Times New Roman"/>
          <w:sz w:val="32"/>
          <w:szCs w:val="32"/>
          <w:shd w:val="clear" w:color="auto" w:fill="FFFFFF"/>
        </w:rPr>
        <w:t>机关运行经费较上年支出数减少126.61万元，下降38.92%，主要原因是</w:t>
      </w:r>
      <w:r>
        <w:rPr>
          <w:rFonts w:hint="eastAsia" w:ascii="方正仿宋_GBK" w:hAnsi="方正仿宋_GBK" w:eastAsia="方正仿宋_GBK" w:cs="方正仿宋_GBK"/>
          <w:kern w:val="0"/>
          <w:sz w:val="32"/>
          <w:szCs w:val="32"/>
          <w:lang w:val="en-US" w:eastAsia="zh-CN" w:bidi="ar-SA"/>
        </w:rPr>
        <w:t>落实中央八</w:t>
      </w:r>
      <w:r>
        <w:rPr>
          <w:rFonts w:hint="eastAsia" w:ascii="方正仿宋_GBK" w:hAnsi="方正仿宋_GBK" w:eastAsia="方正仿宋_GBK" w:cs="方正仿宋_GBK"/>
          <w:sz w:val="32"/>
          <w:szCs w:val="32"/>
          <w:lang w:val="en-US" w:eastAsia="zh-CN"/>
        </w:rPr>
        <w:t>项规定精神，厉行节约</w:t>
      </w:r>
      <w:r>
        <w:rPr>
          <w:rFonts w:ascii="Times New Roman" w:hAnsi="Times New Roman" w:eastAsia="方正仿宋_GBK"/>
          <w:bCs/>
          <w:sz w:val="32"/>
          <w:szCs w:val="32"/>
        </w:rPr>
        <w:t>。</w:t>
      </w:r>
    </w:p>
    <w:p>
      <w:pPr>
        <w:pStyle w:val="8"/>
        <w:numPr>
          <w:ilvl w:val="0"/>
          <w:numId w:val="1"/>
        </w:numPr>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国有资产占用情况说明</w:t>
      </w:r>
    </w:p>
    <w:p>
      <w:pPr>
        <w:pStyle w:val="8"/>
        <w:numPr>
          <w:ilvl w:val="0"/>
          <w:numId w:val="0"/>
        </w:numPr>
        <w:autoSpaceDE w:val="0"/>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截至2023年12月31日，本部门共有车辆</w:t>
      </w: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8"/>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pPr>
        <w:pStyle w:val="4"/>
        <w:snapToGrid w:val="0"/>
        <w:spacing w:before="0" w:beforeAutospacing="0" w:after="0" w:afterAutospacing="0" w:line="600" w:lineRule="exact"/>
        <w:ind w:firstLine="640" w:firstLineChars="200"/>
        <w:jc w:val="both"/>
        <w:rPr>
          <w:rFonts w:hint="eastAsia" w:ascii="Times New Roman" w:hAnsi="Times New Roman" w:eastAsia="方正仿宋_GBK" w:cs="Times New Roman"/>
          <w:color w:val="FF0000"/>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  2023年度本部门政府采购支出总额</w:t>
      </w:r>
      <w:r>
        <w:rPr>
          <w:rFonts w:hint="default" w:ascii="Times New Roman" w:hAnsi="Times New Roman" w:eastAsia="方正仿宋_GBK" w:cs="Times New Roman"/>
          <w:sz w:val="32"/>
          <w:szCs w:val="32"/>
        </w:rPr>
        <w:t>272.36</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117</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154.36</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272.36万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100.0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0.</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shd w:val="clear" w:color="auto" w:fill="FFFFFF"/>
        </w:rPr>
        <w:t>%。主要用于采购</w:t>
      </w:r>
      <w:r>
        <w:rPr>
          <w:rFonts w:hint="eastAsia" w:ascii="Times New Roman" w:hAnsi="Times New Roman" w:eastAsia="方正仿宋_GBK" w:cs="Times New Roman"/>
          <w:sz w:val="32"/>
          <w:szCs w:val="32"/>
          <w:shd w:val="clear" w:color="auto" w:fill="FFFFFF"/>
          <w:lang w:eastAsia="zh-CN"/>
        </w:rPr>
        <w:t>办公电脑。</w:t>
      </w:r>
    </w:p>
    <w:p>
      <w:pPr>
        <w:pStyle w:val="4"/>
        <w:numPr>
          <w:ilvl w:val="0"/>
          <w:numId w:val="2"/>
        </w:numPr>
        <w:shd w:val="clear" w:color="auto" w:fill="FFFFFF"/>
        <w:rPr>
          <w:rStyle w:val="6"/>
          <w:rFonts w:hint="default" w:ascii="Times New Roman" w:hAnsi="Times New Roman" w:eastAsia="黑体" w:cs="Times New Roman"/>
          <w:sz w:val="32"/>
          <w:szCs w:val="32"/>
          <w:shd w:val="clear" w:color="auto" w:fill="FFFFFF"/>
        </w:rPr>
      </w:pPr>
      <w:r>
        <w:rPr>
          <w:rStyle w:val="6"/>
          <w:rFonts w:hint="default" w:ascii="Times New Roman" w:hAnsi="Times New Roman" w:eastAsia="黑体" w:cs="Times New Roman"/>
          <w:sz w:val="32"/>
          <w:szCs w:val="32"/>
          <w:shd w:val="clear" w:color="auto" w:fill="FFFFFF"/>
        </w:rPr>
        <w:t>预算绩效管理情况说明</w:t>
      </w:r>
    </w:p>
    <w:p>
      <w:pPr>
        <w:ind w:firstLine="640" w:firstLineChars="200"/>
        <w:rPr>
          <w:rFonts w:hint="default" w:ascii="Times New Roman" w:hAnsi="Times New Roman" w:cs="Times New Roman"/>
        </w:rPr>
      </w:pPr>
      <w:r>
        <w:rPr>
          <w:rFonts w:hint="default" w:ascii="Times New Roman" w:hAnsi="Times New Roman" w:eastAsia="方正楷体_GBK" w:cs="Times New Roman"/>
          <w:sz w:val="32"/>
          <w:szCs w:val="32"/>
        </w:rPr>
        <w:t>（一）预算绩效管理工作开展情况</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根据预算绩效管理要求，我单位对部门整体和</w:t>
      </w:r>
      <w:r>
        <w:rPr>
          <w:rFonts w:hint="eastAsia" w:ascii="Times New Roman" w:hAnsi="Times New Roman" w:eastAsia="方正仿宋_GBK" w:cs="Times New Roman"/>
          <w:sz w:val="32"/>
          <w:szCs w:val="32"/>
          <w:lang w:val="en-US" w:eastAsia="zh-CN"/>
        </w:rPr>
        <w:t>32</w:t>
      </w:r>
      <w:r>
        <w:rPr>
          <w:rFonts w:hint="default" w:ascii="Times New Roman" w:hAnsi="Times New Roman" w:eastAsia="方正仿宋_GBK" w:cs="Times New Roman"/>
          <w:sz w:val="32"/>
          <w:szCs w:val="32"/>
        </w:rPr>
        <w:t>个项目开展了绩效自评，其中，以填报自评表形式开展自评</w:t>
      </w:r>
      <w:r>
        <w:rPr>
          <w:rFonts w:hint="eastAsia" w:ascii="Times New Roman" w:hAnsi="Times New Roman" w:eastAsia="方正仿宋_GBK" w:cs="Times New Roman"/>
          <w:sz w:val="32"/>
          <w:szCs w:val="32"/>
          <w:lang w:val="en-US" w:eastAsia="zh-CN"/>
        </w:rPr>
        <w:t>32</w:t>
      </w:r>
      <w:r>
        <w:rPr>
          <w:rFonts w:hint="default" w:ascii="Times New Roman" w:hAnsi="Times New Roman" w:eastAsia="方正仿宋_GBK" w:cs="Times New Roman"/>
          <w:sz w:val="32"/>
          <w:szCs w:val="32"/>
        </w:rPr>
        <w:t>项，涉及资金</w:t>
      </w:r>
      <w:r>
        <w:rPr>
          <w:rFonts w:hint="eastAsia" w:ascii="Times New Roman" w:hAnsi="Times New Roman" w:eastAsia="方正仿宋_GBK" w:cs="Times New Roman"/>
          <w:sz w:val="32"/>
          <w:szCs w:val="32"/>
          <w:lang w:val="en-US" w:eastAsia="zh-CN"/>
        </w:rPr>
        <w:t>1594.35</w:t>
      </w:r>
      <w:r>
        <w:rPr>
          <w:rFonts w:hint="default" w:ascii="Times New Roman" w:hAnsi="Times New Roman" w:eastAsia="方正仿宋_GBK" w:cs="Times New Roman"/>
          <w:sz w:val="32"/>
          <w:szCs w:val="32"/>
        </w:rPr>
        <w:t>万元。</w:t>
      </w:r>
    </w:p>
    <w:p>
      <w:pPr>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eastAsia="方正楷体_GBK" w:cs="Times New Roman"/>
          <w:sz w:val="32"/>
          <w:szCs w:val="32"/>
        </w:rPr>
        <w:t xml:space="preserve"> </w:t>
      </w:r>
      <w:r>
        <w:rPr>
          <w:rFonts w:hint="eastAsia"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rPr>
        <w:t>（二）绩效自评结果。</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1.绩效目标自评表。</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（1）部门整体绩效自评表。</w:t>
      </w:r>
    </w:p>
    <w:p>
      <w:pPr>
        <w:pStyle w:val="14"/>
        <w:keepNext w:val="0"/>
        <w:keepLines w:val="0"/>
        <w:pageBreakBefore w:val="0"/>
        <w:widowControl/>
        <w:kinsoku/>
        <w:wordWrap/>
        <w:overflowPunct/>
        <w:topLinePunct w:val="0"/>
        <w:autoSpaceDE/>
        <w:autoSpaceDN w:val="0"/>
        <w:bidi w:val="0"/>
        <w:adjustRightInd/>
        <w:snapToGrid/>
        <w:spacing w:before="0" w:after="0" w:line="560" w:lineRule="exact"/>
        <w:ind w:firstLine="640"/>
        <w:textAlignment w:val="auto"/>
        <w:rPr>
          <w:rFonts w:hint="default" w:ascii="Times New Roman" w:hAnsi="Times New Roman" w:eastAsia="方正仿宋_GBK" w:cs="Times New Roman"/>
          <w:sz w:val="32"/>
          <w:szCs w:val="32"/>
          <w:highlight w:val="yellow"/>
        </w:rPr>
      </w:pPr>
      <w:r>
        <w:rPr>
          <w:rFonts w:hint="default" w:ascii="Times New Roman" w:hAnsi="Times New Roman" w:eastAsia="方正仿宋_GBK" w:cs="Times New Roman"/>
          <w:sz w:val="32"/>
          <w:szCs w:val="32"/>
        </w:rPr>
        <w:t>详见附件重庆市铜梁区福果镇人民政府202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年度部门整体绩效自评表。</w:t>
      </w:r>
    </w:p>
    <w:p>
      <w:pPr>
        <w:keepNext w:val="0"/>
        <w:keepLines w:val="0"/>
        <w:pageBreakBefore w:val="0"/>
        <w:kinsoku/>
        <w:wordWrap/>
        <w:overflowPunct/>
        <w:topLinePunct w:val="0"/>
        <w:autoSpaceDE/>
        <w:bidi w:val="0"/>
        <w:adjustRightInd/>
        <w:snapToGrid/>
        <w:spacing w:beforeAutospacing="0" w:afterAutospacing="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（2）项目绩效自评表</w:t>
      </w:r>
      <w:r>
        <w:rPr>
          <w:rFonts w:hint="default" w:ascii="Times New Roman" w:hAnsi="Times New Roman" w:eastAsia="方正仿宋_GBK" w:cs="Times New Roman"/>
          <w:sz w:val="32"/>
          <w:szCs w:val="32"/>
          <w:lang w:eastAsia="zh-CN"/>
        </w:rPr>
        <w:t>。</w:t>
      </w:r>
    </w:p>
    <w:p>
      <w:pPr>
        <w:pStyle w:val="14"/>
        <w:keepNext w:val="0"/>
        <w:keepLines w:val="0"/>
        <w:pageBreakBefore w:val="0"/>
        <w:widowControl/>
        <w:kinsoku/>
        <w:wordWrap/>
        <w:overflowPunct/>
        <w:topLinePunct w:val="0"/>
        <w:autoSpaceDE/>
        <w:autoSpaceDN w:val="0"/>
        <w:bidi w:val="0"/>
        <w:adjustRightInd/>
        <w:snapToGrid/>
        <w:spacing w:before="0" w:beforeAutospacing="0" w:after="0" w:afterAutospacing="0" w:line="560" w:lineRule="exact"/>
        <w:ind w:firstLine="640" w:firstLineChars="200"/>
        <w:textAlignment w:val="auto"/>
        <w:rPr>
          <w:rFonts w:hint="eastAsia" w:ascii="方正仿宋_GBK" w:eastAsia="方正仿宋_GBK"/>
          <w:sz w:val="32"/>
          <w:szCs w:val="32"/>
          <w:lang w:eastAsia="zh-CN"/>
        </w:rPr>
      </w:pPr>
      <w:r>
        <w:rPr>
          <w:rFonts w:hint="eastAsia" w:ascii="方正仿宋_GBK" w:eastAsia="方正仿宋_GBK"/>
          <w:sz w:val="32"/>
          <w:szCs w:val="32"/>
          <w:lang w:eastAsia="zh-CN"/>
        </w:rPr>
        <w:t>详见附件重庆市铜梁区福果镇人民政府</w:t>
      </w:r>
      <w:r>
        <w:rPr>
          <w:rFonts w:hint="eastAsia" w:ascii="Times New Roman" w:hAnsi="Times New Roman" w:eastAsia="方正仿宋_GBK" w:cs="Times New Roman"/>
          <w:sz w:val="32"/>
          <w:szCs w:val="32"/>
          <w:lang w:val="en-US" w:eastAsia="zh-CN"/>
        </w:rPr>
        <w:t>2023</w:t>
      </w:r>
      <w:r>
        <w:rPr>
          <w:rFonts w:hint="eastAsia" w:ascii="方正仿宋_GBK" w:eastAsia="方正仿宋_GBK"/>
          <w:sz w:val="32"/>
          <w:szCs w:val="32"/>
          <w:lang w:eastAsia="zh-CN"/>
        </w:rPr>
        <w:t>年度项目绩效自评表。其中：信访维稳项目绩效自评未公开。</w:t>
      </w:r>
    </w:p>
    <w:p>
      <w:pPr>
        <w:keepNext w:val="0"/>
        <w:keepLines w:val="0"/>
        <w:pageBreakBefore w:val="0"/>
        <w:kinsoku/>
        <w:wordWrap/>
        <w:overflowPunct/>
        <w:topLinePunct w:val="0"/>
        <w:autoSpaceDE/>
        <w:bidi w:val="0"/>
        <w:adjustRightInd/>
        <w:snapToGrid/>
        <w:spacing w:beforeAutospacing="0" w:afterAutospacing="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2.绩效自评报告或案例。</w:t>
      </w:r>
    </w:p>
    <w:p>
      <w:pPr>
        <w:pStyle w:val="14"/>
        <w:keepNext w:val="0"/>
        <w:keepLines w:val="0"/>
        <w:pageBreakBefore w:val="0"/>
        <w:widowControl/>
        <w:kinsoku/>
        <w:wordWrap/>
        <w:overflowPunct/>
        <w:topLinePunct w:val="0"/>
        <w:autoSpaceDE/>
        <w:autoSpaceDN w:val="0"/>
        <w:bidi w:val="0"/>
        <w:adjustRightInd/>
        <w:snapToGrid/>
        <w:spacing w:before="0" w:beforeAutospacing="0" w:after="0" w:afterAutospacing="0" w:line="560" w:lineRule="exact"/>
        <w:ind w:firstLine="640"/>
        <w:textAlignment w:val="auto"/>
        <w:rPr>
          <w:rFonts w:hint="default" w:ascii="Times New Roman" w:hAnsi="Times New Roman" w:eastAsia="方正仿宋_GBK" w:cs="Times New Roman"/>
          <w:sz w:val="32"/>
          <w:szCs w:val="32"/>
        </w:rPr>
      </w:pPr>
      <w:r>
        <w:rPr>
          <w:rFonts w:hint="eastAsia" w:ascii="Times New Roman" w:hAnsi="Times New Roman" w:eastAsia="方正仿宋_GBK"/>
          <w:bCs/>
          <w:sz w:val="32"/>
          <w:szCs w:val="32"/>
        </w:rPr>
        <w:t>我单位未委托</w:t>
      </w:r>
      <w:r>
        <w:rPr>
          <w:rFonts w:ascii="Times New Roman" w:hAnsi="Times New Roman" w:eastAsia="方正仿宋_GBK"/>
          <w:bCs/>
          <w:sz w:val="32"/>
          <w:szCs w:val="32"/>
        </w:rPr>
        <w:t>第三方开展绩效评价</w:t>
      </w:r>
      <w:r>
        <w:rPr>
          <w:rFonts w:hint="eastAsia" w:ascii="Times New Roman" w:hAnsi="Times New Roman" w:eastAsia="方正仿宋_GBK"/>
          <w:bCs/>
          <w:sz w:val="32"/>
          <w:szCs w:val="32"/>
        </w:rPr>
        <w:t>。</w:t>
      </w:r>
    </w:p>
    <w:p>
      <w:pPr>
        <w:keepNext w:val="0"/>
        <w:keepLines w:val="0"/>
        <w:pageBreakBefore w:val="0"/>
        <w:kinsoku/>
        <w:wordWrap/>
        <w:overflowPunct/>
        <w:topLinePunct w:val="0"/>
        <w:autoSpaceDE/>
        <w:bidi w:val="0"/>
        <w:adjustRightInd/>
        <w:snapToGrid/>
        <w:spacing w:beforeAutospacing="0" w:afterAutospacing="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3.关于绩效自评结果的说明。</w:t>
      </w:r>
    </w:p>
    <w:p>
      <w:pPr>
        <w:keepNext w:val="0"/>
        <w:keepLines w:val="0"/>
        <w:pageBreakBefore w:val="0"/>
        <w:kinsoku/>
        <w:wordWrap/>
        <w:overflowPunct/>
        <w:topLinePunct w:val="0"/>
        <w:autoSpaceDE/>
        <w:bidi w:val="0"/>
        <w:adjustRightInd/>
        <w:snapToGrid/>
        <w:spacing w:beforeAutospacing="0" w:afterAutospacing="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　　我单位对</w:t>
      </w:r>
      <w:r>
        <w:rPr>
          <w:rFonts w:hint="eastAsia" w:ascii="Times New Roman" w:hAnsi="Times New Roman" w:eastAsia="方正仿宋_GBK" w:cs="Times New Roman"/>
          <w:sz w:val="32"/>
          <w:szCs w:val="32"/>
          <w:lang w:val="en-US" w:eastAsia="zh-CN"/>
        </w:rPr>
        <w:t>32</w:t>
      </w:r>
      <w:r>
        <w:rPr>
          <w:rFonts w:hint="default" w:ascii="Times New Roman" w:hAnsi="Times New Roman" w:eastAsia="方正仿宋_GBK" w:cs="Times New Roman"/>
          <w:sz w:val="32"/>
          <w:szCs w:val="32"/>
        </w:rPr>
        <w:t>个项目进行绩效自评，其中</w:t>
      </w:r>
      <w:r>
        <w:rPr>
          <w:rFonts w:hint="eastAsia" w:ascii="Times New Roman" w:hAnsi="Times New Roman" w:eastAsia="方正仿宋_GBK" w:cs="Times New Roman"/>
          <w:sz w:val="32"/>
          <w:szCs w:val="32"/>
          <w:lang w:val="en-US" w:eastAsia="zh-CN"/>
        </w:rPr>
        <w:t>31</w:t>
      </w:r>
      <w:r>
        <w:rPr>
          <w:rFonts w:hint="default" w:ascii="Times New Roman" w:hAnsi="Times New Roman" w:eastAsia="方正仿宋_GBK" w:cs="Times New Roman"/>
          <w:sz w:val="32"/>
          <w:szCs w:val="32"/>
        </w:rPr>
        <w:t>个已完成年度绩效目标，</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个未完成年度绩效目标</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2023年泥结石硬化项目区财政局只拨付了启动资金，其余资金暂未拨付到位。</w:t>
      </w:r>
    </w:p>
    <w:p>
      <w:pPr>
        <w:keepNext w:val="0"/>
        <w:keepLines w:val="0"/>
        <w:pageBreakBefore w:val="0"/>
        <w:kinsoku/>
        <w:wordWrap/>
        <w:overflowPunct/>
        <w:topLinePunct w:val="0"/>
        <w:autoSpaceDE/>
        <w:bidi w:val="0"/>
        <w:adjustRightInd/>
        <w:snapToGrid/>
        <w:spacing w:beforeAutospacing="0" w:afterAutospacing="0"/>
        <w:textAlignment w:val="auto"/>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eastAsia="方正楷体_GBK" w:cs="Times New Roman"/>
          <w:sz w:val="32"/>
          <w:szCs w:val="32"/>
        </w:rPr>
        <w:t>（三）重点绩效评价结果。</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4" w:lineRule="exact"/>
        <w:ind w:firstLine="42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cs="Times New Roman"/>
        </w:rPr>
        <w:t xml:space="preserve">  </w:t>
      </w:r>
      <w:r>
        <w:rPr>
          <w:rFonts w:hint="eastAsia" w:ascii="方正仿宋_GBK" w:hAnsi="方正仿宋_GBK" w:eastAsia="方正仿宋_GBK" w:cs="方正仿宋_GBK"/>
          <w:sz w:val="32"/>
          <w:szCs w:val="32"/>
        </w:rPr>
        <w:t>我单位未开展重点绩效评价</w:t>
      </w:r>
      <w:r>
        <w:rPr>
          <w:rFonts w:hint="eastAsia" w:ascii="方正仿宋_GBK" w:hAnsi="Calibri" w:eastAsia="方正仿宋_GBK" w:cs="Times New Roman"/>
          <w:kern w:val="2"/>
          <w:sz w:val="32"/>
          <w:szCs w:val="32"/>
        </w:rPr>
        <w:t>。</w:t>
      </w:r>
    </w:p>
    <w:p>
      <w:pPr>
        <w:pStyle w:val="4"/>
        <w:shd w:val="clear" w:color="auto" w:fill="FFFFFF"/>
        <w:rPr>
          <w:rStyle w:val="6"/>
          <w:rFonts w:hint="default" w:ascii="Times New Roman" w:hAnsi="Times New Roman" w:eastAsia="方正仿宋_GBK" w:cs="Times New Roman"/>
          <w:sz w:val="32"/>
          <w:szCs w:val="32"/>
          <w:shd w:val="clear" w:color="auto" w:fill="FFFFFF"/>
        </w:rPr>
      </w:pPr>
      <w:r>
        <w:rPr>
          <w:rStyle w:val="6"/>
          <w:rFonts w:hint="default" w:ascii="Times New Roman" w:hAnsi="Times New Roman" w:eastAsia="方正仿宋_GBK" w:cs="Times New Roman"/>
          <w:sz w:val="32"/>
          <w:szCs w:val="32"/>
          <w:shd w:val="clear" w:color="auto" w:fill="FFFFFF"/>
        </w:rPr>
        <w:t xml:space="preserve">  </w:t>
      </w:r>
      <w:r>
        <w:rPr>
          <w:rStyle w:val="6"/>
          <w:rFonts w:hint="default" w:ascii="Times New Roman" w:hAnsi="Times New Roman" w:eastAsia="黑体" w:cs="Times New Roman"/>
          <w:sz w:val="32"/>
          <w:szCs w:val="32"/>
          <w:shd w:val="clear" w:color="auto" w:fill="FFFFFF"/>
        </w:rPr>
        <w:t>六、专业名词解释</w:t>
      </w:r>
    </w:p>
    <w:p>
      <w:pPr>
        <w:pStyle w:val="4"/>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shd w:val="clear" w:color="auto" w:fill="FFFFFF"/>
        </w:rPr>
        <w:t> </w:t>
      </w:r>
      <w:r>
        <w:rPr>
          <w:rFonts w:hint="default" w:ascii="Times New Roman" w:hAnsi="Times New Roman" w:eastAsia="楷体" w:cs="Times New Roman"/>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4"/>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6"/>
          <w:rFonts w:hint="default" w:ascii="Times New Roman" w:hAnsi="Times New Roman" w:eastAsia="方正仿宋_GBK" w:cs="Times New Roman"/>
          <w:sz w:val="32"/>
          <w:szCs w:val="32"/>
          <w:shd w:val="clear" w:color="auto" w:fill="FFFFFF"/>
        </w:rPr>
        <w:t> </w:t>
      </w:r>
      <w:r>
        <w:rPr>
          <w:rStyle w:val="6"/>
          <w:rFonts w:hint="default" w:ascii="Times New Roman" w:hAnsi="Times New Roman" w:eastAsia="楷体" w:cs="Times New Roman"/>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4"/>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6"/>
          <w:rFonts w:hint="default" w:ascii="Times New Roman" w:hAnsi="Times New Roman" w:eastAsia="方正仿宋_GBK" w:cs="Times New Roman"/>
          <w:sz w:val="32"/>
          <w:szCs w:val="32"/>
          <w:shd w:val="clear" w:color="auto" w:fill="FFFFFF"/>
        </w:rPr>
        <w:t> </w:t>
      </w:r>
      <w:r>
        <w:rPr>
          <w:rStyle w:val="6"/>
          <w:rFonts w:hint="default" w:ascii="Times New Roman" w:hAnsi="Times New Roman" w:eastAsia="楷体"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4"/>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6"/>
          <w:rFonts w:hint="default" w:ascii="Times New Roman" w:hAnsi="Times New Roman" w:eastAsia="方正仿宋_GBK" w:cs="Times New Roman"/>
          <w:sz w:val="32"/>
          <w:szCs w:val="32"/>
          <w:shd w:val="clear" w:color="auto" w:fill="FFFFFF"/>
        </w:rPr>
        <w:t> </w:t>
      </w:r>
      <w:r>
        <w:rPr>
          <w:rStyle w:val="6"/>
          <w:rFonts w:hint="default" w:ascii="Times New Roman" w:hAnsi="Times New Roman" w:eastAsia="楷体"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4"/>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6"/>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4"/>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6"/>
          <w:rFonts w:hint="default" w:ascii="Times New Roman" w:hAnsi="Times New Roman" w:eastAsia="方正仿宋_GBK" w:cs="Times New Roman"/>
          <w:sz w:val="32"/>
          <w:szCs w:val="32"/>
          <w:shd w:val="clear" w:color="auto" w:fill="FFFFFF"/>
        </w:rPr>
        <w:t> </w:t>
      </w:r>
      <w:r>
        <w:rPr>
          <w:rStyle w:val="6"/>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4"/>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6"/>
          <w:rFonts w:hint="default" w:ascii="Times New Roman" w:hAnsi="Times New Roman" w:eastAsia="方正仿宋_GBK" w:cs="Times New Roman"/>
          <w:sz w:val="32"/>
          <w:szCs w:val="32"/>
          <w:shd w:val="clear" w:color="auto" w:fill="FFFFFF"/>
        </w:rPr>
        <w:t> </w:t>
      </w:r>
      <w:r>
        <w:rPr>
          <w:rStyle w:val="6"/>
          <w:rFonts w:hint="default" w:ascii="Times New Roman" w:hAnsi="Times New Roman" w:eastAsia="楷体"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4"/>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6"/>
          <w:rFonts w:hint="default" w:ascii="Times New Roman" w:hAnsi="Times New Roman" w:eastAsia="方正仿宋_GBK" w:cs="Times New Roman"/>
          <w:sz w:val="32"/>
          <w:szCs w:val="32"/>
          <w:shd w:val="clear" w:color="auto" w:fill="FFFFFF"/>
        </w:rPr>
        <w:t> </w:t>
      </w:r>
      <w:r>
        <w:rPr>
          <w:rStyle w:val="6"/>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4"/>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6"/>
          <w:rFonts w:hint="default" w:ascii="Times New Roman" w:hAnsi="Times New Roman" w:eastAsia="方正仿宋_GBK" w:cs="Times New Roman"/>
          <w:sz w:val="32"/>
          <w:szCs w:val="32"/>
          <w:shd w:val="clear" w:color="auto" w:fill="FFFFFF"/>
        </w:rPr>
        <w:t> </w:t>
      </w:r>
      <w:r>
        <w:rPr>
          <w:rStyle w:val="6"/>
          <w:rFonts w:hint="default" w:ascii="Times New Roman" w:hAnsi="Times New Roman" w:eastAsia="楷体" w:cs="Times New Roman"/>
          <w:sz w:val="32"/>
          <w:szCs w:val="32"/>
          <w:shd w:val="clear" w:color="auto" w:fill="FFFFFF"/>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4"/>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6"/>
          <w:rFonts w:hint="default" w:ascii="Times New Roman" w:hAnsi="Times New Roman" w:eastAsia="方正仿宋_GBK" w:cs="Times New Roman"/>
          <w:sz w:val="32"/>
          <w:szCs w:val="32"/>
          <w:shd w:val="clear" w:color="auto" w:fill="FFFFFF"/>
        </w:rPr>
        <w:t> </w:t>
      </w:r>
      <w:r>
        <w:rPr>
          <w:rStyle w:val="6"/>
          <w:rFonts w:hint="default" w:ascii="Times New Roman" w:hAnsi="Times New Roman" w:eastAsia="楷体" w:cs="Times New Roman"/>
          <w:sz w:val="32"/>
          <w:szCs w:val="32"/>
          <w:shd w:val="clear" w:color="auto" w:fill="FFFFFF"/>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4"/>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6"/>
          <w:rFonts w:hint="default" w:ascii="Times New Roman" w:hAnsi="Times New Roman" w:eastAsia="方正仿宋_GBK" w:cs="Times New Roman"/>
          <w:sz w:val="32"/>
          <w:szCs w:val="32"/>
          <w:shd w:val="clear" w:color="auto" w:fill="FFFFFF"/>
        </w:rPr>
        <w:t> </w:t>
      </w:r>
      <w:r>
        <w:rPr>
          <w:rStyle w:val="6"/>
          <w:rFonts w:hint="default" w:ascii="Times New Roman" w:hAnsi="Times New Roman" w:eastAsia="楷体" w:cs="Times New Roman"/>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4"/>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6"/>
          <w:rFonts w:hint="default" w:ascii="Times New Roman" w:hAnsi="Times New Roman" w:eastAsia="方正仿宋_GBK" w:cs="Times New Roman"/>
          <w:sz w:val="32"/>
          <w:szCs w:val="32"/>
          <w:shd w:val="clear" w:color="auto" w:fill="FFFFFF"/>
        </w:rPr>
        <w:t> </w:t>
      </w:r>
      <w:r>
        <w:rPr>
          <w:rStyle w:val="6"/>
          <w:rFonts w:hint="default" w:ascii="Times New Roman" w:hAnsi="Times New Roman" w:eastAsia="楷体" w:cs="Times New Roman"/>
          <w:sz w:val="32"/>
          <w:szCs w:val="32"/>
          <w:shd w:val="clear" w:color="auto" w:fill="FFFFFF"/>
        </w:rPr>
        <w:t>（十二）“三公”经费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4"/>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6"/>
          <w:rFonts w:hint="default" w:ascii="Times New Roman" w:hAnsi="Times New Roman" w:eastAsia="方正仿宋_GBK" w:cs="Times New Roman"/>
          <w:sz w:val="32"/>
          <w:szCs w:val="32"/>
          <w:shd w:val="clear" w:color="auto" w:fill="FFFFFF"/>
        </w:rPr>
        <w:t> </w:t>
      </w:r>
      <w:r>
        <w:rPr>
          <w:rStyle w:val="6"/>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4"/>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6"/>
          <w:rFonts w:hint="default" w:ascii="Times New Roman" w:hAnsi="Times New Roman" w:eastAsia="方正仿宋_GBK" w:cs="Times New Roman"/>
          <w:sz w:val="32"/>
          <w:szCs w:val="32"/>
          <w:shd w:val="clear" w:color="auto" w:fill="FFFFFF"/>
        </w:rPr>
        <w:t> </w:t>
      </w:r>
      <w:r>
        <w:rPr>
          <w:rStyle w:val="6"/>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4"/>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6"/>
          <w:rFonts w:hint="default" w:ascii="Times New Roman" w:hAnsi="Times New Roman" w:eastAsia="方正仿宋_GBK" w:cs="Times New Roman"/>
          <w:sz w:val="32"/>
          <w:szCs w:val="32"/>
          <w:shd w:val="clear" w:color="auto" w:fill="FFFFFF"/>
        </w:rPr>
        <w:t> </w:t>
      </w:r>
      <w:r>
        <w:rPr>
          <w:rStyle w:val="6"/>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4"/>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6"/>
          <w:rFonts w:hint="default" w:ascii="Times New Roman" w:hAnsi="Times New Roman" w:eastAsia="楷体" w:cs="Times New Roman"/>
          <w:sz w:val="32"/>
          <w:szCs w:val="32"/>
          <w:shd w:val="clear" w:color="auto" w:fill="FFFFFF"/>
        </w:rPr>
        <w:t> （十六）对个人和家庭的补助（支出经济分类科目类级）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pPr>
        <w:pStyle w:val="4"/>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6"/>
          <w:rFonts w:hint="default" w:ascii="Times New Roman" w:hAnsi="Times New Roman" w:eastAsia="方正仿宋_GBK" w:cs="Times New Roman"/>
          <w:sz w:val="32"/>
          <w:szCs w:val="32"/>
          <w:shd w:val="clear" w:color="auto" w:fill="FFFFFF"/>
        </w:rPr>
        <w:t> </w:t>
      </w:r>
      <w:r>
        <w:rPr>
          <w:rStyle w:val="6"/>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4"/>
        <w:shd w:val="clear" w:color="auto" w:fill="FFFFFF"/>
        <w:rPr>
          <w:rStyle w:val="6"/>
          <w:rFonts w:hint="default" w:ascii="Times New Roman" w:hAnsi="Times New Roman" w:eastAsia="方正仿宋_GBK" w:cs="Times New Roman"/>
          <w:sz w:val="32"/>
          <w:szCs w:val="32"/>
          <w:shd w:val="clear" w:color="auto" w:fill="FFFFFF"/>
        </w:rPr>
      </w:pPr>
      <w:r>
        <w:rPr>
          <w:rStyle w:val="6"/>
          <w:rFonts w:hint="default" w:ascii="Times New Roman" w:hAnsi="Times New Roman" w:eastAsia="方正仿宋_GBK" w:cs="Times New Roman"/>
          <w:sz w:val="32"/>
          <w:szCs w:val="32"/>
          <w:shd w:val="clear" w:color="auto" w:fill="FFFFFF"/>
        </w:rPr>
        <w:t xml:space="preserve">  </w:t>
      </w:r>
      <w:r>
        <w:rPr>
          <w:rStyle w:val="6"/>
          <w:rFonts w:hint="default" w:ascii="Times New Roman" w:hAnsi="Times New Roman" w:eastAsia="黑体" w:cs="Times New Roman"/>
          <w:sz w:val="32"/>
          <w:szCs w:val="32"/>
          <w:shd w:val="clear" w:color="auto" w:fill="FFFFFF"/>
        </w:rPr>
        <w:t>七、决算公开联系方式及信息反馈渠道</w:t>
      </w:r>
    </w:p>
    <w:p>
      <w:pPr>
        <w:pStyle w:val="4"/>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kern w:val="2"/>
          <w:sz w:val="32"/>
          <w:szCs w:val="32"/>
          <w:highlight w:val="yellow"/>
          <w:shd w:val="clear" w:color="auto" w:fill="FFFFFF"/>
          <w:lang w:val="en-US" w:eastAsia="zh-CN" w:bidi="ar-SA"/>
        </w:rPr>
      </w:pPr>
      <w:r>
        <w:rPr>
          <w:rFonts w:hint="default" w:ascii="Times New Roman" w:hAnsi="Times New Roman" w:eastAsia="方正仿宋_GBK" w:cs="Times New Roman"/>
          <w:sz w:val="32"/>
          <w:szCs w:val="32"/>
          <w:shd w:val="clear" w:color="auto" w:fill="FFFFFF"/>
        </w:rPr>
        <w:t>本单位决算公开信息反馈和联系方式：</w:t>
      </w:r>
      <w:r>
        <w:rPr>
          <w:rFonts w:hint="eastAsia" w:ascii="Times New Roman" w:hAnsi="Times New Roman" w:eastAsia="方正仿宋_GBK"/>
          <w:bCs/>
          <w:sz w:val="32"/>
          <w:szCs w:val="32"/>
          <w:lang w:eastAsia="zh-CN"/>
        </w:rPr>
        <w:t>贾黎</w:t>
      </w:r>
      <w:r>
        <w:rPr>
          <w:rFonts w:ascii="Times New Roman" w:hAnsi="Times New Roman" w:eastAsia="方正仿宋_GBK"/>
          <w:bCs/>
          <w:sz w:val="32"/>
          <w:szCs w:val="32"/>
        </w:rPr>
        <w:t>023-</w:t>
      </w:r>
      <w:r>
        <w:rPr>
          <w:rFonts w:hint="eastAsia" w:ascii="Times New Roman" w:hAnsi="Times New Roman" w:eastAsia="方正仿宋_GBK"/>
          <w:bCs/>
          <w:sz w:val="32"/>
          <w:szCs w:val="32"/>
          <w:lang w:val="en-US" w:eastAsia="zh-CN"/>
        </w:rPr>
        <w:t>45517021</w:t>
      </w:r>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default"/>
                            </w:rPr>
                          </w:pPr>
                          <w:r>
                            <w:fldChar w:fldCharType="begin"/>
                          </w:r>
                          <w:r>
                            <w:instrText xml:space="preserve"> PAGE  \* MERGEFORMAT </w:instrText>
                          </w:r>
                          <w:r>
                            <w:fldChar w:fldCharType="separate"/>
                          </w:r>
                          <w:r>
                            <w:rPr>
                              <w:rFonts w:hint="default"/>
                            </w:rPr>
                            <w:t>- 24 -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2"/>
                      <w:rPr>
                        <w:rFonts w:hint="default"/>
                      </w:rPr>
                    </w:pPr>
                    <w:r>
                      <w:fldChar w:fldCharType="begin"/>
                    </w:r>
                    <w:r>
                      <w:instrText xml:space="preserve"> PAGE  \* MERGEFORMAT </w:instrText>
                    </w:r>
                    <w:r>
                      <w:fldChar w:fldCharType="separate"/>
                    </w:r>
                    <w:r>
                      <w:rPr>
                        <w:rFonts w:hint="default"/>
                      </w:rPr>
                      <w:t>- 24 -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2607D4"/>
    <w:multiLevelType w:val="singleLevel"/>
    <w:tmpl w:val="D42607D4"/>
    <w:lvl w:ilvl="0" w:tentative="0">
      <w:start w:val="5"/>
      <w:numFmt w:val="chineseCounting"/>
      <w:suff w:val="nothing"/>
      <w:lvlText w:val="%1、"/>
      <w:lvlJc w:val="left"/>
      <w:rPr>
        <w:rFonts w:hint="eastAsia"/>
      </w:rPr>
    </w:lvl>
  </w:abstractNum>
  <w:abstractNum w:abstractNumId="1">
    <w:nsid w:val="0BF7E32D"/>
    <w:multiLevelType w:val="singleLevel"/>
    <w:tmpl w:val="0BF7E32D"/>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2YThjZjZkZDUwMDQzMTU2OWE4NDRlYTg4MmE2ZDcifQ=="/>
  </w:docVars>
  <w:rsids>
    <w:rsidRoot w:val="00000000"/>
    <w:rsid w:val="002043B6"/>
    <w:rsid w:val="026C64A4"/>
    <w:rsid w:val="027A12A2"/>
    <w:rsid w:val="02966EFA"/>
    <w:rsid w:val="02A73BD6"/>
    <w:rsid w:val="02D45050"/>
    <w:rsid w:val="036D7B71"/>
    <w:rsid w:val="038C32FA"/>
    <w:rsid w:val="042028A7"/>
    <w:rsid w:val="045C1232"/>
    <w:rsid w:val="05355B4E"/>
    <w:rsid w:val="055E50A5"/>
    <w:rsid w:val="05C67A45"/>
    <w:rsid w:val="05CA098C"/>
    <w:rsid w:val="075A4DDA"/>
    <w:rsid w:val="07646C35"/>
    <w:rsid w:val="091066B6"/>
    <w:rsid w:val="0942445D"/>
    <w:rsid w:val="0A822DDE"/>
    <w:rsid w:val="0AB45767"/>
    <w:rsid w:val="0AC94A31"/>
    <w:rsid w:val="0B552AA6"/>
    <w:rsid w:val="0B9A5D73"/>
    <w:rsid w:val="0BC83278"/>
    <w:rsid w:val="0C1B1FC3"/>
    <w:rsid w:val="0C4E722F"/>
    <w:rsid w:val="0C6B19FA"/>
    <w:rsid w:val="0C9F66CF"/>
    <w:rsid w:val="0CD53115"/>
    <w:rsid w:val="0CD85D05"/>
    <w:rsid w:val="0D304119"/>
    <w:rsid w:val="0D7C07BE"/>
    <w:rsid w:val="0EA746EC"/>
    <w:rsid w:val="0ECA5559"/>
    <w:rsid w:val="0F781C7A"/>
    <w:rsid w:val="10020D18"/>
    <w:rsid w:val="10305890"/>
    <w:rsid w:val="10AF2C58"/>
    <w:rsid w:val="11146F5F"/>
    <w:rsid w:val="11BE2CEB"/>
    <w:rsid w:val="11C6025A"/>
    <w:rsid w:val="12705D86"/>
    <w:rsid w:val="12A06977"/>
    <w:rsid w:val="13017C0B"/>
    <w:rsid w:val="13C62793"/>
    <w:rsid w:val="150A66AF"/>
    <w:rsid w:val="15714921"/>
    <w:rsid w:val="15C302DE"/>
    <w:rsid w:val="172C0FE6"/>
    <w:rsid w:val="176C743C"/>
    <w:rsid w:val="177D0595"/>
    <w:rsid w:val="17A915FE"/>
    <w:rsid w:val="17D84B21"/>
    <w:rsid w:val="18ED6A14"/>
    <w:rsid w:val="1902158A"/>
    <w:rsid w:val="198F3627"/>
    <w:rsid w:val="1A142AF7"/>
    <w:rsid w:val="1A771084"/>
    <w:rsid w:val="1AA475A6"/>
    <w:rsid w:val="1ADD3E8C"/>
    <w:rsid w:val="1AEB5497"/>
    <w:rsid w:val="1BE905B2"/>
    <w:rsid w:val="1C7134B8"/>
    <w:rsid w:val="1D3D339A"/>
    <w:rsid w:val="1D8B05A9"/>
    <w:rsid w:val="1DA861B1"/>
    <w:rsid w:val="1DDA12AA"/>
    <w:rsid w:val="1E4E1D03"/>
    <w:rsid w:val="1E7E685F"/>
    <w:rsid w:val="1E82375A"/>
    <w:rsid w:val="1EBD130D"/>
    <w:rsid w:val="1EE7180F"/>
    <w:rsid w:val="1EEB3A1F"/>
    <w:rsid w:val="1F3031B6"/>
    <w:rsid w:val="1F505275"/>
    <w:rsid w:val="1FE305D3"/>
    <w:rsid w:val="207215AC"/>
    <w:rsid w:val="20B971DB"/>
    <w:rsid w:val="20D50CB4"/>
    <w:rsid w:val="20EA3839"/>
    <w:rsid w:val="21433934"/>
    <w:rsid w:val="21651998"/>
    <w:rsid w:val="21C2667B"/>
    <w:rsid w:val="21ED78FA"/>
    <w:rsid w:val="22372AAE"/>
    <w:rsid w:val="22D577F6"/>
    <w:rsid w:val="22E220F1"/>
    <w:rsid w:val="233A4603"/>
    <w:rsid w:val="234A33D6"/>
    <w:rsid w:val="2378512C"/>
    <w:rsid w:val="239857CE"/>
    <w:rsid w:val="243B244C"/>
    <w:rsid w:val="247E2C16"/>
    <w:rsid w:val="248630E0"/>
    <w:rsid w:val="251033B9"/>
    <w:rsid w:val="251B2213"/>
    <w:rsid w:val="26523912"/>
    <w:rsid w:val="273D53E3"/>
    <w:rsid w:val="27455C6D"/>
    <w:rsid w:val="27483874"/>
    <w:rsid w:val="277A156A"/>
    <w:rsid w:val="277F2F2D"/>
    <w:rsid w:val="284E3083"/>
    <w:rsid w:val="28E31299"/>
    <w:rsid w:val="28EB4A94"/>
    <w:rsid w:val="29565F0F"/>
    <w:rsid w:val="29B93A13"/>
    <w:rsid w:val="2ACA1641"/>
    <w:rsid w:val="2B0100FD"/>
    <w:rsid w:val="2B3758CC"/>
    <w:rsid w:val="2B38501B"/>
    <w:rsid w:val="2B7B1F76"/>
    <w:rsid w:val="2B824D9A"/>
    <w:rsid w:val="2BB25380"/>
    <w:rsid w:val="2CCB6C14"/>
    <w:rsid w:val="2CE26F23"/>
    <w:rsid w:val="2D74780B"/>
    <w:rsid w:val="2DAA05D8"/>
    <w:rsid w:val="2E04418C"/>
    <w:rsid w:val="2E095E04"/>
    <w:rsid w:val="2E0D090C"/>
    <w:rsid w:val="2E0E6DB8"/>
    <w:rsid w:val="2E831A06"/>
    <w:rsid w:val="2E833798"/>
    <w:rsid w:val="2EAF10D3"/>
    <w:rsid w:val="2EB72FAC"/>
    <w:rsid w:val="2EB94F41"/>
    <w:rsid w:val="2EC036AA"/>
    <w:rsid w:val="2F2F348A"/>
    <w:rsid w:val="2FCF4A69"/>
    <w:rsid w:val="2FDF17A0"/>
    <w:rsid w:val="300A7A53"/>
    <w:rsid w:val="30847806"/>
    <w:rsid w:val="30C8167B"/>
    <w:rsid w:val="30DC1B60"/>
    <w:rsid w:val="31CA56EC"/>
    <w:rsid w:val="31FC33CC"/>
    <w:rsid w:val="326C3B92"/>
    <w:rsid w:val="32807B59"/>
    <w:rsid w:val="32BB2C20"/>
    <w:rsid w:val="32D47F9A"/>
    <w:rsid w:val="343D03F7"/>
    <w:rsid w:val="352E65A7"/>
    <w:rsid w:val="35BE7A14"/>
    <w:rsid w:val="35DF75C0"/>
    <w:rsid w:val="377D0B0B"/>
    <w:rsid w:val="37CD1DE7"/>
    <w:rsid w:val="37EE7A0C"/>
    <w:rsid w:val="38F117B0"/>
    <w:rsid w:val="392A4B94"/>
    <w:rsid w:val="392F4087"/>
    <w:rsid w:val="39381001"/>
    <w:rsid w:val="397A08A5"/>
    <w:rsid w:val="39C733A1"/>
    <w:rsid w:val="39F257A2"/>
    <w:rsid w:val="3A2666EE"/>
    <w:rsid w:val="3A5F5FD4"/>
    <w:rsid w:val="3AB676A8"/>
    <w:rsid w:val="3BB05953"/>
    <w:rsid w:val="3D201BEB"/>
    <w:rsid w:val="3D3B454A"/>
    <w:rsid w:val="3DC2196D"/>
    <w:rsid w:val="3E4D7489"/>
    <w:rsid w:val="3F5B0661"/>
    <w:rsid w:val="40010227"/>
    <w:rsid w:val="406D6196"/>
    <w:rsid w:val="431A1904"/>
    <w:rsid w:val="43645A60"/>
    <w:rsid w:val="43ED10CC"/>
    <w:rsid w:val="44321EB7"/>
    <w:rsid w:val="444E5D13"/>
    <w:rsid w:val="44A721AF"/>
    <w:rsid w:val="44D31A1B"/>
    <w:rsid w:val="44F65E64"/>
    <w:rsid w:val="45321762"/>
    <w:rsid w:val="4550160D"/>
    <w:rsid w:val="462066D5"/>
    <w:rsid w:val="46671231"/>
    <w:rsid w:val="46F72688"/>
    <w:rsid w:val="46FD7B99"/>
    <w:rsid w:val="473A5141"/>
    <w:rsid w:val="476B0980"/>
    <w:rsid w:val="47790AE2"/>
    <w:rsid w:val="482873DF"/>
    <w:rsid w:val="489C2980"/>
    <w:rsid w:val="49B02B04"/>
    <w:rsid w:val="4A471230"/>
    <w:rsid w:val="4B38326F"/>
    <w:rsid w:val="4B8464B4"/>
    <w:rsid w:val="4BEB208F"/>
    <w:rsid w:val="4C2D4456"/>
    <w:rsid w:val="4C9E4055"/>
    <w:rsid w:val="4CA46E0E"/>
    <w:rsid w:val="4E323FA5"/>
    <w:rsid w:val="4EF8382B"/>
    <w:rsid w:val="4F5C6639"/>
    <w:rsid w:val="4F8D5360"/>
    <w:rsid w:val="4FF03F9B"/>
    <w:rsid w:val="500D0826"/>
    <w:rsid w:val="50430A44"/>
    <w:rsid w:val="50AC44E3"/>
    <w:rsid w:val="51AF0917"/>
    <w:rsid w:val="525210BA"/>
    <w:rsid w:val="52C674D8"/>
    <w:rsid w:val="52DD4E28"/>
    <w:rsid w:val="52DE294E"/>
    <w:rsid w:val="534704F3"/>
    <w:rsid w:val="537136D2"/>
    <w:rsid w:val="537B019D"/>
    <w:rsid w:val="5399404E"/>
    <w:rsid w:val="54161C73"/>
    <w:rsid w:val="551A1EC8"/>
    <w:rsid w:val="551B2419"/>
    <w:rsid w:val="561D6DAD"/>
    <w:rsid w:val="56DC71A4"/>
    <w:rsid w:val="58305A91"/>
    <w:rsid w:val="585D70BF"/>
    <w:rsid w:val="58A54A78"/>
    <w:rsid w:val="58DC21E7"/>
    <w:rsid w:val="58E97957"/>
    <w:rsid w:val="593054FB"/>
    <w:rsid w:val="59FC0CE8"/>
    <w:rsid w:val="5A4A08C9"/>
    <w:rsid w:val="5A6E5BC5"/>
    <w:rsid w:val="5A8C74A6"/>
    <w:rsid w:val="5C160A14"/>
    <w:rsid w:val="5DC551B0"/>
    <w:rsid w:val="5E2B7481"/>
    <w:rsid w:val="5E3B0FF8"/>
    <w:rsid w:val="5F4E4434"/>
    <w:rsid w:val="5F9745B0"/>
    <w:rsid w:val="60350178"/>
    <w:rsid w:val="60A96349"/>
    <w:rsid w:val="60B821C4"/>
    <w:rsid w:val="60E62747"/>
    <w:rsid w:val="61572249"/>
    <w:rsid w:val="61B442E6"/>
    <w:rsid w:val="62E33669"/>
    <w:rsid w:val="631636F6"/>
    <w:rsid w:val="63195ED6"/>
    <w:rsid w:val="64833355"/>
    <w:rsid w:val="66576AAB"/>
    <w:rsid w:val="66B45A48"/>
    <w:rsid w:val="66F03E05"/>
    <w:rsid w:val="671464E6"/>
    <w:rsid w:val="673D5A3D"/>
    <w:rsid w:val="68442FC0"/>
    <w:rsid w:val="699346E7"/>
    <w:rsid w:val="6AEB1816"/>
    <w:rsid w:val="6B6F33E6"/>
    <w:rsid w:val="6C6475C8"/>
    <w:rsid w:val="6C8B4A8D"/>
    <w:rsid w:val="6D521EF3"/>
    <w:rsid w:val="6DA81E2E"/>
    <w:rsid w:val="6DC55E69"/>
    <w:rsid w:val="6E14501E"/>
    <w:rsid w:val="6E7E4132"/>
    <w:rsid w:val="6E8D72AA"/>
    <w:rsid w:val="6FB81FE1"/>
    <w:rsid w:val="700C2451"/>
    <w:rsid w:val="705C3EB1"/>
    <w:rsid w:val="70D76905"/>
    <w:rsid w:val="723839D1"/>
    <w:rsid w:val="726A345E"/>
    <w:rsid w:val="72844616"/>
    <w:rsid w:val="728564EA"/>
    <w:rsid w:val="72B74068"/>
    <w:rsid w:val="73247AB1"/>
    <w:rsid w:val="73ED07EB"/>
    <w:rsid w:val="74561EEC"/>
    <w:rsid w:val="748C77B5"/>
    <w:rsid w:val="74B17A6A"/>
    <w:rsid w:val="754C32EF"/>
    <w:rsid w:val="75FB1E93"/>
    <w:rsid w:val="76037969"/>
    <w:rsid w:val="76E533F4"/>
    <w:rsid w:val="775B1CE0"/>
    <w:rsid w:val="777803CC"/>
    <w:rsid w:val="77D71596"/>
    <w:rsid w:val="781F6570"/>
    <w:rsid w:val="78F36E0F"/>
    <w:rsid w:val="79273811"/>
    <w:rsid w:val="794D6E35"/>
    <w:rsid w:val="79570BE0"/>
    <w:rsid w:val="7A060C8C"/>
    <w:rsid w:val="7B1F5CAB"/>
    <w:rsid w:val="7B272C96"/>
    <w:rsid w:val="7B4C5DF7"/>
    <w:rsid w:val="7B566C76"/>
    <w:rsid w:val="7C1A3611"/>
    <w:rsid w:val="7CAD6D69"/>
    <w:rsid w:val="7D8C2E23"/>
    <w:rsid w:val="7DB163E5"/>
    <w:rsid w:val="7DDF11A4"/>
    <w:rsid w:val="7EB63E83"/>
    <w:rsid w:val="7EE54599"/>
    <w:rsid w:val="7EEE6ED6"/>
    <w:rsid w:val="7F397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4">
    <w:name w:val="Normal (Web)"/>
    <w:basedOn w:val="1"/>
    <w:unhideWhenUsed/>
    <w:qFormat/>
    <w:uiPriority w:val="0"/>
    <w:pPr>
      <w:spacing w:before="100" w:beforeAutospacing="1" w:after="100" w:afterAutospacing="1"/>
    </w:pPr>
  </w:style>
  <w:style w:type="character" w:styleId="6">
    <w:name w:val="Strong"/>
    <w:qFormat/>
    <w:uiPriority w:val="0"/>
    <w:rPr>
      <w:b/>
    </w:rPr>
  </w:style>
  <w:style w:type="paragraph" w:customStyle="1" w:styleId="8">
    <w:name w:val="列出段落1"/>
    <w:basedOn w:val="1"/>
    <w:qFormat/>
    <w:uiPriority w:val="99"/>
    <w:pPr>
      <w:ind w:firstLine="420" w:firstLineChars="200"/>
    </w:pPr>
    <w:rPr>
      <w:rFonts w:hint="default"/>
    </w:rPr>
  </w:style>
  <w:style w:type="paragraph" w:customStyle="1" w:styleId="9">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0">
    <w:name w:val="21"/>
    <w:qFormat/>
    <w:uiPriority w:val="0"/>
    <w:rPr>
      <w:rFonts w:hint="default" w:ascii="Wingdings" w:hAnsi="Wingdings" w:cs="Wingdings"/>
      <w:b/>
      <w:bCs/>
    </w:rPr>
  </w:style>
  <w:style w:type="paragraph" w:customStyle="1" w:styleId="11">
    <w:name w:val="列出段落2"/>
    <w:qFormat/>
    <w:uiPriority w:val="99"/>
    <w:pPr>
      <w:ind w:firstLine="420" w:firstLineChars="200"/>
    </w:pPr>
    <w:rPr>
      <w:rFonts w:ascii="宋体" w:hAnsi="宋体" w:eastAsia="宋体" w:cs="Times New Roman"/>
      <w:sz w:val="24"/>
      <w:szCs w:val="24"/>
      <w:lang w:val="en-US" w:eastAsia="zh-CN" w:bidi="ar-SA"/>
    </w:rPr>
  </w:style>
  <w:style w:type="paragraph" w:customStyle="1" w:styleId="12">
    <w:name w:val="Normal (Web)"/>
    <w:basedOn w:val="1"/>
    <w:qFormat/>
    <w:uiPriority w:val="0"/>
    <w:pPr>
      <w:spacing w:before="100" w:beforeLines="0" w:beforeAutospacing="1" w:after="100" w:afterLines="0" w:afterAutospacing="1"/>
    </w:pPr>
  </w:style>
  <w:style w:type="paragraph" w:styleId="13">
    <w:name w:val="List Paragraph"/>
    <w:basedOn w:val="1"/>
    <w:qFormat/>
    <w:uiPriority w:val="0"/>
    <w:pPr>
      <w:ind w:firstLine="420" w:firstLineChars="200"/>
    </w:pPr>
  </w:style>
  <w:style w:type="paragraph" w:customStyle="1" w:styleId="14">
    <w:name w:val="p15"/>
    <w:basedOn w:val="1"/>
    <w:qFormat/>
    <w:uiPriority w:val="0"/>
    <w:pPr>
      <w:widowControl/>
      <w:spacing w:before="100" w:after="100"/>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6408</Words>
  <Characters>7108</Characters>
  <Lines>0</Lines>
  <Paragraphs>0</Paragraphs>
  <TotalTime>2</TotalTime>
  <ScaleCrop>false</ScaleCrop>
  <LinksUpToDate>false</LinksUpToDate>
  <CharactersWithSpaces>7177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2024-09-13T07:00:00Z</dcterms:created>
  <dc:creator>hp99</dc:creator>
  <cp:lastModifiedBy>Administrator</cp:lastModifiedBy>
  <dcterms:modified xsi:type="dcterms:W3CDTF">2024-11-01T02:21:54Z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5B2457A174B844D58468F071F6C5720D_12</vt:lpwstr>
  </property>
</Properties>
</file>