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B9A06">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重庆市铜梁区福果镇人民政府（本级）</w:t>
      </w:r>
    </w:p>
    <w:p w14:paraId="6A376FFB">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01D2A9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基本情况</w:t>
      </w:r>
    </w:p>
    <w:p w14:paraId="2FB91598">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6AC1871A">
      <w:pPr>
        <w:pStyle w:val="5"/>
        <w:keepNext w:val="0"/>
        <w:keepLines w:val="0"/>
        <w:pageBreakBefore w:val="0"/>
        <w:shd w:val="clear" w:color="auto" w:fill="FFFFFF"/>
        <w:kinsoku/>
        <w:wordWrap/>
        <w:overflowPunct/>
        <w:topLinePunct w:val="0"/>
        <w:autoSpaceDN/>
        <w:bidi w:val="0"/>
        <w:adjustRightInd/>
        <w:snapToGrid/>
        <w:spacing w:beforeAutospacing="0" w:afterAutospacing="0" w:line="594" w:lineRule="exact"/>
        <w:ind w:firstLine="42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一是贯彻执行党和国家的方针政策、法律法规和区委</w:t>
      </w:r>
      <w:bookmarkStart w:id="0" w:name="_GoBack"/>
      <w:bookmarkEnd w:id="0"/>
      <w:r>
        <w:rPr>
          <w:rFonts w:hint="default" w:ascii="Times New Roman" w:hAnsi="Times New Roman" w:eastAsia="方正仿宋_GBK" w:cs="Times New Roman"/>
          <w:b w:val="0"/>
          <w:bCs w:val="0"/>
          <w:sz w:val="32"/>
          <w:szCs w:val="32"/>
          <w:lang w:val="en-US" w:eastAsia="zh-CN" w:bidi="ar-SA"/>
        </w:rPr>
        <w:t>、区政府的决定、指示；负责政策法规宣传服务。二是统筹</w:t>
      </w:r>
      <w:r>
        <w:rPr>
          <w:rFonts w:hint="eastAsia" w:ascii="Times New Roman" w:hAnsi="Times New Roman" w:eastAsia="方正仿宋_GBK" w:cs="Times New Roman"/>
          <w:b w:val="0"/>
          <w:bCs w:val="0"/>
          <w:sz w:val="32"/>
          <w:szCs w:val="32"/>
          <w:lang w:val="en-US" w:eastAsia="zh-CN" w:bidi="ar-SA"/>
        </w:rPr>
        <w:t>负责</w:t>
      </w:r>
      <w:r>
        <w:rPr>
          <w:rFonts w:hint="default" w:ascii="Times New Roman" w:hAnsi="Times New Roman" w:eastAsia="方正仿宋_GBK" w:cs="Times New Roman"/>
          <w:b w:val="0"/>
          <w:bCs w:val="0"/>
          <w:sz w:val="32"/>
          <w:szCs w:val="32"/>
          <w:lang w:val="en-US" w:eastAsia="zh-CN" w:bidi="ar-SA"/>
        </w:rPr>
        <w:t>一体化智治平台运行管理相关工作，承担基层治理指挥中心运行监测、分析研判、协同流转、应急指挥、督查考核等职责，负责综合协调、文件收发、政务公开、后勤管理、机要保密等工作。三是统筹负责党的政治建设、思想建设、组织建设、作风建设、纪律建设、制度建设和反腐败斗争、民主法治、意识形态、精神文明</w:t>
      </w:r>
      <w:r>
        <w:rPr>
          <w:rFonts w:hint="eastAsia" w:ascii="Times New Roman" w:hAnsi="Times New Roman" w:eastAsia="方正仿宋_GBK" w:cs="Times New Roman"/>
          <w:b w:val="0"/>
          <w:bCs w:val="0"/>
          <w:sz w:val="32"/>
          <w:szCs w:val="32"/>
          <w:lang w:val="en-US" w:eastAsia="zh-CN" w:bidi="ar-SA"/>
        </w:rPr>
        <w:t>建设</w:t>
      </w:r>
      <w:r>
        <w:rPr>
          <w:rFonts w:hint="default" w:ascii="Times New Roman" w:hAnsi="Times New Roman" w:eastAsia="方正仿宋_GBK" w:cs="Times New Roman"/>
          <w:b w:val="0"/>
          <w:bCs w:val="0"/>
          <w:sz w:val="32"/>
          <w:szCs w:val="32"/>
          <w:lang w:val="en-US" w:eastAsia="zh-CN" w:bidi="ar-SA"/>
        </w:rPr>
        <w:t>、统一战线、民宗侨台、群众团体、人大政协联络等领域工作。四是统筹负责经济发展、辖区规划建设、生态环境、农业农村、乡村振兴、财政管理、经济社会统计等领域工作。五是统筹负责民政、教育、文化、卫生健康、体育、劳动就业、残疾人事业、退役军人服务等领域工作，负责落实社会保险、社会救助、社会福利、优抚安置等社会保障政策。六是统筹负责平安综治、应急管理、安全生产综合监管、综合执法、信访稳定、防范和处理邪教、人民武装、社会治理等领域工作。七是完成区委、区政府部署的各项任务。</w:t>
      </w:r>
    </w:p>
    <w:p w14:paraId="7BC63450">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73340372">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重庆市铜梁区福果镇人民政府（本级）内设5个机构处室，分别是基层治理综合指挥室、党的建设办公室、经济发展办公室、民生服务办公室、平安法治办公室。</w:t>
      </w:r>
    </w:p>
    <w:p w14:paraId="312DBF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14:paraId="18F5BFE7">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1A8B9280">
      <w:pPr>
        <w:pStyle w:val="5"/>
        <w:keepNext w:val="0"/>
        <w:keepLines w:val="0"/>
        <w:pageBreakBefore w:val="0"/>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度收入总计1891.74万元，支出总计</w:t>
      </w:r>
      <w:r>
        <w:rPr>
          <w:rFonts w:hint="default" w:ascii="Times New Roman" w:hAnsi="Times New Roman" w:eastAsia="方正仿宋_GBK" w:cs="Times New Roman"/>
          <w:b w:val="0"/>
          <w:bCs w:val="0"/>
          <w:sz w:val="32"/>
          <w:szCs w:val="32"/>
        </w:rPr>
        <w:t>1891.74</w:t>
      </w:r>
      <w:r>
        <w:rPr>
          <w:rFonts w:hint="default" w:ascii="Times New Roman" w:hAnsi="Times New Roman" w:eastAsia="方正仿宋_GBK" w:cs="Times New Roman"/>
          <w:b w:val="0"/>
          <w:bCs w:val="0"/>
          <w:sz w:val="32"/>
          <w:szCs w:val="32"/>
          <w:shd w:val="clear" w:color="auto" w:fill="FFFFFF"/>
        </w:rPr>
        <w:t>万元。收、支与2023年度相比，减少1310.33万元，下降40.9%，主要原因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rPr>
        <w:t>2024年按照财政局要求将原统计在机关本级的事业单位划分为7个账套单独核算，故较上年度减少事业单位相关收入共计906.37万元；</w:t>
      </w:r>
      <w:r>
        <w:rPr>
          <w:rFonts w:hint="default" w:ascii="Times New Roman" w:hAnsi="Times New Roman" w:eastAsia="方正仿宋_GBK" w:cs="Times New Roman"/>
          <w:b w:val="0"/>
          <w:bCs w:val="0"/>
          <w:sz w:val="32"/>
          <w:szCs w:val="32"/>
          <w:shd w:val="clear" w:color="auto" w:fill="FFFFFF"/>
          <w:lang w:eastAsia="zh-CN"/>
        </w:rPr>
        <w:t>二是由于</w:t>
      </w:r>
      <w:r>
        <w:rPr>
          <w:rFonts w:hint="default" w:ascii="Times New Roman" w:hAnsi="Times New Roman" w:eastAsia="方正仿宋_GBK" w:cs="Times New Roman"/>
          <w:b w:val="0"/>
          <w:bCs w:val="0"/>
          <w:sz w:val="32"/>
          <w:szCs w:val="32"/>
          <w:shd w:val="clear" w:color="auto" w:fill="FFFFFF"/>
        </w:rPr>
        <w:t>财政资金紧张，部分预算资金未能全部收入，故本年收入较上年度减少1310.33万元</w:t>
      </w:r>
      <w:r>
        <w:rPr>
          <w:rFonts w:hint="default" w:ascii="Times New Roman" w:hAnsi="Times New Roman" w:eastAsia="方正仿宋_GBK" w:cs="Times New Roman"/>
          <w:b w:val="0"/>
          <w:bCs w:val="0"/>
          <w:sz w:val="32"/>
          <w:szCs w:val="32"/>
          <w:shd w:val="clear" w:color="auto" w:fill="FFFFFF"/>
          <w:lang w:eastAsia="zh-CN"/>
        </w:rPr>
        <w:t>。</w:t>
      </w:r>
    </w:p>
    <w:p w14:paraId="25234534">
      <w:pPr>
        <w:pStyle w:val="5"/>
        <w:keepNext w:val="0"/>
        <w:keepLines w:val="0"/>
        <w:pageBreakBefore w:val="0"/>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度收入合计1891.74万元，与2023年度相比，减少1310.33万元，下降40.9%，</w:t>
      </w:r>
      <w:r>
        <w:rPr>
          <w:rFonts w:hint="default" w:ascii="Times New Roman" w:hAnsi="Times New Roman" w:eastAsia="方正仿宋_GBK" w:cs="Times New Roman"/>
          <w:b w:val="0"/>
          <w:bCs w:val="0"/>
          <w:sz w:val="32"/>
          <w:szCs w:val="32"/>
        </w:rPr>
        <w:t>主要原因</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rPr>
        <w:t>2024年按照财政局要求将原统计在机关本级的事业单位划分为7个账套单独核算，故较上年度减少事业单位相关收入共计906.37万元；</w:t>
      </w:r>
      <w:r>
        <w:rPr>
          <w:rFonts w:hint="default" w:ascii="Times New Roman" w:hAnsi="Times New Roman" w:eastAsia="方正仿宋_GBK" w:cs="Times New Roman"/>
          <w:b w:val="0"/>
          <w:bCs w:val="0"/>
          <w:sz w:val="32"/>
          <w:szCs w:val="32"/>
          <w:lang w:eastAsia="zh-CN"/>
        </w:rPr>
        <w:t>二是由于</w:t>
      </w:r>
      <w:r>
        <w:rPr>
          <w:rFonts w:hint="default" w:ascii="Times New Roman" w:hAnsi="Times New Roman" w:eastAsia="方正仿宋_GBK" w:cs="Times New Roman"/>
          <w:b w:val="0"/>
          <w:bCs w:val="0"/>
          <w:sz w:val="32"/>
          <w:szCs w:val="32"/>
        </w:rPr>
        <w:t>财政资金紧张，部分预算资金未能全部收入，故本年收入较上年度减少1310.33万元</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其</w:t>
      </w:r>
      <w:r>
        <w:rPr>
          <w:rFonts w:hint="default" w:ascii="Times New Roman" w:hAnsi="Times New Roman" w:eastAsia="方正仿宋_GBK" w:cs="Times New Roman"/>
          <w:b w:val="0"/>
          <w:bCs w:val="0"/>
          <w:sz w:val="32"/>
          <w:szCs w:val="32"/>
          <w:shd w:val="clear" w:color="auto" w:fill="FFFFFF"/>
        </w:rPr>
        <w:t>中：财政拨款收入</w:t>
      </w:r>
      <w:r>
        <w:rPr>
          <w:rFonts w:hint="default" w:ascii="Times New Roman" w:hAnsi="Times New Roman" w:eastAsia="方正仿宋_GBK" w:cs="Times New Roman"/>
          <w:b w:val="0"/>
          <w:bCs w:val="0"/>
          <w:sz w:val="32"/>
          <w:szCs w:val="32"/>
        </w:rPr>
        <w:t>1891.74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437618AF">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1891.74</w:t>
      </w:r>
      <w:r>
        <w:rPr>
          <w:rFonts w:hint="default" w:ascii="Times New Roman" w:hAnsi="Times New Roman" w:eastAsia="方正仿宋_GBK" w:cs="Times New Roman"/>
          <w:b w:val="0"/>
          <w:bCs w:val="0"/>
          <w:sz w:val="32"/>
          <w:szCs w:val="32"/>
          <w:shd w:val="clear" w:color="auto" w:fill="FFFFFF"/>
        </w:rPr>
        <w:t>万元，与2023年度相比，减少1310.33万元，下降40.9%，主要原因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rPr>
        <w:t>2024年按照财政局要求将原统计在机关本级的事业单位划分为7个账套单独核算，故较上年度减少事业单位相关支出共计906.37万元；</w:t>
      </w:r>
      <w:r>
        <w:rPr>
          <w:rFonts w:hint="default" w:ascii="Times New Roman" w:hAnsi="Times New Roman" w:eastAsia="方正仿宋_GBK" w:cs="Times New Roman"/>
          <w:b w:val="0"/>
          <w:bCs w:val="0"/>
          <w:sz w:val="32"/>
          <w:szCs w:val="32"/>
          <w:shd w:val="clear" w:color="auto" w:fill="FFFFFF"/>
          <w:lang w:eastAsia="zh-CN"/>
        </w:rPr>
        <w:t>二是</w:t>
      </w:r>
      <w:r>
        <w:rPr>
          <w:rFonts w:hint="default" w:ascii="Times New Roman" w:hAnsi="Times New Roman" w:eastAsia="方正仿宋_GBK" w:cs="Times New Roman"/>
          <w:b w:val="0"/>
          <w:bCs w:val="0"/>
          <w:sz w:val="32"/>
          <w:szCs w:val="32"/>
          <w:shd w:val="clear" w:color="auto" w:fill="FFFFFF"/>
        </w:rPr>
        <w:t>由于财政资金紧张，部分预算资金未能全部收入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；三是</w:t>
      </w:r>
      <w:r>
        <w:rPr>
          <w:rFonts w:hint="default" w:ascii="Times New Roman" w:hAnsi="Times New Roman" w:eastAsia="方正仿宋_GBK" w:cs="Times New Roman"/>
          <w:b w:val="0"/>
          <w:bCs w:val="0"/>
          <w:sz w:val="32"/>
          <w:szCs w:val="32"/>
          <w:shd w:val="clear" w:color="auto" w:fill="FFFFFF"/>
        </w:rPr>
        <w:t>2024年新增两名退休公务员，故本年支出较上年度减少1310.33万元，其中：基本支出</w:t>
      </w:r>
      <w:r>
        <w:rPr>
          <w:rFonts w:hint="default" w:ascii="Times New Roman" w:hAnsi="Times New Roman" w:eastAsia="方正仿宋_GBK" w:cs="Times New Roman"/>
          <w:b w:val="0"/>
          <w:bCs w:val="0"/>
          <w:sz w:val="32"/>
          <w:szCs w:val="32"/>
        </w:rPr>
        <w:t>785.25</w:t>
      </w:r>
      <w:r>
        <w:rPr>
          <w:rFonts w:hint="default" w:ascii="Times New Roman" w:hAnsi="Times New Roman" w:eastAsia="方正仿宋_GBK" w:cs="Times New Roman"/>
          <w:b w:val="0"/>
          <w:bCs w:val="0"/>
          <w:sz w:val="32"/>
          <w:szCs w:val="32"/>
          <w:shd w:val="clear" w:color="auto" w:fill="FFFFFF"/>
        </w:rPr>
        <w:t>万元，占41.5%；项目支出</w:t>
      </w:r>
      <w:r>
        <w:rPr>
          <w:rFonts w:hint="default" w:ascii="Times New Roman" w:hAnsi="Times New Roman" w:eastAsia="方正仿宋_GBK" w:cs="Times New Roman"/>
          <w:b w:val="0"/>
          <w:bCs w:val="0"/>
          <w:sz w:val="32"/>
          <w:szCs w:val="32"/>
        </w:rPr>
        <w:t>1106.49</w:t>
      </w:r>
      <w:r>
        <w:rPr>
          <w:rFonts w:hint="default" w:ascii="Times New Roman" w:hAnsi="Times New Roman" w:eastAsia="方正仿宋_GBK" w:cs="Times New Roman"/>
          <w:b w:val="0"/>
          <w:bCs w:val="0"/>
          <w:sz w:val="32"/>
          <w:szCs w:val="32"/>
          <w:shd w:val="clear" w:color="auto" w:fill="FFFFFF"/>
        </w:rPr>
        <w:t>万元，占58.</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654665D4">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万元，与2023年度相比，无增减，主要原因是主要原因</w:t>
      </w:r>
      <w:r>
        <w:rPr>
          <w:rFonts w:hint="default" w:ascii="Times New Roman" w:hAnsi="Times New Roman" w:eastAsia="方正仿宋_GBK" w:cs="Times New Roman"/>
          <w:b w:val="0"/>
          <w:bCs w:val="0"/>
          <w:sz w:val="32"/>
          <w:szCs w:val="32"/>
          <w:shd w:val="clear" w:color="auto" w:fill="FFFFFF"/>
          <w:lang w:eastAsia="zh-CN"/>
        </w:rPr>
        <w:t>是本级财政为零基预算，每年滚动预算。</w:t>
      </w:r>
    </w:p>
    <w:p w14:paraId="32551A6A">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577EB298">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度财政拨款收、支总计1891.74万元。与202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年相比，财政拨款收、支总计各减少1310.33万元，下降40.9%。主要原因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rPr>
        <w:t>2024年按照财政局要求将原统计在机关本级的事业单位划分为7个账套单独核算，故较上年度减少事业单位相关</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支出共计906.37万元；</w:t>
      </w:r>
      <w:r>
        <w:rPr>
          <w:rFonts w:hint="default" w:ascii="Times New Roman" w:hAnsi="Times New Roman" w:eastAsia="方正仿宋_GBK" w:cs="Times New Roman"/>
          <w:b w:val="0"/>
          <w:bCs w:val="0"/>
          <w:sz w:val="32"/>
          <w:szCs w:val="32"/>
          <w:shd w:val="clear" w:color="auto" w:fill="FFFFFF"/>
          <w:lang w:eastAsia="zh-CN"/>
        </w:rPr>
        <w:t>二是</w:t>
      </w:r>
      <w:r>
        <w:rPr>
          <w:rFonts w:hint="default" w:ascii="Times New Roman" w:hAnsi="Times New Roman" w:eastAsia="方正仿宋_GBK" w:cs="Times New Roman"/>
          <w:b w:val="0"/>
          <w:bCs w:val="0"/>
          <w:sz w:val="32"/>
          <w:szCs w:val="32"/>
          <w:shd w:val="clear" w:color="auto" w:fill="FFFFFF"/>
        </w:rPr>
        <w:t>由于财政资金紧张，部分预算资金未能全部收入，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故相应支出减少；三是</w:t>
      </w:r>
      <w:r>
        <w:rPr>
          <w:rFonts w:hint="default" w:ascii="Times New Roman" w:hAnsi="Times New Roman" w:eastAsia="方正仿宋_GBK" w:cs="Times New Roman"/>
          <w:b w:val="0"/>
          <w:bCs w:val="0"/>
          <w:sz w:val="32"/>
          <w:szCs w:val="32"/>
          <w:shd w:val="clear" w:color="auto" w:fill="FFFFFF"/>
        </w:rPr>
        <w:t>2024年新增两名退休公务员，</w:t>
      </w:r>
      <w:r>
        <w:rPr>
          <w:rFonts w:hint="default" w:ascii="Times New Roman" w:hAnsi="Times New Roman" w:eastAsia="方正仿宋_GBK" w:cs="Times New Roman"/>
          <w:b w:val="0"/>
          <w:bCs w:val="0"/>
          <w:sz w:val="32"/>
          <w:szCs w:val="32"/>
          <w:shd w:val="clear" w:color="auto" w:fill="FFFFFF"/>
          <w:lang w:eastAsia="zh-CN"/>
        </w:rPr>
        <w:t>人员经费收入、支出相应减少。</w:t>
      </w:r>
      <w:r>
        <w:rPr>
          <w:rFonts w:hint="default" w:ascii="Times New Roman" w:hAnsi="Times New Roman" w:eastAsia="方正仿宋_GBK" w:cs="Times New Roman"/>
          <w:b w:val="0"/>
          <w:bCs w:val="0"/>
          <w:sz w:val="32"/>
          <w:szCs w:val="32"/>
          <w:shd w:val="clear" w:color="auto" w:fill="FFFFFF"/>
        </w:rPr>
        <w:t>故本年</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支出较上年度减少1310.33万元</w:t>
      </w:r>
      <w:r>
        <w:rPr>
          <w:rFonts w:hint="default" w:ascii="Times New Roman" w:hAnsi="Times New Roman" w:eastAsia="方正仿宋_GBK" w:cs="Times New Roman"/>
          <w:b w:val="0"/>
          <w:bCs w:val="0"/>
          <w:sz w:val="32"/>
          <w:szCs w:val="32"/>
          <w:shd w:val="clear" w:color="auto" w:fill="FFFFFF"/>
          <w:lang w:eastAsia="zh-CN"/>
        </w:rPr>
        <w:t>。</w:t>
      </w:r>
    </w:p>
    <w:p w14:paraId="5AFAE9A2">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271210C1">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1618.31</w:t>
      </w:r>
      <w:r>
        <w:rPr>
          <w:rFonts w:hint="default" w:ascii="Times New Roman" w:hAnsi="Times New Roman" w:eastAsia="方正仿宋_GBK" w:cs="Times New Roman"/>
          <w:b w:val="0"/>
          <w:bCs w:val="0"/>
          <w:sz w:val="32"/>
          <w:szCs w:val="32"/>
          <w:shd w:val="clear" w:color="auto" w:fill="FFFFFF"/>
        </w:rPr>
        <w:t>万元，与2023年度相比，减少1583.76万元，下降49.5%。主要原因</w:t>
      </w:r>
      <w:r>
        <w:rPr>
          <w:rFonts w:hint="default" w:ascii="Times New Roman" w:hAnsi="Times New Roman" w:eastAsia="方正仿宋_GBK" w:cs="Times New Roman"/>
          <w:b w:val="0"/>
          <w:bCs w:val="0"/>
          <w:sz w:val="32"/>
          <w:szCs w:val="32"/>
          <w:shd w:val="clear" w:color="auto" w:fill="FFFFFF"/>
          <w:lang w:eastAsia="zh-CN"/>
        </w:rPr>
        <w:t>：一</w:t>
      </w:r>
      <w:r>
        <w:rPr>
          <w:rFonts w:hint="default" w:ascii="Times New Roman" w:hAnsi="Times New Roman" w:eastAsia="方正仿宋_GBK" w:cs="Times New Roman"/>
          <w:b w:val="0"/>
          <w:bCs w:val="0"/>
          <w:sz w:val="32"/>
          <w:szCs w:val="32"/>
          <w:shd w:val="clear" w:color="auto" w:fill="FFFFFF"/>
        </w:rPr>
        <w:t>是2024年按照财政局要求将原统计在机关本级的事业单位划分为7个账套单独核算，故较上年度减少事业单位一般公共预算财政拨款收入共计906.37万元；</w:t>
      </w:r>
      <w:r>
        <w:rPr>
          <w:rFonts w:hint="default" w:ascii="Times New Roman" w:hAnsi="Times New Roman" w:eastAsia="方正仿宋_GBK" w:cs="Times New Roman"/>
          <w:b w:val="0"/>
          <w:bCs w:val="0"/>
          <w:sz w:val="32"/>
          <w:szCs w:val="32"/>
          <w:shd w:val="clear" w:color="auto" w:fill="FFFFFF"/>
          <w:lang w:eastAsia="zh-CN"/>
        </w:rPr>
        <w:t>二是</w:t>
      </w:r>
      <w:r>
        <w:rPr>
          <w:rFonts w:hint="default" w:ascii="Times New Roman" w:hAnsi="Times New Roman" w:eastAsia="方正仿宋_GBK" w:cs="Times New Roman"/>
          <w:b w:val="0"/>
          <w:bCs w:val="0"/>
          <w:sz w:val="32"/>
          <w:szCs w:val="32"/>
          <w:shd w:val="clear" w:color="auto" w:fill="FFFFFF"/>
        </w:rPr>
        <w:t>由于财政资金紧张，部分预算资金未能全部收入，故本年收入较上年度减少1583.76万元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较年初预算数减少45.31万元，下降2.7%。主要原因是财政资金紧张，部分预算资金未能全部收入，故本年收入较上年度减少</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815338C">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1618.31</w:t>
      </w:r>
      <w:r>
        <w:rPr>
          <w:rFonts w:hint="default" w:ascii="Times New Roman" w:hAnsi="Times New Roman" w:eastAsia="方正仿宋_GBK" w:cs="Times New Roman"/>
          <w:b w:val="0"/>
          <w:bCs w:val="0"/>
          <w:sz w:val="32"/>
          <w:szCs w:val="32"/>
          <w:shd w:val="clear" w:color="auto" w:fill="FFFFFF"/>
        </w:rPr>
        <w:t>万元，与2023年度相比，减少1583.76万元，下降49.5%。主要原因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rPr>
        <w:t>2024年按照财政局要求将原统计在机关本级的事业单位划分为7个账套单独核算，故较上年度减少事业单位相关支出共计906.37万元；</w:t>
      </w:r>
      <w:r>
        <w:rPr>
          <w:rFonts w:hint="default" w:ascii="Times New Roman" w:hAnsi="Times New Roman" w:eastAsia="方正仿宋_GBK" w:cs="Times New Roman"/>
          <w:b w:val="0"/>
          <w:bCs w:val="0"/>
          <w:sz w:val="32"/>
          <w:szCs w:val="32"/>
          <w:shd w:val="clear" w:color="auto" w:fill="FFFFFF"/>
          <w:lang w:eastAsia="zh-CN"/>
        </w:rPr>
        <w:t>二是</w:t>
      </w:r>
      <w:r>
        <w:rPr>
          <w:rFonts w:hint="default" w:ascii="Times New Roman" w:hAnsi="Times New Roman" w:eastAsia="方正仿宋_GBK" w:cs="Times New Roman"/>
          <w:b w:val="0"/>
          <w:bCs w:val="0"/>
          <w:sz w:val="32"/>
          <w:szCs w:val="32"/>
          <w:shd w:val="clear" w:color="auto" w:fill="FFFFFF"/>
        </w:rPr>
        <w:t>由于财政资金紧张，部分预算资金未能全部收入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；三是</w:t>
      </w:r>
      <w:r>
        <w:rPr>
          <w:rFonts w:hint="default" w:ascii="Times New Roman" w:hAnsi="Times New Roman" w:eastAsia="方正仿宋_GBK" w:cs="Times New Roman"/>
          <w:b w:val="0"/>
          <w:bCs w:val="0"/>
          <w:sz w:val="32"/>
          <w:szCs w:val="32"/>
          <w:shd w:val="clear" w:color="auto" w:fill="FFFFFF"/>
        </w:rPr>
        <w:t>2024年新增两名退休公务员，故本年支出较上年度减少</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较年初预算数减少45.31万元，下降2.7%。主要原因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rPr>
        <w:t>由于财政资金紧张，部分预算资金未能全部收入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；二是</w:t>
      </w:r>
      <w:r>
        <w:rPr>
          <w:rFonts w:hint="default" w:ascii="Times New Roman" w:hAnsi="Times New Roman" w:eastAsia="方正仿宋_GBK" w:cs="Times New Roman"/>
          <w:b w:val="0"/>
          <w:bCs w:val="0"/>
          <w:sz w:val="32"/>
          <w:szCs w:val="32"/>
          <w:shd w:val="clear" w:color="auto" w:fill="FFFFFF"/>
        </w:rPr>
        <w:t>2024年新增两名退休公务员，故本年支出较上年度减少</w:t>
      </w:r>
      <w:r>
        <w:rPr>
          <w:rFonts w:hint="default" w:ascii="Times New Roman" w:hAnsi="Times New Roman" w:eastAsia="方正仿宋_GBK" w:cs="Times New Roman"/>
          <w:b w:val="0"/>
          <w:bCs w:val="0"/>
          <w:sz w:val="32"/>
          <w:szCs w:val="32"/>
          <w:shd w:val="clear" w:color="auto" w:fill="FFFFFF"/>
          <w:lang w:eastAsia="zh-CN"/>
        </w:rPr>
        <w:t>。</w:t>
      </w:r>
    </w:p>
    <w:p w14:paraId="3F4D2CF7">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w:t>
      </w:r>
      <w:r>
        <w:rPr>
          <w:rFonts w:hint="default" w:ascii="Times New Roman" w:hAnsi="Times New Roman" w:eastAsia="方正仿宋_GBK" w:cs="Times New Roman"/>
          <w:b w:val="0"/>
          <w:bCs w:val="0"/>
          <w:sz w:val="32"/>
          <w:szCs w:val="32"/>
          <w:shd w:val="clear" w:color="auto" w:fill="FFFFFF"/>
          <w:lang w:eastAsia="zh-CN"/>
        </w:rPr>
        <w:t>是本级财政为零基预算，每年滚动预算。</w:t>
      </w:r>
    </w:p>
    <w:p w14:paraId="07B4FD9B">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47DD03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587.73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36.3</w:t>
      </w:r>
      <w:r>
        <w:rPr>
          <w:rFonts w:hint="default" w:ascii="Times New Roman" w:hAnsi="Times New Roman" w:eastAsia="方正仿宋_GBK" w:cs="Times New Roman"/>
          <w:b w:val="0"/>
          <w:bCs w:val="0"/>
          <w:sz w:val="32"/>
          <w:szCs w:val="32"/>
          <w:shd w:val="clear" w:color="auto" w:fill="FFFFFF"/>
        </w:rPr>
        <w:t>%，较年初预算数增加23.37万元，增长4.1%，主要原因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涉及征地、搬迁等，群众矛盾纠纷较多，公车使用频率增加，车辆运行维护费用增加；二是由于矛盾纠纷增多，信访事件增多，导致安全维稳支出增加。</w:t>
      </w:r>
    </w:p>
    <w:p w14:paraId="705D34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（2）国防支出0万元，占0.0%，较年初预算数减少6万元，下降100.0%，主要原因是年初预算失误，本部门无国防支出。</w:t>
      </w:r>
    </w:p>
    <w:p w14:paraId="50B4ED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148.82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9.2</w:t>
      </w:r>
      <w:r>
        <w:rPr>
          <w:rFonts w:hint="default" w:ascii="Times New Roman" w:hAnsi="Times New Roman" w:eastAsia="方正仿宋_GBK" w:cs="Times New Roman"/>
          <w:b w:val="0"/>
          <w:bCs w:val="0"/>
          <w:sz w:val="32"/>
          <w:szCs w:val="32"/>
          <w:shd w:val="clear" w:color="auto" w:fill="FFFFFF"/>
        </w:rPr>
        <w:t>%，较年初预算数增加15.48万元，增长11.6%，主要原因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lang w:val="en-US" w:eastAsia="zh-CN"/>
        </w:rPr>
        <w:t>2024年年初保险基数调标，职工五险支出增加。</w:t>
      </w:r>
    </w:p>
    <w:p w14:paraId="4430A59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35.77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2.2</w:t>
      </w:r>
      <w:r>
        <w:rPr>
          <w:rFonts w:hint="default" w:ascii="Times New Roman" w:hAnsi="Times New Roman" w:eastAsia="方正仿宋_GBK" w:cs="Times New Roman"/>
          <w:b w:val="0"/>
          <w:bCs w:val="0"/>
          <w:sz w:val="32"/>
          <w:szCs w:val="32"/>
          <w:shd w:val="clear" w:color="auto" w:fill="FFFFFF"/>
        </w:rPr>
        <w:t>%，较年初预算数减少12.14万元，下降25.3%，主要原因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lang w:val="en-US" w:eastAsia="zh-CN"/>
        </w:rPr>
        <w:t>2024年新增2名退休公务员，相应支出减少。</w:t>
      </w:r>
    </w:p>
    <w:p w14:paraId="6547D6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80.33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lang w:val="en-US" w:eastAsia="zh-CN"/>
        </w:rPr>
        <w:t>5.0</w:t>
      </w:r>
      <w:r>
        <w:rPr>
          <w:rFonts w:hint="default" w:ascii="Times New Roman" w:hAnsi="Times New Roman" w:eastAsia="方正仿宋_GBK" w:cs="Times New Roman"/>
          <w:b w:val="0"/>
          <w:bCs w:val="0"/>
          <w:sz w:val="32"/>
          <w:szCs w:val="32"/>
          <w:shd w:val="clear" w:color="auto" w:fill="FFFFFF"/>
        </w:rPr>
        <w:t>%，较年初预算数减少0.57万元，下降0.7%，主要原因</w:t>
      </w:r>
      <w:r>
        <w:rPr>
          <w:rFonts w:hint="default" w:ascii="Times New Roman" w:hAnsi="Times New Roman" w:eastAsia="方正仿宋_GBK" w:cs="Times New Roman"/>
          <w:b w:val="0"/>
          <w:bCs w:val="0"/>
          <w:sz w:val="32"/>
          <w:szCs w:val="32"/>
          <w:shd w:val="clear" w:color="auto" w:fill="FFFFFF"/>
          <w:lang w:eastAsia="zh-CN"/>
        </w:rPr>
        <w:t>是财政资金紧张，农村环境保护项目资金未全部收入、支出。</w:t>
      </w:r>
    </w:p>
    <w:p w14:paraId="74D371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）城乡社区支出</w:t>
      </w:r>
      <w:r>
        <w:rPr>
          <w:rFonts w:hint="default" w:ascii="Times New Roman" w:hAnsi="Times New Roman" w:eastAsia="方正仿宋_GBK" w:cs="Times New Roman"/>
          <w:b w:val="0"/>
          <w:bCs w:val="0"/>
          <w:sz w:val="32"/>
          <w:szCs w:val="32"/>
        </w:rPr>
        <w:t>30.77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1.9</w:t>
      </w:r>
      <w:r>
        <w:rPr>
          <w:rFonts w:hint="default" w:ascii="Times New Roman" w:hAnsi="Times New Roman" w:eastAsia="方正仿宋_GBK" w:cs="Times New Roman"/>
          <w:b w:val="0"/>
          <w:bCs w:val="0"/>
          <w:sz w:val="32"/>
          <w:szCs w:val="32"/>
          <w:shd w:val="clear" w:color="auto" w:fill="FFFFFF"/>
        </w:rPr>
        <w:t>%，较年初预算数减少80.23万元，下降72.3%，主要原因</w:t>
      </w:r>
      <w:r>
        <w:rPr>
          <w:rFonts w:hint="default" w:ascii="Times New Roman" w:hAnsi="Times New Roman" w:eastAsia="方正仿宋_GBK" w:cs="Times New Roman"/>
          <w:b w:val="0"/>
          <w:bCs w:val="0"/>
          <w:sz w:val="32"/>
          <w:szCs w:val="32"/>
          <w:shd w:val="clear" w:color="auto" w:fill="FFFFFF"/>
          <w:lang w:eastAsia="zh-CN"/>
        </w:rPr>
        <w:t>是财政资金紧张，市政环卫项目资金未全部收入，场镇保洁等相关资金未支付。</w:t>
      </w:r>
    </w:p>
    <w:p w14:paraId="7F58E361">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528.58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32.</w:t>
      </w: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shd w:val="clear" w:color="auto" w:fill="FFFFFF"/>
        </w:rPr>
        <w:t>%，较年初预算数减少68.62万元，下降11.5%，主要原因</w:t>
      </w:r>
      <w:r>
        <w:rPr>
          <w:rFonts w:hint="default" w:ascii="Times New Roman" w:hAnsi="Times New Roman" w:eastAsia="方正仿宋_GBK" w:cs="Times New Roman"/>
          <w:b w:val="0"/>
          <w:bCs w:val="0"/>
          <w:sz w:val="32"/>
          <w:szCs w:val="32"/>
          <w:shd w:val="clear" w:color="auto" w:fill="FFFFFF"/>
          <w:lang w:eastAsia="zh-CN"/>
        </w:rPr>
        <w:t>是财政资金紧张，泥结石路硬化项目资金未全部收入、支出。</w:t>
      </w:r>
    </w:p>
    <w:p w14:paraId="0A3921B2">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）交通运输支出</w:t>
      </w:r>
      <w:r>
        <w:rPr>
          <w:rFonts w:hint="default" w:ascii="Times New Roman" w:hAnsi="Times New Roman" w:eastAsia="方正仿宋_GBK" w:cs="Times New Roman"/>
          <w:b w:val="0"/>
          <w:bCs w:val="0"/>
          <w:sz w:val="32"/>
          <w:szCs w:val="32"/>
        </w:rPr>
        <w:t>61.55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3.8</w:t>
      </w:r>
      <w:r>
        <w:rPr>
          <w:rFonts w:hint="default" w:ascii="Times New Roman" w:hAnsi="Times New Roman" w:eastAsia="方正仿宋_GBK" w:cs="Times New Roman"/>
          <w:b w:val="0"/>
          <w:bCs w:val="0"/>
          <w:sz w:val="32"/>
          <w:szCs w:val="32"/>
          <w:shd w:val="clear" w:color="auto" w:fill="FFFFFF"/>
        </w:rPr>
        <w:t>%，较年初预算数增加12.05万元，增长24.3%，主要原因</w:t>
      </w:r>
      <w:r>
        <w:rPr>
          <w:rFonts w:hint="default" w:ascii="Times New Roman" w:hAnsi="Times New Roman" w:eastAsia="方正仿宋_GBK" w:cs="Times New Roman"/>
          <w:b w:val="0"/>
          <w:bCs w:val="0"/>
          <w:sz w:val="32"/>
          <w:szCs w:val="32"/>
          <w:shd w:val="clear" w:color="auto" w:fill="FFFFFF"/>
          <w:lang w:eastAsia="zh-CN"/>
        </w:rPr>
        <w:t>是修建森林防火通道和森林防火阻隔带，公路养护资金支出增加。</w:t>
      </w:r>
    </w:p>
    <w:p w14:paraId="02853EC5">
      <w:pPr>
        <w:keepNext w:val="0"/>
        <w:keepLines w:val="0"/>
        <w:pageBreakBefore w:val="0"/>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住房保障支出44.01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2.7</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1FA464B7">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灾害防治及应急管理支出100.75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6.2</w:t>
      </w:r>
      <w:r>
        <w:rPr>
          <w:rFonts w:hint="default" w:ascii="Times New Roman" w:hAnsi="Times New Roman" w:eastAsia="方正仿宋_GBK" w:cs="Times New Roman"/>
          <w:b w:val="0"/>
          <w:bCs w:val="0"/>
          <w:sz w:val="32"/>
          <w:szCs w:val="32"/>
          <w:shd w:val="clear" w:color="auto" w:fill="FFFFFF"/>
        </w:rPr>
        <w:t>%，较年初预算数增加71.35万元，增长242.7%，主要原因</w:t>
      </w:r>
      <w:r>
        <w:rPr>
          <w:rFonts w:hint="default" w:ascii="Times New Roman" w:hAnsi="Times New Roman" w:eastAsia="方正仿宋_GBK" w:cs="Times New Roman"/>
          <w:b w:val="0"/>
          <w:bCs w:val="0"/>
          <w:sz w:val="32"/>
          <w:szCs w:val="32"/>
          <w:shd w:val="clear" w:color="auto" w:fill="FFFFFF"/>
          <w:lang w:eastAsia="zh-CN"/>
        </w:rPr>
        <w:t>是防汛抗旱救灾专项资金、中央应急救灾资金等年初未纳入预算。</w:t>
      </w:r>
    </w:p>
    <w:p w14:paraId="397199E6">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5A219957">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785.25</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612.4</w:t>
      </w:r>
      <w:r>
        <w:rPr>
          <w:rFonts w:hint="default" w:ascii="Times New Roman" w:hAnsi="Times New Roman" w:eastAsia="方正仿宋_GBK" w:cs="Times New Roman"/>
          <w:b w:val="0"/>
          <w:bCs w:val="0"/>
          <w:sz w:val="32"/>
          <w:szCs w:val="32"/>
          <w:shd w:val="clear" w:color="auto" w:fill="FFFFFF"/>
        </w:rPr>
        <w:t>万元，与2023年度相比，减少639.98万元，下降51.1%，主要原因是2024年按照财政局要求将原统计在机关本级的事业单位划分为7个账套单独核算，故较上年度减少事业单位相关支出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w:t>
      </w:r>
      <w:r>
        <w:rPr>
          <w:rFonts w:hint="default" w:ascii="Times New Roman" w:hAnsi="Times New Roman" w:eastAsia="方正仿宋_GBK" w:cs="Times New Roman"/>
          <w:b w:val="0"/>
          <w:bCs w:val="0"/>
          <w:sz w:val="32"/>
          <w:szCs w:val="32"/>
          <w:shd w:val="clear" w:color="auto" w:fill="FFFFFF"/>
          <w:lang w:eastAsia="zh-CN"/>
        </w:rPr>
        <w:t>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172.85</w:t>
      </w:r>
      <w:r>
        <w:rPr>
          <w:rFonts w:hint="default" w:ascii="Times New Roman" w:hAnsi="Times New Roman" w:eastAsia="方正仿宋_GBK" w:cs="Times New Roman"/>
          <w:b w:val="0"/>
          <w:bCs w:val="0"/>
          <w:sz w:val="32"/>
          <w:szCs w:val="32"/>
          <w:shd w:val="clear" w:color="auto" w:fill="FFFFFF"/>
        </w:rPr>
        <w:t>万元，与2023年度相比，减少134万元，下降43.7%，主要原因是2024年按照财政局要求将原统计在机关本级的事业单位划分为7个账套单独核算，故较上年度减少事业单位相关支出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办公费、印刷费、劳务费、邮电费、水电费、维修维护费、公务用车运行维护费、差旅费、交通费等</w:t>
      </w:r>
      <w:r>
        <w:rPr>
          <w:rFonts w:hint="default" w:ascii="Times New Roman" w:hAnsi="Times New Roman" w:eastAsia="方正仿宋_GBK" w:cs="Times New Roman"/>
          <w:b w:val="0"/>
          <w:bCs w:val="0"/>
          <w:sz w:val="32"/>
          <w:szCs w:val="32"/>
        </w:rPr>
        <w:t>。</w:t>
      </w:r>
    </w:p>
    <w:p w14:paraId="676C6147">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27C10389">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273.43</w:t>
      </w:r>
      <w:r>
        <w:rPr>
          <w:rFonts w:hint="default" w:ascii="Times New Roman" w:hAnsi="Times New Roman" w:eastAsia="方正仿宋_GBK" w:cs="Times New Roman"/>
          <w:b w:val="0"/>
          <w:bCs w:val="0"/>
          <w:sz w:val="32"/>
          <w:szCs w:val="32"/>
          <w:shd w:val="clear" w:color="auto" w:fill="FFFFFF"/>
        </w:rPr>
        <w:t>万元，与2023年度相比，增加273.43万元，增长100.0%，主要原因是</w:t>
      </w:r>
      <w:r>
        <w:rPr>
          <w:rFonts w:hint="default" w:ascii="Times New Roman" w:hAnsi="Times New Roman" w:eastAsia="方正仿宋_GBK" w:cs="Times New Roman"/>
          <w:b w:val="0"/>
          <w:bCs w:val="0"/>
          <w:sz w:val="32"/>
          <w:szCs w:val="32"/>
          <w:shd w:val="clear" w:color="auto" w:fill="FFFFFF"/>
          <w:lang w:eastAsia="zh-CN"/>
        </w:rPr>
        <w:t>基金收入年初未纳入预算。</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273.43</w:t>
      </w:r>
      <w:r>
        <w:rPr>
          <w:rFonts w:hint="default" w:ascii="Times New Roman" w:hAnsi="Times New Roman" w:eastAsia="方正仿宋_GBK" w:cs="Times New Roman"/>
          <w:b w:val="0"/>
          <w:bCs w:val="0"/>
          <w:sz w:val="32"/>
          <w:szCs w:val="32"/>
          <w:shd w:val="clear" w:color="auto" w:fill="FFFFFF"/>
        </w:rPr>
        <w:t>万元，与2023年度相比，增加273.43万元，增长100.0%，主要原因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lang w:val="en-US" w:eastAsia="zh-CN"/>
        </w:rPr>
        <w:t>2023年无政府性基金预算财政支出。</w:t>
      </w:r>
    </w:p>
    <w:p w14:paraId="30C93781">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0A6F71C9">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79D26514">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lang w:eastAsia="zh-CN"/>
        </w:rPr>
        <w:t>财政拨款</w:t>
      </w:r>
      <w:r>
        <w:rPr>
          <w:rStyle w:val="8"/>
          <w:rFonts w:hint="default" w:ascii="Times New Roman" w:hAnsi="Times New Roman" w:eastAsia="方正黑体_GBK" w:cs="Times New Roman"/>
          <w:b w:val="0"/>
          <w:bCs w:val="0"/>
          <w:sz w:val="32"/>
          <w:szCs w:val="32"/>
          <w:shd w:val="clear" w:color="auto" w:fill="FFFFFF"/>
        </w:rPr>
        <w:t>“三公”经费情况说明</w:t>
      </w:r>
    </w:p>
    <w:p w14:paraId="0DEBED4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14:paraId="6F088457">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8.5</w:t>
      </w:r>
      <w:r>
        <w:rPr>
          <w:rFonts w:hint="default" w:ascii="Times New Roman" w:hAnsi="Times New Roman" w:eastAsia="方正仿宋_GBK" w:cs="Times New Roman"/>
          <w:b w:val="0"/>
          <w:bCs w:val="0"/>
          <w:sz w:val="32"/>
          <w:szCs w:val="32"/>
          <w:shd w:val="clear" w:color="auto" w:fill="FFFFFF"/>
        </w:rPr>
        <w:t>万元，较年初预算数减少6.20万元，下降42.2%，主要原因</w:t>
      </w:r>
      <w:r>
        <w:rPr>
          <w:rFonts w:hint="default" w:ascii="Times New Roman" w:hAnsi="Times New Roman" w:eastAsia="方正仿宋_GBK" w:cs="Times New Roman"/>
          <w:b w:val="0"/>
          <w:bCs w:val="0"/>
          <w:sz w:val="32"/>
          <w:szCs w:val="32"/>
          <w:shd w:val="clear" w:color="auto" w:fill="FFFFFF"/>
          <w:lang w:eastAsia="zh-CN"/>
        </w:rPr>
        <w:t>是严格落实中央八项规定，厉行节约。</w:t>
      </w:r>
      <w:r>
        <w:rPr>
          <w:rFonts w:hint="default" w:ascii="Times New Roman" w:hAnsi="Times New Roman" w:eastAsia="方正仿宋_GBK" w:cs="Times New Roman"/>
          <w:b w:val="0"/>
          <w:bCs w:val="0"/>
          <w:sz w:val="32"/>
          <w:szCs w:val="32"/>
          <w:shd w:val="clear" w:color="auto" w:fill="FFFFFF"/>
        </w:rPr>
        <w:t>较上年支出数增加4.86万元，增长133.5%，主要原因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等项目涉及征地、搬迁、项目建设等，群众矛盾纠纷较多、公车使用频率增加；二是公车已购置超过10年，公车维修费用增加。</w:t>
      </w:r>
    </w:p>
    <w:p w14:paraId="561FC477">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6ECCCFAD">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74915561">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p>
    <w:p w14:paraId="0FDAC871">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8.5</w:t>
      </w:r>
      <w:r>
        <w:rPr>
          <w:rFonts w:hint="default" w:ascii="Times New Roman" w:hAnsi="Times New Roman" w:eastAsia="方正仿宋_GBK" w:cs="Times New Roman"/>
          <w:b w:val="0"/>
          <w:bCs w:val="0"/>
          <w:sz w:val="32"/>
          <w:szCs w:val="32"/>
          <w:shd w:val="clear" w:color="auto" w:fill="FFFFFF"/>
        </w:rPr>
        <w:t>万元，主要</w:t>
      </w:r>
      <w:r>
        <w:rPr>
          <w:rFonts w:hint="default" w:ascii="Times New Roman" w:hAnsi="Times New Roman" w:eastAsia="方正仿宋_GBK" w:cs="Times New Roman"/>
          <w:b w:val="0"/>
          <w:bCs w:val="0"/>
          <w:sz w:val="32"/>
          <w:szCs w:val="32"/>
          <w:shd w:val="clear" w:color="auto" w:fill="FFFFFF"/>
          <w:lang w:eastAsia="zh-CN"/>
        </w:rPr>
        <w:t>用于公务用车运行维护费。</w:t>
      </w:r>
      <w:r>
        <w:rPr>
          <w:rFonts w:hint="default" w:ascii="Times New Roman" w:hAnsi="Times New Roman" w:eastAsia="方正仿宋_GBK" w:cs="Times New Roman"/>
          <w:b w:val="0"/>
          <w:bCs w:val="0"/>
          <w:sz w:val="32"/>
          <w:szCs w:val="32"/>
          <w:shd w:val="clear" w:color="auto" w:fill="FFFFFF"/>
        </w:rPr>
        <w:t>费用支出较年初预算数减少6.2万元，下降42.2%，主要原因是</w:t>
      </w:r>
      <w:r>
        <w:rPr>
          <w:rFonts w:hint="default" w:ascii="Times New Roman" w:hAnsi="Times New Roman" w:eastAsia="方正仿宋_GBK" w:cs="Times New Roman"/>
          <w:b w:val="0"/>
          <w:bCs w:val="0"/>
          <w:sz w:val="32"/>
          <w:szCs w:val="32"/>
          <w:shd w:val="clear" w:color="auto" w:fill="FFFFFF"/>
          <w:lang w:eastAsia="zh-CN"/>
        </w:rPr>
        <w:t>严格落实中央八项规定，厉行节约。</w:t>
      </w:r>
      <w:r>
        <w:rPr>
          <w:rFonts w:hint="default" w:ascii="Times New Roman" w:hAnsi="Times New Roman" w:eastAsia="方正仿宋_GBK" w:cs="Times New Roman"/>
          <w:b w:val="0"/>
          <w:bCs w:val="0"/>
          <w:sz w:val="32"/>
          <w:szCs w:val="32"/>
          <w:shd w:val="clear" w:color="auto" w:fill="FFFFFF"/>
        </w:rPr>
        <w:t>较上年支出数增加4.86万元，增长133.5%，主要原因</w:t>
      </w:r>
      <w:r>
        <w:rPr>
          <w:rFonts w:hint="default" w:ascii="Times New Roman" w:hAnsi="Times New Roman" w:eastAsia="方正仿宋_GBK" w:cs="Times New Roman"/>
          <w:b w:val="0"/>
          <w:bCs w:val="0"/>
          <w:sz w:val="32"/>
          <w:szCs w:val="32"/>
          <w:shd w:val="clear" w:color="auto" w:fill="FFFFFF"/>
          <w:lang w:eastAsia="zh-CN"/>
        </w:rPr>
        <w:t>：一是</w:t>
      </w:r>
      <w:r>
        <w:rPr>
          <w:rFonts w:hint="default" w:ascii="Times New Roman" w:hAnsi="Times New Roman" w:eastAsia="方正仿宋_GBK" w:cs="Times New Roman"/>
          <w:b w:val="0"/>
          <w:bCs w:val="0"/>
          <w:sz w:val="32"/>
          <w:szCs w:val="32"/>
          <w:shd w:val="clear" w:color="auto" w:fill="FFFFFF"/>
          <w:lang w:val="en-US" w:eastAsia="zh-CN"/>
        </w:rPr>
        <w:t>2024年新增修建森林防火通道和森林防火阻隔带、生命纪念园征地、1000千伏特高压500千伏送出工程房屋搬迁等项目涉及征地、搬迁、项目建设等，群众矛盾纠纷较多、公车使用频率增加；二是公车已购置超过10年，公车维修费用增加。</w:t>
      </w:r>
    </w:p>
    <w:p w14:paraId="4E5F81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59385651">
      <w:pPr>
        <w:pStyle w:val="9"/>
        <w:keepNext w:val="0"/>
        <w:keepLines w:val="0"/>
        <w:pageBreakBefore w:val="0"/>
        <w:numPr>
          <w:ilvl w:val="0"/>
          <w:numId w:val="2"/>
        </w:numPr>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“三公”经费实物量情况</w:t>
      </w:r>
    </w:p>
    <w:p w14:paraId="2622CC9C">
      <w:pPr>
        <w:pStyle w:val="9"/>
        <w:keepNext w:val="0"/>
        <w:keepLines w:val="0"/>
        <w:pageBreakBefore w:val="0"/>
        <w:numPr>
          <w:ilvl w:val="0"/>
          <w:numId w:val="0"/>
        </w:numPr>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2.83</w:t>
      </w:r>
      <w:r>
        <w:rPr>
          <w:rFonts w:hint="default" w:ascii="Times New Roman" w:hAnsi="Times New Roman" w:eastAsia="方正仿宋_GBK" w:cs="Times New Roman"/>
          <w:b w:val="0"/>
          <w:bCs w:val="0"/>
          <w:sz w:val="32"/>
          <w:szCs w:val="32"/>
          <w:shd w:val="clear" w:color="auto" w:fill="FFFFFF"/>
        </w:rPr>
        <w:t>万元。</w:t>
      </w:r>
    </w:p>
    <w:p w14:paraId="59837C8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四、其他需要说明的事项</w:t>
      </w:r>
    </w:p>
    <w:p w14:paraId="50D72514">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783FCE0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43D68975">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28474121">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172.85</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b w:val="0"/>
          <w:bCs w:val="0"/>
          <w:sz w:val="32"/>
          <w:szCs w:val="32"/>
          <w:lang w:val="en-US" w:eastAsia="zh-CN"/>
        </w:rPr>
        <w:t>办公费、印刷费、劳务费、邮电费、水电费、维修维护费、公务用车运行维护费、差旅费、交通费等</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机关运行经费较上年支出数减少25.82万元，下降13.0%，主要原因是</w:t>
      </w:r>
      <w:r>
        <w:rPr>
          <w:rFonts w:hint="default" w:ascii="Times New Roman" w:hAnsi="Times New Roman" w:eastAsia="方正仿宋_GBK" w:cs="Times New Roman"/>
          <w:b w:val="0"/>
          <w:bCs w:val="0"/>
          <w:kern w:val="0"/>
          <w:sz w:val="32"/>
          <w:szCs w:val="32"/>
          <w:lang w:val="en-US" w:eastAsia="zh-CN" w:bidi="ar-SA"/>
        </w:rPr>
        <w:t>落实中央八</w:t>
      </w:r>
      <w:r>
        <w:rPr>
          <w:rFonts w:hint="default" w:ascii="Times New Roman" w:hAnsi="Times New Roman" w:eastAsia="方正仿宋_GBK" w:cs="Times New Roman"/>
          <w:b w:val="0"/>
          <w:bCs w:val="0"/>
          <w:sz w:val="32"/>
          <w:szCs w:val="32"/>
          <w:lang w:val="en-US" w:eastAsia="zh-CN"/>
        </w:rPr>
        <w:t>项规定精神，厉行节约</w:t>
      </w:r>
      <w:r>
        <w:rPr>
          <w:rFonts w:hint="default" w:ascii="Times New Roman" w:hAnsi="Times New Roman" w:eastAsia="方正仿宋_GBK" w:cs="Times New Roman"/>
          <w:b w:val="0"/>
          <w:bCs w:val="0"/>
          <w:sz w:val="32"/>
          <w:szCs w:val="32"/>
        </w:rPr>
        <w:t>。</w:t>
      </w:r>
    </w:p>
    <w:p w14:paraId="1FED8BB4">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155C060A">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6CF597C5">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C839F45">
      <w:pPr>
        <w:pStyle w:val="5"/>
        <w:keepNext w:val="0"/>
        <w:keepLines w:val="0"/>
        <w:pageBreakBefore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034E43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r>
        <w:rPr>
          <w:rStyle w:val="8"/>
          <w:rFonts w:hint="default" w:ascii="Times New Roman" w:hAnsi="Times New Roman" w:eastAsia="方正黑体_GBK" w:cs="Times New Roman"/>
          <w:b w:val="0"/>
          <w:bCs w:val="0"/>
          <w:sz w:val="32"/>
          <w:szCs w:val="32"/>
          <w:shd w:val="clear" w:color="auto" w:fill="FFFFFF"/>
          <w:lang w:val="en-US" w:eastAsia="zh-CN" w:bidi="ar-SA"/>
        </w:rPr>
        <w:t>五、2024年度预算绩效管理情况说明</w:t>
      </w:r>
    </w:p>
    <w:p w14:paraId="363AFD95">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（一）预算绩效管理工作开展情况</w:t>
      </w:r>
    </w:p>
    <w:p w14:paraId="47106F9A">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23</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23</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1095.39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534FFD63">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lang w:val="en-US" w:eastAsia="zh-CN"/>
        </w:rPr>
        <w:t>（二）绩效自评结果</w:t>
      </w:r>
    </w:p>
    <w:p w14:paraId="7E2C525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55B2A7A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w:t>
      </w:r>
      <w:r>
        <w:rPr>
          <w:rFonts w:hint="default" w:ascii="Times New Roman" w:hAnsi="Times New Roman" w:eastAsia="方正仿宋_GBK" w:cs="Times New Roman"/>
          <w:b w:val="0"/>
          <w:bCs w:val="0"/>
          <w:kern w:val="0"/>
          <w:sz w:val="32"/>
          <w:szCs w:val="32"/>
          <w:shd w:val="clear" w:fill="FFFFFF"/>
          <w:lang w:eastAsia="zh-CN"/>
        </w:rPr>
        <w:t>重庆市铜梁区福果镇人民政府（本级）项目绩效自评表，</w:t>
      </w:r>
      <w:r>
        <w:rPr>
          <w:rFonts w:hint="default" w:ascii="Times New Roman" w:hAnsi="Times New Roman" w:eastAsia="方正仿宋_GBK" w:cs="Times New Roman"/>
          <w:b w:val="0"/>
          <w:bCs w:val="0"/>
          <w:sz w:val="32"/>
          <w:szCs w:val="32"/>
          <w:lang w:eastAsia="zh-CN"/>
        </w:rPr>
        <w:t>其中：信访维稳项目绩效自评未公开。</w:t>
      </w:r>
    </w:p>
    <w:p w14:paraId="1D72AE8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4139304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我单位未委托第三方开展绩效评价。</w:t>
      </w:r>
    </w:p>
    <w:p w14:paraId="67E2E80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3DE10D2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23</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23</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26DDD001">
      <w:pPr>
        <w:pStyle w:val="9"/>
        <w:keepNext w:val="0"/>
        <w:keepLines w:val="0"/>
        <w:pageBreakBefore w:val="0"/>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lang w:val="en-US" w:eastAsia="zh-CN"/>
        </w:rPr>
        <w:t xml:space="preserve">（三）财政重点绩效评价情况 </w:t>
      </w:r>
    </w:p>
    <w:p w14:paraId="3DE63EF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0C3B69B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w:t>
      </w: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14:paraId="3BBCADA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70385D5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68938E1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1BC843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D8CB7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86D187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16501EE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030FA7D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250B6CC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24B28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395D3AA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2E117AE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2135E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38FDAD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37A0253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4A133C6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5A0713F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25AE32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645EABC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3A7BC18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Style w:val="8"/>
          <w:rFonts w:hint="default" w:ascii="Times New Roman" w:hAnsi="Times New Roman" w:eastAsia="黑体" w:cs="Times New Roman"/>
          <w:b w:val="0"/>
          <w:bCs w:val="0"/>
          <w:sz w:val="32"/>
          <w:szCs w:val="32"/>
          <w:shd w:val="clear" w:color="auto" w:fill="FFFFFF"/>
          <w:lang w:val="en-US" w:eastAsia="zh-CN" w:bidi="ar-SA"/>
        </w:rPr>
      </w:pPr>
    </w:p>
    <w:p w14:paraId="478DE0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附件：</w:t>
      </w:r>
    </w:p>
    <w:p w14:paraId="28842D5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1.重庆市铜梁区福果镇人民政府（本级）2024年度决算公开报表</w:t>
      </w:r>
    </w:p>
    <w:p w14:paraId="27E29DB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2.重庆市铜梁区福果镇人民政府（本级）2024年度项目绩效自评表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F50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49A41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549A41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4EE32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4EE32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122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61AC9"/>
    <w:multiLevelType w:val="singleLevel"/>
    <w:tmpl w:val="BAF61AC9"/>
    <w:lvl w:ilvl="0" w:tentative="0">
      <w:start w:val="3"/>
      <w:numFmt w:val="chineseCounting"/>
      <w:suff w:val="nothing"/>
      <w:lvlText w:val="（%1）"/>
      <w:lvlJc w:val="left"/>
      <w:rPr>
        <w:rFonts w:hint="eastAsia"/>
      </w:rPr>
    </w:lvl>
  </w:abstractNum>
  <w:abstractNum w:abstractNumId="1">
    <w:nsid w:val="D8CEC0BD"/>
    <w:multiLevelType w:val="singleLevel"/>
    <w:tmpl w:val="D8CEC0B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27357"/>
    <w:rsid w:val="01474EBF"/>
    <w:rsid w:val="01F3521E"/>
    <w:rsid w:val="022A44F5"/>
    <w:rsid w:val="02B84BCC"/>
    <w:rsid w:val="038E2882"/>
    <w:rsid w:val="03A4009F"/>
    <w:rsid w:val="03E3214F"/>
    <w:rsid w:val="04446191"/>
    <w:rsid w:val="044C50BA"/>
    <w:rsid w:val="04700F7F"/>
    <w:rsid w:val="05C720F8"/>
    <w:rsid w:val="0602023A"/>
    <w:rsid w:val="06451DFA"/>
    <w:rsid w:val="06A2550B"/>
    <w:rsid w:val="06D51B6F"/>
    <w:rsid w:val="06F80EE2"/>
    <w:rsid w:val="07001CCA"/>
    <w:rsid w:val="075678DB"/>
    <w:rsid w:val="08051BCA"/>
    <w:rsid w:val="083B2EA3"/>
    <w:rsid w:val="08887FC5"/>
    <w:rsid w:val="08B84F60"/>
    <w:rsid w:val="08BA052C"/>
    <w:rsid w:val="08DB07BA"/>
    <w:rsid w:val="09443600"/>
    <w:rsid w:val="098305D0"/>
    <w:rsid w:val="09865C47"/>
    <w:rsid w:val="09B72B6E"/>
    <w:rsid w:val="0A3851D8"/>
    <w:rsid w:val="0A505243"/>
    <w:rsid w:val="0A5C4B69"/>
    <w:rsid w:val="0AB26032"/>
    <w:rsid w:val="0AEC3BC7"/>
    <w:rsid w:val="0B9335CE"/>
    <w:rsid w:val="0C7927C4"/>
    <w:rsid w:val="0C9B098C"/>
    <w:rsid w:val="0D11728C"/>
    <w:rsid w:val="0D673E11"/>
    <w:rsid w:val="0DB50EFE"/>
    <w:rsid w:val="0DDA54E4"/>
    <w:rsid w:val="0E3A5F83"/>
    <w:rsid w:val="0EC5320F"/>
    <w:rsid w:val="0F836721"/>
    <w:rsid w:val="103645A3"/>
    <w:rsid w:val="107B59E5"/>
    <w:rsid w:val="11003CB0"/>
    <w:rsid w:val="111445C7"/>
    <w:rsid w:val="1158083A"/>
    <w:rsid w:val="11D74037"/>
    <w:rsid w:val="11F03528"/>
    <w:rsid w:val="12C921C4"/>
    <w:rsid w:val="13850DCB"/>
    <w:rsid w:val="13871C70"/>
    <w:rsid w:val="13A71CB4"/>
    <w:rsid w:val="13AF1D43"/>
    <w:rsid w:val="13AF6546"/>
    <w:rsid w:val="13C643C6"/>
    <w:rsid w:val="13CE1647"/>
    <w:rsid w:val="141A11EA"/>
    <w:rsid w:val="14200702"/>
    <w:rsid w:val="148E377E"/>
    <w:rsid w:val="149F304E"/>
    <w:rsid w:val="14E53A1F"/>
    <w:rsid w:val="15585A4D"/>
    <w:rsid w:val="155E4D32"/>
    <w:rsid w:val="1580711B"/>
    <w:rsid w:val="16DD6761"/>
    <w:rsid w:val="189B0D0B"/>
    <w:rsid w:val="18F00C3B"/>
    <w:rsid w:val="194A1770"/>
    <w:rsid w:val="19917D9C"/>
    <w:rsid w:val="19B84D8B"/>
    <w:rsid w:val="19B906A4"/>
    <w:rsid w:val="1A1F744B"/>
    <w:rsid w:val="1A4854EC"/>
    <w:rsid w:val="1B5B1320"/>
    <w:rsid w:val="1B6F15B6"/>
    <w:rsid w:val="1BAA2EDC"/>
    <w:rsid w:val="1C2722CC"/>
    <w:rsid w:val="1C3F554D"/>
    <w:rsid w:val="1C88118F"/>
    <w:rsid w:val="1CB36064"/>
    <w:rsid w:val="1CE157EE"/>
    <w:rsid w:val="1D014A01"/>
    <w:rsid w:val="1D022362"/>
    <w:rsid w:val="1D4D1C9B"/>
    <w:rsid w:val="1DD26311"/>
    <w:rsid w:val="1EA42A9A"/>
    <w:rsid w:val="1EF67CA4"/>
    <w:rsid w:val="1EFA08D9"/>
    <w:rsid w:val="1FCD26AF"/>
    <w:rsid w:val="20642787"/>
    <w:rsid w:val="21556F04"/>
    <w:rsid w:val="22403BD3"/>
    <w:rsid w:val="22D94056"/>
    <w:rsid w:val="24932670"/>
    <w:rsid w:val="24B92327"/>
    <w:rsid w:val="2533755C"/>
    <w:rsid w:val="26396DF4"/>
    <w:rsid w:val="270642A6"/>
    <w:rsid w:val="27167136"/>
    <w:rsid w:val="27B23302"/>
    <w:rsid w:val="27D35F21"/>
    <w:rsid w:val="27DF5AA2"/>
    <w:rsid w:val="28F33E7C"/>
    <w:rsid w:val="29310A5F"/>
    <w:rsid w:val="29A96B45"/>
    <w:rsid w:val="29C37A35"/>
    <w:rsid w:val="29C95E09"/>
    <w:rsid w:val="2A076083"/>
    <w:rsid w:val="2A73162E"/>
    <w:rsid w:val="2B167953"/>
    <w:rsid w:val="2B200583"/>
    <w:rsid w:val="2B8209DE"/>
    <w:rsid w:val="2C161D32"/>
    <w:rsid w:val="2C2D3EC7"/>
    <w:rsid w:val="2C6762A3"/>
    <w:rsid w:val="2CFA493C"/>
    <w:rsid w:val="2D8D2A49"/>
    <w:rsid w:val="2DAD1806"/>
    <w:rsid w:val="2E3478B1"/>
    <w:rsid w:val="2F522728"/>
    <w:rsid w:val="2FE029D7"/>
    <w:rsid w:val="2FF06E00"/>
    <w:rsid w:val="312A7D95"/>
    <w:rsid w:val="315D199F"/>
    <w:rsid w:val="315F0B22"/>
    <w:rsid w:val="31D84415"/>
    <w:rsid w:val="32285F6F"/>
    <w:rsid w:val="32770556"/>
    <w:rsid w:val="329C0913"/>
    <w:rsid w:val="3337290D"/>
    <w:rsid w:val="33776888"/>
    <w:rsid w:val="3391291E"/>
    <w:rsid w:val="343A2985"/>
    <w:rsid w:val="352930DB"/>
    <w:rsid w:val="35573069"/>
    <w:rsid w:val="358C217E"/>
    <w:rsid w:val="359F188C"/>
    <w:rsid w:val="362D2433"/>
    <w:rsid w:val="36C9128A"/>
    <w:rsid w:val="372A33D9"/>
    <w:rsid w:val="375C3390"/>
    <w:rsid w:val="37841E99"/>
    <w:rsid w:val="37BF1123"/>
    <w:rsid w:val="37F26E25"/>
    <w:rsid w:val="38BE4696"/>
    <w:rsid w:val="39166507"/>
    <w:rsid w:val="39B82A39"/>
    <w:rsid w:val="39F33306"/>
    <w:rsid w:val="39F82781"/>
    <w:rsid w:val="3B1705E5"/>
    <w:rsid w:val="3B18334B"/>
    <w:rsid w:val="3B36794F"/>
    <w:rsid w:val="3B544954"/>
    <w:rsid w:val="3BBF6D9E"/>
    <w:rsid w:val="3BF014AD"/>
    <w:rsid w:val="3C6A5B02"/>
    <w:rsid w:val="3D173833"/>
    <w:rsid w:val="3D1B66C1"/>
    <w:rsid w:val="3D2757A1"/>
    <w:rsid w:val="3D3D4FC4"/>
    <w:rsid w:val="3D6513B2"/>
    <w:rsid w:val="3DDF3AB1"/>
    <w:rsid w:val="3DE60B7E"/>
    <w:rsid w:val="3E1D0952"/>
    <w:rsid w:val="3E247234"/>
    <w:rsid w:val="3E42660A"/>
    <w:rsid w:val="3E4D710F"/>
    <w:rsid w:val="3E7555B1"/>
    <w:rsid w:val="3F0527E5"/>
    <w:rsid w:val="3F16459E"/>
    <w:rsid w:val="3F3617F2"/>
    <w:rsid w:val="3FDE15A7"/>
    <w:rsid w:val="4004000C"/>
    <w:rsid w:val="40DC12DB"/>
    <w:rsid w:val="40FD5440"/>
    <w:rsid w:val="410E754B"/>
    <w:rsid w:val="411B6CE5"/>
    <w:rsid w:val="412070D7"/>
    <w:rsid w:val="41314E40"/>
    <w:rsid w:val="4142353C"/>
    <w:rsid w:val="415C674B"/>
    <w:rsid w:val="426C1EA8"/>
    <w:rsid w:val="42DE08A9"/>
    <w:rsid w:val="42E86A87"/>
    <w:rsid w:val="43136432"/>
    <w:rsid w:val="43770A38"/>
    <w:rsid w:val="439C7245"/>
    <w:rsid w:val="443A3B12"/>
    <w:rsid w:val="44A854C2"/>
    <w:rsid w:val="44DD597D"/>
    <w:rsid w:val="45D23505"/>
    <w:rsid w:val="465B470D"/>
    <w:rsid w:val="469D6AD4"/>
    <w:rsid w:val="46FC41C7"/>
    <w:rsid w:val="47041875"/>
    <w:rsid w:val="47674801"/>
    <w:rsid w:val="48225EF7"/>
    <w:rsid w:val="495C4A24"/>
    <w:rsid w:val="4A23448D"/>
    <w:rsid w:val="4AD70EE7"/>
    <w:rsid w:val="4B066510"/>
    <w:rsid w:val="4B7951CB"/>
    <w:rsid w:val="4B7C315C"/>
    <w:rsid w:val="4B8204C6"/>
    <w:rsid w:val="4B896DDC"/>
    <w:rsid w:val="4BAB7F90"/>
    <w:rsid w:val="4BC015C9"/>
    <w:rsid w:val="4CB44CB2"/>
    <w:rsid w:val="4DAC4ACA"/>
    <w:rsid w:val="4DE95033"/>
    <w:rsid w:val="4F186D58"/>
    <w:rsid w:val="4FC432A6"/>
    <w:rsid w:val="50EC262C"/>
    <w:rsid w:val="511B3B0C"/>
    <w:rsid w:val="522F6E0C"/>
    <w:rsid w:val="52463BA1"/>
    <w:rsid w:val="528351A0"/>
    <w:rsid w:val="52977864"/>
    <w:rsid w:val="52E00265"/>
    <w:rsid w:val="52F829EE"/>
    <w:rsid w:val="530469F7"/>
    <w:rsid w:val="53C0244D"/>
    <w:rsid w:val="53DD4D4E"/>
    <w:rsid w:val="53E578CE"/>
    <w:rsid w:val="543B029D"/>
    <w:rsid w:val="54484491"/>
    <w:rsid w:val="544A0D35"/>
    <w:rsid w:val="545D0246"/>
    <w:rsid w:val="54733EFE"/>
    <w:rsid w:val="5529289A"/>
    <w:rsid w:val="554E5773"/>
    <w:rsid w:val="555A3CBC"/>
    <w:rsid w:val="56530F5D"/>
    <w:rsid w:val="5842572D"/>
    <w:rsid w:val="586D4247"/>
    <w:rsid w:val="59064809"/>
    <w:rsid w:val="5918580F"/>
    <w:rsid w:val="59D517F8"/>
    <w:rsid w:val="5A3304FE"/>
    <w:rsid w:val="5AE75037"/>
    <w:rsid w:val="5B58571C"/>
    <w:rsid w:val="5B8376C2"/>
    <w:rsid w:val="5B96133A"/>
    <w:rsid w:val="5BE97137"/>
    <w:rsid w:val="5C1336B7"/>
    <w:rsid w:val="5C263CE4"/>
    <w:rsid w:val="5C5D2777"/>
    <w:rsid w:val="5CAD33A2"/>
    <w:rsid w:val="5D10551E"/>
    <w:rsid w:val="5D290C69"/>
    <w:rsid w:val="5D537F41"/>
    <w:rsid w:val="5E4F46A8"/>
    <w:rsid w:val="5EFA176D"/>
    <w:rsid w:val="5F0247F9"/>
    <w:rsid w:val="5F2D4A41"/>
    <w:rsid w:val="601C34ED"/>
    <w:rsid w:val="60A958A9"/>
    <w:rsid w:val="60B47979"/>
    <w:rsid w:val="60D22ADB"/>
    <w:rsid w:val="61025A59"/>
    <w:rsid w:val="613D5BBC"/>
    <w:rsid w:val="61536C39"/>
    <w:rsid w:val="61587866"/>
    <w:rsid w:val="628230A6"/>
    <w:rsid w:val="62944DD7"/>
    <w:rsid w:val="62AB52B7"/>
    <w:rsid w:val="62E05703"/>
    <w:rsid w:val="634D1435"/>
    <w:rsid w:val="639C4C3F"/>
    <w:rsid w:val="63C25DC5"/>
    <w:rsid w:val="63C62057"/>
    <w:rsid w:val="63C73832"/>
    <w:rsid w:val="64B92937"/>
    <w:rsid w:val="64FB113D"/>
    <w:rsid w:val="65464681"/>
    <w:rsid w:val="654E4D38"/>
    <w:rsid w:val="656152C6"/>
    <w:rsid w:val="6587477F"/>
    <w:rsid w:val="658C3A08"/>
    <w:rsid w:val="65C031CA"/>
    <w:rsid w:val="65CE6852"/>
    <w:rsid w:val="65F853C5"/>
    <w:rsid w:val="66267C04"/>
    <w:rsid w:val="663066FC"/>
    <w:rsid w:val="663F505A"/>
    <w:rsid w:val="665C1999"/>
    <w:rsid w:val="667F2393"/>
    <w:rsid w:val="66A50080"/>
    <w:rsid w:val="66EE5541"/>
    <w:rsid w:val="67234AE9"/>
    <w:rsid w:val="684D2C9A"/>
    <w:rsid w:val="692172FD"/>
    <w:rsid w:val="6A3829EE"/>
    <w:rsid w:val="6AA32B06"/>
    <w:rsid w:val="6AFC3E8B"/>
    <w:rsid w:val="6B474EF5"/>
    <w:rsid w:val="6B9C089D"/>
    <w:rsid w:val="6C560CAE"/>
    <w:rsid w:val="6D0615E4"/>
    <w:rsid w:val="6D903FF5"/>
    <w:rsid w:val="6DA955B8"/>
    <w:rsid w:val="6DE346AB"/>
    <w:rsid w:val="6E6E47C8"/>
    <w:rsid w:val="6F435F3A"/>
    <w:rsid w:val="6F493826"/>
    <w:rsid w:val="6F7F6A2D"/>
    <w:rsid w:val="6FB442D1"/>
    <w:rsid w:val="6FBE4CEB"/>
    <w:rsid w:val="6FCE242A"/>
    <w:rsid w:val="6FFB2E76"/>
    <w:rsid w:val="70220C52"/>
    <w:rsid w:val="70643315"/>
    <w:rsid w:val="717D0BE9"/>
    <w:rsid w:val="71C34D91"/>
    <w:rsid w:val="71DD6E3D"/>
    <w:rsid w:val="71ED38AA"/>
    <w:rsid w:val="720229AA"/>
    <w:rsid w:val="72477A58"/>
    <w:rsid w:val="72C47F21"/>
    <w:rsid w:val="72DB435C"/>
    <w:rsid w:val="73AE3EE6"/>
    <w:rsid w:val="73C31337"/>
    <w:rsid w:val="750837F0"/>
    <w:rsid w:val="757F163B"/>
    <w:rsid w:val="758B4494"/>
    <w:rsid w:val="75CF5E04"/>
    <w:rsid w:val="764F62AB"/>
    <w:rsid w:val="765C45EC"/>
    <w:rsid w:val="768A7619"/>
    <w:rsid w:val="76E13F56"/>
    <w:rsid w:val="76E14979"/>
    <w:rsid w:val="77EA362A"/>
    <w:rsid w:val="77F04109"/>
    <w:rsid w:val="784A524B"/>
    <w:rsid w:val="7875383E"/>
    <w:rsid w:val="787E58C4"/>
    <w:rsid w:val="796D60A4"/>
    <w:rsid w:val="79A031D5"/>
    <w:rsid w:val="79CA0164"/>
    <w:rsid w:val="7A1525F7"/>
    <w:rsid w:val="7A3E6CB6"/>
    <w:rsid w:val="7A680D2D"/>
    <w:rsid w:val="7AF054C1"/>
    <w:rsid w:val="7B260559"/>
    <w:rsid w:val="7B420052"/>
    <w:rsid w:val="7BD06A28"/>
    <w:rsid w:val="7C15379B"/>
    <w:rsid w:val="7C1E4CD7"/>
    <w:rsid w:val="7C3A7C0B"/>
    <w:rsid w:val="7C5248E4"/>
    <w:rsid w:val="7C566698"/>
    <w:rsid w:val="7CB73999"/>
    <w:rsid w:val="7D0D2ADC"/>
    <w:rsid w:val="7D951FD9"/>
    <w:rsid w:val="7D9C2BD3"/>
    <w:rsid w:val="7EAC6E0F"/>
    <w:rsid w:val="7EED3796"/>
    <w:rsid w:val="7FA960B8"/>
    <w:rsid w:val="FD7B9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7711</Words>
  <Characters>21008</Characters>
  <Lines>161</Lines>
  <Paragraphs>45</Paragraphs>
  <TotalTime>17</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apple</cp:lastModifiedBy>
  <dcterms:modified xsi:type="dcterms:W3CDTF">2025-10-29T15:10:50Z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