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B396C">
      <w:pPr>
        <w:pStyle w:val="5"/>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重庆市铜梁区福果镇人民政府</w:t>
      </w:r>
    </w:p>
    <w:p w14:paraId="3CFB2E23">
      <w:pPr>
        <w:pStyle w:val="5"/>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3B1E38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部门</w:t>
      </w:r>
      <w:r>
        <w:rPr>
          <w:rStyle w:val="8"/>
          <w:rFonts w:hint="eastAsia" w:ascii="方正黑体_GBK" w:hAnsi="方正黑体_GBK" w:eastAsia="方正黑体_GBK" w:cs="方正黑体_GBK"/>
          <w:b w:val="0"/>
          <w:bCs w:val="0"/>
          <w:sz w:val="32"/>
          <w:szCs w:val="32"/>
          <w:shd w:val="clear" w:color="auto" w:fill="FFFFFF"/>
        </w:rPr>
        <w:t>基本情况</w:t>
      </w:r>
    </w:p>
    <w:p w14:paraId="3795BD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楷体_GBK" w:hAnsi="方正楷体_GBK" w:eastAsia="方正楷体_GBK" w:cs="方正楷体_GBK"/>
          <w:b w:val="0"/>
          <w:bCs w:val="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rPr>
        <w:t>（一）职能职责</w:t>
      </w:r>
    </w:p>
    <w:p w14:paraId="035D55D1">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一是贯彻执行党和国家的方针政策、法律法规和区委、区政府的决定、指示；负责政策法规宣</w:t>
      </w:r>
      <w:bookmarkStart w:id="0" w:name="_GoBack"/>
      <w:bookmarkEnd w:id="0"/>
      <w:r>
        <w:rPr>
          <w:rFonts w:hint="default" w:ascii="Times New Roman" w:hAnsi="Times New Roman" w:eastAsia="方正仿宋_GBK" w:cs="Times New Roman"/>
          <w:b w:val="0"/>
          <w:bCs w:val="0"/>
          <w:sz w:val="32"/>
          <w:szCs w:val="32"/>
          <w:lang w:val="en-US" w:eastAsia="zh-CN" w:bidi="ar-SA"/>
        </w:rPr>
        <w:t>传服务。二是负责辖区党的建设和精神文明建设工作。三是负责辖区经济发展规划、农村经营管理、经济社会统计、扶贫开发等工作；负责辖区财政收支、预决算、惠农资金兑付、财政资金监督检查、绩效评价、村级财务管理等工作；协同有关部门搞好市场监管，维护市场秩序，促进生产发展。对辖区生产生活状况进行登记、统计和监测。四是负责组织实施城镇化建设、基础设施建设与管理工作，协调规划建设管理；负责村镇规划、村镇建设、市政公用、村容整洁、生态环境保护与治理等工作。五是负责信访、社会治安综合治理、防范和处理邪教等工作；负责做好辖区安全生产综合监管、应急管理、消防管理等工作。向市、区有关部门反映村（居）民群众的意见和要求，办理人民群众的来信来访。六是负责民政、教育、卫生、计生、老龄事业发展、文化、体育、社会救助、残疾人事业、劳动就业、社会保障等工作；负责为农业农村事务提供服务；负责为推进群众文体活动、繁荣群众文体事业提供服务；负责为村（居）民劳动就业和社会保障提供服务。七是负责为退役军人管理事务提供服务；做好或配合做好民兵预备役、征兵、人民防空、防汛、防火、防震、抢险等工作。八是负责集中行使依法授权或委托的行政执法权；为辖区综合行政执法和监管服务提供保障。九是负责基层组织建设和民主法制建设，促进村（居）民自治。十</w:t>
      </w:r>
      <w:r>
        <w:rPr>
          <w:rFonts w:hint="eastAsia" w:ascii="Times New Roman" w:hAnsi="Times New Roman" w:eastAsia="方正仿宋_GBK" w:cs="Times New Roman"/>
          <w:b w:val="0"/>
          <w:bCs w:val="0"/>
          <w:sz w:val="32"/>
          <w:szCs w:val="32"/>
          <w:lang w:val="en-US" w:eastAsia="zh-CN" w:bidi="ar-SA"/>
        </w:rPr>
        <w:t>是</w:t>
      </w:r>
      <w:r>
        <w:rPr>
          <w:rFonts w:hint="default" w:ascii="Times New Roman" w:hAnsi="Times New Roman" w:eastAsia="方正仿宋_GBK" w:cs="Times New Roman"/>
          <w:b w:val="0"/>
          <w:bCs w:val="0"/>
          <w:sz w:val="32"/>
          <w:szCs w:val="32"/>
          <w:lang w:val="en-US" w:eastAsia="zh-CN" w:bidi="ar-SA"/>
        </w:rPr>
        <w:t>完成区委、区政府部署的各项任务。</w:t>
      </w:r>
    </w:p>
    <w:p w14:paraId="3D4639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116D7BD8">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bidi="ar-SA"/>
        </w:rPr>
        <w:t>重庆市铜梁区福果镇人民政府下辖1个独立核算的行政单位和7个独立核算的事业单位。1个独立核算的行政单位为重庆市铜梁区福果镇人民政府（本级），其内设5个机构处室，分别是基层治理综合指挥室、党的建设办公室、经济发展办公室、民生服务办公室、平安法治办公室。7个独立核算事业单位分别是重庆市铜梁区福果镇农业服务中心、重庆市铜梁区福果镇文化服务中心、重庆市铜梁区福果镇劳动就业和社会保障服务所、重庆市铜梁区福果镇退役军人事务站、重庆市铜梁区福果镇乡村产业培育中心、重庆市铜梁区福果镇乡村生态治理中心、重庆市铜梁区福果镇综合行政执法大队，无内设机处室。</w:t>
      </w:r>
    </w:p>
    <w:p w14:paraId="5DA9A0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lang w:eastAsia="zh-CN"/>
        </w:rPr>
        <w:t>（三）</w:t>
      </w:r>
      <w:r>
        <w:rPr>
          <w:rStyle w:val="8"/>
          <w:rFonts w:hint="default" w:ascii="方正楷体_GBK" w:hAnsi="方正楷体_GBK" w:eastAsia="方正楷体_GBK" w:cs="方正楷体_GBK"/>
          <w:b w:val="0"/>
          <w:bCs w:val="0"/>
          <w:sz w:val="32"/>
          <w:szCs w:val="32"/>
          <w:shd w:val="clear" w:color="auto" w:fill="FFFFFF"/>
        </w:rPr>
        <w:t>单位构成</w:t>
      </w:r>
    </w:p>
    <w:p w14:paraId="58B68DE2">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从预算单位构成看，纳入本部门2024年度决算编制的二级预算单位主要包括重庆市铜梁区福果镇人民政府（本级）、重庆市铜梁区福果镇农业服务中心、重庆市铜梁区福果镇文化服务中心、重庆市铜梁区福果镇劳动就业和社会保障服务所、重庆市铜梁区福果镇退役军人事务站、重庆市铜梁区福果镇乡村产业培育中心、重庆市铜梁区福果镇乡村生态治理中心、重庆市铜梁区福果镇综合行政执法大队。</w:t>
      </w:r>
    </w:p>
    <w:p w14:paraId="250AC74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部门</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14:paraId="05FCFD91">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063A8E73">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度收入总计2666.34万元，支出总计</w:t>
      </w:r>
      <w:r>
        <w:rPr>
          <w:rFonts w:hint="default" w:ascii="Times New Roman" w:hAnsi="Times New Roman" w:eastAsia="方正仿宋_GBK" w:cs="Times New Roman"/>
          <w:b w:val="0"/>
          <w:bCs w:val="0"/>
          <w:sz w:val="32"/>
          <w:szCs w:val="32"/>
        </w:rPr>
        <w:t>2666.34</w:t>
      </w:r>
      <w:r>
        <w:rPr>
          <w:rFonts w:hint="default" w:ascii="Times New Roman" w:hAnsi="Times New Roman" w:eastAsia="方正仿宋_GBK" w:cs="Times New Roman"/>
          <w:b w:val="0"/>
          <w:bCs w:val="0"/>
          <w:sz w:val="32"/>
          <w:szCs w:val="32"/>
          <w:shd w:val="clear" w:color="auto" w:fill="FFFFFF"/>
        </w:rPr>
        <w:t>万元。收、支与2023年度相比，减少535.73万元，下降16.7%，主要原因是财政资金紧张，</w:t>
      </w:r>
      <w:r>
        <w:rPr>
          <w:rFonts w:hint="default" w:ascii="Times New Roman" w:hAnsi="Times New Roman" w:eastAsia="方正仿宋_GBK" w:cs="Times New Roman"/>
          <w:b w:val="0"/>
          <w:bCs w:val="0"/>
          <w:sz w:val="32"/>
          <w:szCs w:val="32"/>
          <w:shd w:val="clear" w:color="auto" w:fill="FFFFFF"/>
          <w:lang w:eastAsia="zh-CN"/>
        </w:rPr>
        <w:t>年初压减预算资金，年中</w:t>
      </w:r>
      <w:r>
        <w:rPr>
          <w:rFonts w:hint="default" w:ascii="Times New Roman" w:hAnsi="Times New Roman" w:eastAsia="方正仿宋_GBK" w:cs="Times New Roman"/>
          <w:b w:val="0"/>
          <w:bCs w:val="0"/>
          <w:sz w:val="32"/>
          <w:szCs w:val="32"/>
          <w:shd w:val="clear" w:color="auto" w:fill="FFFFFF"/>
        </w:rPr>
        <w:t>部分预算资金未能全部收入</w:t>
      </w:r>
      <w:r>
        <w:rPr>
          <w:rFonts w:hint="default" w:ascii="Times New Roman" w:hAnsi="Times New Roman" w:eastAsia="方正仿宋_GBK" w:cs="Times New Roman"/>
          <w:b w:val="0"/>
          <w:bCs w:val="0"/>
          <w:sz w:val="32"/>
          <w:szCs w:val="32"/>
          <w:shd w:val="clear" w:color="auto" w:fill="FFFFFF"/>
          <w:lang w:eastAsia="zh-CN"/>
        </w:rPr>
        <w:t>、支出。</w:t>
      </w:r>
    </w:p>
    <w:p w14:paraId="62A4FB93">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度收入合计2666.34万元，与2023年度相比，减少535.73万元，下降16.7%，主要原因是财政资金紧张，</w:t>
      </w:r>
      <w:r>
        <w:rPr>
          <w:rFonts w:hint="default" w:ascii="Times New Roman" w:hAnsi="Times New Roman" w:eastAsia="方正仿宋_GBK" w:cs="Times New Roman"/>
          <w:b w:val="0"/>
          <w:bCs w:val="0"/>
          <w:sz w:val="32"/>
          <w:szCs w:val="32"/>
          <w:shd w:val="clear" w:color="auto" w:fill="FFFFFF"/>
          <w:lang w:eastAsia="zh-CN"/>
        </w:rPr>
        <w:t>年初压减预算资金，年中</w:t>
      </w:r>
      <w:r>
        <w:rPr>
          <w:rFonts w:hint="default" w:ascii="Times New Roman" w:hAnsi="Times New Roman" w:eastAsia="方正仿宋_GBK" w:cs="Times New Roman"/>
          <w:b w:val="0"/>
          <w:bCs w:val="0"/>
          <w:sz w:val="32"/>
          <w:szCs w:val="32"/>
          <w:shd w:val="clear" w:color="auto" w:fill="FFFFFF"/>
        </w:rPr>
        <w:t>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2666.34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1A47D1E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2666.34</w:t>
      </w:r>
      <w:r>
        <w:rPr>
          <w:rFonts w:hint="default" w:ascii="Times New Roman" w:hAnsi="Times New Roman" w:eastAsia="方正仿宋_GBK" w:cs="Times New Roman"/>
          <w:b w:val="0"/>
          <w:bCs w:val="0"/>
          <w:sz w:val="32"/>
          <w:szCs w:val="32"/>
          <w:shd w:val="clear" w:color="auto" w:fill="FFFFFF"/>
        </w:rPr>
        <w:t>万元，与2023年度相比，减少535.73万元，下降16.7%，主要原因是财政资金紧张，</w:t>
      </w:r>
      <w:r>
        <w:rPr>
          <w:rFonts w:hint="default" w:ascii="Times New Roman" w:hAnsi="Times New Roman" w:eastAsia="方正仿宋_GBK" w:cs="Times New Roman"/>
          <w:b w:val="0"/>
          <w:bCs w:val="0"/>
          <w:sz w:val="32"/>
          <w:szCs w:val="32"/>
          <w:shd w:val="clear" w:color="auto" w:fill="FFFFFF"/>
          <w:lang w:eastAsia="zh-CN"/>
        </w:rPr>
        <w:t>年初压减预算资金，年中</w:t>
      </w:r>
      <w:r>
        <w:rPr>
          <w:rFonts w:hint="default" w:ascii="Times New Roman" w:hAnsi="Times New Roman" w:eastAsia="方正仿宋_GBK" w:cs="Times New Roman"/>
          <w:b w:val="0"/>
          <w:bCs w:val="0"/>
          <w:sz w:val="32"/>
          <w:szCs w:val="32"/>
          <w:shd w:val="clear" w:color="auto" w:fill="FFFFFF"/>
        </w:rPr>
        <w:t>部分预算资金未能全部</w:t>
      </w:r>
      <w:r>
        <w:rPr>
          <w:rFonts w:hint="default"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1505.32</w:t>
      </w:r>
      <w:r>
        <w:rPr>
          <w:rFonts w:hint="default" w:ascii="Times New Roman" w:hAnsi="Times New Roman" w:eastAsia="方正仿宋_GBK" w:cs="Times New Roman"/>
          <w:b w:val="0"/>
          <w:bCs w:val="0"/>
          <w:sz w:val="32"/>
          <w:szCs w:val="32"/>
          <w:shd w:val="clear" w:color="auto" w:fill="FFFFFF"/>
        </w:rPr>
        <w:t>万元，占56.</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1161.02</w:t>
      </w:r>
      <w:r>
        <w:rPr>
          <w:rFonts w:hint="default" w:ascii="Times New Roman" w:hAnsi="Times New Roman" w:eastAsia="方正仿宋_GBK" w:cs="Times New Roman"/>
          <w:b w:val="0"/>
          <w:bCs w:val="0"/>
          <w:sz w:val="32"/>
          <w:szCs w:val="32"/>
          <w:shd w:val="clear" w:color="auto" w:fill="FFFFFF"/>
        </w:rPr>
        <w:t>万元，占43.5%；经营支出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023D10F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4FA1D837">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（二）财政拨款收入支出决算总体情况说明</w:t>
      </w:r>
    </w:p>
    <w:p w14:paraId="0AAD752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度财政拨款收、支总计2666.34万元。与202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年相比，财政拨款收、支总计各减少535.73万元，下降16.7%。主要原因是财政资金紧张，</w:t>
      </w:r>
      <w:r>
        <w:rPr>
          <w:rFonts w:hint="default" w:ascii="Times New Roman" w:hAnsi="Times New Roman" w:eastAsia="方正仿宋_GBK" w:cs="Times New Roman"/>
          <w:b w:val="0"/>
          <w:bCs w:val="0"/>
          <w:sz w:val="32"/>
          <w:szCs w:val="32"/>
          <w:shd w:val="clear" w:color="auto" w:fill="FFFFFF"/>
          <w:lang w:eastAsia="zh-CN"/>
        </w:rPr>
        <w:t>年初压减预算资金，年中</w:t>
      </w:r>
      <w:r>
        <w:rPr>
          <w:rFonts w:hint="default" w:ascii="Times New Roman" w:hAnsi="Times New Roman" w:eastAsia="方正仿宋_GBK" w:cs="Times New Roman"/>
          <w:b w:val="0"/>
          <w:bCs w:val="0"/>
          <w:sz w:val="32"/>
          <w:szCs w:val="32"/>
          <w:shd w:val="clear" w:color="auto" w:fill="FFFFFF"/>
        </w:rPr>
        <w:t>部分预算资金未能全部收入</w:t>
      </w:r>
      <w:r>
        <w:rPr>
          <w:rFonts w:hint="default" w:ascii="Times New Roman" w:hAnsi="Times New Roman" w:eastAsia="方正仿宋_GBK" w:cs="Times New Roman"/>
          <w:b w:val="0"/>
          <w:bCs w:val="0"/>
          <w:sz w:val="32"/>
          <w:szCs w:val="32"/>
          <w:shd w:val="clear" w:color="auto" w:fill="FFFFFF"/>
          <w:lang w:eastAsia="zh-CN"/>
        </w:rPr>
        <w:t>、支出。</w:t>
      </w:r>
    </w:p>
    <w:p w14:paraId="6D21AD77">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60E207B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2392.91</w:t>
      </w:r>
      <w:r>
        <w:rPr>
          <w:rFonts w:hint="default" w:ascii="Times New Roman" w:hAnsi="Times New Roman" w:eastAsia="方正仿宋_GBK" w:cs="Times New Roman"/>
          <w:b w:val="0"/>
          <w:bCs w:val="0"/>
          <w:sz w:val="32"/>
          <w:szCs w:val="32"/>
          <w:shd w:val="clear" w:color="auto" w:fill="FFFFFF"/>
        </w:rPr>
        <w:t>万元，与2023年度相比，减少809.16万元，下降25.3%。主要原因是财政资金紧张，</w:t>
      </w:r>
      <w:r>
        <w:rPr>
          <w:rFonts w:hint="default" w:ascii="Times New Roman" w:hAnsi="Times New Roman" w:eastAsia="方正仿宋_GBK" w:cs="Times New Roman"/>
          <w:b w:val="0"/>
          <w:bCs w:val="0"/>
          <w:sz w:val="32"/>
          <w:szCs w:val="32"/>
          <w:shd w:val="clear" w:color="auto" w:fill="FFFFFF"/>
          <w:lang w:eastAsia="zh-CN"/>
        </w:rPr>
        <w:t>年初压减预算资金，年中</w:t>
      </w:r>
      <w:r>
        <w:rPr>
          <w:rFonts w:hint="default" w:ascii="Times New Roman" w:hAnsi="Times New Roman" w:eastAsia="方正仿宋_GBK" w:cs="Times New Roman"/>
          <w:b w:val="0"/>
          <w:bCs w:val="0"/>
          <w:sz w:val="32"/>
          <w:szCs w:val="32"/>
          <w:shd w:val="clear" w:color="auto" w:fill="FFFFFF"/>
        </w:rPr>
        <w:t>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较年初预算数减少177.08万元，下降6.9%。主要原因是财政资金紧张，部分预算资金未能全部收入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431A468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2392.91</w:t>
      </w:r>
      <w:r>
        <w:rPr>
          <w:rFonts w:hint="default" w:ascii="Times New Roman" w:hAnsi="Times New Roman" w:eastAsia="方正仿宋_GBK" w:cs="Times New Roman"/>
          <w:b w:val="0"/>
          <w:bCs w:val="0"/>
          <w:sz w:val="32"/>
          <w:szCs w:val="32"/>
          <w:shd w:val="clear" w:color="auto" w:fill="FFFFFF"/>
        </w:rPr>
        <w:t>万元，与2023年度相比，减少809.16万元，下降25.3%。主要原因是财政资金紧张，</w:t>
      </w:r>
      <w:r>
        <w:rPr>
          <w:rFonts w:hint="default" w:ascii="Times New Roman" w:hAnsi="Times New Roman" w:eastAsia="方正仿宋_GBK" w:cs="Times New Roman"/>
          <w:b w:val="0"/>
          <w:bCs w:val="0"/>
          <w:sz w:val="32"/>
          <w:szCs w:val="32"/>
          <w:shd w:val="clear" w:color="auto" w:fill="FFFFFF"/>
          <w:lang w:eastAsia="zh-CN"/>
        </w:rPr>
        <w:t>年初压减预算资金，年中</w:t>
      </w:r>
      <w:r>
        <w:rPr>
          <w:rFonts w:hint="default" w:ascii="Times New Roman" w:hAnsi="Times New Roman" w:eastAsia="方正仿宋_GBK" w:cs="Times New Roman"/>
          <w:b w:val="0"/>
          <w:bCs w:val="0"/>
          <w:sz w:val="32"/>
          <w:szCs w:val="32"/>
          <w:shd w:val="clear" w:color="auto" w:fill="FFFFFF"/>
        </w:rPr>
        <w:t>部分预算资金未能全部</w:t>
      </w:r>
      <w:r>
        <w:rPr>
          <w:rFonts w:hint="default"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较年初预算数减少177.08万元，下降6.9%。</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sz w:val="32"/>
          <w:szCs w:val="32"/>
          <w:shd w:val="clear" w:color="auto" w:fill="FFFFFF"/>
        </w:rPr>
        <w:t>财政资金紧张，部分预算资金未能全部</w:t>
      </w:r>
      <w:r>
        <w:rPr>
          <w:rFonts w:hint="default" w:ascii="Times New Roman" w:hAnsi="Times New Roman" w:eastAsia="方正仿宋_GBK" w:cs="Times New Roman"/>
          <w:b w:val="0"/>
          <w:bCs w:val="0"/>
          <w:sz w:val="32"/>
          <w:szCs w:val="32"/>
          <w:shd w:val="clear" w:color="auto" w:fill="FFFFFF"/>
          <w:lang w:eastAsia="zh-CN"/>
        </w:rPr>
        <w:t>支出。</w:t>
      </w:r>
    </w:p>
    <w:p w14:paraId="052256D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6D74B16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5ABEEC6D">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645.07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lang w:val="en-US" w:eastAsia="zh-CN"/>
        </w:rPr>
        <w:t>7.0</w:t>
      </w:r>
      <w:r>
        <w:rPr>
          <w:rFonts w:hint="default" w:ascii="Times New Roman" w:hAnsi="Times New Roman" w:eastAsia="方正仿宋_GBK" w:cs="Times New Roman"/>
          <w:b w:val="0"/>
          <w:bCs w:val="0"/>
          <w:sz w:val="32"/>
          <w:szCs w:val="32"/>
          <w:shd w:val="clear" w:color="auto" w:fill="FFFFFF"/>
        </w:rPr>
        <w:t>%，较年初预算数增加22.64万元，增长3.6%，主要原因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lang w:val="en-US" w:eastAsia="zh-CN"/>
        </w:rPr>
        <w:t>2024年新增修建森林防火通道和森林防火阻隔带、生命纪念园征地、1000千伏特高压500千伏送出工程房屋搬迁涉及征地、搬迁等，群众矛盾纠纷较多，公车使用频率增加，车辆运行维护费用增加；二是由于矛盾纠纷增多，信访事件增多，导致安全维稳支出增加。</w:t>
      </w:r>
    </w:p>
    <w:p w14:paraId="04980083">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（2）国防支出0万元，占0.0%，较年初预算数减少6万元，下降100.0%，主要原因是年初预算失误，本部门无国防支出。</w:t>
      </w:r>
    </w:p>
    <w:p w14:paraId="6192F44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rPr>
        <w:t>51.08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2.1</w:t>
      </w:r>
      <w:r>
        <w:rPr>
          <w:rFonts w:hint="default" w:ascii="Times New Roman" w:hAnsi="Times New Roman" w:eastAsia="方正仿宋_GBK" w:cs="Times New Roman"/>
          <w:b w:val="0"/>
          <w:bCs w:val="0"/>
          <w:sz w:val="32"/>
          <w:szCs w:val="32"/>
          <w:shd w:val="clear" w:color="auto" w:fill="FFFFFF"/>
        </w:rPr>
        <w:t>%，较年初预算数减少2.34万元，下降4.4%，主要原因是财政资金紧张，部分预算资金未能全部收入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77088B8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338.22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14.1</w:t>
      </w:r>
      <w:r>
        <w:rPr>
          <w:rFonts w:hint="default" w:ascii="Times New Roman" w:hAnsi="Times New Roman" w:eastAsia="方正仿宋_GBK" w:cs="Times New Roman"/>
          <w:b w:val="0"/>
          <w:bCs w:val="0"/>
          <w:sz w:val="32"/>
          <w:szCs w:val="32"/>
          <w:shd w:val="clear" w:color="auto" w:fill="FFFFFF"/>
        </w:rPr>
        <w:t>%，较年初预算数减少0.9万元，下降0.3%，主要原因是财政资金紧张，部分预算资金未能全部收入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5BC49F53">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63.09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2.6</w:t>
      </w:r>
      <w:r>
        <w:rPr>
          <w:rFonts w:hint="default" w:ascii="Times New Roman" w:hAnsi="Times New Roman" w:eastAsia="方正仿宋_GBK" w:cs="Times New Roman"/>
          <w:b w:val="0"/>
          <w:bCs w:val="0"/>
          <w:sz w:val="32"/>
          <w:szCs w:val="32"/>
          <w:shd w:val="clear" w:color="auto" w:fill="FFFFFF"/>
        </w:rPr>
        <w:t>%，较年初预算数减少21.04万元，下降25.0%，主要原因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lang w:val="en-US" w:eastAsia="zh-CN"/>
        </w:rPr>
        <w:t>2024年新增2名退休公务员，相应支出减少。</w:t>
      </w:r>
    </w:p>
    <w:p w14:paraId="5F923A0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rPr>
        <w:t>132.29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5.5</w:t>
      </w:r>
      <w:r>
        <w:rPr>
          <w:rFonts w:hint="default" w:ascii="Times New Roman" w:hAnsi="Times New Roman" w:eastAsia="方正仿宋_GBK" w:cs="Times New Roman"/>
          <w:b w:val="0"/>
          <w:bCs w:val="0"/>
          <w:sz w:val="32"/>
          <w:szCs w:val="32"/>
          <w:shd w:val="clear" w:color="auto" w:fill="FFFFFF"/>
        </w:rPr>
        <w:t>%，较年初预算数减少2.92万元，下降2.2%，主要原因</w:t>
      </w:r>
      <w:r>
        <w:rPr>
          <w:rFonts w:hint="default" w:ascii="Times New Roman" w:hAnsi="Times New Roman" w:eastAsia="方正仿宋_GBK" w:cs="Times New Roman"/>
          <w:b w:val="0"/>
          <w:bCs w:val="0"/>
          <w:sz w:val="32"/>
          <w:szCs w:val="32"/>
          <w:shd w:val="clear" w:color="auto" w:fill="FFFFFF"/>
          <w:lang w:eastAsia="zh-CN"/>
        </w:rPr>
        <w:t>是财政资金紧张，农村环境保护项目资金未全部收入、支出。</w:t>
      </w:r>
    </w:p>
    <w:p w14:paraId="1A33C64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）城乡社区支出</w:t>
      </w:r>
      <w:r>
        <w:rPr>
          <w:rFonts w:hint="default" w:ascii="Times New Roman" w:hAnsi="Times New Roman" w:eastAsia="方正仿宋_GBK" w:cs="Times New Roman"/>
          <w:b w:val="0"/>
          <w:bCs w:val="0"/>
          <w:sz w:val="32"/>
          <w:szCs w:val="32"/>
        </w:rPr>
        <w:t>30.77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shd w:val="clear" w:color="auto" w:fill="FFFFFF"/>
        </w:rPr>
        <w:t>%，较年初预算数减少80.23万元，下降72.3%，主要原因是</w:t>
      </w:r>
      <w:r>
        <w:rPr>
          <w:rFonts w:hint="default" w:ascii="Times New Roman" w:hAnsi="Times New Roman" w:eastAsia="方正仿宋_GBK" w:cs="Times New Roman"/>
          <w:b w:val="0"/>
          <w:bCs w:val="0"/>
          <w:sz w:val="32"/>
          <w:szCs w:val="32"/>
          <w:shd w:val="clear" w:color="auto" w:fill="FFFFFF"/>
          <w:lang w:eastAsia="zh-CN"/>
        </w:rPr>
        <w:t>财政资金紧张，市政环卫项目资金未全部收入，场镇保洁等相关资金未支付。</w:t>
      </w:r>
    </w:p>
    <w:p w14:paraId="51104B8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895.33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37.</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shd w:val="clear" w:color="auto" w:fill="FFFFFF"/>
        </w:rPr>
        <w:t>%，较年初预算数减少169.69万元，下降15.9%，主要原因</w:t>
      </w:r>
      <w:r>
        <w:rPr>
          <w:rFonts w:hint="default" w:ascii="Times New Roman" w:hAnsi="Times New Roman" w:eastAsia="方正仿宋_GBK" w:cs="Times New Roman"/>
          <w:b w:val="0"/>
          <w:bCs w:val="0"/>
          <w:sz w:val="32"/>
          <w:szCs w:val="32"/>
          <w:shd w:val="clear" w:color="auto" w:fill="FFFFFF"/>
          <w:lang w:eastAsia="zh-CN"/>
        </w:rPr>
        <w:t>是财政资金紧张，泥结石路硬化项目资金未全部收入、支出。</w:t>
      </w:r>
    </w:p>
    <w:p w14:paraId="1F78E91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）交通运输支出</w:t>
      </w:r>
      <w:r>
        <w:rPr>
          <w:rFonts w:hint="default" w:ascii="Times New Roman" w:hAnsi="Times New Roman" w:eastAsia="方正仿宋_GBK" w:cs="Times New Roman"/>
          <w:b w:val="0"/>
          <w:bCs w:val="0"/>
          <w:sz w:val="32"/>
          <w:szCs w:val="32"/>
        </w:rPr>
        <w:t>61.55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shd w:val="clear" w:color="auto" w:fill="FFFFFF"/>
        </w:rPr>
        <w:t>%，较年初预算数增加12.05万元，增长24.3%，主要原因</w:t>
      </w:r>
      <w:r>
        <w:rPr>
          <w:rFonts w:hint="default" w:ascii="Times New Roman" w:hAnsi="Times New Roman" w:eastAsia="方正仿宋_GBK" w:cs="Times New Roman"/>
          <w:b w:val="0"/>
          <w:bCs w:val="0"/>
          <w:sz w:val="32"/>
          <w:szCs w:val="32"/>
          <w:shd w:val="clear" w:color="auto" w:fill="FFFFFF"/>
          <w:lang w:eastAsia="zh-CN"/>
        </w:rPr>
        <w:t>是修建森林防火通道和森林防火阻隔带，公路养护资金支出增加。</w:t>
      </w:r>
    </w:p>
    <w:p w14:paraId="69EAF79A">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住房保障支出74.76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3.1</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2F987E53">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11</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灾害防治及应急管理支出100.75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4.2</w:t>
      </w:r>
      <w:r>
        <w:rPr>
          <w:rFonts w:hint="default" w:ascii="Times New Roman" w:hAnsi="Times New Roman" w:eastAsia="方正仿宋_GBK" w:cs="Times New Roman"/>
          <w:b w:val="0"/>
          <w:bCs w:val="0"/>
          <w:sz w:val="32"/>
          <w:szCs w:val="32"/>
          <w:shd w:val="clear" w:color="auto" w:fill="FFFFFF"/>
        </w:rPr>
        <w:t>%，较年初预算数增加71.35万元，增长242.7%，主要原因</w:t>
      </w:r>
      <w:r>
        <w:rPr>
          <w:rFonts w:hint="default" w:ascii="Times New Roman" w:hAnsi="Times New Roman" w:eastAsia="方正仿宋_GBK" w:cs="Times New Roman"/>
          <w:b w:val="0"/>
          <w:bCs w:val="0"/>
          <w:sz w:val="32"/>
          <w:szCs w:val="32"/>
          <w:shd w:val="clear" w:color="auto" w:fill="FFFFFF"/>
          <w:lang w:eastAsia="zh-CN"/>
        </w:rPr>
        <w:t>是防汛抗旱救灾专项资金、中央应急救灾资金等年初未纳入预算。</w:t>
      </w:r>
    </w:p>
    <w:p w14:paraId="62BAD51E">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207A827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1505.32</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1251.58</w:t>
      </w:r>
      <w:r>
        <w:rPr>
          <w:rFonts w:hint="default" w:ascii="Times New Roman" w:hAnsi="Times New Roman" w:eastAsia="方正仿宋_GBK" w:cs="Times New Roman"/>
          <w:b w:val="0"/>
          <w:bCs w:val="0"/>
          <w:sz w:val="32"/>
          <w:szCs w:val="32"/>
          <w:shd w:val="clear" w:color="auto" w:fill="FFFFFF"/>
        </w:rPr>
        <w:t>万元，与2023年度相比，减少0.8万元，下降0.1%，主要原因是</w:t>
      </w:r>
      <w:r>
        <w:rPr>
          <w:rFonts w:hint="default" w:ascii="Times New Roman" w:hAnsi="Times New Roman" w:eastAsia="方正仿宋_GBK" w:cs="Times New Roman"/>
          <w:b w:val="0"/>
          <w:bCs w:val="0"/>
          <w:sz w:val="32"/>
          <w:szCs w:val="32"/>
          <w:shd w:val="clear" w:color="auto" w:fill="FFFFFF"/>
          <w:lang w:val="en-US" w:eastAsia="zh-CN"/>
        </w:rPr>
        <w:t>2024年新增2名退休公务员，相应支出减少。</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253.74</w:t>
      </w:r>
      <w:r>
        <w:rPr>
          <w:rFonts w:hint="default" w:ascii="Times New Roman" w:hAnsi="Times New Roman" w:eastAsia="方正仿宋_GBK" w:cs="Times New Roman"/>
          <w:b w:val="0"/>
          <w:bCs w:val="0"/>
          <w:sz w:val="32"/>
          <w:szCs w:val="32"/>
          <w:shd w:val="clear" w:color="auto" w:fill="FFFFFF"/>
        </w:rPr>
        <w:t>万元，与2023年度相比，减少53.11万元，下降17.3%，主要原因</w:t>
      </w:r>
      <w:r>
        <w:rPr>
          <w:rFonts w:hint="default" w:ascii="Times New Roman" w:hAnsi="Times New Roman" w:eastAsia="方正仿宋_GBK" w:cs="Times New Roman"/>
          <w:b w:val="0"/>
          <w:bCs w:val="0"/>
          <w:sz w:val="32"/>
          <w:szCs w:val="32"/>
          <w:shd w:val="clear" w:color="auto" w:fill="FFFFFF"/>
          <w:lang w:eastAsia="zh-CN"/>
        </w:rPr>
        <w:t>：一是严格落实中央八项规定，厉行节约；二是财政资金紧张，部分预算资金未能全部收入、支出。</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办公费、印刷费、劳务费、委托业务费、邮电费、水电费、维修维护费、公务用车运行维护费、差旅费、交通费等</w:t>
      </w:r>
      <w:r>
        <w:rPr>
          <w:rFonts w:hint="default" w:ascii="Times New Roman" w:hAnsi="Times New Roman" w:eastAsia="方正仿宋_GBK" w:cs="Times New Roman"/>
          <w:b w:val="0"/>
          <w:bCs w:val="0"/>
          <w:sz w:val="32"/>
          <w:szCs w:val="32"/>
        </w:rPr>
        <w:t>。</w:t>
      </w:r>
    </w:p>
    <w:p w14:paraId="23AC8062">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5E1A85D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273.43</w:t>
      </w:r>
      <w:r>
        <w:rPr>
          <w:rFonts w:hint="default" w:ascii="Times New Roman" w:hAnsi="Times New Roman" w:eastAsia="方正仿宋_GBK" w:cs="Times New Roman"/>
          <w:b w:val="0"/>
          <w:bCs w:val="0"/>
          <w:sz w:val="32"/>
          <w:szCs w:val="32"/>
          <w:shd w:val="clear" w:color="auto" w:fill="FFFFFF"/>
        </w:rPr>
        <w:t>万元，与2023年度相比，增加273.43万元，增长100.0%，主要原因是</w:t>
      </w:r>
      <w:r>
        <w:rPr>
          <w:rFonts w:hint="default" w:ascii="Times New Roman" w:hAnsi="Times New Roman" w:eastAsia="方正仿宋_GBK" w:cs="Times New Roman"/>
          <w:b w:val="0"/>
          <w:bCs w:val="0"/>
          <w:sz w:val="32"/>
          <w:szCs w:val="32"/>
          <w:shd w:val="clear" w:color="auto" w:fill="FFFFFF"/>
          <w:lang w:eastAsia="zh-CN"/>
        </w:rPr>
        <w:t>政府性基金年初未纳入预算。</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273.43</w:t>
      </w:r>
      <w:r>
        <w:rPr>
          <w:rFonts w:hint="default" w:ascii="Times New Roman" w:hAnsi="Times New Roman" w:eastAsia="方正仿宋_GBK" w:cs="Times New Roman"/>
          <w:b w:val="0"/>
          <w:bCs w:val="0"/>
          <w:sz w:val="32"/>
          <w:szCs w:val="32"/>
          <w:shd w:val="clear" w:color="auto" w:fill="FFFFFF"/>
        </w:rPr>
        <w:t>万元，与2023年度相比，增加273.43万元，增长100.0%，主要原</w:t>
      </w:r>
      <w:r>
        <w:rPr>
          <w:rFonts w:hint="default" w:ascii="Times New Roman" w:hAnsi="Times New Roman" w:eastAsia="方正仿宋_GBK" w:cs="Times New Roman"/>
          <w:b w:val="0"/>
          <w:bCs w:val="0"/>
          <w:sz w:val="32"/>
          <w:szCs w:val="32"/>
          <w:shd w:val="clear" w:color="auto" w:fill="FFFFFF"/>
          <w:lang w:eastAsia="zh-CN"/>
        </w:rPr>
        <w:t>因是202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lang w:eastAsia="zh-CN"/>
        </w:rPr>
        <w:t>年度无政府性基金预算财政拨款收支。</w:t>
      </w:r>
    </w:p>
    <w:p w14:paraId="2A6FE105">
      <w:pPr>
        <w:pStyle w:val="9"/>
        <w:keepNext w:val="0"/>
        <w:keepLines w:val="0"/>
        <w:pageBreakBefore w:val="0"/>
        <w:numPr>
          <w:ilvl w:val="0"/>
          <w:numId w:val="1"/>
        </w:numPr>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国有资本经营预算财政拨款支出决算情况说明</w:t>
      </w:r>
    </w:p>
    <w:p w14:paraId="333EF803">
      <w:pPr>
        <w:pStyle w:val="9"/>
        <w:keepNext w:val="0"/>
        <w:keepLines w:val="0"/>
        <w:pageBreakBefore w:val="0"/>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7FEDFE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14:paraId="4C1D54B7">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5157E02E">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8.5</w:t>
      </w:r>
      <w:r>
        <w:rPr>
          <w:rFonts w:hint="default" w:ascii="Times New Roman" w:hAnsi="Times New Roman" w:eastAsia="方正仿宋_GBK" w:cs="Times New Roman"/>
          <w:b w:val="0"/>
          <w:bCs w:val="0"/>
          <w:sz w:val="32"/>
          <w:szCs w:val="32"/>
          <w:shd w:val="clear" w:color="auto" w:fill="FFFFFF"/>
        </w:rPr>
        <w:t>万元，较年初预算数减少6.2万元，下降42.2%，主要原因</w:t>
      </w:r>
      <w:r>
        <w:rPr>
          <w:rFonts w:hint="default" w:ascii="Times New Roman" w:hAnsi="Times New Roman" w:eastAsia="方正仿宋_GBK" w:cs="Times New Roman"/>
          <w:b w:val="0"/>
          <w:bCs w:val="0"/>
          <w:sz w:val="32"/>
          <w:szCs w:val="32"/>
          <w:shd w:val="clear" w:color="auto" w:fill="FFFFFF"/>
          <w:lang w:eastAsia="zh-CN"/>
        </w:rPr>
        <w:t>是严格落实中央八项规定，厉行节约。</w:t>
      </w:r>
      <w:r>
        <w:rPr>
          <w:rFonts w:hint="default" w:ascii="Times New Roman" w:hAnsi="Times New Roman" w:eastAsia="方正仿宋_GBK" w:cs="Times New Roman"/>
          <w:b w:val="0"/>
          <w:bCs w:val="0"/>
          <w:sz w:val="32"/>
          <w:szCs w:val="32"/>
          <w:shd w:val="clear" w:color="auto" w:fill="FFFFFF"/>
        </w:rPr>
        <w:t>较上年支出数增加4.86万元，增长133.5%，主要原因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lang w:val="en-US" w:eastAsia="zh-CN"/>
        </w:rPr>
        <w:t>2024年新增修建森林防火通道和森林防火阻隔带、生命纪念园征地、1000千伏特高压500千伏送出工程房屋搬迁等项目涉及征地、搬迁、项目建设等，群众矛盾纠纷较多、公车使用频率增加；二是公车已购置超过10年，公车维修费用增加。</w:t>
      </w:r>
    </w:p>
    <w:p w14:paraId="34BF0DF8">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（二）“三公”经费分项支出情况</w:t>
      </w:r>
    </w:p>
    <w:p w14:paraId="1EFAAF7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0610C7A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与2023年度相比，无增减。</w:t>
      </w:r>
    </w:p>
    <w:p w14:paraId="31A78972">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8.5</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b w:val="0"/>
          <w:bCs w:val="0"/>
          <w:sz w:val="32"/>
          <w:szCs w:val="32"/>
          <w:shd w:val="clear" w:color="auto" w:fill="FFFFFF"/>
          <w:lang w:eastAsia="zh-CN"/>
        </w:rPr>
        <w:t>公务用车运行维护费。</w:t>
      </w:r>
      <w:r>
        <w:rPr>
          <w:rFonts w:hint="default" w:ascii="Times New Roman" w:hAnsi="Times New Roman" w:eastAsia="方正仿宋_GBK" w:cs="Times New Roman"/>
          <w:b w:val="0"/>
          <w:bCs w:val="0"/>
          <w:sz w:val="32"/>
          <w:szCs w:val="32"/>
          <w:shd w:val="clear" w:color="auto" w:fill="FFFFFF"/>
        </w:rPr>
        <w:t>费用支出较年初预算数减少6.2万元，下降42.2%，主要原因是</w:t>
      </w:r>
      <w:r>
        <w:rPr>
          <w:rFonts w:hint="default" w:ascii="Times New Roman" w:hAnsi="Times New Roman" w:eastAsia="方正仿宋_GBK" w:cs="Times New Roman"/>
          <w:b w:val="0"/>
          <w:bCs w:val="0"/>
          <w:sz w:val="32"/>
          <w:szCs w:val="32"/>
          <w:shd w:val="clear" w:color="auto" w:fill="FFFFFF"/>
          <w:lang w:eastAsia="zh-CN"/>
        </w:rPr>
        <w:t>严格落实中央八项规定，厉行节约。</w:t>
      </w:r>
      <w:r>
        <w:rPr>
          <w:rFonts w:hint="default" w:ascii="Times New Roman" w:hAnsi="Times New Roman" w:eastAsia="方正仿宋_GBK" w:cs="Times New Roman"/>
          <w:b w:val="0"/>
          <w:bCs w:val="0"/>
          <w:sz w:val="32"/>
          <w:szCs w:val="32"/>
          <w:shd w:val="clear" w:color="auto" w:fill="FFFFFF"/>
        </w:rPr>
        <w:t>较上年支出数增加4.86万元，增长133.5%，主要原因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lang w:val="en-US" w:eastAsia="zh-CN"/>
        </w:rPr>
        <w:t>2024年新增修建森林防火通道和森林防火阻隔带、生命纪念园征地、1000千伏特高压500千伏送出工程房屋搬迁等项目涉及征地、搬迁、项目建设等，群众矛盾纠纷较多、公车使用频率增加；二是公车已购置超过10年，公车维修费用增加。</w:t>
      </w:r>
    </w:p>
    <w:p w14:paraId="502EF50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37330AD1">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（三）“三公”经费实物量情况</w:t>
      </w:r>
    </w:p>
    <w:p w14:paraId="2F10DFC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2.83</w:t>
      </w:r>
      <w:r>
        <w:rPr>
          <w:rFonts w:hint="default" w:ascii="Times New Roman" w:hAnsi="Times New Roman" w:eastAsia="方正仿宋_GBK" w:cs="Times New Roman"/>
          <w:b w:val="0"/>
          <w:bCs w:val="0"/>
          <w:sz w:val="32"/>
          <w:szCs w:val="32"/>
          <w:shd w:val="clear" w:color="auto" w:fill="FFFFFF"/>
        </w:rPr>
        <w:t>万元。</w:t>
      </w:r>
    </w:p>
    <w:p w14:paraId="1B5311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14:paraId="68701A27">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（一）财政拨款会议费和培训费情况说明</w:t>
      </w:r>
    </w:p>
    <w:p w14:paraId="50D491A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p>
    <w:p w14:paraId="11A60BF3">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4AB72FE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度本部门机关运行经费支出</w:t>
      </w:r>
      <w:r>
        <w:rPr>
          <w:rFonts w:hint="default" w:ascii="Times New Roman" w:hAnsi="Times New Roman" w:eastAsia="方正仿宋_GBK" w:cs="Times New Roman"/>
          <w:b w:val="0"/>
          <w:bCs w:val="0"/>
          <w:sz w:val="32"/>
          <w:szCs w:val="32"/>
        </w:rPr>
        <w:t>172.85</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b w:val="0"/>
          <w:bCs w:val="0"/>
          <w:sz w:val="32"/>
          <w:szCs w:val="32"/>
          <w:lang w:val="en-US" w:eastAsia="zh-CN"/>
        </w:rPr>
        <w:t>办公费、印刷费、劳务费、委托业务费、邮电费、水电费、维修维护费、公务用车运行维护费、差旅费、交通费等</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机关运行经费较上年支出数减少25.82万元，下降13.0%，主要原因是</w:t>
      </w:r>
      <w:r>
        <w:rPr>
          <w:rFonts w:hint="default" w:ascii="Times New Roman" w:hAnsi="Times New Roman" w:eastAsia="方正仿宋_GBK" w:cs="Times New Roman"/>
          <w:b w:val="0"/>
          <w:bCs w:val="0"/>
          <w:kern w:val="0"/>
          <w:sz w:val="32"/>
          <w:szCs w:val="32"/>
          <w:lang w:val="en-US" w:eastAsia="zh-CN" w:bidi="ar-SA"/>
        </w:rPr>
        <w:t>落实中央八</w:t>
      </w:r>
      <w:r>
        <w:rPr>
          <w:rFonts w:hint="default" w:ascii="Times New Roman" w:hAnsi="Times New Roman" w:eastAsia="方正仿宋_GBK" w:cs="Times New Roman"/>
          <w:b w:val="0"/>
          <w:bCs w:val="0"/>
          <w:sz w:val="32"/>
          <w:szCs w:val="32"/>
          <w:lang w:val="en-US" w:eastAsia="zh-CN"/>
        </w:rPr>
        <w:t>项规定精神，厉行节约</w:t>
      </w:r>
      <w:r>
        <w:rPr>
          <w:rFonts w:hint="default" w:ascii="Times New Roman" w:hAnsi="Times New Roman" w:eastAsia="方正仿宋_GBK" w:cs="Times New Roman"/>
          <w:b w:val="0"/>
          <w:bCs w:val="0"/>
          <w:sz w:val="32"/>
          <w:szCs w:val="32"/>
        </w:rPr>
        <w:t>。</w:t>
      </w:r>
    </w:p>
    <w:p w14:paraId="700CB8CB">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6C6CAA2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43B35D6E">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40F2037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66C1DB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default" w:ascii="方正黑体_GBK" w:hAnsi="方正黑体_GBK" w:eastAsia="方正黑体_GBK" w:cs="方正黑体_GBK"/>
          <w:b w:val="0"/>
          <w:bCs w:val="0"/>
          <w:sz w:val="32"/>
          <w:szCs w:val="32"/>
          <w:shd w:val="clear" w:color="auto" w:fill="FFFFFF"/>
          <w:lang w:val="en-US" w:eastAsia="zh-CN"/>
        </w:rPr>
        <w:t>五、2024年度预算绩效管理情况说明</w:t>
      </w:r>
    </w:p>
    <w:p w14:paraId="4B2455F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14:paraId="6454217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根据预算绩效管理要求，我部门对部门整体和</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个(所有二级预算单位的项目个数之和)项目开展了绩效自评，其中，以填报自评表形式开展自评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1161.01</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52C92A9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（二）绩效自评结果</w:t>
      </w:r>
    </w:p>
    <w:p w14:paraId="211563D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26AE257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（1）部门整体绩效自评表。</w:t>
      </w:r>
    </w:p>
    <w:p w14:paraId="1064A15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2：重庆市铜梁区福果镇人民政府2024年度部门整体绩效自评表</w:t>
      </w:r>
      <w:r>
        <w:rPr>
          <w:rFonts w:hint="default" w:ascii="Times New Roman" w:hAnsi="Times New Roman" w:eastAsia="方正仿宋_GBK" w:cs="Times New Roman"/>
          <w:b w:val="0"/>
          <w:bCs w:val="0"/>
          <w:kern w:val="0"/>
          <w:sz w:val="32"/>
          <w:szCs w:val="32"/>
          <w:shd w:val="clear" w:fill="FFFFFF"/>
        </w:rPr>
        <w:t>。</w:t>
      </w:r>
    </w:p>
    <w:p w14:paraId="05A1B4B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（2）项目绩效自评表。</w:t>
      </w:r>
    </w:p>
    <w:p w14:paraId="550D218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详见各二级预算单位决算公开报告。</w:t>
      </w:r>
    </w:p>
    <w:p w14:paraId="78E8657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2.绩效自评报告或案例。</w:t>
      </w:r>
    </w:p>
    <w:p w14:paraId="34151ED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详见各二级预算单位决算公开报告。</w:t>
      </w:r>
    </w:p>
    <w:p w14:paraId="2C1B597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5E8EE6B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我部门对</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个项目进行绩效自评，其中</w:t>
      </w:r>
      <w:r>
        <w:rPr>
          <w:rFonts w:hint="default" w:ascii="Times New Roman" w:hAnsi="Times New Roman" w:eastAsia="方正仿宋_GBK" w:cs="Times New Roman"/>
          <w:b w:val="0"/>
          <w:bCs w:val="0"/>
          <w:kern w:val="0"/>
          <w:sz w:val="32"/>
          <w:szCs w:val="32"/>
          <w:shd w:val="clear" w:fill="FFFFFF"/>
          <w:lang w:val="en-US" w:eastAsia="zh-CN"/>
        </w:rPr>
        <w:t>28</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38EBDD67">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（三）财政重点绩效评价情况</w:t>
      </w:r>
    </w:p>
    <w:p w14:paraId="1B236E8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我部门无财政重点绩效评价项目。</w:t>
      </w:r>
    </w:p>
    <w:p w14:paraId="43FE4EB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8"/>
          <w:rFonts w:hint="default"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58714EA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77DA1F6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6D37A98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1B333E2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40935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5BB0C6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75C9411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00E7CF7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7EF1151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136231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3AC2414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40EF48D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16AB4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F5D94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4FD87EE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30B7923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36870CD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03EB4E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14:paraId="5071DA1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5E0FB4B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textAlignment w:val="auto"/>
        <w:rPr>
          <w:rStyle w:val="8"/>
          <w:rFonts w:hint="default" w:ascii="Times New Roman" w:hAnsi="Times New Roman" w:eastAsia="黑体" w:cs="Times New Roman"/>
          <w:b w:val="0"/>
          <w:bCs w:val="0"/>
          <w:sz w:val="32"/>
          <w:szCs w:val="32"/>
          <w:shd w:val="clear" w:color="auto" w:fill="FFFFFF"/>
          <w:lang w:val="en-US" w:eastAsia="zh-CN" w:bidi="ar-SA"/>
        </w:rPr>
      </w:pPr>
    </w:p>
    <w:p w14:paraId="49835E0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附件：</w:t>
      </w:r>
    </w:p>
    <w:p w14:paraId="4CAA547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1.重庆市铜梁区福果镇人民政府2024年度决算公开报表</w:t>
      </w:r>
    </w:p>
    <w:p w14:paraId="6994256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2.重庆市铜梁区福果镇人民政府2024年度部门整体绩效自评表</w:t>
      </w:r>
    </w:p>
    <w:p w14:paraId="633F3561">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方正仿宋_GBK" w:cs="Times New Roman"/>
          <w:b w:val="0"/>
          <w:bCs w:val="0"/>
          <w:kern w:val="0"/>
          <w:sz w:val="32"/>
          <w:szCs w:val="32"/>
          <w:shd w:val="clear" w:fill="FFFFFF"/>
          <w:lang w:val="en-US" w:eastAsia="zh-CN"/>
        </w:rPr>
        <w:t>3</w:t>
      </w:r>
      <w:r>
        <w:rPr>
          <w:rFonts w:hint="default" w:ascii="Times New Roman" w:hAnsi="Times New Roman" w:eastAsia="方正仿宋_GBK" w:cs="Times New Roman"/>
          <w:b w:val="0"/>
          <w:bCs w:val="0"/>
          <w:kern w:val="0"/>
          <w:sz w:val="32"/>
          <w:szCs w:val="32"/>
          <w:shd w:val="clear" w:fill="FFFFFF"/>
          <w:lang w:val="en-US" w:eastAsia="zh-CN"/>
        </w:rPr>
        <w:t>.重庆市铜梁区福果镇人民政府2024年度</w:t>
      </w:r>
      <w:r>
        <w:rPr>
          <w:rFonts w:hint="eastAsia" w:ascii="Times New Roman" w:hAnsi="Times New Roman" w:eastAsia="方正仿宋_GBK" w:cs="Times New Roman"/>
          <w:b w:val="0"/>
          <w:bCs w:val="0"/>
          <w:kern w:val="0"/>
          <w:sz w:val="32"/>
          <w:szCs w:val="32"/>
          <w:shd w:val="clear" w:fill="FFFFFF"/>
          <w:lang w:val="en-US" w:eastAsia="zh-CN"/>
        </w:rPr>
        <w:t>项目</w:t>
      </w:r>
      <w:r>
        <w:rPr>
          <w:rFonts w:hint="default" w:ascii="Times New Roman" w:hAnsi="Times New Roman" w:eastAsia="方正仿宋_GBK" w:cs="Times New Roman"/>
          <w:b w:val="0"/>
          <w:bCs w:val="0"/>
          <w:kern w:val="0"/>
          <w:sz w:val="32"/>
          <w:szCs w:val="32"/>
          <w:shd w:val="clear" w:fill="FFFFFF"/>
          <w:lang w:val="en-US" w:eastAsia="zh-CN"/>
        </w:rPr>
        <w:t>绩效自评表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602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CF32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4CF32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AE54F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3AE54F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2E3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A054A"/>
    <w:multiLevelType w:val="singleLevel"/>
    <w:tmpl w:val="8B2A054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B46AF4"/>
    <w:rsid w:val="01F3521E"/>
    <w:rsid w:val="03E3214F"/>
    <w:rsid w:val="04446191"/>
    <w:rsid w:val="044C50BA"/>
    <w:rsid w:val="0536621F"/>
    <w:rsid w:val="054E5F4C"/>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BF55C9C"/>
    <w:rsid w:val="0C554661"/>
    <w:rsid w:val="0C7927C4"/>
    <w:rsid w:val="0C9B098C"/>
    <w:rsid w:val="0CE80A8F"/>
    <w:rsid w:val="0D472B48"/>
    <w:rsid w:val="0D673E11"/>
    <w:rsid w:val="0DB50EFE"/>
    <w:rsid w:val="0DD24B50"/>
    <w:rsid w:val="0DDA54E4"/>
    <w:rsid w:val="0DDB1BEF"/>
    <w:rsid w:val="0E3A5F83"/>
    <w:rsid w:val="0E93087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75105E"/>
    <w:rsid w:val="1580711B"/>
    <w:rsid w:val="15BB4843"/>
    <w:rsid w:val="16206F49"/>
    <w:rsid w:val="16D80EBF"/>
    <w:rsid w:val="16F80DF5"/>
    <w:rsid w:val="189B0D0B"/>
    <w:rsid w:val="18E03A42"/>
    <w:rsid w:val="19313430"/>
    <w:rsid w:val="194A1770"/>
    <w:rsid w:val="19932CB7"/>
    <w:rsid w:val="19B906A4"/>
    <w:rsid w:val="19BC4734"/>
    <w:rsid w:val="1A1F744B"/>
    <w:rsid w:val="1AB10093"/>
    <w:rsid w:val="1B501DE7"/>
    <w:rsid w:val="1B6F15B6"/>
    <w:rsid w:val="1BAA2EDC"/>
    <w:rsid w:val="1BC027C5"/>
    <w:rsid w:val="1CE157EE"/>
    <w:rsid w:val="1D014A01"/>
    <w:rsid w:val="1D022362"/>
    <w:rsid w:val="1D091B60"/>
    <w:rsid w:val="1D31766A"/>
    <w:rsid w:val="1D6D1692"/>
    <w:rsid w:val="1D794AE5"/>
    <w:rsid w:val="1DD26311"/>
    <w:rsid w:val="1DE57DAF"/>
    <w:rsid w:val="1EF67CA4"/>
    <w:rsid w:val="1F213FD9"/>
    <w:rsid w:val="1F8253C5"/>
    <w:rsid w:val="1FCD26AF"/>
    <w:rsid w:val="20642787"/>
    <w:rsid w:val="20C83310"/>
    <w:rsid w:val="20EC77A3"/>
    <w:rsid w:val="21556F04"/>
    <w:rsid w:val="216838F8"/>
    <w:rsid w:val="22403BD3"/>
    <w:rsid w:val="225F2C39"/>
    <w:rsid w:val="24B92327"/>
    <w:rsid w:val="2533755C"/>
    <w:rsid w:val="26396DF4"/>
    <w:rsid w:val="26693B02"/>
    <w:rsid w:val="266B763B"/>
    <w:rsid w:val="27167136"/>
    <w:rsid w:val="27B23302"/>
    <w:rsid w:val="27D424D7"/>
    <w:rsid w:val="2818564C"/>
    <w:rsid w:val="285722C3"/>
    <w:rsid w:val="28DC1FF8"/>
    <w:rsid w:val="290A78CE"/>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3D96272"/>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07490F"/>
    <w:rsid w:val="3C3A2D54"/>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AA19C4"/>
    <w:rsid w:val="40E90F7F"/>
    <w:rsid w:val="411B6CE5"/>
    <w:rsid w:val="412070D7"/>
    <w:rsid w:val="41314E40"/>
    <w:rsid w:val="41500360"/>
    <w:rsid w:val="415C674B"/>
    <w:rsid w:val="426C1EA8"/>
    <w:rsid w:val="42E86A87"/>
    <w:rsid w:val="43136432"/>
    <w:rsid w:val="443A3B12"/>
    <w:rsid w:val="44487B36"/>
    <w:rsid w:val="44EF6BE8"/>
    <w:rsid w:val="456B75C7"/>
    <w:rsid w:val="459C73CC"/>
    <w:rsid w:val="45A30364"/>
    <w:rsid w:val="465B470D"/>
    <w:rsid w:val="469D6AD4"/>
    <w:rsid w:val="47674801"/>
    <w:rsid w:val="48225EF7"/>
    <w:rsid w:val="48A36D47"/>
    <w:rsid w:val="48D056BA"/>
    <w:rsid w:val="495C4A24"/>
    <w:rsid w:val="49A21DF3"/>
    <w:rsid w:val="49C811E4"/>
    <w:rsid w:val="4A216E30"/>
    <w:rsid w:val="4A6E396B"/>
    <w:rsid w:val="4B7951CB"/>
    <w:rsid w:val="4B7C315C"/>
    <w:rsid w:val="4B9300D7"/>
    <w:rsid w:val="4BAB7F90"/>
    <w:rsid w:val="4BD53EDA"/>
    <w:rsid w:val="4BE11807"/>
    <w:rsid w:val="4C484CE5"/>
    <w:rsid w:val="4DAC4ACA"/>
    <w:rsid w:val="4DD06F63"/>
    <w:rsid w:val="4E043596"/>
    <w:rsid w:val="4E75085F"/>
    <w:rsid w:val="4E9B0C57"/>
    <w:rsid w:val="4EA8523F"/>
    <w:rsid w:val="4F186D58"/>
    <w:rsid w:val="4F224836"/>
    <w:rsid w:val="500F7A57"/>
    <w:rsid w:val="51760217"/>
    <w:rsid w:val="51E36677"/>
    <w:rsid w:val="522F6E0C"/>
    <w:rsid w:val="52463BA1"/>
    <w:rsid w:val="529F078E"/>
    <w:rsid w:val="52AF7285"/>
    <w:rsid w:val="53C0244D"/>
    <w:rsid w:val="53DD4D4E"/>
    <w:rsid w:val="53E578CE"/>
    <w:rsid w:val="53EA10F5"/>
    <w:rsid w:val="541768A0"/>
    <w:rsid w:val="543B029D"/>
    <w:rsid w:val="54977029"/>
    <w:rsid w:val="554E5773"/>
    <w:rsid w:val="555A3CBC"/>
    <w:rsid w:val="55EF4EA6"/>
    <w:rsid w:val="56530F5D"/>
    <w:rsid w:val="56EE372E"/>
    <w:rsid w:val="5842572D"/>
    <w:rsid w:val="58B304E6"/>
    <w:rsid w:val="598A28E2"/>
    <w:rsid w:val="5AAF1FFF"/>
    <w:rsid w:val="5C1336B7"/>
    <w:rsid w:val="5C263CE4"/>
    <w:rsid w:val="5C5D2777"/>
    <w:rsid w:val="5C722D7F"/>
    <w:rsid w:val="5CDF3148"/>
    <w:rsid w:val="5D290C69"/>
    <w:rsid w:val="5DC17CC6"/>
    <w:rsid w:val="5EFA176D"/>
    <w:rsid w:val="5EFF7C70"/>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7D2DCA"/>
    <w:rsid w:val="6587477F"/>
    <w:rsid w:val="658C3A08"/>
    <w:rsid w:val="65C031CA"/>
    <w:rsid w:val="65CE6852"/>
    <w:rsid w:val="65F004F9"/>
    <w:rsid w:val="66267C04"/>
    <w:rsid w:val="663F505A"/>
    <w:rsid w:val="66445480"/>
    <w:rsid w:val="667F2393"/>
    <w:rsid w:val="66EE5541"/>
    <w:rsid w:val="67086152"/>
    <w:rsid w:val="687E45FE"/>
    <w:rsid w:val="689E12CA"/>
    <w:rsid w:val="692172FD"/>
    <w:rsid w:val="6A3829EE"/>
    <w:rsid w:val="6A924CB7"/>
    <w:rsid w:val="6ACB02C0"/>
    <w:rsid w:val="6AE0292E"/>
    <w:rsid w:val="6B474EF5"/>
    <w:rsid w:val="6BC27679"/>
    <w:rsid w:val="6BC54EFE"/>
    <w:rsid w:val="6C560CAE"/>
    <w:rsid w:val="6CD15296"/>
    <w:rsid w:val="6D903FF5"/>
    <w:rsid w:val="6DA955B8"/>
    <w:rsid w:val="6DE346AB"/>
    <w:rsid w:val="6FFB2E76"/>
    <w:rsid w:val="70AB70D6"/>
    <w:rsid w:val="70DE5507"/>
    <w:rsid w:val="71C34D91"/>
    <w:rsid w:val="71ED38AA"/>
    <w:rsid w:val="72013C3A"/>
    <w:rsid w:val="723F3B65"/>
    <w:rsid w:val="72DB435C"/>
    <w:rsid w:val="736648E4"/>
    <w:rsid w:val="74AF1A5D"/>
    <w:rsid w:val="74C62C0A"/>
    <w:rsid w:val="74ED1B1B"/>
    <w:rsid w:val="750837F0"/>
    <w:rsid w:val="762A73EF"/>
    <w:rsid w:val="762F246B"/>
    <w:rsid w:val="7631412E"/>
    <w:rsid w:val="764F62AB"/>
    <w:rsid w:val="765C45EC"/>
    <w:rsid w:val="768A7619"/>
    <w:rsid w:val="769E448D"/>
    <w:rsid w:val="7714640F"/>
    <w:rsid w:val="77EA362A"/>
    <w:rsid w:val="7875383E"/>
    <w:rsid w:val="7905324F"/>
    <w:rsid w:val="796D60A4"/>
    <w:rsid w:val="79A031D5"/>
    <w:rsid w:val="79A52681"/>
    <w:rsid w:val="7A1525F7"/>
    <w:rsid w:val="7A1D2649"/>
    <w:rsid w:val="7A3E6CB6"/>
    <w:rsid w:val="7A99799F"/>
    <w:rsid w:val="7B420052"/>
    <w:rsid w:val="7B7D43A1"/>
    <w:rsid w:val="7BD06A28"/>
    <w:rsid w:val="7C0B5B39"/>
    <w:rsid w:val="7C1E4CD7"/>
    <w:rsid w:val="7C302EE9"/>
    <w:rsid w:val="7C3A7C0B"/>
    <w:rsid w:val="7C5248E4"/>
    <w:rsid w:val="7C566698"/>
    <w:rsid w:val="7CE56AF6"/>
    <w:rsid w:val="7CF02E5B"/>
    <w:rsid w:val="7D0C5EE2"/>
    <w:rsid w:val="7D213FB2"/>
    <w:rsid w:val="7FF723E4"/>
    <w:rsid w:val="95FA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4240</Words>
  <Characters>4818</Characters>
  <Lines>161</Lines>
  <Paragraphs>45</Paragraphs>
  <TotalTime>5</TotalTime>
  <ScaleCrop>false</ScaleCrop>
  <LinksUpToDate>false</LinksUpToDate>
  <CharactersWithSpaces>4828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apple</cp:lastModifiedBy>
  <dcterms:modified xsi:type="dcterms:W3CDTF">2025-10-29T15:26:08Z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BB46EABDBB2749749395447164B066B3_12</vt:lpwstr>
  </property>
  <property fmtid="{D5CDD505-2E9C-101B-9397-08002B2CF9AE}" pid="4" name="KSOTemplateDocerSaveRecord">
    <vt:lpwstr>eyJoZGlkIjoiZDQwZjgzMWQwNDE1NWE0N2VhODhhMDA3ZmNkM2VlNGMifQ==</vt:lpwstr>
  </property>
</Properties>
</file>