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E83E3">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bookmarkStart w:id="0" w:name="_GoBack"/>
      <w:r>
        <w:rPr>
          <w:rFonts w:hint="default" w:ascii="Times New Roman" w:hAnsi="Times New Roman" w:eastAsia="方正小标宋_GBK" w:cs="Times New Roman"/>
          <w:b w:val="0"/>
          <w:bCs w:val="0"/>
          <w:sz w:val="44"/>
          <w:szCs w:val="44"/>
        </w:rPr>
        <w:t>重庆市铜梁区福果镇乡村生态治理中心</w:t>
      </w:r>
    </w:p>
    <w:p w14:paraId="00235F72">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74D8369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14:paraId="0D51DA64">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14:paraId="47718A46">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承担村镇规划建设、市政公用、市容环卫、生态环境物业管理、村容村貌提升等事务性工作，完成主管部门交办的其他任务。</w:t>
      </w:r>
    </w:p>
    <w:p w14:paraId="5D7514E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（二）机构设置</w:t>
      </w:r>
    </w:p>
    <w:p w14:paraId="4985B93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lang w:val="en-US" w:eastAsia="zh-CN" w:bidi="ar-SA"/>
        </w:rPr>
        <w:t>重庆市铜梁区福果镇乡村生态治理中心属于重庆市铜梁区福果镇人民政府下属独立核算的事业单位，无内设机构处室。</w:t>
      </w:r>
    </w:p>
    <w:p w14:paraId="2671768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rPr>
        <w:t>二、</w:t>
      </w:r>
      <w:r>
        <w:rPr>
          <w:rStyle w:val="8"/>
          <w:rFonts w:hint="default" w:ascii="方正黑体_GBK" w:hAnsi="方正黑体_GBK" w:eastAsia="方正黑体_GBK" w:cs="方正黑体_GBK"/>
          <w:b w:val="0"/>
          <w:bCs w:val="0"/>
          <w:sz w:val="32"/>
          <w:szCs w:val="32"/>
          <w:shd w:val="clear" w:color="auto" w:fill="FFFFFF"/>
          <w:lang w:eastAsia="zh-CN"/>
        </w:rPr>
        <w:t>单位</w:t>
      </w:r>
      <w:r>
        <w:rPr>
          <w:rStyle w:val="8"/>
          <w:rFonts w:hint="default" w:ascii="方正黑体_GBK" w:hAnsi="方正黑体_GBK" w:eastAsia="方正黑体_GBK" w:cs="方正黑体_GBK"/>
          <w:b w:val="0"/>
          <w:bCs w:val="0"/>
          <w:sz w:val="32"/>
          <w:szCs w:val="32"/>
          <w:shd w:val="clear" w:color="auto" w:fill="FFFFFF"/>
        </w:rPr>
        <w:t>决算</w:t>
      </w:r>
      <w:r>
        <w:rPr>
          <w:rStyle w:val="8"/>
          <w:rFonts w:hint="default" w:ascii="方正黑体_GBK" w:hAnsi="方正黑体_GBK" w:eastAsia="方正黑体_GBK" w:cs="方正黑体_GBK"/>
          <w:b w:val="0"/>
          <w:bCs w:val="0"/>
          <w:sz w:val="32"/>
          <w:szCs w:val="32"/>
          <w:shd w:val="clear" w:color="auto" w:fill="FFFFFF"/>
          <w:lang w:eastAsia="zh-CN"/>
        </w:rPr>
        <w:t>收支</w:t>
      </w:r>
      <w:r>
        <w:rPr>
          <w:rStyle w:val="8"/>
          <w:rFonts w:hint="default" w:ascii="方正黑体_GBK" w:hAnsi="方正黑体_GBK" w:eastAsia="方正黑体_GBK" w:cs="方正黑体_GBK"/>
          <w:b w:val="0"/>
          <w:bCs w:val="0"/>
          <w:sz w:val="32"/>
          <w:szCs w:val="32"/>
          <w:shd w:val="clear" w:color="auto" w:fill="FFFFFF"/>
        </w:rPr>
        <w:t>情况说明</w:t>
      </w:r>
    </w:p>
    <w:p w14:paraId="2392537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（一）收入支出决算总体情况说明</w:t>
      </w:r>
    </w:p>
    <w:p w14:paraId="2CA4C8B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度收入总计61.09万元，支出总计</w:t>
      </w:r>
      <w:r>
        <w:rPr>
          <w:rFonts w:hint="default" w:ascii="Times New Roman" w:hAnsi="Times New Roman" w:eastAsia="方正仿宋_GBK" w:cs="Times New Roman"/>
          <w:b w:val="0"/>
          <w:bCs w:val="0"/>
          <w:sz w:val="32"/>
          <w:szCs w:val="32"/>
        </w:rPr>
        <w:t>61.09</w:t>
      </w:r>
      <w:r>
        <w:rPr>
          <w:rFonts w:hint="default" w:ascii="Times New Roman" w:hAnsi="Times New Roman" w:eastAsia="方正仿宋_GBK" w:cs="Times New Roman"/>
          <w:b w:val="0"/>
          <w:bCs w:val="0"/>
          <w:sz w:val="32"/>
          <w:szCs w:val="32"/>
          <w:shd w:val="clear" w:color="auto" w:fill="FFFFFF"/>
        </w:rPr>
        <w:t>万元。收、支与2023年度相比，增加61.09万元，增长100.0%，主要原因是2024年按照财政局要求将原统计在机关本级的事业单位划分为7个账套单独核算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2023年乡村生态治理中心未独立核算，故增长100.0%。</w:t>
      </w:r>
    </w:p>
    <w:p w14:paraId="78730875">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度收入合计61.09万元，与2023年度相比，增加61.09万元，增长100.0%，主要原因是2024年按照财政局要求将原统计在机关本级的事业单位划分为7个账套单独核算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2023年乡村生态治理中心未独立核算，故增长100.0%。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61.09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万元，占0.0%；其他收入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万元，占0.0%。此外，使用非财政拨款结余和专用结余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1866742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61.09</w:t>
      </w:r>
      <w:r>
        <w:rPr>
          <w:rFonts w:hint="default" w:ascii="Times New Roman" w:hAnsi="Times New Roman" w:eastAsia="方正仿宋_GBK" w:cs="Times New Roman"/>
          <w:b w:val="0"/>
          <w:bCs w:val="0"/>
          <w:sz w:val="32"/>
          <w:szCs w:val="32"/>
          <w:shd w:val="clear" w:color="auto" w:fill="FFFFFF"/>
        </w:rPr>
        <w:t>万元，与2023年度相比，增加61.09万元，增长100.0%，主要原因是2024年按照财政局要求将原统计在机关本级的事业单位划分为7个账套单独核算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2023年乡村生态治理中心未独立核算，故增长100.0%。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51.1</w:t>
      </w:r>
      <w:r>
        <w:rPr>
          <w:rFonts w:hint="default" w:ascii="Times New Roman" w:hAnsi="Times New Roman" w:eastAsia="方正仿宋_GBK" w:cs="Times New Roman"/>
          <w:b w:val="0"/>
          <w:bCs w:val="0"/>
          <w:sz w:val="32"/>
          <w:szCs w:val="32"/>
          <w:shd w:val="clear" w:color="auto" w:fill="FFFFFF"/>
        </w:rPr>
        <w:t>万元，占83.</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%；项目支出</w:t>
      </w:r>
      <w:r>
        <w:rPr>
          <w:rFonts w:hint="default" w:ascii="Times New Roman" w:hAnsi="Times New Roman" w:eastAsia="方正仿宋_GBK" w:cs="Times New Roman"/>
          <w:b w:val="0"/>
          <w:bCs w:val="0"/>
          <w:sz w:val="32"/>
          <w:szCs w:val="32"/>
        </w:rPr>
        <w:t>9.99</w:t>
      </w:r>
      <w:r>
        <w:rPr>
          <w:rFonts w:hint="default" w:ascii="Times New Roman" w:hAnsi="Times New Roman" w:eastAsia="方正仿宋_GBK" w:cs="Times New Roman"/>
          <w:b w:val="0"/>
          <w:bCs w:val="0"/>
          <w:sz w:val="32"/>
          <w:szCs w:val="32"/>
          <w:shd w:val="clear" w:color="auto" w:fill="FFFFFF"/>
        </w:rPr>
        <w:t>万元，占16.</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%；经营支出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7D9E661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1625E3D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（二）财政拨款收入支出决算总体情况说明</w:t>
      </w:r>
    </w:p>
    <w:p w14:paraId="3918D7E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度财政拨款收、支总计61.09万元。与202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年相比，财政拨款收、支总计各增加61.09万元，增长100.0%。主要原因是2024年按照财政局要求将原统计在机关本级的事业单位划分为7个账套单独核算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2023年乡村生态治理中心未独立核算，故增长100.0%。</w:t>
      </w:r>
    </w:p>
    <w:p w14:paraId="219B021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（三）一般公共预算财政拨款收入支出决算情况说明</w:t>
      </w:r>
    </w:p>
    <w:p w14:paraId="321210A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61.09</w:t>
      </w:r>
      <w:r>
        <w:rPr>
          <w:rFonts w:hint="default" w:ascii="Times New Roman" w:hAnsi="Times New Roman" w:eastAsia="方正仿宋_GBK" w:cs="Times New Roman"/>
          <w:b w:val="0"/>
          <w:bCs w:val="0"/>
          <w:sz w:val="32"/>
          <w:szCs w:val="32"/>
          <w:shd w:val="clear" w:color="auto" w:fill="FFFFFF"/>
        </w:rPr>
        <w:t>万元，与2023年度相比，增加61.09万元，增长100.0%。主要原因是2024年按照财政局要求将原统计在机关本级的事业单位划分为7个账套单独核算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2023年乡村生态治理中心未独立核算，故增长100.0%。</w:t>
      </w:r>
      <w:r>
        <w:rPr>
          <w:rFonts w:hint="default" w:ascii="Times New Roman" w:hAnsi="Times New Roman" w:eastAsia="方正仿宋_GBK" w:cs="Times New Roman"/>
          <w:b w:val="0"/>
          <w:bCs w:val="0"/>
          <w:sz w:val="32"/>
          <w:szCs w:val="32"/>
          <w:shd w:val="clear" w:color="auto" w:fill="FFFFFF"/>
        </w:rPr>
        <w:t>较年初预算数减少12.84万元，下降17.4%。主要原因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76B3065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61.09</w:t>
      </w:r>
      <w:r>
        <w:rPr>
          <w:rFonts w:hint="default" w:ascii="Times New Roman" w:hAnsi="Times New Roman" w:eastAsia="方正仿宋_GBK" w:cs="Times New Roman"/>
          <w:b w:val="0"/>
          <w:bCs w:val="0"/>
          <w:sz w:val="32"/>
          <w:szCs w:val="32"/>
          <w:shd w:val="clear" w:color="auto" w:fill="FFFFFF"/>
        </w:rPr>
        <w:t>万元，与2023年度相比，增加61.09万元，增长100.0%。主要原因是2024年按照财政局要求将原统计在机关本级的事业单位划分为7个账套单独核算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2023年乡村生态治理中心未独立核算，故增长100.0%。</w:t>
      </w:r>
      <w:r>
        <w:rPr>
          <w:rFonts w:hint="default" w:ascii="Times New Roman" w:hAnsi="Times New Roman" w:eastAsia="方正仿宋_GBK" w:cs="Times New Roman"/>
          <w:b w:val="0"/>
          <w:bCs w:val="0"/>
          <w:sz w:val="32"/>
          <w:szCs w:val="32"/>
          <w:shd w:val="clear" w:color="auto" w:fill="FFFFFF"/>
        </w:rPr>
        <w:t>较年初预算数减少12.84万元，下降17.4%。主要原因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，故相应支出减少。</w:t>
      </w:r>
    </w:p>
    <w:p w14:paraId="6A0F4D1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45962F9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418D6F0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4.71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7.7</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354BB49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2.06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shd w:val="clear" w:color="auto" w:fill="FFFFFF"/>
        </w:rPr>
        <w:t>%，较年初预算数减少0.49万元，下降19.2%，主要原因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，故相应支出减少。</w:t>
      </w:r>
    </w:p>
    <w:p w14:paraId="630AB74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）节能环保支出</w:t>
      </w:r>
      <w:r>
        <w:rPr>
          <w:rFonts w:hint="default" w:ascii="Times New Roman" w:hAnsi="Times New Roman" w:eastAsia="方正仿宋_GBK" w:cs="Times New Roman"/>
          <w:b w:val="0"/>
          <w:bCs w:val="0"/>
          <w:sz w:val="32"/>
          <w:szCs w:val="32"/>
        </w:rPr>
        <w:t>51.96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85.</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shd w:val="clear" w:color="auto" w:fill="FFFFFF"/>
        </w:rPr>
        <w:t>%，较年初预算数减少2.35万元，下降4.3%，主要原因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，故相应支出减少。</w:t>
      </w:r>
    </w:p>
    <w:p w14:paraId="38C95D3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0.0</w:t>
      </w:r>
      <w:r>
        <w:rPr>
          <w:rFonts w:hint="default" w:ascii="Times New Roman" w:hAnsi="Times New Roman" w:eastAsia="方正仿宋_GBK" w:cs="Times New Roman"/>
          <w:b w:val="0"/>
          <w:bCs w:val="0"/>
          <w:sz w:val="32"/>
          <w:szCs w:val="32"/>
          <w:shd w:val="clear" w:color="auto" w:fill="FFFFFF"/>
        </w:rPr>
        <w:t>%，较年初预算数减少10.00万元，下降100.0%，主要原因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，故相应支出减少。</w:t>
      </w:r>
    </w:p>
    <w:p w14:paraId="32557916">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住房保障支出2.36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3.8</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02A8B060">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（四）一般公共预算财政拨款基本支出决算情况说明</w:t>
      </w:r>
    </w:p>
    <w:p w14:paraId="5D6E3CD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51.1</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48.85</w:t>
      </w:r>
      <w:r>
        <w:rPr>
          <w:rFonts w:hint="default" w:ascii="Times New Roman" w:hAnsi="Times New Roman" w:eastAsia="方正仿宋_GBK" w:cs="Times New Roman"/>
          <w:b w:val="0"/>
          <w:bCs w:val="0"/>
          <w:sz w:val="32"/>
          <w:szCs w:val="32"/>
          <w:shd w:val="clear" w:color="auto" w:fill="FFFFFF"/>
        </w:rPr>
        <w:t>万元，与2023年度相比，增加48.85万元，增长100.0%，主要原因是2024年按照财政局要求将原统计在机关本级的事业单位划分为7个账套单独核算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2023年乡村生态治理中心未独立核算，故增长100.0%。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lang w:val="en-US" w:eastAsia="zh-CN"/>
        </w:rPr>
        <w:t>在职人员工资福利及社会保险缴费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2.25</w:t>
      </w:r>
      <w:r>
        <w:rPr>
          <w:rFonts w:hint="default" w:ascii="Times New Roman" w:hAnsi="Times New Roman" w:eastAsia="方正仿宋_GBK" w:cs="Times New Roman"/>
          <w:b w:val="0"/>
          <w:bCs w:val="0"/>
          <w:sz w:val="32"/>
          <w:szCs w:val="32"/>
          <w:shd w:val="clear" w:color="auto" w:fill="FFFFFF"/>
        </w:rPr>
        <w:t>万元，与2023年度相比，增加2.25万元，增长100.0%，主要原因是2024年按照财政局要求将原统计在机关本级的事业单位划分为7个账套单独核算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2023年乡村生态治理中心未独立核算，故增长100.0%。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lang w:val="en-US" w:eastAsia="zh-CN"/>
        </w:rPr>
        <w:t>办公费、印刷费、劳务费、邮电费、水电费、维修维护费等</w:t>
      </w:r>
      <w:r>
        <w:rPr>
          <w:rFonts w:hint="default" w:ascii="Times New Roman" w:hAnsi="Times New Roman" w:eastAsia="方正仿宋_GBK" w:cs="Times New Roman"/>
          <w:b w:val="0"/>
          <w:bCs w:val="0"/>
          <w:sz w:val="32"/>
          <w:szCs w:val="32"/>
        </w:rPr>
        <w:t>。</w:t>
      </w:r>
    </w:p>
    <w:p w14:paraId="3D440D24">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（五）政府性基金预算收支决算情况说明</w:t>
      </w:r>
    </w:p>
    <w:p w14:paraId="5582E24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度无政府性基金预算财政拨款收支。</w:t>
      </w:r>
    </w:p>
    <w:p w14:paraId="50CCB67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（六）国有资本经营预算财政拨款支出决算情况说明</w:t>
      </w:r>
    </w:p>
    <w:p w14:paraId="27B0FE0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度无国有资本经营预算财政拨款支出。</w:t>
      </w:r>
    </w:p>
    <w:p w14:paraId="02F2229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14:paraId="75DCA7FB">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我单位属于重庆市铜梁区福果镇人民政府下属独立核算事业单位，财政未保障我单位“三公”经费。</w:t>
      </w:r>
      <w:r>
        <w:rPr>
          <w:rFonts w:hint="default" w:ascii="Times New Roman" w:hAnsi="Times New Roman" w:eastAsia="楷体" w:cs="Times New Roman"/>
          <w:b w:val="0"/>
          <w:bCs w:val="0"/>
          <w:sz w:val="32"/>
          <w:szCs w:val="32"/>
          <w:shd w:val="clear" w:color="auto" w:fill="FFFFFF"/>
        </w:rPr>
        <w:t xml:space="preserve"> </w:t>
      </w:r>
    </w:p>
    <w:p w14:paraId="2CC7A40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rPr>
        <w:t>四、其他需要说明的事项</w:t>
      </w:r>
    </w:p>
    <w:p w14:paraId="09D00262">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lang w:val="en-US" w:eastAsia="zh-CN" w:bidi="ar-SA"/>
        </w:rPr>
        <w:t>（一）财政拨款会议费和培训费情况说明</w:t>
      </w:r>
    </w:p>
    <w:p w14:paraId="0446B60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万元，与2023年度相比，无变化。</w:t>
      </w:r>
    </w:p>
    <w:p w14:paraId="21EE92E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（二）机关运行经费情况说明</w:t>
      </w:r>
    </w:p>
    <w:p w14:paraId="54973C8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14:paraId="1962650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（三）国有资产占用情况说明</w:t>
      </w:r>
    </w:p>
    <w:p w14:paraId="27D0428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3B5AD2A1">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（四）政府采购支出情况说明</w:t>
      </w:r>
    </w:p>
    <w:p w14:paraId="0F27259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度我单位未发生政府采购事项，无相关经费支出。</w:t>
      </w:r>
    </w:p>
    <w:p w14:paraId="2882983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lang w:val="en-US" w:eastAsia="zh-CN"/>
        </w:rPr>
      </w:pPr>
      <w:r>
        <w:rPr>
          <w:rStyle w:val="8"/>
          <w:rFonts w:hint="default" w:ascii="方正黑体_GBK" w:hAnsi="方正黑体_GBK" w:eastAsia="方正黑体_GBK" w:cs="方正黑体_GBK"/>
          <w:b w:val="0"/>
          <w:bCs w:val="0"/>
          <w:sz w:val="32"/>
          <w:szCs w:val="32"/>
          <w:shd w:val="clear" w:color="auto" w:fill="FFFFFF"/>
          <w:lang w:val="en-US" w:eastAsia="zh-CN"/>
        </w:rPr>
        <w:t>五、2024年度预算绩效管理情况说明</w:t>
      </w:r>
    </w:p>
    <w:p w14:paraId="7A6AFDE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（一）预算绩效管理工作开展情况</w:t>
      </w:r>
    </w:p>
    <w:p w14:paraId="199532C1">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9.99</w:t>
      </w:r>
      <w:r>
        <w:rPr>
          <w:rFonts w:hint="default" w:ascii="Times New Roman" w:hAnsi="Times New Roman" w:eastAsia="方正仿宋_GBK" w:cs="Times New Roman"/>
          <w:b w:val="0"/>
          <w:bCs w:val="0"/>
          <w:kern w:val="0"/>
          <w:sz w:val="32"/>
          <w:szCs w:val="32"/>
          <w:shd w:val="clear" w:fill="FFFFFF"/>
        </w:rPr>
        <w:t>万元；以委托第三方出具报告的方式开展绩效评价</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w:t>
      </w:r>
    </w:p>
    <w:p w14:paraId="2FAC377F">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（二）绩效自评结果</w:t>
      </w:r>
    </w:p>
    <w:p w14:paraId="6D07B2D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14:paraId="7C4D230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rPr>
        <w:t>详见附件</w:t>
      </w:r>
      <w:r>
        <w:rPr>
          <w:rFonts w:hint="default" w:ascii="Times New Roman" w:hAnsi="Times New Roman" w:eastAsia="方正仿宋_GBK" w:cs="Times New Roman"/>
          <w:b w:val="0"/>
          <w:bCs w:val="0"/>
          <w:kern w:val="0"/>
          <w:sz w:val="32"/>
          <w:szCs w:val="32"/>
          <w:shd w:val="clear" w:fill="FFFFFF"/>
          <w:lang w:val="en-US" w:eastAsia="zh-CN"/>
        </w:rPr>
        <w:t>2：重庆市铜梁区福果镇乡村生态治理中心2024年度项目绩效自评表。</w:t>
      </w:r>
    </w:p>
    <w:p w14:paraId="34354FFC">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14:paraId="5D17F2A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我单位未委托第三方开展绩效评价。</w:t>
      </w:r>
    </w:p>
    <w:p w14:paraId="3D730965">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14:paraId="06BBFD83">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default"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项目进行绩效自评，其中</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14:paraId="3E6F71E1">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 xml:space="preserve">（三）财政重点绩效评价情况 </w:t>
      </w:r>
    </w:p>
    <w:p w14:paraId="6F2C12C5">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14:paraId="2EE6ABA5">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黑体_GBK" w:hAnsi="方正黑体_GBK" w:eastAsia="方正黑体_GBK" w:cs="方正黑体_GBK"/>
          <w:b w:val="0"/>
          <w:bCs w:val="0"/>
          <w:sz w:val="32"/>
          <w:szCs w:val="32"/>
          <w:shd w:val="clear" w:color="auto" w:fill="FFFFFF"/>
          <w:lang w:val="en-US" w:eastAsia="zh-CN" w:bidi="ar-SA"/>
        </w:rPr>
        <w:t>六、专业名词解释</w:t>
      </w:r>
    </w:p>
    <w:p w14:paraId="6C99677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015675B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43DAC63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08C93ED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E3C1E5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D5732E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097415B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1711C0E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3CE603B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7E8BFD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0ABA817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57F1A43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E9A690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4D962A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6A7B47E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71419B7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7FD4A63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B7BF2D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14:paraId="6AE0F01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eastAsia" w:ascii="Times New Roman" w:hAnsi="Times New Roman" w:eastAsia="方正仿宋_GBK" w:cs="Times New Roman"/>
          <w:b w:val="0"/>
          <w:bCs w:val="0"/>
          <w:kern w:val="0"/>
          <w:sz w:val="32"/>
          <w:szCs w:val="32"/>
          <w:shd w:val="clear" w:fill="FFFFFF"/>
          <w:lang w:eastAsia="zh-CN"/>
        </w:rPr>
        <w:t>贾黎</w:t>
      </w:r>
      <w:r>
        <w:rPr>
          <w:rFonts w:hint="default" w:ascii="Times New Roman" w:hAnsi="Times New Roman" w:eastAsia="方正仿宋_GBK" w:cs="Times New Roman"/>
          <w:b w:val="0"/>
          <w:bCs w:val="0"/>
          <w:kern w:val="0"/>
          <w:sz w:val="32"/>
          <w:szCs w:val="32"/>
          <w:shd w:val="clear" w:fill="FFFFFF"/>
        </w:rPr>
        <w:t>023-</w:t>
      </w:r>
      <w:r>
        <w:rPr>
          <w:rFonts w:hint="default" w:ascii="Times New Roman" w:hAnsi="Times New Roman" w:eastAsia="方正仿宋_GBK" w:cs="Times New Roman"/>
          <w:b w:val="0"/>
          <w:bCs w:val="0"/>
          <w:kern w:val="0"/>
          <w:sz w:val="32"/>
          <w:szCs w:val="32"/>
          <w:shd w:val="clear" w:fill="FFFFFF"/>
          <w:lang w:val="en-US" w:eastAsia="zh-CN"/>
        </w:rPr>
        <w:t>45517021</w:t>
      </w:r>
    </w:p>
    <w:p w14:paraId="6A6BDA55">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14:paraId="1A416DA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Style w:val="8"/>
          <w:rFonts w:hint="default" w:ascii="方正黑体_GBK" w:hAnsi="方正黑体_GBK" w:eastAsia="方正黑体_GBK" w:cs="方正黑体_GBK"/>
          <w:b w:val="0"/>
          <w:bCs w:val="0"/>
          <w:sz w:val="32"/>
          <w:szCs w:val="32"/>
          <w:shd w:val="clear" w:color="auto" w:fill="FFFFFF"/>
          <w:lang w:val="en-US" w:eastAsia="zh-CN" w:bidi="ar-SA"/>
        </w:rPr>
      </w:pPr>
      <w:r>
        <w:rPr>
          <w:rStyle w:val="8"/>
          <w:rFonts w:hint="default" w:ascii="方正黑体_GBK" w:hAnsi="方正黑体_GBK" w:eastAsia="方正黑体_GBK" w:cs="方正黑体_GBK"/>
          <w:b w:val="0"/>
          <w:bCs w:val="0"/>
          <w:sz w:val="32"/>
          <w:szCs w:val="32"/>
          <w:shd w:val="clear" w:color="auto" w:fill="FFFFFF"/>
          <w:lang w:val="en-US" w:eastAsia="zh-CN" w:bidi="ar-SA"/>
        </w:rPr>
        <w:t>附件：</w:t>
      </w:r>
    </w:p>
    <w:p w14:paraId="7148178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1.重庆市铜梁区福果镇乡村生态治理中心2024年度决算公开报表</w:t>
      </w:r>
    </w:p>
    <w:p w14:paraId="4941946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eastAsia" w:ascii="Times New Roman" w:hAnsi="Times New Roman" w:eastAsia="方正仿宋_GBK" w:cs="Times New Roman"/>
          <w:b w:val="0"/>
          <w:bCs w:val="0"/>
          <w:kern w:val="0"/>
          <w:sz w:val="32"/>
          <w:szCs w:val="32"/>
          <w:shd w:val="clear" w:fill="FFFFFF"/>
          <w:lang w:val="en-US" w:eastAsia="zh-CN"/>
        </w:rPr>
        <w:t>2.</w:t>
      </w:r>
      <w:r>
        <w:rPr>
          <w:rFonts w:hint="default" w:ascii="Times New Roman" w:hAnsi="Times New Roman" w:eastAsia="方正仿宋_GBK" w:cs="Times New Roman"/>
          <w:b w:val="0"/>
          <w:bCs w:val="0"/>
          <w:kern w:val="0"/>
          <w:sz w:val="32"/>
          <w:szCs w:val="32"/>
          <w:shd w:val="clear" w:fill="FFFFFF"/>
          <w:lang w:val="en-US" w:eastAsia="zh-CN"/>
        </w:rPr>
        <w:t>重庆市铜梁区福果镇乡村生态治理中心2024年度项目绩效自评表</w:t>
      </w:r>
    </w:p>
    <w:bookmarkEnd w:id="0"/>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F35A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945FB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C945FB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CCF8E8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CCF8E80">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78CAE">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875A7"/>
    <w:rsid w:val="00FE7556"/>
    <w:rsid w:val="01474EBF"/>
    <w:rsid w:val="01F3521E"/>
    <w:rsid w:val="03E3214F"/>
    <w:rsid w:val="04446191"/>
    <w:rsid w:val="044C50BA"/>
    <w:rsid w:val="06A2550B"/>
    <w:rsid w:val="06F80EE2"/>
    <w:rsid w:val="07001CCA"/>
    <w:rsid w:val="075678DB"/>
    <w:rsid w:val="08051BCA"/>
    <w:rsid w:val="085E47F2"/>
    <w:rsid w:val="08887FC5"/>
    <w:rsid w:val="08B84F60"/>
    <w:rsid w:val="08BA052C"/>
    <w:rsid w:val="08DB07BA"/>
    <w:rsid w:val="08F851EB"/>
    <w:rsid w:val="098305D0"/>
    <w:rsid w:val="09B72B6E"/>
    <w:rsid w:val="0A3851D8"/>
    <w:rsid w:val="0A5C4B69"/>
    <w:rsid w:val="0AEC3BC7"/>
    <w:rsid w:val="0B9335CE"/>
    <w:rsid w:val="0C3B7871"/>
    <w:rsid w:val="0C7927C4"/>
    <w:rsid w:val="0C9B098C"/>
    <w:rsid w:val="0D11728C"/>
    <w:rsid w:val="0D673E11"/>
    <w:rsid w:val="0DB50EFE"/>
    <w:rsid w:val="0DDA54E4"/>
    <w:rsid w:val="0E3A5F83"/>
    <w:rsid w:val="0F836721"/>
    <w:rsid w:val="103645A3"/>
    <w:rsid w:val="107B59E5"/>
    <w:rsid w:val="10A37B3C"/>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BF06C3C"/>
    <w:rsid w:val="1CB226F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3D2ECB"/>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7E6A75"/>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A11A09"/>
    <w:rsid w:val="46FC41C7"/>
    <w:rsid w:val="47674801"/>
    <w:rsid w:val="47CF368D"/>
    <w:rsid w:val="48225EF7"/>
    <w:rsid w:val="495C4A24"/>
    <w:rsid w:val="4A230850"/>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376D93"/>
    <w:rsid w:val="5842572D"/>
    <w:rsid w:val="5AB73810"/>
    <w:rsid w:val="5AE75037"/>
    <w:rsid w:val="5B58571C"/>
    <w:rsid w:val="5B8376C2"/>
    <w:rsid w:val="5B96133A"/>
    <w:rsid w:val="5C1336B7"/>
    <w:rsid w:val="5C263CE4"/>
    <w:rsid w:val="5C5D2777"/>
    <w:rsid w:val="5D290C69"/>
    <w:rsid w:val="5D537F41"/>
    <w:rsid w:val="5EAA3672"/>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2679B3"/>
    <w:rsid w:val="64FB113D"/>
    <w:rsid w:val="654E4D38"/>
    <w:rsid w:val="656152C6"/>
    <w:rsid w:val="6587477F"/>
    <w:rsid w:val="658C3A08"/>
    <w:rsid w:val="65A01F83"/>
    <w:rsid w:val="65AF7B0D"/>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989E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7711</Words>
  <Characters>21008</Characters>
  <Lines>161</Lines>
  <Paragraphs>45</Paragraphs>
  <TotalTime>5</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apple</cp:lastModifiedBy>
  <dcterms:modified xsi:type="dcterms:W3CDTF">2025-10-28T17:06:46Z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