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2CBAC">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重庆市铜梁区福果镇退役军人服务站</w:t>
      </w:r>
    </w:p>
    <w:p w14:paraId="20D00A76">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5147CB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14:paraId="0FC1957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621A8F6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承担退役军人关系转接、联络接待、困难帮扶、信息采集、情况反映、优抚对象补贴发放等服务保障工作；</w:t>
      </w:r>
      <w:r>
        <w:rPr>
          <w:rFonts w:hint="default" w:ascii="Times New Roman" w:hAnsi="Times New Roman" w:eastAsia="方正仿宋_GBK" w:cs="Times New Roman"/>
          <w:b w:val="0"/>
          <w:bCs w:val="0"/>
          <w:sz w:val="32"/>
          <w:szCs w:val="32"/>
          <w:shd w:val="clear" w:color="auto" w:fill="FFFFFF"/>
          <w:lang w:val="en-US" w:eastAsia="zh-CN"/>
        </w:rPr>
        <w:t>做好或配合做好民兵预备役、征兵、人民防空、防汛、防火、防震、抢险等工作；</w:t>
      </w:r>
      <w:r>
        <w:rPr>
          <w:rFonts w:hint="default" w:ascii="Times New Roman" w:hAnsi="Times New Roman" w:eastAsia="方正仿宋_GBK" w:cs="Times New Roman"/>
          <w:b w:val="0"/>
          <w:bCs w:val="0"/>
          <w:sz w:val="32"/>
          <w:szCs w:val="32"/>
          <w:shd w:val="clear" w:color="auto" w:fill="FFFFFF"/>
          <w:lang w:eastAsia="zh-CN"/>
        </w:rPr>
        <w:t>完成主管部门交办的其他任务。</w:t>
      </w:r>
    </w:p>
    <w:p w14:paraId="0832FCD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02BC18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lang w:val="en-US" w:eastAsia="zh-CN" w:bidi="ar-SA"/>
        </w:rPr>
        <w:t>重庆市铜梁区福果镇退役军人服务站属于重庆市铜梁区福果镇人民政府下属独立核算的事业单位，无内设机构处室。</w:t>
      </w:r>
    </w:p>
    <w:p w14:paraId="0F61FDC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二、</w:t>
      </w:r>
      <w:r>
        <w:rPr>
          <w:rStyle w:val="8"/>
          <w:rFonts w:hint="default" w:ascii="方正黑体_GBK" w:hAnsi="方正黑体_GBK" w:eastAsia="方正黑体_GBK" w:cs="方正黑体_GBK"/>
          <w:b w:val="0"/>
          <w:bCs w:val="0"/>
          <w:sz w:val="32"/>
          <w:szCs w:val="32"/>
          <w:shd w:val="clear" w:color="auto" w:fill="FFFFFF"/>
          <w:lang w:eastAsia="zh-CN"/>
        </w:rPr>
        <w:t>单位</w:t>
      </w:r>
      <w:r>
        <w:rPr>
          <w:rStyle w:val="8"/>
          <w:rFonts w:hint="default" w:ascii="方正黑体_GBK" w:hAnsi="方正黑体_GBK" w:eastAsia="方正黑体_GBK" w:cs="方正黑体_GBK"/>
          <w:b w:val="0"/>
          <w:bCs w:val="0"/>
          <w:sz w:val="32"/>
          <w:szCs w:val="32"/>
          <w:shd w:val="clear" w:color="auto" w:fill="FFFFFF"/>
        </w:rPr>
        <w:t>决算</w:t>
      </w:r>
      <w:r>
        <w:rPr>
          <w:rStyle w:val="8"/>
          <w:rFonts w:hint="default" w:ascii="方正黑体_GBK" w:hAnsi="方正黑体_GBK" w:eastAsia="方正黑体_GBK" w:cs="方正黑体_GBK"/>
          <w:b w:val="0"/>
          <w:bCs w:val="0"/>
          <w:sz w:val="32"/>
          <w:szCs w:val="32"/>
          <w:shd w:val="clear" w:color="auto" w:fill="FFFFFF"/>
          <w:lang w:eastAsia="zh-CN"/>
        </w:rPr>
        <w:t>收支</w:t>
      </w:r>
      <w:r>
        <w:rPr>
          <w:rStyle w:val="8"/>
          <w:rFonts w:hint="default" w:ascii="方正黑体_GBK" w:hAnsi="方正黑体_GBK" w:eastAsia="方正黑体_GBK" w:cs="方正黑体_GBK"/>
          <w:b w:val="0"/>
          <w:bCs w:val="0"/>
          <w:sz w:val="32"/>
          <w:szCs w:val="32"/>
          <w:shd w:val="clear" w:color="auto" w:fill="FFFFFF"/>
        </w:rPr>
        <w:t>情况说明</w:t>
      </w:r>
    </w:p>
    <w:p w14:paraId="2E1A7205">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14:paraId="5DB5294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度收入总计41.9万元，支出总计</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万元。收、支与2023年度相比，增加41.9万元，增长100.0%，主要原因是2024年按照财政局要求将原统计在机关本级的事业单位划分为7个账套单独核算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p>
    <w:p w14:paraId="7179AFE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度收入合计41.9万元，与2023年度相比，增加41.9万元，增长100.0%，主要原因是2024年按照财政局要求将原统计在机关本级的事业单位划分为7个账套单独核算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1DE1595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万元，占100.0%；项目支出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4D2B6EC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0717EC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14:paraId="6EE56DB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度财政拨款收、支总计41.9万元。与202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p>
    <w:p w14:paraId="2CFE2AB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5792EE8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较年初预算数减少10.73万元，下降20.4%。主要原因是财政资金紧张，部分预算资金未能全部收入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3E5F1AF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较年初预算数减少10.73万元，下降20.4%。主要原因是财政资金紧张，部分预算资金未能全部收入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1928AA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17057AE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4BCF018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38.53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91.9</w:t>
      </w:r>
      <w:r>
        <w:rPr>
          <w:rFonts w:hint="default" w:ascii="Times New Roman" w:hAnsi="Times New Roman" w:eastAsia="方正仿宋_GBK" w:cs="Times New Roman"/>
          <w:b w:val="0"/>
          <w:bCs w:val="0"/>
          <w:sz w:val="32"/>
          <w:szCs w:val="32"/>
          <w:shd w:val="clear" w:color="auto" w:fill="FFFFFF"/>
        </w:rPr>
        <w:t>%，较年初预算数减少3.35万元，下降8.0%，主要原因是财政资金紧张，部分预算资金未能全部收入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269378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1.57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shd w:val="clear" w:color="auto" w:fill="FFFFFF"/>
        </w:rPr>
        <w:t>%，较年初预算数减少0.38万元，下降19.5%，主要原因</w:t>
      </w:r>
      <w:bookmarkStart w:id="0" w:name="_GoBack"/>
      <w:bookmarkEnd w:id="0"/>
      <w:r>
        <w:rPr>
          <w:rFonts w:hint="default" w:ascii="Times New Roman" w:hAnsi="Times New Roman" w:eastAsia="方正仿宋_GBK" w:cs="Times New Roman"/>
          <w:b w:val="0"/>
          <w:bCs w:val="0"/>
          <w:sz w:val="32"/>
          <w:szCs w:val="32"/>
          <w:shd w:val="clear" w:color="auto" w:fill="FFFFFF"/>
        </w:rPr>
        <w:t>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39CBA58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%，较年初预算数减少7万元，下降100.0%，主要原因是是财政资金紧张，部分预算资金未能全部收入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30B078FD">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住房保障支出1.8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4.3</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425536E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0DE8411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38.42</w:t>
      </w:r>
      <w:r>
        <w:rPr>
          <w:rFonts w:hint="default" w:ascii="Times New Roman" w:hAnsi="Times New Roman" w:eastAsia="方正仿宋_GBK" w:cs="Times New Roman"/>
          <w:b w:val="0"/>
          <w:bCs w:val="0"/>
          <w:sz w:val="32"/>
          <w:szCs w:val="32"/>
          <w:shd w:val="clear" w:color="auto" w:fill="FFFFFF"/>
        </w:rPr>
        <w:t>万元，与2023年度相比，增加38.42万元，增长100.0%，主要原因是2024年按照财政局要求将原统计在机关本级的事业单位划分为7个账套单独核算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3.48</w:t>
      </w:r>
      <w:r>
        <w:rPr>
          <w:rFonts w:hint="default" w:ascii="Times New Roman" w:hAnsi="Times New Roman" w:eastAsia="方正仿宋_GBK" w:cs="Times New Roman"/>
          <w:b w:val="0"/>
          <w:bCs w:val="0"/>
          <w:sz w:val="32"/>
          <w:szCs w:val="32"/>
          <w:shd w:val="clear" w:color="auto" w:fill="FFFFFF"/>
        </w:rPr>
        <w:t>万元，与2023年度相比，增加3.48万元，增长100.0%，主要原因是2024年按照财政局要求将原统计在机关本级的事业单位划分为7个账套单独核算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30E227C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14:paraId="09CAE3E2">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本单位2024年度无政府性基金预算财政拨款收支。</w:t>
      </w:r>
    </w:p>
    <w:p w14:paraId="321411F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0A40888E">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本单位2024年度无国有资本经营预算财政拨款支出。</w:t>
      </w:r>
    </w:p>
    <w:p w14:paraId="439BAB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14:paraId="5E372F76">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1389BF6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其他需要说明的事项</w:t>
      </w:r>
    </w:p>
    <w:p w14:paraId="09FB99FE">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（一）财政拨款会议费和培训费情况说明</w:t>
      </w:r>
    </w:p>
    <w:p w14:paraId="02FD3F0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14:paraId="0368CAF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（二）机关运行经费情况说明</w:t>
      </w:r>
    </w:p>
    <w:p w14:paraId="714422F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3733085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（三）国有资产占用情况说明</w:t>
      </w:r>
    </w:p>
    <w:p w14:paraId="4A1B472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188A2E2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（四）政府采购支出情况说明</w:t>
      </w:r>
    </w:p>
    <w:p w14:paraId="012860A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2024年</w:t>
      </w:r>
      <w:r>
        <w:rPr>
          <w:rFonts w:hint="default" w:ascii="Times New Roman" w:hAnsi="Times New Roman" w:eastAsia="方正仿宋_GBK" w:cs="Times New Roman"/>
          <w:b w:val="0"/>
          <w:bCs w:val="0"/>
          <w:sz w:val="32"/>
          <w:szCs w:val="32"/>
        </w:rPr>
        <w:t>度我单位未发生政府采购事项，无相关经费支出。</w:t>
      </w:r>
    </w:p>
    <w:p w14:paraId="08FF82A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default" w:ascii="方正黑体_GBK" w:hAnsi="方正黑体_GBK" w:eastAsia="方正黑体_GBK" w:cs="方正黑体_GBK"/>
          <w:b w:val="0"/>
          <w:bCs w:val="0"/>
          <w:sz w:val="32"/>
          <w:szCs w:val="32"/>
          <w:shd w:val="clear" w:color="auto" w:fill="FFFFFF"/>
          <w:lang w:val="en-US" w:eastAsia="zh-CN"/>
        </w:rPr>
        <w:t>五、2024年度预算绩效管理情况说明</w:t>
      </w:r>
    </w:p>
    <w:p w14:paraId="11E5355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（一）预算绩效管理工作开展情况</w:t>
      </w:r>
    </w:p>
    <w:p w14:paraId="45BE97B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7BD2501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（二）绩效自评结果</w:t>
      </w:r>
    </w:p>
    <w:p w14:paraId="78D03AE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7FAD3F9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eastAsia="zh-CN"/>
        </w:rPr>
        <w:t>我单位</w:t>
      </w:r>
      <w:r>
        <w:rPr>
          <w:rFonts w:hint="default" w:ascii="Times New Roman" w:hAnsi="Times New Roman" w:eastAsia="方正仿宋_GBK" w:cs="Times New Roman"/>
          <w:b w:val="0"/>
          <w:bCs w:val="0"/>
          <w:kern w:val="0"/>
          <w:sz w:val="32"/>
          <w:szCs w:val="32"/>
          <w:shd w:val="clear" w:fill="FFFFFF"/>
          <w:lang w:val="en-US" w:eastAsia="zh-CN"/>
        </w:rPr>
        <w:t>2024年度未开展项目绩效自评。</w:t>
      </w:r>
    </w:p>
    <w:p w14:paraId="74602F1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3DF0E69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271E560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65E9DD1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0个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5F01050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lang w:val="en-US" w:eastAsia="zh-CN"/>
        </w:rPr>
      </w:pPr>
      <w:r>
        <w:rPr>
          <w:rStyle w:val="8"/>
          <w:rFonts w:hint="default" w:ascii="方正楷体_GBK" w:hAnsi="方正楷体_GBK" w:eastAsia="方正楷体_GBK" w:cs="方正楷体_GBK"/>
          <w:b w:val="0"/>
          <w:bCs w:val="0"/>
          <w:sz w:val="32"/>
          <w:szCs w:val="32"/>
          <w:shd w:val="clear" w:color="auto" w:fill="FFFFFF"/>
          <w:lang w:val="en-US" w:eastAsia="zh-CN"/>
        </w:rPr>
        <w:t xml:space="preserve">（三）财政重点绩效评价情况 </w:t>
      </w:r>
    </w:p>
    <w:p w14:paraId="4214099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547BABD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14:paraId="0B3C263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39A836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0B2FD1B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63C8834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901C3F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73D589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605A885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5F4A76E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2279CBA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A422E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7495301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4DCE7B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0E1BB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D7FC56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251DC34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04FBE4C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6BAB9DC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698092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14:paraId="22F2900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1F0DF184">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14:paraId="5DFF1A8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p>
    <w:p w14:paraId="11966B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r>
        <w:rPr>
          <w:rStyle w:val="8"/>
          <w:rFonts w:hint="default" w:ascii="Times New Roman" w:hAnsi="Times New Roman" w:eastAsia="方正黑体_GBK" w:cs="Times New Roman"/>
          <w:b w:val="0"/>
          <w:bCs w:val="0"/>
          <w:sz w:val="32"/>
          <w:szCs w:val="32"/>
          <w:shd w:val="clear" w:color="auto" w:fill="FFFFFF"/>
          <w:lang w:val="en-US" w:eastAsia="zh-CN" w:bidi="ar-SA"/>
        </w:rPr>
        <w:t>附件：</w:t>
      </w:r>
    </w:p>
    <w:p w14:paraId="599AFF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重庆市铜梁区福果镇退役军人服务站2024年度决算公开报表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B4F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53FDD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153FDD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F78A49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F78A49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A68D">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78CE"/>
    <w:multiLevelType w:val="singleLevel"/>
    <w:tmpl w:val="FBCE78C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3124FC"/>
    <w:rsid w:val="148E377E"/>
    <w:rsid w:val="14D211A1"/>
    <w:rsid w:val="1580711B"/>
    <w:rsid w:val="189B0D0B"/>
    <w:rsid w:val="194A1770"/>
    <w:rsid w:val="19917D9C"/>
    <w:rsid w:val="19B906A4"/>
    <w:rsid w:val="1A1F744B"/>
    <w:rsid w:val="1A4854EC"/>
    <w:rsid w:val="1B6F15B6"/>
    <w:rsid w:val="1BAA2EDC"/>
    <w:rsid w:val="1CE157EE"/>
    <w:rsid w:val="1D014A01"/>
    <w:rsid w:val="1D022362"/>
    <w:rsid w:val="1D195E5B"/>
    <w:rsid w:val="1DD26311"/>
    <w:rsid w:val="1EF67CA4"/>
    <w:rsid w:val="1FCD26AF"/>
    <w:rsid w:val="20642787"/>
    <w:rsid w:val="21556F04"/>
    <w:rsid w:val="22403BD3"/>
    <w:rsid w:val="24932670"/>
    <w:rsid w:val="24B92327"/>
    <w:rsid w:val="2533755C"/>
    <w:rsid w:val="26396DF4"/>
    <w:rsid w:val="270642A6"/>
    <w:rsid w:val="27167136"/>
    <w:rsid w:val="27B23302"/>
    <w:rsid w:val="27FF011F"/>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1E81C4B"/>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7650A5"/>
    <w:rsid w:val="426C1EA8"/>
    <w:rsid w:val="42E86A87"/>
    <w:rsid w:val="43136432"/>
    <w:rsid w:val="43770A38"/>
    <w:rsid w:val="443A3B12"/>
    <w:rsid w:val="44A854C2"/>
    <w:rsid w:val="44DD597D"/>
    <w:rsid w:val="4550361D"/>
    <w:rsid w:val="45C16ED1"/>
    <w:rsid w:val="465B470D"/>
    <w:rsid w:val="469D6AD4"/>
    <w:rsid w:val="46FC41C7"/>
    <w:rsid w:val="47674801"/>
    <w:rsid w:val="48225EF7"/>
    <w:rsid w:val="49083FD4"/>
    <w:rsid w:val="495C4A24"/>
    <w:rsid w:val="49DA3823"/>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1167B6"/>
    <w:rsid w:val="5842572D"/>
    <w:rsid w:val="5AE75037"/>
    <w:rsid w:val="5B58571C"/>
    <w:rsid w:val="5B8376C2"/>
    <w:rsid w:val="5B96133A"/>
    <w:rsid w:val="5C1336B7"/>
    <w:rsid w:val="5C263CE4"/>
    <w:rsid w:val="5C5D2777"/>
    <w:rsid w:val="5D290C69"/>
    <w:rsid w:val="5D537F41"/>
    <w:rsid w:val="5EFA176D"/>
    <w:rsid w:val="5F0247F9"/>
    <w:rsid w:val="5F2D4A41"/>
    <w:rsid w:val="601C34ED"/>
    <w:rsid w:val="605B343E"/>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FD81E8"/>
    <w:rsid w:val="7C1E4CD7"/>
    <w:rsid w:val="7C3A7C0B"/>
    <w:rsid w:val="7C5248E4"/>
    <w:rsid w:val="7C566698"/>
    <w:rsid w:val="7FA960B8"/>
    <w:rsid w:val="E7FDEA26"/>
    <w:rsid w:val="FD7F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7</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apple</cp:lastModifiedBy>
  <dcterms:modified xsi:type="dcterms:W3CDTF">2025-10-29T15:48:14Z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