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51AC">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重庆市铜梁区福果镇综合行政执法大队</w:t>
      </w:r>
    </w:p>
    <w:p w14:paraId="2B521389">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39102C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14:paraId="79A95501">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0D975393">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承担辖区内农林水利、规划建设、生态环境、文化旅游、卫生健康、应急消防、城市管理、交通运输等领域的行政执法工作；完成主管部门交办的其他任务。</w:t>
      </w:r>
    </w:p>
    <w:p w14:paraId="78D386B1">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5E87C54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lang w:val="en-US" w:eastAsia="zh-CN" w:bidi="ar-SA"/>
        </w:rPr>
        <w:t>重庆市铜梁区福果镇综合行政执法大队属于重庆市铜梁区福果镇人民政府下属独立核算的事业单位，无内设机构处室。</w:t>
      </w:r>
    </w:p>
    <w:p w14:paraId="7CC2586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二、</w:t>
      </w:r>
      <w:r>
        <w:rPr>
          <w:rStyle w:val="8"/>
          <w:rFonts w:hint="default" w:ascii="方正黑体_GBK" w:hAnsi="方正黑体_GBK" w:eastAsia="方正黑体_GBK" w:cs="方正黑体_GBK"/>
          <w:b w:val="0"/>
          <w:bCs w:val="0"/>
          <w:sz w:val="32"/>
          <w:szCs w:val="32"/>
          <w:shd w:val="clear" w:color="auto" w:fill="FFFFFF"/>
          <w:lang w:eastAsia="zh-CN"/>
        </w:rPr>
        <w:t>单位</w:t>
      </w:r>
      <w:r>
        <w:rPr>
          <w:rStyle w:val="8"/>
          <w:rFonts w:hint="default" w:ascii="方正黑体_GBK" w:hAnsi="方正黑体_GBK" w:eastAsia="方正黑体_GBK" w:cs="方正黑体_GBK"/>
          <w:b w:val="0"/>
          <w:bCs w:val="0"/>
          <w:sz w:val="32"/>
          <w:szCs w:val="32"/>
          <w:shd w:val="clear" w:color="auto" w:fill="FFFFFF"/>
        </w:rPr>
        <w:t>决算</w:t>
      </w:r>
      <w:r>
        <w:rPr>
          <w:rStyle w:val="8"/>
          <w:rFonts w:hint="default" w:ascii="方正黑体_GBK" w:hAnsi="方正黑体_GBK" w:eastAsia="方正黑体_GBK" w:cs="方正黑体_GBK"/>
          <w:b w:val="0"/>
          <w:bCs w:val="0"/>
          <w:sz w:val="32"/>
          <w:szCs w:val="32"/>
          <w:shd w:val="clear" w:color="auto" w:fill="FFFFFF"/>
          <w:lang w:eastAsia="zh-CN"/>
        </w:rPr>
        <w:t>收支</w:t>
      </w:r>
      <w:r>
        <w:rPr>
          <w:rStyle w:val="8"/>
          <w:rFonts w:hint="default" w:ascii="方正黑体_GBK" w:hAnsi="方正黑体_GBK" w:eastAsia="方正黑体_GBK" w:cs="方正黑体_GBK"/>
          <w:b w:val="0"/>
          <w:bCs w:val="0"/>
          <w:sz w:val="32"/>
          <w:szCs w:val="32"/>
          <w:shd w:val="clear" w:color="auto" w:fill="FFFFFF"/>
        </w:rPr>
        <w:t>情况说明</w:t>
      </w:r>
    </w:p>
    <w:p w14:paraId="5C2EA81C">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14:paraId="28DF2857">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度收入总计68.1万元，支出总计</w:t>
      </w:r>
      <w:r>
        <w:rPr>
          <w:rFonts w:hint="default" w:ascii="Times New Roman" w:hAnsi="Times New Roman" w:eastAsia="方正仿宋_GBK" w:cs="Times New Roman"/>
          <w:b w:val="0"/>
          <w:bCs w:val="0"/>
          <w:sz w:val="32"/>
          <w:szCs w:val="32"/>
        </w:rPr>
        <w:t>68.1</w:t>
      </w:r>
      <w:r>
        <w:rPr>
          <w:rFonts w:hint="default" w:ascii="Times New Roman" w:hAnsi="Times New Roman" w:eastAsia="方正仿宋_GBK" w:cs="Times New Roman"/>
          <w:b w:val="0"/>
          <w:bCs w:val="0"/>
          <w:sz w:val="32"/>
          <w:szCs w:val="32"/>
          <w:shd w:val="clear" w:color="auto" w:fill="FFFFFF"/>
        </w:rPr>
        <w:t>万元。收、支与2023年度相比，增加68.1万元，增长100.0%，主要原因是2024年按照财政局要求将原统计在机关本级的事业单位划分为7个账套单独核算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p>
    <w:p w14:paraId="33CDDBE9">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度收入合计68.1万元，与2023年度相比，增加68.1万元，增长100.0%，主要原因是2024年按照财政局要求将原统计在机关本级的事业单位划分为7个账套单独核算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27625D71">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68.1</w:t>
      </w:r>
      <w:r>
        <w:rPr>
          <w:rFonts w:hint="default" w:ascii="Times New Roman" w:hAnsi="Times New Roman" w:eastAsia="方正仿宋_GBK" w:cs="Times New Roman"/>
          <w:b w:val="0"/>
          <w:bCs w:val="0"/>
          <w:sz w:val="32"/>
          <w:szCs w:val="32"/>
          <w:shd w:val="clear" w:color="auto" w:fill="FFFFFF"/>
        </w:rPr>
        <w:t>万元，与2023年度相比，增加68.1万元，增长100.0%，主要原因是2024年按照财政局要求将原统计在机关本级的事业单位划分为7个账套单独核算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58.13</w:t>
      </w:r>
      <w:r>
        <w:rPr>
          <w:rFonts w:hint="default" w:ascii="Times New Roman" w:hAnsi="Times New Roman" w:eastAsia="方正仿宋_GBK" w:cs="Times New Roman"/>
          <w:b w:val="0"/>
          <w:bCs w:val="0"/>
          <w:sz w:val="32"/>
          <w:szCs w:val="32"/>
          <w:shd w:val="clear" w:color="auto" w:fill="FFFFFF"/>
        </w:rPr>
        <w:t>万元，占85.</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9.97</w:t>
      </w:r>
      <w:r>
        <w:rPr>
          <w:rFonts w:hint="default" w:ascii="Times New Roman" w:hAnsi="Times New Roman" w:eastAsia="方正仿宋_GBK" w:cs="Times New Roman"/>
          <w:b w:val="0"/>
          <w:bCs w:val="0"/>
          <w:sz w:val="32"/>
          <w:szCs w:val="32"/>
          <w:shd w:val="clear" w:color="auto" w:fill="FFFFFF"/>
        </w:rPr>
        <w:t>万元，占14.6%；经营支出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7DD5EE0F">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6CC7C4B0">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14:paraId="04B67430">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度财政拨款收、支总计68.1万元。与202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年相比，财政拨款收、支总计各增加68.1万元，增长100.0%。主要原因是2024年按照财政局要求将原统计在机关本级的事业单位划分为7个账套单独核算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p>
    <w:p w14:paraId="720D9B87">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5E058677">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68.1</w:t>
      </w:r>
      <w:r>
        <w:rPr>
          <w:rFonts w:hint="default" w:ascii="Times New Roman" w:hAnsi="Times New Roman" w:eastAsia="方正仿宋_GBK" w:cs="Times New Roman"/>
          <w:b w:val="0"/>
          <w:bCs w:val="0"/>
          <w:sz w:val="32"/>
          <w:szCs w:val="32"/>
          <w:shd w:val="clear" w:color="auto" w:fill="FFFFFF"/>
        </w:rPr>
        <w:t>万元，与2023年度相比，增加68.1万元，增长100.0%。主要原因是2024年按照财政局要求将原统计在机关本级的事业单位划分为7个账套单独核算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r>
        <w:rPr>
          <w:rFonts w:hint="default" w:ascii="Times New Roman" w:hAnsi="Times New Roman" w:eastAsia="方正仿宋_GBK" w:cs="Times New Roman"/>
          <w:b w:val="0"/>
          <w:bCs w:val="0"/>
          <w:sz w:val="32"/>
          <w:szCs w:val="32"/>
          <w:shd w:val="clear" w:color="auto" w:fill="FFFFFF"/>
        </w:rPr>
        <w:t>较年初预算数减少11.31万元，下降14.2%。主要原因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48F2F81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68.1</w:t>
      </w:r>
      <w:r>
        <w:rPr>
          <w:rFonts w:hint="default" w:ascii="Times New Roman" w:hAnsi="Times New Roman" w:eastAsia="方正仿宋_GBK" w:cs="Times New Roman"/>
          <w:b w:val="0"/>
          <w:bCs w:val="0"/>
          <w:sz w:val="32"/>
          <w:szCs w:val="32"/>
          <w:shd w:val="clear" w:color="auto" w:fill="FFFFFF"/>
        </w:rPr>
        <w:t>万元，与2023年度相比，增加68.1万元，增长100.0%。主要原因是2024年按照财政局要求将原统计在机关本级的事业单位划分为7个账套单独核算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r>
        <w:rPr>
          <w:rFonts w:hint="default" w:ascii="Times New Roman" w:hAnsi="Times New Roman" w:eastAsia="方正仿宋_GBK" w:cs="Times New Roman"/>
          <w:b w:val="0"/>
          <w:bCs w:val="0"/>
          <w:sz w:val="32"/>
          <w:szCs w:val="32"/>
          <w:shd w:val="clear" w:color="auto" w:fill="FFFFFF"/>
        </w:rPr>
        <w:t>较年初预算数减少11.31万元，下降14.2%。主要原因是财政资金紧张，部分预算资金未能全部收入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576E2ED8">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53DEEB5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6A3FCD6C">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57.35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84.2</w:t>
      </w:r>
      <w:r>
        <w:rPr>
          <w:rFonts w:hint="default" w:ascii="Times New Roman" w:hAnsi="Times New Roman" w:eastAsia="方正仿宋_GBK" w:cs="Times New Roman"/>
          <w:b w:val="0"/>
          <w:bCs w:val="0"/>
          <w:sz w:val="32"/>
          <w:szCs w:val="32"/>
          <w:shd w:val="clear" w:color="auto" w:fill="FFFFFF"/>
        </w:rPr>
        <w:t>%，较年初预算数减少0.72万元，下降1.2%，主要原因是</w:t>
      </w:r>
      <w:r>
        <w:rPr>
          <w:rFonts w:hint="default" w:ascii="Times New Roman" w:hAnsi="Times New Roman" w:eastAsia="方正仿宋_GBK" w:cs="Times New Roman"/>
          <w:b w:val="0"/>
          <w:bCs w:val="0"/>
          <w:sz w:val="32"/>
          <w:szCs w:val="32"/>
          <w:shd w:val="clear" w:color="auto" w:fill="FFFFFF"/>
          <w:lang w:eastAsia="zh-CN"/>
        </w:rPr>
        <w:t>财政资金紧张，部分预算资金未能全部收入，故相应的支出减少。</w:t>
      </w:r>
    </w:p>
    <w:p w14:paraId="1667F4A2">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5.55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D9C0768">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2.43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shd w:val="clear" w:color="auto" w:fill="FFFFFF"/>
        </w:rPr>
        <w:t>%，较年初预算数减少0.58万元，下降19.3%，主要原因是</w:t>
      </w:r>
      <w:r>
        <w:rPr>
          <w:rFonts w:hint="default" w:ascii="Times New Roman" w:hAnsi="Times New Roman" w:eastAsia="方正仿宋_GBK" w:cs="Times New Roman"/>
          <w:b w:val="0"/>
          <w:bCs w:val="0"/>
          <w:sz w:val="32"/>
          <w:szCs w:val="32"/>
          <w:shd w:val="clear" w:color="auto" w:fill="FFFFFF"/>
          <w:lang w:eastAsia="zh-CN"/>
        </w:rPr>
        <w:t>财政资金紧张，部分预算资金未能全部收入，故相应的支出减少。</w:t>
      </w:r>
    </w:p>
    <w:p w14:paraId="278A4A64">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%，较年初预算数减少10万元，下降100.0%，主要原因是</w:t>
      </w:r>
      <w:r>
        <w:rPr>
          <w:rFonts w:hint="default" w:ascii="Times New Roman" w:hAnsi="Times New Roman" w:eastAsia="方正仿宋_GBK" w:cs="Times New Roman"/>
          <w:b w:val="0"/>
          <w:bCs w:val="0"/>
          <w:sz w:val="32"/>
          <w:szCs w:val="32"/>
          <w:shd w:val="clear" w:color="auto" w:fill="FFFFFF"/>
          <w:lang w:eastAsia="zh-CN"/>
        </w:rPr>
        <w:t>财政资金紧张，部分预算资金未能全部收入，故相应的支出减少。</w:t>
      </w:r>
    </w:p>
    <w:p w14:paraId="07D11CD4">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住房保障支出2.78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4.08</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16A3B5C">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5F98450F">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58.13</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55.36</w:t>
      </w:r>
      <w:r>
        <w:rPr>
          <w:rFonts w:hint="default" w:ascii="Times New Roman" w:hAnsi="Times New Roman" w:eastAsia="方正仿宋_GBK" w:cs="Times New Roman"/>
          <w:b w:val="0"/>
          <w:bCs w:val="0"/>
          <w:sz w:val="32"/>
          <w:szCs w:val="32"/>
          <w:shd w:val="clear" w:color="auto" w:fill="FFFFFF"/>
        </w:rPr>
        <w:t>万元，与2023年度相比，增加55.36万元，增长100.0%，主要原因是2024年按照财政局要求将原统计在机关本级的事业单位划分为7个账套单独核算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2.77</w:t>
      </w:r>
      <w:r>
        <w:rPr>
          <w:rFonts w:hint="default" w:ascii="Times New Roman" w:hAnsi="Times New Roman" w:eastAsia="方正仿宋_GBK" w:cs="Times New Roman"/>
          <w:b w:val="0"/>
          <w:bCs w:val="0"/>
          <w:sz w:val="32"/>
          <w:szCs w:val="32"/>
          <w:shd w:val="clear" w:color="auto" w:fill="FFFFFF"/>
        </w:rPr>
        <w:t>万元，与2023年度相比，增加2.77万元，增长100.0%，主要原因是2024年按照财政局要求将原统计在机关本级的事业单位划分为7个账套单独核算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2023年行政执法大队未独立核算，故增长100.0%。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13D93D63">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14:paraId="5033E37E">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0CC2C8AE">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78BD1995">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4BCBB49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14:paraId="2A92B00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4E8883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四、其他需要说明的事项</w:t>
      </w:r>
    </w:p>
    <w:p w14:paraId="1064585E">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 xml:space="preserve"> （一）财政拨款会议费和培训费情况说明</w:t>
      </w:r>
    </w:p>
    <w:p w14:paraId="429651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万元，与2023年度相比，无变化。</w:t>
      </w:r>
    </w:p>
    <w:p w14:paraId="22945E3B">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463F91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2D15C7BD">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3B882766">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33C6CDD5">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45206B4C">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3938802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14:paraId="787315C3">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（一）预算绩效管理工作开展情况</w:t>
      </w:r>
    </w:p>
    <w:p w14:paraId="55B1EC5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9.97</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2B105880">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（二）绩效自评结果</w:t>
      </w:r>
    </w:p>
    <w:p w14:paraId="499FCE2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0CEDCE2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2：重庆市铜梁区福果镇综合行政执法队2024年度项目绩效自评表</w:t>
      </w:r>
      <w:r>
        <w:rPr>
          <w:rFonts w:hint="default" w:ascii="Times New Roman" w:hAnsi="Times New Roman" w:eastAsia="方正仿宋_GBK" w:cs="Times New Roman"/>
          <w:b w:val="0"/>
          <w:bCs w:val="0"/>
          <w:kern w:val="0"/>
          <w:sz w:val="32"/>
          <w:szCs w:val="32"/>
          <w:shd w:val="clear" w:fill="FFFFFF"/>
        </w:rPr>
        <w:t>。</w:t>
      </w:r>
    </w:p>
    <w:p w14:paraId="455270F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49F7F5BA">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731D796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3.关于绩效自评结果的说明。</w:t>
      </w:r>
    </w:p>
    <w:p w14:paraId="42C7CBE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3CBB8BE8">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 xml:space="preserve">（三）财政重点绩效评价情况 </w:t>
      </w:r>
    </w:p>
    <w:p w14:paraId="4AFB3E9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364B033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黑体_GBK" w:hAnsi="方正黑体_GBK" w:eastAsia="方正黑体_GBK" w:cs="方正黑体_GBK"/>
          <w:b w:val="0"/>
          <w:bCs w:val="0"/>
          <w:sz w:val="32"/>
          <w:szCs w:val="32"/>
          <w:shd w:val="clear" w:color="auto" w:fill="FFFFFF"/>
          <w:lang w:val="en-US" w:eastAsia="zh-CN" w:bidi="ar-SA"/>
        </w:rPr>
        <w:t>六、专业名词解释</w:t>
      </w:r>
    </w:p>
    <w:p w14:paraId="5BCEF87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20C1340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1B3DAA1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7A19AC6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30F411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1C2D6D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5133E5D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71BAE94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0BF8D74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bookmarkStart w:id="0" w:name="_GoBack"/>
      <w:bookmarkEnd w:id="0"/>
      <w:r>
        <w:rPr>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400930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6A9FBAE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7AA73D1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014C2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C2444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349A49E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0FDD473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6760BFF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0FC4C0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09CC686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1313232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p>
    <w:p w14:paraId="37147F1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r>
        <w:rPr>
          <w:rStyle w:val="8"/>
          <w:rFonts w:hint="default" w:ascii="方正黑体_GBK" w:hAnsi="方正黑体_GBK" w:eastAsia="方正黑体_GBK" w:cs="方正黑体_GBK"/>
          <w:b w:val="0"/>
          <w:bCs w:val="0"/>
          <w:sz w:val="32"/>
          <w:szCs w:val="32"/>
          <w:shd w:val="clear" w:color="auto" w:fill="FFFFFF"/>
          <w:lang w:val="en-US" w:eastAsia="zh-CN" w:bidi="ar-SA"/>
        </w:rPr>
        <w:t>附件：</w:t>
      </w:r>
    </w:p>
    <w:p w14:paraId="6D716F7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1.重庆市铜梁区福果镇综合行政执法大队2024年度决算公开报表</w:t>
      </w:r>
    </w:p>
    <w:p w14:paraId="6231D1E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2.重庆市铜梁区福果镇综合行政执法大队2024年度项目绩效自评表</w:t>
      </w:r>
    </w:p>
    <w:sectPr>
      <w:headerReference r:id="rId3" w:type="default"/>
      <w:footerReference r:id="rId4" w:type="default"/>
      <w:pgSz w:w="11850" w:h="16783"/>
      <w:pgMar w:top="1984" w:right="1474"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8C7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48ED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748ED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A197E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8A197E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C38F">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2FB6FFD"/>
    <w:rsid w:val="3337290D"/>
    <w:rsid w:val="352930DB"/>
    <w:rsid w:val="35573069"/>
    <w:rsid w:val="358C217E"/>
    <w:rsid w:val="359F188C"/>
    <w:rsid w:val="362D2433"/>
    <w:rsid w:val="36697431"/>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B5720F"/>
    <w:rsid w:val="426C1EA8"/>
    <w:rsid w:val="42E86A87"/>
    <w:rsid w:val="43136432"/>
    <w:rsid w:val="43770A38"/>
    <w:rsid w:val="443A3B12"/>
    <w:rsid w:val="44A854C2"/>
    <w:rsid w:val="44DD597D"/>
    <w:rsid w:val="45231E8B"/>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963809"/>
    <w:rsid w:val="5D290C69"/>
    <w:rsid w:val="5D537F41"/>
    <w:rsid w:val="5D9F585C"/>
    <w:rsid w:val="5EFA176D"/>
    <w:rsid w:val="5F0247F9"/>
    <w:rsid w:val="5F2D4A41"/>
    <w:rsid w:val="601C34ED"/>
    <w:rsid w:val="60A958A9"/>
    <w:rsid w:val="60D22ADB"/>
    <w:rsid w:val="61025A59"/>
    <w:rsid w:val="613D5BBC"/>
    <w:rsid w:val="61536C39"/>
    <w:rsid w:val="61B86DC3"/>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E6704A"/>
    <w:rsid w:val="6B474EF5"/>
    <w:rsid w:val="6C560CAE"/>
    <w:rsid w:val="6D0615E4"/>
    <w:rsid w:val="6D903FF5"/>
    <w:rsid w:val="6DA955B8"/>
    <w:rsid w:val="6DE346AB"/>
    <w:rsid w:val="6F7F6A2D"/>
    <w:rsid w:val="6FB442D1"/>
    <w:rsid w:val="6FFB2E76"/>
    <w:rsid w:val="71C34D91"/>
    <w:rsid w:val="71ED38AA"/>
    <w:rsid w:val="720229AA"/>
    <w:rsid w:val="72DB435C"/>
    <w:rsid w:val="750837F0"/>
    <w:rsid w:val="759F5E09"/>
    <w:rsid w:val="764F62AB"/>
    <w:rsid w:val="765C45EC"/>
    <w:rsid w:val="768A7619"/>
    <w:rsid w:val="76E14979"/>
    <w:rsid w:val="77EA362A"/>
    <w:rsid w:val="7875383E"/>
    <w:rsid w:val="796D60A4"/>
    <w:rsid w:val="797860DC"/>
    <w:rsid w:val="79A031D5"/>
    <w:rsid w:val="7A1525F7"/>
    <w:rsid w:val="7A3E6CB6"/>
    <w:rsid w:val="7A680D2D"/>
    <w:rsid w:val="7B260559"/>
    <w:rsid w:val="7B420052"/>
    <w:rsid w:val="7BD06A28"/>
    <w:rsid w:val="7C1E4CD7"/>
    <w:rsid w:val="7C3A7C0B"/>
    <w:rsid w:val="7C5248E4"/>
    <w:rsid w:val="7C566698"/>
    <w:rsid w:val="7ECB1EE0"/>
    <w:rsid w:val="7F55297F"/>
    <w:rsid w:val="7FA960B8"/>
    <w:rsid w:val="CFFB5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apple</cp:lastModifiedBy>
  <dcterms:modified xsi:type="dcterms:W3CDTF">2025-10-28T17:14:11Z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