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废止的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规范性文件目录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/>
        </w:rPr>
        <w:t>重庆市铜梁区福果镇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人民政府关于印发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2024年秸秆禁烧工作实施方案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（福果府发〔202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/>
        </w:rPr>
        <w:t>重庆市铜梁区福果镇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关于印发《铜梁区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福果镇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农村人居环境整治积分制实施方案》的通知（福果府发〔202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37CCC"/>
    <w:rsid w:val="7CF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2024-12-03T08:27:00Z</dcterms:created>
  <dc:creator>Administrator</dc:creator>
  <cp:lastModifiedBy>Administrator</cp:lastModifiedBy>
  <dcterms:modified xsi:type="dcterms:W3CDTF">2024-12-03T08:28:16Z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886F00495DF34F5298BC35F774E1EDC3</vt:lpwstr>
  </property>
</Properties>
</file>