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重庆市铜梁区高楼镇人民政府（本级）</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bookmarkStart w:id="0" w:name="OLE_LINK1"/>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执行本级人民代表大会的决议和上级国家行政机关的决定和命令，发布决定和命令。</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执行本行政区域内的经济和社会发展计划、预算，管理本行政区域内的经济、教育、科学、文化、卫生、体育事业和财政、民政、公安、司法行政、计划生育等行政工作。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保护社会主义的全民所有的财产和劳动群众集体所有的财产，保护公民私人所有的合法财产，维护社会秩序，保障公民的人身权利、民主权利和其他权利。</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基层治理综合指挥室。统筹负责一体化智治平台运行管理相关工作，承担基层治理指挥中心运行监测、分析研判、协同流转、应急指挥、督查考核等职责，负责综合协调、文件收发、政务公开、后勤管理、机要保密等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党的建设办公室。统筹负责党的政治建设、思想建设、组织建设、作风建设、纪律建设、制度建设和反腐败斗争、民主法治、意识形态、精神文明建设、统一战线、民宗侨台、群众团体、人大政协联络等领域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.经济发展办公室。统筹负责经济发展、辖区规划建设、生态环境、农业农村、乡村振兴、财政管理、经济社会统计等领域工作。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.民生服务办公室。统筹负责民政、教育、文化、卫生健康、体育、劳动就业、残疾人事业、退役军人服务等领域工作，负责落实社会保险、社会救助、社会福利、优抚安置等社会保障政策。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.平安法治办公室。统筹负责平安综治、应急管理、安全生产综合监管、综合执法、信访稳定、防范和处理邪教、人民武装、社会治理等领域工作。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度收入总计1246.63万元，支出总计1246.63万元。收、支与2023年度相比，减少1489.20万元，下降54.4%，主要原因是</w:t>
      </w:r>
      <w:r>
        <w:rPr>
          <w:rFonts w:hint="default" w:ascii="Times New Roman" w:hAnsi="Times New Roman" w:eastAsia="方正仿宋_GBK" w:cs="Times New Roman"/>
          <w:sz w:val="32"/>
          <w:szCs w:val="32"/>
          <w:lang w:val="en-US" w:eastAsia="zh-CN"/>
        </w:rPr>
        <w:t>一是本单位下属事业单位第一年单独进行决算编报，所属人员经费、公用经费划转在事业单位中；二是本年度项目减少，上级补助收入对应支出减少。本年度无十五特困供养敬老院建设项目，较上年度较少支出274.14万元；泥结石路建设项目支出较上年度减少支出242.95万元；四好公路建设项目较上年度减少383.38万元；防汛救灾资金较上年度减少35万元；三是由于财政资金紧张，部分预算资金未能全部收入。故本年收入较上年度减少</w:t>
      </w:r>
      <w:r>
        <w:rPr>
          <w:rFonts w:hint="default" w:ascii="Times New Roman" w:hAnsi="Times New Roman" w:eastAsia="方正仿宋_GBK" w:cs="Times New Roman"/>
          <w:sz w:val="32"/>
          <w:szCs w:val="32"/>
        </w:rPr>
        <w:t>1489.20万元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度收入合计1246.63万元，与2023年度相比，减少1489.20万元，下降54.4%，主要原因是</w:t>
      </w:r>
      <w:r>
        <w:rPr>
          <w:rFonts w:hint="default" w:ascii="Times New Roman" w:hAnsi="Times New Roman" w:eastAsia="方正仿宋_GBK" w:cs="Times New Roman"/>
          <w:sz w:val="32"/>
          <w:szCs w:val="32"/>
          <w:lang w:val="en-US" w:eastAsia="zh-CN"/>
        </w:rPr>
        <w:t>一是本单位下属事业单位第一年单独进行决算编报，所属人员经费、公用经费划转在事业单位中；二是本年度项目减少，上级补助收入对应支出减少。本年度无十五特困供养敬老院建设项目，较上年度较少支出274.14万元；泥结石路建设项目支出较上年度减少支出242.95万元；四好公路建设项目较上年度减少383.38万元；防汛救灾资金较上年度减少35万元；三是由于财政资金紧张，部分预算资金未能全部收入。故本年收入较上年度减少</w:t>
      </w:r>
      <w:r>
        <w:rPr>
          <w:rFonts w:hint="default" w:ascii="Times New Roman" w:hAnsi="Times New Roman" w:eastAsia="方正仿宋_GBK" w:cs="Times New Roman"/>
          <w:sz w:val="32"/>
          <w:szCs w:val="32"/>
        </w:rPr>
        <w:t>1489.20万元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其中：财政拨款收入1246.63万元，占100.00%；事业收入0.00万元，占0.00%；经营收入0.00万元，占0.00%；其他收入0.00万元，占0.00%。此外，使用非财政拨款结余和专用结余0.00万元，年初结转和结余0.00万元。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度支出合计1246.63万元，与2023年度相比，减少1489.20万元，下降54.4%，主要原因是</w:t>
      </w:r>
      <w:r>
        <w:rPr>
          <w:rFonts w:hint="default" w:ascii="Times New Roman" w:hAnsi="Times New Roman" w:eastAsia="方正仿宋_GBK" w:cs="Times New Roman"/>
          <w:sz w:val="32"/>
          <w:szCs w:val="32"/>
          <w:lang w:val="en-US" w:eastAsia="zh-CN"/>
        </w:rPr>
        <w:t>一是本单位下属事业单位第一年单独进行决算编报，所属人员经费、公用经费划转在事业单位中；二是本年度项目减少，上级补助收入对应支出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default" w:ascii="Times New Roman" w:hAnsi="Times New Roman" w:eastAsia="方正仿宋_GBK" w:cs="Times New Roman"/>
          <w:sz w:val="32"/>
          <w:szCs w:val="32"/>
        </w:rPr>
        <w:t>其中：基本支出598.92万元，占48.04%；项目支出647.71万元，占51.96%；经营支出0.00万元，占0.00%。此外，结余分配0.00万元。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度财政拨款收、支总计1246.63万元。与202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年相比，财政拨款收、支总计各减少1489.20万元，下降54.4%。主要原因是</w:t>
      </w:r>
      <w:r>
        <w:rPr>
          <w:rFonts w:hint="default" w:ascii="Times New Roman" w:hAnsi="Times New Roman" w:eastAsia="方正仿宋_GBK" w:cs="Times New Roman"/>
          <w:sz w:val="32"/>
          <w:szCs w:val="32"/>
          <w:lang w:val="en-US" w:eastAsia="zh-CN"/>
        </w:rPr>
        <w:t>一是本单位下属事业单位第一年单独进行决算编报，所属人员经费、公用经费划转在事业单位中；二是本年度项目减少，上级补助收入对应支出减少。本年度无十五特困供养敬老院建设项目，较上年度较少支出274.14万元；泥结石路建设项目支出较上年度减少支出242.95万元；四好公路建设项目较上年度减少383.38万元；防汛救灾资金较上年度减少35万元；三是由于财政资金紧张，部分预算资金未能全部收入。故本年收入较上年度减少</w:t>
      </w:r>
      <w:r>
        <w:rPr>
          <w:rFonts w:hint="default" w:ascii="Times New Roman" w:hAnsi="Times New Roman" w:eastAsia="方正仿宋_GBK" w:cs="Times New Roman"/>
          <w:sz w:val="32"/>
          <w:szCs w:val="32"/>
        </w:rPr>
        <w:t>1489.20万元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度一般公共预算财政拨款收入1125.43万元，与2023年度相比，减少1610.40万元，下降58.9%。主要原因是</w:t>
      </w:r>
      <w:r>
        <w:rPr>
          <w:rFonts w:hint="default" w:ascii="Times New Roman" w:hAnsi="Times New Roman" w:eastAsia="方正仿宋_GBK" w:cs="Times New Roman"/>
          <w:sz w:val="32"/>
          <w:szCs w:val="32"/>
          <w:lang w:val="en-US" w:eastAsia="zh-CN"/>
        </w:rPr>
        <w:t>一是本单位下属事业单位第一年单独进行决算编报，所属人员经费、公用经费划转在事业单位中；二是本年度项目减少，上级补助收入对应支出减少。本年度无十五特困供养敬老院建设项目，较上年度较少支出274.14万元；泥结石路建设项目支出较上年度减少支出242.95万元；四好公路建设项目较上年度减少383.38万元；防汛救灾资金较上年度减少35万元；三是由于财政资金紧张，部分预算资金未能全部收入。故本年收入较上年度减少1610.40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较年初预算数减少47.00万元，下降4.0%。主要</w:t>
      </w:r>
      <w:bookmarkStart w:id="1" w:name="_GoBack"/>
      <w:bookmarkEnd w:id="1"/>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财政资金紧张，部分预算资金未能全部收入，故本年收入较年初预算减少47万元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度一般公共预算财政拨款支出1125.43万元，与2023年度相比，减少1610.40万元，下降58.9%。主要原因是</w:t>
      </w:r>
      <w:r>
        <w:rPr>
          <w:rFonts w:hint="default" w:ascii="Times New Roman" w:hAnsi="Times New Roman" w:eastAsia="方正仿宋_GBK" w:cs="Times New Roman"/>
          <w:sz w:val="32"/>
          <w:szCs w:val="32"/>
          <w:lang w:val="en-US" w:eastAsia="zh-CN"/>
        </w:rPr>
        <w:t>一是本单位下属事业单位第一年单独进行决算编报，所属人员经费、公用经费划转在事业单位中；二是本年度项目减少，上级补助收入对应支出减少。本年度无十五特困供养敬老院建设项目，较上年度较少支出274.14万元；泥结石路建设项目支出较上年度减少支出242.95万元；四好公路建设项目较上年度减少383.38万元；防汛救灾资金较上年度减少35万元；三是由于财政资金紧张，部分预算资金未能全部收入。故本年收入较上年度减少1610.40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较年初预算数减少47.00万元，下降4.0%。主要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财政资金紧张，部分预算资金未能全部收入，故本年收入较年初预算减少47万元</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（1）一般公共服务支出550.92万元，占48.95%，较年初预算数减少26.50万元，下降4.6%，</w:t>
      </w:r>
      <w:r>
        <w:rPr>
          <w:rFonts w:hint="default" w:ascii="Times New Roman" w:hAnsi="Times New Roman" w:eastAsia="方正仿宋_GBK" w:cs="Times New Roman"/>
          <w:sz w:val="32"/>
          <w:szCs w:val="32"/>
          <w:lang w:val="en-US" w:eastAsia="zh-CN"/>
        </w:rPr>
        <w:t>主要原因是2024年度区财政局为优先保障“三保”等重点支出，对我单位部分非紧急、非刚性的项目支出进行了暂缓支出，我单位涉及公用经费、安全维稳等预算资金共计26.5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）国防支出2.45万元，占0.22%，较年初预算数减少1.05万元，下降30.0%，主要原因是民兵训练等事项</w:t>
      </w:r>
      <w:r>
        <w:rPr>
          <w:rFonts w:hint="default" w:ascii="Times New Roman" w:hAnsi="Times New Roman" w:eastAsia="方正仿宋_GBK" w:cs="Times New Roman"/>
          <w:sz w:val="32"/>
          <w:szCs w:val="32"/>
          <w:lang w:val="en-US" w:eastAsia="zh-CN"/>
        </w:rPr>
        <w:t>减少。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）文化旅游体育与传媒支出0.92万元，占0.08%，较年初预算数增加0.92万元，增长100.0%，</w:t>
      </w:r>
      <w:r>
        <w:rPr>
          <w:rFonts w:hint="default" w:ascii="Times New Roman" w:hAnsi="Times New Roman" w:eastAsia="方正仿宋_GBK" w:cs="Times New Roman"/>
          <w:sz w:val="32"/>
          <w:szCs w:val="32"/>
          <w:lang w:val="en-US" w:eastAsia="zh-CN"/>
        </w:rPr>
        <w:t>主要原因是2024年度年初编制预算时未将文物安全志愿者补贴项目、文化站免费开放资金、2022年文化旅游体育业高质量发展扶持资金项目纳入预算。最终形成2024年度文化旅游体育与传媒决算支出较年初预算增加0.92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）社会保障与就业支出91.21万元，占8.10%，较年初预算数减少12.51万元，下降12.1%，主要原因是</w:t>
      </w:r>
      <w:r>
        <w:rPr>
          <w:rFonts w:hint="default" w:ascii="Times New Roman" w:hAnsi="Times New Roman" w:eastAsia="方正仿宋_GBK" w:cs="Times New Roman"/>
          <w:sz w:val="32"/>
          <w:szCs w:val="32"/>
          <w:lang w:val="en-US" w:eastAsia="zh-CN"/>
        </w:rPr>
        <w:t>2024年度区财政局为优先保障“三保”等重点支出，对我单位部分非紧急、非刚性的项目支出进行了暂缓支出，我单位涉及敬老院经费、离退休相关经费（行政）等预算资金共计12.51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）卫生健康支出25.60万元，占2.27%，较年初预算数减少9.39万元，下降26.8%，</w:t>
      </w:r>
      <w:r>
        <w:rPr>
          <w:rFonts w:hint="default" w:ascii="Times New Roman" w:hAnsi="Times New Roman" w:eastAsia="方正仿宋_GBK" w:cs="Times New Roman"/>
          <w:sz w:val="32"/>
          <w:szCs w:val="32"/>
          <w:lang w:val="en-US" w:eastAsia="zh-CN"/>
        </w:rPr>
        <w:t>主要原因是2024年度区财政局为优先保障“三保”等重点支出，对我单位部分非紧急、非刚性的项目支出进行了暂缓支出，我单位涉及退休公务员医疗补助缴费、在职公务员医疗补助缴费等预算资金共计9.39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）节能环保支出6.77万元，占0.60%，较年初预算数增加0.77万元，增长12.8%，主要原因是</w:t>
      </w:r>
      <w:r>
        <w:rPr>
          <w:rFonts w:hint="default" w:ascii="Times New Roman" w:hAnsi="Times New Roman" w:eastAsia="方正仿宋_GBK" w:cs="Times New Roman"/>
          <w:sz w:val="32"/>
          <w:szCs w:val="32"/>
          <w:lang w:val="en-US" w:eastAsia="zh-CN"/>
        </w:rPr>
        <w:t>我单位大小垃圾车购置时间长，导致维修经费增加，最终形成2024年度决算支出高于年初预算。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）城乡社区支出12.06万元，占1.07%，较年初预算数减少11.94万元，下降49.8%，主要原因是</w:t>
      </w:r>
      <w:r>
        <w:rPr>
          <w:rFonts w:hint="default" w:ascii="Times New Roman" w:hAnsi="Times New Roman" w:eastAsia="方正仿宋_GBK" w:cs="Times New Roman"/>
          <w:sz w:val="32"/>
          <w:szCs w:val="32"/>
          <w:lang w:val="en-US" w:eastAsia="zh-CN"/>
        </w:rPr>
        <w:t>2024年度区财政局为优先保障“三保”等重点支出，对我单位部分非紧急、非刚性的项目支出进行了暂缓支出，我单位涉及市政维护经费项目、国家卫生场镇巩固经费项目预算资金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）农林水支出310.79万元，占27.61%，较年初预算数减少46.79万元，下降13.1%，主要原因是</w:t>
      </w:r>
      <w:r>
        <w:rPr>
          <w:rFonts w:hint="default" w:ascii="Times New Roman" w:hAnsi="Times New Roman" w:eastAsia="方正仿宋_GBK" w:cs="Times New Roman"/>
          <w:sz w:val="32"/>
          <w:szCs w:val="32"/>
          <w:lang w:val="en-US" w:eastAsia="zh-CN"/>
        </w:rPr>
        <w:t>2024年度区财政局为优先保障“三保”等重点支出，对我单位部分非紧急、非刚性的项目支出进行了暂缓支出，我单位涉及2023年泥结石路资金46.79万元未能全额拨付，最终形成2024年度决算支出低于年初预算。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）交通运输支出64.56万元，占5.74%，较年初预算数增加43.20万元，增长202.3%，主要原因是</w:t>
      </w:r>
      <w:r>
        <w:rPr>
          <w:rFonts w:hint="default" w:ascii="Times New Roman" w:hAnsi="Times New Roman" w:eastAsia="方正仿宋_GBK" w:cs="Times New Roman"/>
          <w:sz w:val="32"/>
          <w:szCs w:val="32"/>
          <w:lang w:val="en-US" w:eastAsia="zh-CN"/>
        </w:rPr>
        <w:t>本年度支付了高楼镇2020年度断头路、联网路建设项目、高楼镇涪江村18组、莲花7组公路等四好农村公路工程款共计61.95万元，最终形成2024年度决算支出高于年初预算。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）住房保障支出35.40万元，占3.15%，较年初预算数增加2.63万元，增长8.0%，主要原因是</w:t>
      </w:r>
      <w:r>
        <w:rPr>
          <w:rFonts w:hint="default" w:ascii="Times New Roman" w:hAnsi="Times New Roman" w:eastAsia="方正仿宋_GBK" w:cs="Times New Roman"/>
          <w:sz w:val="32"/>
          <w:szCs w:val="32"/>
          <w:lang w:val="en-US" w:eastAsia="zh-CN"/>
        </w:rPr>
        <w:t>本年度新入职1名公务员。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）灾害防治及应急管理支出24.75万元，占2.20%，较年初预算数增加13.66万元，增长123.2%，主要原因为</w:t>
      </w:r>
      <w:r>
        <w:rPr>
          <w:rFonts w:hint="default" w:ascii="Times New Roman" w:hAnsi="Times New Roman" w:eastAsia="方正仿宋_GBK" w:cs="Times New Roman"/>
          <w:sz w:val="32"/>
          <w:szCs w:val="32"/>
          <w:lang w:eastAsia="zh-CN"/>
        </w:rPr>
        <w:t>新增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年镇街防汛救灾专项项目</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度一般公共财政拨款基本支出598.92万元。其中：人员经费439.89万元，与2023年度相比，减少495.22万元，下降53.0%，</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2024年按照财政局要求将原统计在机关本级的事业单位划分为7个账套单独核算，故较上年度减少事业单位人员经费相关支出共计495.22万元。</w:t>
      </w:r>
      <w:r>
        <w:rPr>
          <w:rFonts w:hint="default" w:ascii="Times New Roman" w:hAnsi="Times New Roman" w:eastAsia="方正仿宋_GBK" w:cs="Times New Roman"/>
          <w:sz w:val="32"/>
          <w:szCs w:val="32"/>
        </w:rPr>
        <w:t>人员经费用途主要包括基本工资、津贴补贴、绩效工资、奖金、社会保障缴费、住房公积金、应休未休假报酬等。公用经费159.03万元，与2023年度相比，减少70.35万元，下降30.7%，主要原因是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由于2024年按照财政局要求将原统计在机关本级的事业单位划分为7个账套单独核算，故较上年度减少事业单位公用经费相关支出共计88.68万元；2、由于财政资金紧张，部分预算资金未能全部支出，故本年支出较上年度减少70.35万元。</w:t>
      </w:r>
      <w:r>
        <w:rPr>
          <w:rFonts w:hint="default" w:ascii="Times New Roman" w:hAnsi="Times New Roman" w:eastAsia="方正仿宋_GBK" w:cs="Times New Roman"/>
          <w:sz w:val="32"/>
          <w:szCs w:val="32"/>
        </w:rPr>
        <w:t>公用经费用途主要包括办公费、印刷费、咨询费、水费、电费、邮电费、差旅费、维修（护）费、公务接待费、劳务费、工会经费、其他交通费等。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度政府性基金预算财政拨款年初结转结余0.00万元，年末结转结余0.00万元。本年收入121.20万元，与2023年度相比，增加121.20万元，增长100.0%，主要原因是</w:t>
      </w:r>
      <w:r>
        <w:rPr>
          <w:rFonts w:hint="default" w:ascii="Times New Roman" w:hAnsi="Times New Roman" w:eastAsia="方正仿宋_GBK" w:cs="Times New Roman"/>
          <w:sz w:val="32"/>
          <w:szCs w:val="32"/>
          <w:lang w:val="en-US" w:eastAsia="zh-CN"/>
        </w:rPr>
        <w:t>本年度高楼镇公共停车场建设项目国有建设用地使用权土地权益价款121.20万元为政府性基金收入。</w:t>
      </w:r>
      <w:r>
        <w:rPr>
          <w:rFonts w:hint="default" w:ascii="Times New Roman" w:hAnsi="Times New Roman" w:eastAsia="方正仿宋_GBK" w:cs="Times New Roman"/>
          <w:sz w:val="32"/>
          <w:szCs w:val="32"/>
        </w:rPr>
        <w:t>本年支出121.20万元，与2023年度相比，增加121.20万元，增长100.0%，主要原因是</w:t>
      </w:r>
      <w:r>
        <w:rPr>
          <w:rFonts w:hint="default" w:ascii="Times New Roman" w:hAnsi="Times New Roman" w:eastAsia="方正仿宋_GBK" w:cs="Times New Roman"/>
          <w:sz w:val="32"/>
          <w:szCs w:val="32"/>
          <w:lang w:val="en-US" w:eastAsia="zh-CN"/>
        </w:rPr>
        <w:t>本年度高楼镇公共停车场建设项目国有建设用地使用权土地权益价款121.20万元为政府性基金收入。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度“三公”经费支出共计10.77万元，较年初预算数减少18.73万元，下降63.5%，主要原因是</w:t>
      </w:r>
      <w:r>
        <w:rPr>
          <w:rFonts w:hint="default" w:ascii="Times New Roman" w:hAnsi="Times New Roman" w:eastAsia="方正仿宋_GBK" w:cs="Times New Roman"/>
          <w:sz w:val="32"/>
          <w:szCs w:val="32"/>
          <w:lang w:val="en-US" w:eastAsia="zh-CN"/>
        </w:rPr>
        <w:t>严禁公车私用，合理安排车辆，控制车辆运行成本。</w:t>
      </w:r>
      <w:r>
        <w:rPr>
          <w:rFonts w:hint="default" w:ascii="Times New Roman" w:hAnsi="Times New Roman" w:eastAsia="方正仿宋_GBK" w:cs="Times New Roman"/>
          <w:sz w:val="32"/>
          <w:szCs w:val="32"/>
        </w:rPr>
        <w:t>较上年支出数减少1.79万元，下降14.3%，主要原因是</w:t>
      </w:r>
      <w:r>
        <w:rPr>
          <w:rFonts w:hint="default" w:ascii="Times New Roman" w:hAnsi="Times New Roman" w:eastAsia="方正仿宋_GBK" w:cs="Times New Roman"/>
          <w:sz w:val="32"/>
          <w:szCs w:val="32"/>
          <w:lang w:val="en-US" w:eastAsia="zh-CN"/>
        </w:rPr>
        <w:t>严禁公车私用，合理安排车辆，控制车辆运行成本。</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度本单位因公出国（境）费用0.00万元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公务车购置费0.00万元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公务车运行维护费10.16万元，主要用于</w:t>
      </w:r>
      <w:r>
        <w:rPr>
          <w:rFonts w:hint="default" w:ascii="Times New Roman" w:hAnsi="Times New Roman" w:eastAsia="方正仿宋_GBK" w:cs="Times New Roman"/>
          <w:sz w:val="32"/>
          <w:szCs w:val="32"/>
          <w:lang w:val="en-US" w:eastAsia="zh-CN"/>
        </w:rPr>
        <w:t>机要文件交换、市内因公出行、业务检查等工作所需车辆的燃料费、维修费、过桥过路费、保险费等。</w:t>
      </w:r>
      <w:r>
        <w:rPr>
          <w:rFonts w:hint="default" w:ascii="Times New Roman" w:hAnsi="Times New Roman" w:eastAsia="方正仿宋_GBK" w:cs="Times New Roman"/>
          <w:sz w:val="32"/>
          <w:szCs w:val="32"/>
        </w:rPr>
        <w:t>费用支出较年初预算数减少14.34万元，下降58.5%，主要原因是</w:t>
      </w:r>
      <w:r>
        <w:rPr>
          <w:rFonts w:hint="default" w:ascii="Times New Roman" w:hAnsi="Times New Roman" w:eastAsia="方正仿宋_GBK" w:cs="Times New Roman"/>
          <w:sz w:val="32"/>
          <w:szCs w:val="32"/>
          <w:lang w:val="en-US" w:eastAsia="zh-CN"/>
        </w:rPr>
        <w:t>严禁公车私用，合理安排车辆，控制车辆运行成本。</w:t>
      </w:r>
      <w:r>
        <w:rPr>
          <w:rFonts w:hint="default" w:ascii="Times New Roman" w:hAnsi="Times New Roman" w:eastAsia="方正仿宋_GBK" w:cs="Times New Roman"/>
          <w:sz w:val="32"/>
          <w:szCs w:val="32"/>
        </w:rPr>
        <w:t>较上年支出数减少1.86万元，下降15.5%，主要原因是</w:t>
      </w:r>
      <w:r>
        <w:rPr>
          <w:rFonts w:hint="default" w:ascii="Times New Roman" w:hAnsi="Times New Roman" w:eastAsia="方正仿宋_GBK" w:cs="Times New Roman"/>
          <w:sz w:val="32"/>
          <w:szCs w:val="32"/>
          <w:lang w:val="en-US" w:eastAsia="zh-CN"/>
        </w:rPr>
        <w:t>严禁公车私用，合理安排车辆，控制车辆运行成本。</w:t>
      </w:r>
      <w:r>
        <w:rPr>
          <w:rFonts w:hint="default" w:ascii="Times New Roman" w:hAnsi="Times New Roman" w:eastAsia="方正仿宋_GBK" w:cs="Times New Roman"/>
          <w:sz w:val="32"/>
          <w:szCs w:val="32"/>
        </w:rPr>
        <w:t>公务接待费0.61万元，主要用于</w:t>
      </w:r>
      <w:r>
        <w:rPr>
          <w:rFonts w:hint="default" w:ascii="Times New Roman" w:hAnsi="Times New Roman" w:eastAsia="方正仿宋_GBK" w:cs="Times New Roman"/>
          <w:sz w:val="32"/>
          <w:szCs w:val="32"/>
          <w:lang w:val="en-US" w:eastAsia="zh-CN"/>
        </w:rPr>
        <w:t>招商引税接待支出。</w:t>
      </w:r>
      <w:r>
        <w:rPr>
          <w:rFonts w:hint="default" w:ascii="Times New Roman" w:hAnsi="Times New Roman" w:eastAsia="方正仿宋_GBK" w:cs="Times New Roman"/>
          <w:sz w:val="32"/>
          <w:szCs w:val="32"/>
        </w:rPr>
        <w:t>费用支出较年初预算数减少4.39万元，下降87.8%，主要原因是</w:t>
      </w:r>
      <w:r>
        <w:rPr>
          <w:rFonts w:hint="default" w:ascii="Times New Roman" w:hAnsi="Times New Roman" w:eastAsia="方正仿宋_GBK" w:cs="Times New Roman"/>
          <w:sz w:val="32"/>
          <w:szCs w:val="32"/>
          <w:lang w:val="en-US" w:eastAsia="zh-CN"/>
        </w:rPr>
        <w:t>严格执行接待开支范围和开支标准，严格控制陪餐人数，对应由接待对象承担的费用一律由接待对象自行支付。</w:t>
      </w:r>
      <w:r>
        <w:rPr>
          <w:rFonts w:hint="default" w:ascii="Times New Roman" w:hAnsi="Times New Roman" w:eastAsia="方正仿宋_GBK" w:cs="Times New Roman"/>
          <w:sz w:val="32"/>
          <w:szCs w:val="32"/>
        </w:rPr>
        <w:t>较上年支出数增加0.07万元，增长13.0%，主要原因是</w:t>
      </w:r>
      <w:r>
        <w:rPr>
          <w:rFonts w:hint="default" w:ascii="Times New Roman" w:hAnsi="Times New Roman" w:eastAsia="方正仿宋_GBK" w:cs="Times New Roman"/>
          <w:sz w:val="32"/>
          <w:szCs w:val="32"/>
          <w:lang w:val="en-US" w:eastAsia="zh-CN"/>
        </w:rPr>
        <w:t>本年度本单位加大招商引税力度，并取得一定成效。</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度本单位因公出国（境）共计0个团组，0人；公务用车购置0辆，公务车保有量为5辆；国内公务接待6批次47人，其中：国内外事接待0批次，0人；国（境）外公务接待0批次，0人。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本单位人均接待费129.94元，车均购置费0万元，车均维护费2.03万元。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本年度会议费支出3.97万元，与2023年度相比，增加2.22万元，增长126.9%，主要原因是</w:t>
      </w:r>
      <w:r>
        <w:rPr>
          <w:rFonts w:hint="default" w:ascii="Times New Roman" w:hAnsi="Times New Roman" w:eastAsia="方正仿宋_GBK" w:cs="Times New Roman"/>
          <w:sz w:val="32"/>
          <w:szCs w:val="32"/>
          <w:lang w:val="en-US" w:eastAsia="zh-CN"/>
        </w:rPr>
        <w:t>2023年7-12月村干部会议补助6280元于本年度发放，且今年共计开了4次人大会议，人大会议费增多</w:t>
      </w:r>
      <w:r>
        <w:rPr>
          <w:rFonts w:hint="default" w:ascii="Times New Roman" w:hAnsi="Times New Roman" w:eastAsia="方正仿宋_GBK" w:cs="Times New Roman"/>
          <w:sz w:val="32"/>
          <w:szCs w:val="32"/>
        </w:rPr>
        <w:t>。本年度培训费支出2.32万元，与2023年度相比，增加1.05万元，增长82.7%，主要原因是</w:t>
      </w:r>
      <w:r>
        <w:rPr>
          <w:rFonts w:hint="default" w:ascii="Times New Roman" w:hAnsi="Times New Roman" w:eastAsia="方正仿宋_GBK" w:cs="Times New Roman"/>
          <w:sz w:val="32"/>
          <w:szCs w:val="32"/>
          <w:lang w:val="en-US" w:eastAsia="zh-CN"/>
        </w:rPr>
        <w:t>本年度的外出培训较多。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度本单位机关运行经费支出159.03万元，机关运行经费主要用于</w:t>
      </w:r>
      <w:r>
        <w:rPr>
          <w:rFonts w:hint="default" w:ascii="Times New Roman" w:hAnsi="Times New Roman" w:eastAsia="方正仿宋_GBK" w:cs="Times New Roman"/>
          <w:sz w:val="32"/>
          <w:szCs w:val="32"/>
          <w:lang w:val="en-US" w:eastAsia="zh-CN"/>
        </w:rPr>
        <w:t>开支办公费、公务车运行维护费、基本工资、维修维护费、差旅费。</w:t>
      </w:r>
      <w:r>
        <w:rPr>
          <w:rFonts w:hint="default" w:ascii="Times New Roman" w:hAnsi="Times New Roman" w:eastAsia="方正仿宋_GBK" w:cs="Times New Roman"/>
          <w:sz w:val="32"/>
          <w:szCs w:val="32"/>
        </w:rPr>
        <w:t>机关运行经费较上年支出数减少19.09万元，下降10.7%，主要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2024年按照财政局要求将原统计在机关本级的事业单位划分为7个账套单独核算，故较上年度减少事业单位相关支出共计</w:t>
      </w:r>
      <w:r>
        <w:rPr>
          <w:rFonts w:hint="default" w:ascii="Times New Roman" w:hAnsi="Times New Roman" w:eastAsia="方正仿宋_GBK" w:cs="Times New Roman"/>
          <w:sz w:val="32"/>
          <w:szCs w:val="32"/>
          <w:lang w:val="en-US" w:eastAsia="zh-CN"/>
        </w:rPr>
        <w:t>19.09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5辆，其中，副部（省）级及以上领导用车0辆、主要负责人用车0辆、机要通信用车0辆、应急保障用车2辆、执法执勤用车0辆，特种专业技术用车3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政府采购支出总额3.32万元，其中：政府采购货物支出3.32万元、政府采购工程支出0.00万元、政府采购服务支出0.00万元。授予中小企业合同金额3.32万元，占政府采购支出总额的100.00%，其中：授予小微企业合同金额3.32万元，占政府采购支出总额的100.00 %。主要用于</w:t>
      </w:r>
      <w:r>
        <w:rPr>
          <w:rFonts w:hint="default" w:ascii="Times New Roman" w:hAnsi="Times New Roman" w:eastAsia="方正仿宋_GBK" w:cs="Times New Roman"/>
          <w:sz w:val="32"/>
          <w:szCs w:val="32"/>
          <w:lang w:val="en-US" w:eastAsia="zh-CN"/>
        </w:rPr>
        <w:t>采购电脑、空调、打印机等货物。</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647.71</w:t>
      </w:r>
      <w:r>
        <w:rPr>
          <w:rFonts w:hint="default" w:ascii="Times New Roman" w:hAnsi="Times New Roman" w:eastAsia="方正仿宋_GBK" w:cs="Times New Roman"/>
          <w:sz w:val="32"/>
          <w:szCs w:val="32"/>
        </w:rPr>
        <w:t>万元；以委托第三方出具报告的方式（如有）开展绩效评价</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详见附件。《重庆市铜梁区高楼镇人民政府202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年项目绩效自评表》。</w:t>
      </w:r>
      <w:r>
        <w:rPr>
          <w:rFonts w:hint="default" w:ascii="Times New Roman" w:hAnsi="Times New Roman" w:eastAsia="方正仿宋_GBK" w:cs="Times New Roman"/>
          <w:sz w:val="32"/>
          <w:szCs w:val="32"/>
          <w:lang w:eastAsia="zh-CN"/>
        </w:rPr>
        <w:t>其中，安全维稳项目依上级要求不予公开。</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个项目进行绩效自评，其中</w:t>
      </w:r>
      <w:r>
        <w:rPr>
          <w:rFonts w:hint="default"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我单位未开展重点绩效评价。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bookmarkEnd w:id="0"/>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val="en-US" w:eastAsia="zh-CN"/>
        </w:rPr>
        <w:t>45865290</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28</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28</w:t>
                    </w:r>
                    <w:r>
                      <w:rPr>
                        <w:sz w:val="24"/>
                        <w:szCs w:val="24"/>
                      </w:rPr>
                      <w:fldChar w:fldCharType="end"/>
                    </w:r>
                    <w:r>
                      <w:rPr>
                        <w:sz w:val="24"/>
                        <w:szCs w:val="2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3E0E83"/>
    <w:rsid w:val="01474EBF"/>
    <w:rsid w:val="01F3521E"/>
    <w:rsid w:val="03E3214F"/>
    <w:rsid w:val="04446191"/>
    <w:rsid w:val="044C50BA"/>
    <w:rsid w:val="06A2550B"/>
    <w:rsid w:val="06E77AFC"/>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194B54"/>
    <w:rsid w:val="0F836721"/>
    <w:rsid w:val="103645A3"/>
    <w:rsid w:val="107B59E5"/>
    <w:rsid w:val="11003CB0"/>
    <w:rsid w:val="111445C7"/>
    <w:rsid w:val="1158083A"/>
    <w:rsid w:val="11F03528"/>
    <w:rsid w:val="12C921C4"/>
    <w:rsid w:val="12DD10AF"/>
    <w:rsid w:val="13850DCB"/>
    <w:rsid w:val="13871C70"/>
    <w:rsid w:val="13A71CB4"/>
    <w:rsid w:val="13AF1D43"/>
    <w:rsid w:val="13C643C6"/>
    <w:rsid w:val="13CE1647"/>
    <w:rsid w:val="141A11EA"/>
    <w:rsid w:val="14200702"/>
    <w:rsid w:val="14410345"/>
    <w:rsid w:val="148E377E"/>
    <w:rsid w:val="1580711B"/>
    <w:rsid w:val="15A504F4"/>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AE7481F"/>
    <w:rsid w:val="2B167953"/>
    <w:rsid w:val="2B200583"/>
    <w:rsid w:val="2B8209DE"/>
    <w:rsid w:val="2C161D32"/>
    <w:rsid w:val="2C2D3EC7"/>
    <w:rsid w:val="2C6762A3"/>
    <w:rsid w:val="2D8D2A49"/>
    <w:rsid w:val="2FE029D7"/>
    <w:rsid w:val="2FF06E00"/>
    <w:rsid w:val="30D5181F"/>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C41EAD"/>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CE01BB"/>
    <w:rsid w:val="3FDE15A7"/>
    <w:rsid w:val="4004000C"/>
    <w:rsid w:val="40FD5440"/>
    <w:rsid w:val="411B6CE5"/>
    <w:rsid w:val="412070D7"/>
    <w:rsid w:val="41314E40"/>
    <w:rsid w:val="4142353C"/>
    <w:rsid w:val="415C674B"/>
    <w:rsid w:val="426C1EA8"/>
    <w:rsid w:val="42E86A87"/>
    <w:rsid w:val="43136432"/>
    <w:rsid w:val="43770A38"/>
    <w:rsid w:val="443A3B12"/>
    <w:rsid w:val="44501024"/>
    <w:rsid w:val="448A09A7"/>
    <w:rsid w:val="44A854C2"/>
    <w:rsid w:val="44DD597D"/>
    <w:rsid w:val="45B23E4C"/>
    <w:rsid w:val="45BF6C7C"/>
    <w:rsid w:val="465B470D"/>
    <w:rsid w:val="469D6AD4"/>
    <w:rsid w:val="46FC41C7"/>
    <w:rsid w:val="47674801"/>
    <w:rsid w:val="48225EF7"/>
    <w:rsid w:val="495C4A24"/>
    <w:rsid w:val="4AD70EE7"/>
    <w:rsid w:val="4B7951CB"/>
    <w:rsid w:val="4B7C315C"/>
    <w:rsid w:val="4BAB7F90"/>
    <w:rsid w:val="4D637EFE"/>
    <w:rsid w:val="4DAC4ACA"/>
    <w:rsid w:val="4F186D58"/>
    <w:rsid w:val="50525B2D"/>
    <w:rsid w:val="50EB6AF4"/>
    <w:rsid w:val="50EC262C"/>
    <w:rsid w:val="522F6E0C"/>
    <w:rsid w:val="52463BA1"/>
    <w:rsid w:val="53C0244D"/>
    <w:rsid w:val="53DD4D4E"/>
    <w:rsid w:val="53E578CE"/>
    <w:rsid w:val="543B029D"/>
    <w:rsid w:val="545D0246"/>
    <w:rsid w:val="554E5773"/>
    <w:rsid w:val="555A3CBC"/>
    <w:rsid w:val="56530F5D"/>
    <w:rsid w:val="577B0549"/>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BEC689"/>
    <w:rsid w:val="6F7F6A2D"/>
    <w:rsid w:val="6FB442D1"/>
    <w:rsid w:val="6FFB2E76"/>
    <w:rsid w:val="71C34D91"/>
    <w:rsid w:val="71ED38AA"/>
    <w:rsid w:val="720229AA"/>
    <w:rsid w:val="72DB435C"/>
    <w:rsid w:val="750837F0"/>
    <w:rsid w:val="764F62AB"/>
    <w:rsid w:val="765C45EC"/>
    <w:rsid w:val="768A7619"/>
    <w:rsid w:val="76D85607"/>
    <w:rsid w:val="76E14979"/>
    <w:rsid w:val="77EA362A"/>
    <w:rsid w:val="7875383E"/>
    <w:rsid w:val="796D60A4"/>
    <w:rsid w:val="79A031D5"/>
    <w:rsid w:val="7A1525F7"/>
    <w:rsid w:val="7A3E6CB6"/>
    <w:rsid w:val="7A680D2D"/>
    <w:rsid w:val="7B260559"/>
    <w:rsid w:val="7B420052"/>
    <w:rsid w:val="7B422C6F"/>
    <w:rsid w:val="7B4D0ECA"/>
    <w:rsid w:val="7BD06A28"/>
    <w:rsid w:val="7C1E4CD7"/>
    <w:rsid w:val="7C3A7C0B"/>
    <w:rsid w:val="7C5248E4"/>
    <w:rsid w:val="7C566698"/>
    <w:rsid w:val="7FA960B8"/>
    <w:rsid w:val="C7A9E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Arial" w:hAnsi="Arial" w:eastAsia="方正黑体_GBK"/>
      <w:sz w:val="32"/>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p15"/>
    <w:basedOn w:val="1"/>
    <w:qFormat/>
    <w:uiPriority w:val="0"/>
    <w:pPr>
      <w:widowControl/>
      <w:spacing w:before="100" w:beforeLines="0" w:after="100" w:afterLines="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6001</Words>
  <Characters>6860</Characters>
  <Lines>161</Lines>
  <Paragraphs>45</Paragraphs>
  <TotalTime>178</TotalTime>
  <ScaleCrop>false</ScaleCrop>
  <LinksUpToDate>false</LinksUpToDate>
  <CharactersWithSpaces>6879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半染</cp:lastModifiedBy>
  <dcterms:modified xsi:type="dcterms:W3CDTF">2025-11-04T09:47:40Z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y fmtid="{D5CDD505-2E9C-101B-9397-08002B2CF9AE}" pid="4" name="KSOTemplateDocerSaveRecord">
    <vt:lpwstr>eyJoZGlkIjoiYmMwNDY4ZGM3MjMxMTc3YTU2ZjA0ODMxMzc0Y2FhNzkiLCJ1c2VySWQiOiI1NjE2ODc3MzMifQ==</vt:lpwstr>
  </property>
</Properties>
</file>