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重庆市铜梁区高楼镇综合行政执法大队</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ascii="黑体" w:hAnsi="黑体" w:eastAsia="黑体" w:cs="黑体"/>
          <w:sz w:val="32"/>
          <w:szCs w:val="32"/>
          <w:shd w:val="clear" w:color="auto" w:fill="FFFFFF"/>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主要职能：</w:t>
      </w:r>
      <w:r>
        <w:rPr>
          <w:rFonts w:hint="default" w:ascii="Times New Roman" w:hAnsi="Times New Roman" w:eastAsia="方正仿宋_GBK" w:cs="Times New Roman"/>
          <w:sz w:val="32"/>
          <w:szCs w:val="32"/>
          <w:lang w:val="en-US" w:eastAsia="zh-CN"/>
        </w:rPr>
        <w:t>受镇人民政府委托，集中行使农林水利、规划建设、卫生计生、市容环卫、环境保护、文化旅游等领域的行政执法权，完成主管部门交办的其他事项。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本单位隶属于重庆市铜梁区高楼镇人民政府管理的正科级公益一类事业单位，独立编制机构</w:t>
      </w:r>
      <w:r>
        <w:rPr>
          <w:rFonts w:hint="default" w:ascii="Times New Roman" w:hAnsi="Times New Roman" w:eastAsia="方正仿宋_GBK" w:cs="Times New Roman"/>
          <w:sz w:val="32"/>
          <w:szCs w:val="32"/>
          <w:lang w:val="en-US" w:eastAsia="zh-CN"/>
        </w:rPr>
        <w:t>1个，核定事业编制3名，编制内所需经费纳入财政全额保障。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w:t>
      </w:r>
      <w:r>
        <w:rPr>
          <w:rFonts w:hint="default" w:ascii="方正黑体_GBK" w:hAnsi="方正黑体_GBK" w:eastAsia="方正黑体_GBK" w:cs="方正黑体_GBK"/>
          <w:sz w:val="32"/>
          <w:szCs w:val="32"/>
          <w:lang w:eastAsia="zh-CN"/>
        </w:rPr>
        <w:t>单位</w:t>
      </w:r>
      <w:r>
        <w:rPr>
          <w:rFonts w:hint="default" w:ascii="方正黑体_GBK" w:hAnsi="方正黑体_GBK" w:eastAsia="方正黑体_GBK" w:cs="方正黑体_GBK"/>
          <w:sz w:val="32"/>
          <w:szCs w:val="32"/>
        </w:rPr>
        <w:t>决算</w:t>
      </w:r>
      <w:r>
        <w:rPr>
          <w:rFonts w:hint="default" w:ascii="方正黑体_GBK" w:hAnsi="方正黑体_GBK" w:eastAsia="方正黑体_GBK" w:cs="方正黑体_GBK"/>
          <w:sz w:val="32"/>
          <w:szCs w:val="32"/>
          <w:lang w:eastAsia="zh-CN"/>
        </w:rPr>
        <w:t>收支</w:t>
      </w:r>
      <w:r>
        <w:rPr>
          <w:rFonts w:hint="default"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度收入总计61.13万元，支出总计61.13万元。收、支与2023年度相比，增加61.13万元，增长100.0%，主要原因是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综合行政执法大队等7个账套单独核算，上年度未单独核算，收入和支出均为0，本年增长100%，故本年收、支较上年度各增加61.13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度收入合计61.13万元，与2023年度相比，增加61.13万元，增长100.0%，主要原因是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综合行政执法大队等7个账套单独核算，上年度未单独核算，收入为0，本年增长100%，故本年收入较上年度增加61.13万元。</w:t>
      </w:r>
      <w:r>
        <w:rPr>
          <w:rFonts w:hint="default" w:ascii="Times New Roman" w:hAnsi="Times New Roman" w:eastAsia="方正仿宋_GBK" w:cs="Times New Roman"/>
          <w:sz w:val="32"/>
          <w:szCs w:val="32"/>
        </w:rPr>
        <w:t>其中：财政拨款收入61.13万元，占100.00%；事业收入0.00万元，占0.00%；经营收入0.00万元，占0.00%；其他收入0.00万元，占0.00%。此外，使用非财政拨款结余和专用结余0.00万元，年初结转和结余0.00万元。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度支出合计61.13万元，与2023年度相比，增加61.13万元，增长100.0%，主要原因是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综合行政执法大队等7个账套单独核算，上年度未单独核算，支出为0，本年增长100%，故本年支出较上年度增加61.13万元。</w:t>
      </w:r>
      <w:r>
        <w:rPr>
          <w:rFonts w:hint="default" w:ascii="Times New Roman" w:hAnsi="Times New Roman" w:eastAsia="方正仿宋_GBK" w:cs="Times New Roman"/>
          <w:sz w:val="32"/>
          <w:szCs w:val="32"/>
        </w:rPr>
        <w:t>其中：基本支出60.99万元，占99.77%；项目支出0.14万元，占0.23%；经营支出0.00万元，占0.00%。此外，结余分配0.00万元。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4.结转结余情况。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度年末结转和结余0.00万元，与2023年度相比，无增减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度财政拨款收、支总计61.13万元。与202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年相比，财政拨款收、支总计各增加61.13万元，增长100.0%。主要原因是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综合行政执法大队等7个账套单独核算，上年度未单独核算，收入和支出均为0，本年增长100%，故本年收、支较上年度各增加61.13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度一般公共预算财政拨款收入61.13万元，与2023年度相比，增加61.13万元，增长100.0%。主要原因是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2024年依据财政决算要求，重庆市铜梁区高楼镇人民政府将事业单位划分为重庆市铜梁区高楼镇综合行政执法大队等7个账套单独核算，上年度未单独核算，收入为0，故本年增长100%。</w:t>
      </w:r>
      <w:r>
        <w:rPr>
          <w:rFonts w:hint="default" w:ascii="Times New Roman" w:hAnsi="Times New Roman" w:eastAsia="方正仿宋_GBK" w:cs="Times New Roman"/>
          <w:sz w:val="32"/>
          <w:szCs w:val="32"/>
        </w:rPr>
        <w:t>较年初预算数减少5.51万元，下降8.3%。主要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lang w:val="en-US" w:eastAsia="zh-CN"/>
        </w:rPr>
        <w:t>财政资金紧张，部分预算资金未能全部收入，故本年收入较年初预算减少5.51万元。</w:t>
      </w:r>
      <w:r>
        <w:rPr>
          <w:rFonts w:hint="default" w:ascii="Times New Roman" w:hAnsi="Times New Roman" w:eastAsia="方正仿宋_GBK" w:cs="Times New Roman"/>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度一般公共预算财政拨款支出61.13万元，与2023年度相比，增加61.13万元，增长100.0%。主要原因是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2024年依据财政决算要求，重庆市铜梁区高楼镇人民政府将事业单位划分为重庆市铜梁区高楼镇综合行政执法大队等7个账套单独核算，上年度未单独核算，支出为0，故本年增长100%。</w:t>
      </w:r>
      <w:r>
        <w:rPr>
          <w:rFonts w:hint="default" w:ascii="Times New Roman" w:hAnsi="Times New Roman" w:eastAsia="方正仿宋_GBK" w:cs="Times New Roman"/>
          <w:sz w:val="32"/>
          <w:szCs w:val="32"/>
        </w:rPr>
        <w:t>较年初预算数减少5.51万元，下降8.3%。</w:t>
      </w:r>
      <w:r>
        <w:rPr>
          <w:rFonts w:hint="default" w:ascii="Times New Roman" w:hAnsi="Times New Roman" w:eastAsia="方正仿宋_GBK" w:cs="Times New Roman"/>
          <w:sz w:val="32"/>
          <w:szCs w:val="32"/>
          <w:lang w:val="en-US" w:eastAsia="zh-CN"/>
        </w:rPr>
        <w:t>主要</w:t>
      </w:r>
      <w:r>
        <w:rPr>
          <w:rFonts w:hint="eastAsia" w:ascii="Times New Roman" w:hAnsi="Times New Roman" w:eastAsia="方正仿宋_GBK" w:cs="Times New Roman"/>
          <w:sz w:val="32"/>
          <w:szCs w:val="32"/>
          <w:lang w:val="en-US" w:eastAsia="zh-CN"/>
        </w:rPr>
        <w:t>原因是</w:t>
      </w:r>
      <w:r>
        <w:rPr>
          <w:rFonts w:hint="default" w:ascii="Times New Roman" w:hAnsi="Times New Roman" w:eastAsia="方正仿宋_GBK" w:cs="Times New Roman"/>
          <w:sz w:val="32"/>
          <w:szCs w:val="32"/>
          <w:lang w:val="en-US" w:eastAsia="zh-CN"/>
        </w:rPr>
        <w:t>财政资金紧张，部分预算资金未能全部收入，故本年支出较年初预算减少5.51万元。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度年末一般公共预算财政拨款结转和结余0.00万元，与2023年度相比，无增减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4.比较情况。本单位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（1）一般公共服务支出49.92万元，占81.66%，较年初预算数减少5.56万元，下降10.0%，</w:t>
      </w:r>
      <w:r>
        <w:rPr>
          <w:rFonts w:hint="default" w:ascii="Times New Roman" w:hAnsi="Times New Roman" w:eastAsia="方正仿宋_GBK" w:cs="Times New Roman"/>
          <w:sz w:val="32"/>
          <w:szCs w:val="32"/>
          <w:lang w:val="en-US" w:eastAsia="zh-CN"/>
        </w:rPr>
        <w:t>主要</w:t>
      </w:r>
      <w:r>
        <w:rPr>
          <w:rFonts w:hint="eastAsia" w:ascii="Times New Roman" w:hAnsi="Times New Roman" w:eastAsia="方正仿宋_GBK" w:cs="Times New Roman"/>
          <w:sz w:val="32"/>
          <w:szCs w:val="32"/>
          <w:lang w:val="en-US" w:eastAsia="zh-CN"/>
        </w:rPr>
        <w:t>原因是</w:t>
      </w:r>
      <w:r>
        <w:rPr>
          <w:rFonts w:hint="default" w:ascii="Times New Roman" w:hAnsi="Times New Roman" w:eastAsia="方正仿宋_GBK" w:cs="Times New Roman"/>
          <w:sz w:val="32"/>
          <w:szCs w:val="32"/>
          <w:lang w:val="en-US" w:eastAsia="zh-CN"/>
        </w:rPr>
        <w:t>财政资金紧张，部分预算资金未能全部收入，我单位严格执行过紧日子要求，故2024年决算数少于年初预算数。</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）社会保障与就业支出6.51万元，占10.65%，较年初预算数增加1.54万元，增长31.0%，主要原因是</w:t>
      </w:r>
      <w:r>
        <w:rPr>
          <w:rFonts w:hint="default" w:ascii="Times New Roman" w:hAnsi="Times New Roman" w:eastAsia="方正仿宋_GBK" w:cs="Times New Roman"/>
          <w:sz w:val="32"/>
          <w:szCs w:val="32"/>
          <w:lang w:val="en-US" w:eastAsia="zh-CN"/>
        </w:rPr>
        <w:t>2024年度事业单位机构改革人员调整，故</w:t>
      </w:r>
      <w:r>
        <w:rPr>
          <w:rFonts w:hint="default" w:ascii="Times New Roman" w:hAnsi="Times New Roman" w:eastAsia="方正仿宋_GBK" w:cs="Times New Roman"/>
          <w:sz w:val="32"/>
          <w:szCs w:val="32"/>
          <w:lang w:eastAsia="zh-CN"/>
        </w:rPr>
        <w:t>本单位本年度社会保险费较年初预算数增加。</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）卫生健康支出2.26万元，占3.69%，较年初预算数减少0.43万元，下降16.0%，</w:t>
      </w:r>
      <w:r>
        <w:rPr>
          <w:rFonts w:hint="default" w:ascii="Times New Roman" w:hAnsi="Times New Roman" w:eastAsia="方正仿宋_GBK" w:cs="Times New Roman"/>
          <w:sz w:val="32"/>
          <w:szCs w:val="32"/>
          <w:lang w:val="en-US" w:eastAsia="zh-CN"/>
        </w:rPr>
        <w:t>主要原因是2024年度区财政局为优先保障“三保”等重点支出，对我单位部分非紧急、非刚性的项目支出进行了暂缓支出，我单位涉及在职人员医疗补助缴费等预算资金共计0.43万元未能全额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）住房保障支出2.31万元，占3.77%，较年初预算数减少0.18万元，下降7.2%，主要原因</w:t>
      </w:r>
      <w:r>
        <w:rPr>
          <w:rFonts w:hint="default" w:ascii="Times New Roman" w:hAnsi="Times New Roman" w:eastAsia="方正仿宋_GBK" w:cs="Times New Roman"/>
          <w:sz w:val="32"/>
          <w:szCs w:val="32"/>
          <w:lang w:eastAsia="zh-CN"/>
        </w:rPr>
        <w:t>一是本年度公积金基数调整；二是事业单位机构改革人员调整，</w:t>
      </w:r>
      <w:r>
        <w:rPr>
          <w:rFonts w:hint="default" w:ascii="Times New Roman" w:hAnsi="Times New Roman" w:eastAsia="方正仿宋_GBK" w:cs="Times New Roman"/>
          <w:sz w:val="32"/>
          <w:szCs w:val="32"/>
          <w:lang w:val="en-US" w:eastAsia="zh-CN"/>
        </w:rPr>
        <w:t>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）灾害防治及应急管理支出0.14万元，占0.23%，较年初预算数减少0.86万元，下降86.0%，</w:t>
      </w:r>
      <w:r>
        <w:rPr>
          <w:rFonts w:hint="default" w:ascii="Times New Roman" w:hAnsi="Times New Roman" w:eastAsia="方正仿宋_GBK" w:cs="Times New Roman"/>
          <w:sz w:val="32"/>
          <w:szCs w:val="32"/>
          <w:lang w:val="en-US" w:eastAsia="zh-CN"/>
        </w:rPr>
        <w:t>主要原因是2024年度区财政局为优先保障“三保”等重点支出，对我单位部分非紧急、非刚性的项目支出进行了暂缓支出，我单位涉及应急项目办公费等预算资金共计0.86万元未能全额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度一般公共财政拨款基本支出60.99万元。其中：人员经费52.75万元，与2023年度相比，增加52.75万元，增长100.0%，主要原因是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2024年依据财政决算要求，重庆市铜梁区高楼镇人民政府将事业单位划分为重庆市铜梁区高楼镇综合行政执法大队等7个账套单独核算，上年度未单独核算，支出为0，故本年增长100%。</w:t>
      </w:r>
      <w:r>
        <w:rPr>
          <w:rFonts w:hint="default" w:ascii="Times New Roman" w:hAnsi="Times New Roman" w:eastAsia="方正仿宋_GBK" w:cs="Times New Roman"/>
          <w:sz w:val="32"/>
          <w:szCs w:val="32"/>
        </w:rPr>
        <w:t>人员经费用途主要包括</w:t>
      </w:r>
      <w:r>
        <w:rPr>
          <w:rFonts w:hint="default" w:ascii="Times New Roman" w:hAnsi="Times New Roman" w:eastAsia="方正仿宋_GBK" w:cs="Times New Roman"/>
          <w:sz w:val="32"/>
          <w:szCs w:val="32"/>
          <w:lang w:eastAsia="zh-CN"/>
        </w:rPr>
        <w:t>基本工资津贴补贴、绩效工资、社会保障费、住房公积金等。</w:t>
      </w:r>
      <w:r>
        <w:rPr>
          <w:rFonts w:hint="default" w:ascii="Times New Roman" w:hAnsi="Times New Roman" w:eastAsia="方正仿宋_GBK" w:cs="Times New Roman"/>
          <w:sz w:val="32"/>
          <w:szCs w:val="32"/>
        </w:rPr>
        <w:t>公用经费8.24万元，与2023年度相比，增加8.24万元，增长100.0%，主要原因是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2024年依据财政决算要求，重庆市铜梁区高楼镇人民政府将事业单位划分为重庆市铜梁区高楼镇综合行政执法大队等7个账套单独核算，上年度未单独核算，支出为0，故本年增长100%。</w:t>
      </w:r>
      <w:r>
        <w:rPr>
          <w:rFonts w:hint="default" w:ascii="Times New Roman" w:hAnsi="Times New Roman" w:eastAsia="方正仿宋_GBK" w:cs="Times New Roman"/>
          <w:sz w:val="32"/>
          <w:szCs w:val="32"/>
        </w:rPr>
        <w:t>公用经费用途主要包括</w:t>
      </w:r>
      <w:r>
        <w:rPr>
          <w:rFonts w:hint="default" w:ascii="Times New Roman" w:hAnsi="Times New Roman" w:eastAsia="方正仿宋_GBK" w:cs="Times New Roman"/>
          <w:sz w:val="32"/>
          <w:szCs w:val="32"/>
          <w:lang w:eastAsia="zh-CN"/>
        </w:rPr>
        <w:t>办公费、水费、电费、工会</w:t>
      </w:r>
      <w:r>
        <w:rPr>
          <w:rFonts w:hint="default" w:ascii="Times New Roman" w:hAnsi="Times New Roman" w:eastAsia="方正仿宋_GBK" w:cs="Times New Roman"/>
          <w:sz w:val="32"/>
          <w:szCs w:val="32"/>
          <w:lang w:val="en-US" w:eastAsia="zh-CN"/>
        </w:rPr>
        <w:t>经费</w:t>
      </w:r>
      <w:r>
        <w:rPr>
          <w:rFonts w:hint="default" w:ascii="Times New Roman" w:hAnsi="Times New Roman" w:eastAsia="方正仿宋_GBK" w:cs="Times New Roman"/>
          <w:sz w:val="32"/>
          <w:szCs w:val="32"/>
          <w:lang w:eastAsia="zh-CN"/>
        </w:rPr>
        <w:t>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度无政府性基金预算财政拨款收支。</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黑体_GBK" w:hAnsi="方正黑体_GBK" w:eastAsia="方正黑体_GBK" w:cs="方正黑体_GBK"/>
          <w:sz w:val="32"/>
          <w:szCs w:val="32"/>
        </w:rPr>
        <w:t>三、</w:t>
      </w:r>
      <w:r>
        <w:rPr>
          <w:rFonts w:hint="default" w:ascii="方正黑体_GBK" w:hAnsi="方正黑体_GBK" w:eastAsia="方正黑体_GBK" w:cs="方正黑体_GBK"/>
          <w:sz w:val="32"/>
          <w:szCs w:val="32"/>
          <w:lang w:eastAsia="zh-CN"/>
        </w:rPr>
        <w:t>财政拨款</w:t>
      </w:r>
      <w:r>
        <w:rPr>
          <w:rFonts w:hint="default"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本单位2024年</w:t>
      </w:r>
      <w:r>
        <w:rPr>
          <w:rFonts w:hint="default" w:ascii="Times New Roman" w:hAnsi="Times New Roman" w:eastAsia="方正仿宋_GBK" w:cs="Times New Roman"/>
          <w:sz w:val="32"/>
          <w:szCs w:val="32"/>
        </w:rPr>
        <w:t>度</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“三公”经费支出</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因公出国（境）费用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公务车购置费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公务车运行维护费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公务接待费</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rPr>
        <w:t>（三）“三公”经费实物量情况</w:t>
      </w:r>
      <w:r>
        <w:rPr>
          <w:rFonts w:hint="default" w:ascii="方正楷体_GBK" w:hAnsi="方正楷体_GBK" w:eastAsia="方正楷体_GBK" w:cs="方正楷体_GBK"/>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度本单位因公出国（境）共计0个团组，0人；公务用车购置0辆，公务车保有量为0辆；国内公务接待0批次0人，其中：国内外事接待0批次，0人；国（境）外公务接待0批次，0人。</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本年度会议费支出0.00万元，与2023年度相比，无增减，主要原因是</w:t>
      </w:r>
      <w:r>
        <w:rPr>
          <w:rFonts w:hint="default" w:ascii="Times New Roman" w:hAnsi="Times New Roman" w:eastAsia="方正仿宋_GBK" w:cs="Times New Roman"/>
          <w:sz w:val="32"/>
          <w:szCs w:val="32"/>
          <w:lang w:val="en-US" w:eastAsia="zh-CN"/>
        </w:rPr>
        <w:t>2024年度未产生</w:t>
      </w:r>
      <w:r>
        <w:rPr>
          <w:rFonts w:hint="default" w:ascii="Times New Roman" w:hAnsi="Times New Roman" w:eastAsia="方正仿宋_GBK" w:cs="Times New Roman"/>
          <w:sz w:val="32"/>
          <w:szCs w:val="32"/>
        </w:rPr>
        <w:t>。本年度培训费支出0.09万元，与2023年度相比，增加0.09万元，增长100.0%，主要原因是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2024年依据财政决算要求，重庆市铜梁区高楼镇人民政府将事业单位划分为重庆市铜梁区高楼镇综合行政执法大队等7个账套单独核算，上年度未单独核算，收入为0，故本年增长100%。</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度我单位未发生政府采购事项，无相关经费支出。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（一）预算绩效管理工作开展情况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个项目开展了绩效自评，其中，以填报自评表形式开展自评</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0.14</w:t>
      </w:r>
      <w:r>
        <w:rPr>
          <w:rFonts w:hint="default" w:ascii="Times New Roman" w:hAnsi="Times New Roman" w:eastAsia="方正仿宋_GBK" w:cs="Times New Roman"/>
          <w:sz w:val="32"/>
          <w:szCs w:val="32"/>
        </w:rPr>
        <w:t>万元；以委托第三方出具报告的方式（如有）开展绩效评价</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（二）绩效自评结果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1.项目绩效自评表。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详见附件《重庆市铜梁区高楼镇综合行政执法大队2024年度项目绩效自评表》。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2.项目绩效自评报告或案例。</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我单位未委托第三方开展绩效评价。</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3.关于绩效自评结果的说明。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项目进行绩效自评，其中</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个已完成年度绩效目标。</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 xml:space="preserve">（三）财政重点绩效评价情况 </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lang w:val="en-US" w:eastAsia="zh-CN"/>
        </w:rPr>
      </w:pPr>
      <w:r>
        <w:rPr>
          <w:rFonts w:hint="default" w:ascii="Times New Roman" w:hAnsi="Times New Roman" w:eastAsia="方正仿宋_GBK" w:cs="Times New Roman"/>
          <w:sz w:val="32"/>
          <w:szCs w:val="32"/>
          <w:lang w:val="en-US" w:eastAsia="zh-CN"/>
        </w:rPr>
        <w:t>我单位无财政重点绩效评价项目。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六</w:t>
      </w:r>
      <w:r>
        <w:rPr>
          <w:rFonts w:hint="default" w:ascii="方正黑体_GBK" w:hAnsi="方正黑体_GBK" w:eastAsia="方正黑体_GBK" w:cs="方正黑体_GBK"/>
          <w:sz w:val="32"/>
          <w:szCs w:val="32"/>
          <w:lang w:val="en-US" w:eastAsia="zh-CN"/>
        </w:rPr>
        <w:t>、专业名词解释</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（五）使用非财政拨款结余：</w:t>
      </w:r>
      <w:r>
        <w:rPr>
          <w:rFonts w:hint="default"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en-US" w:eastAsia="zh-CN"/>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本单位决算公开信息反馈和联系方式：</w:t>
      </w:r>
      <w:r>
        <w:rPr>
          <w:rFonts w:hint="default" w:ascii="Times New Roman" w:hAnsi="Times New Roman" w:eastAsia="方正仿宋_GBK" w:cs="Times New Roman"/>
          <w:sz w:val="32"/>
          <w:szCs w:val="32"/>
          <w:lang w:eastAsia="zh-CN"/>
        </w:rPr>
        <w:t>田禾</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023-</w:t>
      </w:r>
      <w:r>
        <w:rPr>
          <w:rFonts w:hint="default" w:ascii="Times New Roman" w:hAnsi="Times New Roman" w:eastAsia="方正仿宋_GBK" w:cs="Times New Roman"/>
          <w:sz w:val="32"/>
          <w:szCs w:val="32"/>
          <w:lang w:val="en-US" w:eastAsia="zh-CN"/>
        </w:rPr>
        <w:t>4586529</w:t>
      </w:r>
      <w:r>
        <w:rPr>
          <w:rFonts w:hint="eastAsia" w:ascii="方正仿宋_GBK" w:hAnsi="方正仿宋_GBK" w:eastAsia="方正仿宋_GBK" w:cs="方正仿宋_GBK"/>
          <w:color w:val="auto"/>
          <w:kern w:val="0"/>
          <w:sz w:val="32"/>
          <w:szCs w:val="32"/>
          <w:highlight w:val="none"/>
          <w:shd w:val="clear" w:fill="FFFFFF"/>
          <w:lang w:val="en-US" w:eastAsia="zh-CN"/>
        </w:rPr>
        <w:t>0</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323268"/>
    <w:rsid w:val="148E377E"/>
    <w:rsid w:val="1580711B"/>
    <w:rsid w:val="177D6416"/>
    <w:rsid w:val="189B0D0B"/>
    <w:rsid w:val="194A1770"/>
    <w:rsid w:val="19917D9C"/>
    <w:rsid w:val="19B906A4"/>
    <w:rsid w:val="1A1F744B"/>
    <w:rsid w:val="1A4854EC"/>
    <w:rsid w:val="1B6F15B6"/>
    <w:rsid w:val="1BAA2EDC"/>
    <w:rsid w:val="1C256CDD"/>
    <w:rsid w:val="1CE157EE"/>
    <w:rsid w:val="1D014A01"/>
    <w:rsid w:val="1D022362"/>
    <w:rsid w:val="1DD26311"/>
    <w:rsid w:val="1EF67CA4"/>
    <w:rsid w:val="1FCD26AF"/>
    <w:rsid w:val="20642787"/>
    <w:rsid w:val="21556F04"/>
    <w:rsid w:val="21826319"/>
    <w:rsid w:val="22403BD3"/>
    <w:rsid w:val="22C72F47"/>
    <w:rsid w:val="234B6811"/>
    <w:rsid w:val="24932670"/>
    <w:rsid w:val="24B92327"/>
    <w:rsid w:val="2533755C"/>
    <w:rsid w:val="26396DF4"/>
    <w:rsid w:val="270642A6"/>
    <w:rsid w:val="27167136"/>
    <w:rsid w:val="27B23302"/>
    <w:rsid w:val="28F32BEE"/>
    <w:rsid w:val="292D56CE"/>
    <w:rsid w:val="29310A5F"/>
    <w:rsid w:val="29344EAE"/>
    <w:rsid w:val="29C37A35"/>
    <w:rsid w:val="29C95E09"/>
    <w:rsid w:val="2A076083"/>
    <w:rsid w:val="2A73162E"/>
    <w:rsid w:val="2B167953"/>
    <w:rsid w:val="2B200583"/>
    <w:rsid w:val="2B8209DE"/>
    <w:rsid w:val="2C161D32"/>
    <w:rsid w:val="2C2D3EC7"/>
    <w:rsid w:val="2C6762A3"/>
    <w:rsid w:val="2CEB2E12"/>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5AE16A5"/>
    <w:rsid w:val="465B470D"/>
    <w:rsid w:val="469D6AD4"/>
    <w:rsid w:val="46FC41C7"/>
    <w:rsid w:val="47674801"/>
    <w:rsid w:val="48225EF7"/>
    <w:rsid w:val="488A3AF5"/>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0C529F"/>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BFFCEC9"/>
    <w:rsid w:val="7C1E4CD7"/>
    <w:rsid w:val="7C3A7C0B"/>
    <w:rsid w:val="7C5248E4"/>
    <w:rsid w:val="7C566698"/>
    <w:rsid w:val="7FA960B8"/>
    <w:rsid w:val="E7CF9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4255</Words>
  <Characters>4733</Characters>
  <Lines>161</Lines>
  <Paragraphs>45</Paragraphs>
  <TotalTime>37</TotalTime>
  <ScaleCrop>false</ScaleCrop>
  <LinksUpToDate>false</LinksUpToDate>
  <CharactersWithSpaces>4752</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tlgl</cp:lastModifiedBy>
  <dcterms:modified xsi:type="dcterms:W3CDTF">2025-11-07T15:10:56Z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845A68D24EDEC79F809B0D69DACD4F75</vt:lpwstr>
  </property>
  <property fmtid="{D5CDD505-2E9C-101B-9397-08002B2CF9AE}" pid="4" name="KSOTemplateDocerSaveRecord">
    <vt:lpwstr>eyJoZGlkIjoiYmMwNDY4ZGM3MjMxMTc3YTU2ZjA0ODMxMzc0Y2FhNzkiLCJ1c2VySWQiOiI1NjE2ODc3MzMifQ==</vt:lpwstr>
  </property>
</Properties>
</file>