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重庆市铜梁区高楼镇乡村产业培育中心</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主要职能：</w:t>
      </w:r>
      <w:r>
        <w:rPr>
          <w:rFonts w:hint="default" w:ascii="Times New Roman" w:hAnsi="Times New Roman" w:eastAsia="方正仿宋_GBK" w:cs="Times New Roman"/>
          <w:sz w:val="32"/>
          <w:szCs w:val="32"/>
          <w:lang w:val="en-US" w:eastAsia="zh-CN"/>
        </w:rPr>
        <w:t>受镇人民政府委托，承担产业规划、引进培育等工作，提振乡村经济发展，承担各类招商项目洽谈、推介活动等投资促进具体工作，承担扶贫开发等事务性工作，完成主管部门交办的其他事项。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本单位隶属于重庆市铜梁区高楼镇人民政府管理的正科级公益一类事业单位，独立编制机构</w:t>
      </w:r>
      <w:r>
        <w:rPr>
          <w:rFonts w:hint="default" w:ascii="Times New Roman" w:hAnsi="Times New Roman" w:eastAsia="方正仿宋_GBK" w:cs="Times New Roman"/>
          <w:sz w:val="32"/>
          <w:szCs w:val="32"/>
          <w:lang w:val="en-US" w:eastAsia="zh-CN"/>
        </w:rPr>
        <w:t>1个，核定事业编制3名，编制内所需经费纳入财政全额保障。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单位</w:t>
      </w:r>
      <w:r>
        <w:rPr>
          <w:rFonts w:hint="default" w:ascii="方正黑体_GBK" w:hAnsi="方正黑体_GBK" w:eastAsia="方正黑体_GBK" w:cs="方正黑体_GBK"/>
          <w:sz w:val="32"/>
          <w:szCs w:val="32"/>
        </w:rPr>
        <w:t>决算</w:t>
      </w:r>
      <w:r>
        <w:rPr>
          <w:rFonts w:hint="default" w:ascii="方正黑体_GBK" w:hAnsi="方正黑体_GBK" w:eastAsia="方正黑体_GBK" w:cs="方正黑体_GBK"/>
          <w:sz w:val="32"/>
          <w:szCs w:val="32"/>
          <w:lang w:eastAsia="zh-CN"/>
        </w:rPr>
        <w:t>收支</w:t>
      </w:r>
      <w:r>
        <w:rPr>
          <w:rFonts w:hint="default"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度收入总计64.19万元，支出总计64.19万元。收、支与2023年度相比，增加64.19万元，增长100.0%，主要原因是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乡村产业培育中心等7个账套单独核算，上年度未单独核算，收入和支出均为0，本年增长100%，故本年收、支较上年度各增加64.19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度收入合计64.19万元，与2023年度相比，增加64.19万元，增长100.0%，主要原因是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乡村产业培育中心等7个账套单独核算，上年度未单独核算，收入为0，本年增长100%，故本年收入较上年度增加64.19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其中：财政拨款收入64.19万元，占100.00%；事业收入0.00万元，占0.00%；经营收入0.00万元，占0.00%；其他收入0.00万元，占0.00%。此外，使用非财政拨款结余和专用结余0.00万元，年初结转和结余0.00万元。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度支出合计64.19万元，与2023年度相比，增加64.19万元，增长100.0%，主要原因是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乡村产业培育中心等7个账套单独核算，上年度未单独核算，支出为0，本年增长100%，故本年支出较上年度增加64.19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其中：基本支出57.73万元，占89.94%；项目支出6.46万元，占10.06%；经营支出0.00万元，占0.00%。此外，结余分配0.00万元。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度财政拨款收、支总计64.19万元。与202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年相比，财政拨款收、支总计各增加64.19万元，增长100.0%。主要原因是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乡村产业培育中心等7个账套单独核算，上年度未单独核算，收入和支出均为0，本年增长100%，故本年收、支较上年度各增加64.19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度一般公共预算财政拨款收入64.19万元，与2023年度相比，增加64.19万元，增长100.0%。主要原因是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2024年依据财政决算要求，重庆市铜梁区高楼镇人民政府将事业单位划分为重庆市铜梁区高楼镇乡村产业培育中心等7个账套单独核算，上年度未单独核算，收入为0，故本年增长100%。</w:t>
      </w:r>
      <w:r>
        <w:rPr>
          <w:rFonts w:hint="default" w:ascii="Times New Roman" w:hAnsi="Times New Roman" w:eastAsia="方正仿宋_GBK" w:cs="Times New Roman"/>
          <w:sz w:val="32"/>
          <w:szCs w:val="32"/>
        </w:rPr>
        <w:t>较年初预算数减少4.65万元，下降6.8%。主要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财政资金紧张，部分预算资金未能全部收入，故本年收入较年初预算减少4.65万元。</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度一般公共预算财政拨款支出64.19万元，与2023年度相比，增加64.19万元，增长100.0%。主要原因是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2024年依据财政决算要求，重庆市铜梁区高楼镇人民政府将事业单位划分为重庆市铜梁区高楼镇乡村产业培育中心等7个账套单独核算，上年度未单独核算，支出为0，故本年增长100%。</w:t>
      </w:r>
      <w:r>
        <w:rPr>
          <w:rFonts w:hint="default" w:ascii="Times New Roman" w:hAnsi="Times New Roman" w:eastAsia="方正仿宋_GBK" w:cs="Times New Roman"/>
          <w:sz w:val="32"/>
          <w:szCs w:val="32"/>
        </w:rPr>
        <w:t>较年初预算数减少4.65万元，下降6.8%。</w:t>
      </w:r>
      <w:r>
        <w:rPr>
          <w:rFonts w:hint="default" w:ascii="Times New Roman" w:hAnsi="Times New Roman" w:eastAsia="方正仿宋_GBK" w:cs="Times New Roman"/>
          <w:sz w:val="32"/>
          <w:szCs w:val="32"/>
          <w:lang w:val="en-US" w:eastAsia="zh-CN"/>
        </w:rPr>
        <w:t>主要</w:t>
      </w:r>
      <w:r>
        <w:rPr>
          <w:rFonts w:hint="eastAsia" w:ascii="Times New Roman" w:hAnsi="Times New Roman" w:eastAsia="方正仿宋_GBK" w:cs="Times New Roman"/>
          <w:sz w:val="32"/>
          <w:szCs w:val="32"/>
          <w:lang w:val="en-US" w:eastAsia="zh-CN"/>
        </w:rPr>
        <w:t>原因是</w:t>
      </w:r>
      <w:r>
        <w:rPr>
          <w:rFonts w:hint="default" w:ascii="Times New Roman" w:hAnsi="Times New Roman" w:eastAsia="方正仿宋_GBK" w:cs="Times New Roman"/>
          <w:sz w:val="32"/>
          <w:szCs w:val="32"/>
          <w:lang w:val="en-US" w:eastAsia="zh-CN"/>
        </w:rPr>
        <w:t>财政资金紧张，部分预算资金未能全部收入，故本年支出较年初预算减少4.65万元。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）社会保障与就业支出5.30万元，占8.25%，较年初预算数增加0.29万元，增长5.8%，主要原因是</w:t>
      </w:r>
      <w:r>
        <w:rPr>
          <w:rFonts w:hint="default" w:ascii="Times New Roman" w:hAnsi="Times New Roman" w:eastAsia="方正仿宋_GBK" w:cs="Times New Roman"/>
          <w:sz w:val="32"/>
          <w:szCs w:val="32"/>
          <w:lang w:eastAsia="zh-CN"/>
        </w:rPr>
        <w:t>本年度社会保障费用增加，故</w:t>
      </w:r>
      <w:r>
        <w:rPr>
          <w:rFonts w:hint="default" w:ascii="Times New Roman" w:hAnsi="Times New Roman" w:eastAsia="方正仿宋_GBK" w:cs="Times New Roman"/>
          <w:sz w:val="32"/>
          <w:szCs w:val="32"/>
        </w:rPr>
        <w:t>较年初预算数增加0.29万元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）卫生健康支出1.93万元，占3.01%，较年初预算数减少0.78万元，下降28.8%，</w:t>
      </w:r>
      <w:r>
        <w:rPr>
          <w:rFonts w:hint="default" w:ascii="Times New Roman" w:hAnsi="Times New Roman" w:eastAsia="方正仿宋_GBK" w:cs="Times New Roman"/>
          <w:sz w:val="32"/>
          <w:szCs w:val="32"/>
          <w:lang w:eastAsia="zh-CN"/>
        </w:rPr>
        <w:t>主</w:t>
      </w:r>
      <w:r>
        <w:rPr>
          <w:rFonts w:hint="default" w:ascii="Times New Roman" w:hAnsi="Times New Roman" w:eastAsia="方正仿宋_GBK" w:cs="Times New Roman"/>
          <w:sz w:val="32"/>
          <w:szCs w:val="32"/>
          <w:lang w:val="en-US" w:eastAsia="zh-CN"/>
        </w:rPr>
        <w:t>要原因是2024年度区财政局为优先保障“三保”等重点支出，对我单位部分非紧急、非刚性的项目支出进行了暂缓支出，我单位涉及在职公务员医疗补助缴费等预算资金共计0.78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）农林水支出54.63万元，占85.11%，较年初预算数减少3.99万元，下降6.8%，主要</w:t>
      </w:r>
      <w:r>
        <w:rPr>
          <w:rFonts w:hint="eastAsia" w:ascii="Times New Roman" w:hAnsi="Times New Roman" w:eastAsia="方正仿宋_GBK" w:cs="Times New Roman"/>
          <w:sz w:val="32"/>
          <w:szCs w:val="32"/>
          <w:lang w:eastAsia="zh-CN"/>
        </w:rPr>
        <w:t>原因是</w:t>
      </w:r>
      <w:r>
        <w:rPr>
          <w:rFonts w:hint="default" w:ascii="Times New Roman" w:hAnsi="Times New Roman" w:eastAsia="方正仿宋_GBK" w:cs="Times New Roman"/>
          <w:sz w:val="32"/>
          <w:szCs w:val="32"/>
          <w:lang w:val="en-US" w:eastAsia="zh-CN"/>
        </w:rPr>
        <w:t>财政资金紧张，部分预算资金未能全部拨付，最终形成2024年度决算支出低于年初预算。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）住房保障支出2.33万元，占3.63%，较年初预算数减少0.17万元，下降6.8%，主要原因</w:t>
      </w:r>
      <w:r>
        <w:rPr>
          <w:rFonts w:hint="default" w:ascii="Times New Roman" w:hAnsi="Times New Roman" w:eastAsia="方正仿宋_GBK" w:cs="Times New Roman"/>
          <w:sz w:val="32"/>
          <w:szCs w:val="32"/>
          <w:lang w:eastAsia="zh-CN"/>
        </w:rPr>
        <w:t>一是本年度公积金基数调整；二是事业单位机构改革人员调整，</w:t>
      </w:r>
      <w:r>
        <w:rPr>
          <w:rFonts w:hint="default" w:ascii="Times New Roman" w:hAnsi="Times New Roman" w:eastAsia="方正仿宋_GBK" w:cs="Times New Roman"/>
          <w:sz w:val="32"/>
          <w:szCs w:val="32"/>
          <w:lang w:val="en-US" w:eastAsia="zh-CN"/>
        </w:rPr>
        <w:t>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度一般公共财政拨款基本支出57.73万元。其中：人员经费51.05万元，与2023年度相比，增加51.05万元，增长100.0%，主要原因是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2024年依据财政决算要求，重庆市铜梁区高楼镇人民政府将事业单位划分为重庆市铜梁区高楼镇乡村产业培育中心等7个账套单独核算，上年度未单独核算，支出为0，故本年增长100%。</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基本工资津贴补贴、绩效工资、社会保障费、住房公积金等。</w:t>
      </w:r>
      <w:r>
        <w:rPr>
          <w:rFonts w:hint="default" w:ascii="Times New Roman" w:hAnsi="Times New Roman" w:eastAsia="方正仿宋_GBK" w:cs="Times New Roman"/>
          <w:sz w:val="32"/>
          <w:szCs w:val="32"/>
        </w:rPr>
        <w:t>公用经费6.68万元，与2023年度相比，增加6.68万元，增长100.0%，主要原因是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2024年依据财政决算要求，重庆市铜梁区高楼镇人民政府将事业单位划分为重庆市铜梁区高楼镇乡村产业培育中心等7个账套单独核算，上年度未单独核算，支出为0，故本年增长100%。</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办公费、水费、电费、工会</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lang w:eastAsia="zh-CN"/>
        </w:rPr>
        <w:t>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财政拨款</w:t>
      </w:r>
      <w:r>
        <w:rPr>
          <w:rFonts w:hint="default"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“三公”经费支出</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本年度培训费支出0.00万元，与2023年度相比，无变化。</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度我单位未发生政府采购事项，无相关经费支出。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（一）预算绩效管理工作开展情况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个项目开展了绩效自评，其中，以填报自评表形式开展自评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6.46</w:t>
      </w:r>
      <w:r>
        <w:rPr>
          <w:rFonts w:hint="default" w:ascii="Times New Roman" w:hAnsi="Times New Roman" w:eastAsia="方正仿宋_GBK" w:cs="Times New Roman"/>
          <w:sz w:val="32"/>
          <w:szCs w:val="32"/>
        </w:rPr>
        <w:t>万元；以委托第三方出具报告的方式（如有）开展绩效评价</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详见附件《重庆市铜梁区高楼镇</w:t>
      </w:r>
      <w:r>
        <w:rPr>
          <w:rFonts w:hint="default" w:ascii="Times New Roman" w:hAnsi="Times New Roman" w:eastAsia="方正仿宋_GBK" w:cs="Times New Roman"/>
          <w:sz w:val="32"/>
          <w:szCs w:val="32"/>
          <w:lang w:val="en-US" w:eastAsia="zh-CN"/>
        </w:rPr>
        <w:t>乡村产业培育中心</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2.项目绩效自评报告或案例。</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我单位未委托第三方开展绩效评价。</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3.关于绩效自评结果的说明。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项目进行绩效自评，其中</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个已完成年度绩效目标。</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 xml:space="preserve">（三）财政重点绩效评价情况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我单位无财政重点绩效评价项目。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eastAsia="zh-CN"/>
        </w:rPr>
        <w:t>田禾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023-</w:t>
      </w:r>
      <w:r>
        <w:rPr>
          <w:rFonts w:hint="default" w:ascii="Times New Roman" w:hAnsi="Times New Roman" w:eastAsia="方正仿宋_GBK" w:cs="Times New Roman"/>
          <w:sz w:val="32"/>
          <w:szCs w:val="32"/>
          <w:lang w:val="en-US" w:eastAsia="zh-CN"/>
        </w:rPr>
        <w:t>45865290</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5C32781"/>
    <w:rsid w:val="06A2550B"/>
    <w:rsid w:val="06F80EE2"/>
    <w:rsid w:val="07001CCA"/>
    <w:rsid w:val="075678DB"/>
    <w:rsid w:val="08051BCA"/>
    <w:rsid w:val="08887FC5"/>
    <w:rsid w:val="08B84F60"/>
    <w:rsid w:val="08BA052C"/>
    <w:rsid w:val="08DB07BA"/>
    <w:rsid w:val="095C1FE8"/>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1E38ED"/>
    <w:rsid w:val="189B0D0B"/>
    <w:rsid w:val="194A1770"/>
    <w:rsid w:val="19917D9C"/>
    <w:rsid w:val="19B906A4"/>
    <w:rsid w:val="1A1F744B"/>
    <w:rsid w:val="1A4854EC"/>
    <w:rsid w:val="1B6F15B6"/>
    <w:rsid w:val="1BAA2EDC"/>
    <w:rsid w:val="1CE157EE"/>
    <w:rsid w:val="1D014A01"/>
    <w:rsid w:val="1D022362"/>
    <w:rsid w:val="1DD26311"/>
    <w:rsid w:val="1DD8773B"/>
    <w:rsid w:val="1EF67CA4"/>
    <w:rsid w:val="1FCD26AF"/>
    <w:rsid w:val="20642787"/>
    <w:rsid w:val="21556F04"/>
    <w:rsid w:val="22403BD3"/>
    <w:rsid w:val="24932670"/>
    <w:rsid w:val="24B92327"/>
    <w:rsid w:val="2533755C"/>
    <w:rsid w:val="26396DF4"/>
    <w:rsid w:val="270642A6"/>
    <w:rsid w:val="27167136"/>
    <w:rsid w:val="27945674"/>
    <w:rsid w:val="27B23302"/>
    <w:rsid w:val="29310A5F"/>
    <w:rsid w:val="29C37A35"/>
    <w:rsid w:val="29C95E09"/>
    <w:rsid w:val="2A076083"/>
    <w:rsid w:val="2A73162E"/>
    <w:rsid w:val="2AE36188"/>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815AAA"/>
    <w:rsid w:val="4AD70EE7"/>
    <w:rsid w:val="4B7951CB"/>
    <w:rsid w:val="4B7C315C"/>
    <w:rsid w:val="4BAB7F90"/>
    <w:rsid w:val="4BD17E71"/>
    <w:rsid w:val="4DAC4ACA"/>
    <w:rsid w:val="4F186D58"/>
    <w:rsid w:val="50EC262C"/>
    <w:rsid w:val="522F6E0C"/>
    <w:rsid w:val="52463BA1"/>
    <w:rsid w:val="53C0244D"/>
    <w:rsid w:val="53DD4D4E"/>
    <w:rsid w:val="53E14ED6"/>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553C29"/>
    <w:rsid w:val="6F7F6A2D"/>
    <w:rsid w:val="6FB442D1"/>
    <w:rsid w:val="6FFB2E76"/>
    <w:rsid w:val="70D572C2"/>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F7B70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6562</Words>
  <Characters>7536</Characters>
  <Lines>161</Lines>
  <Paragraphs>45</Paragraphs>
  <TotalTime>4</TotalTime>
  <ScaleCrop>false</ScaleCrop>
  <LinksUpToDate>false</LinksUpToDate>
  <CharactersWithSpaces>7603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tlgl</cp:lastModifiedBy>
  <dcterms:modified xsi:type="dcterms:W3CDTF">2025-11-07T15:25:28Z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26D40A2CF465C3B1E89E0D697062A217</vt:lpwstr>
  </property>
  <property fmtid="{D5CDD505-2E9C-101B-9397-08002B2CF9AE}" pid="4" name="KSOTemplateDocerSaveRecord">
    <vt:lpwstr>eyJoZGlkIjoiYmMwNDY4ZGM3MjMxMTc3YTU2ZjA0ODMxMzc0Y2FhNzkiLCJ1c2VySWQiOiI1NjE2ODc3MzMifQ==</vt:lpwstr>
  </property>
</Properties>
</file>