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重庆市铜梁区虎峰镇人民政府</w:t>
      </w:r>
    </w:p>
    <w:p>
      <w:pPr>
        <w:pStyle w:val="5"/>
        <w:spacing w:before="0" w:beforeAutospacing="0"/>
        <w:jc w:val="center"/>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rPr>
          <w:rFonts w:ascii="黑体" w:hAnsi="黑体" w:eastAsia="黑体" w:cs="黑体"/>
          <w:sz w:val="32"/>
          <w:szCs w:val="32"/>
        </w:rPr>
      </w:pPr>
      <w:r>
        <w:rPr>
          <w:rStyle w:val="7"/>
          <w:rFonts w:ascii="黑体" w:hAnsi="黑体" w:eastAsia="黑体" w:cs="黑体"/>
          <w:sz w:val="32"/>
          <w:szCs w:val="32"/>
          <w:shd w:val="clear" w:color="auto" w:fill="FFFFFF"/>
        </w:rPr>
        <w:t>一、部门基本情况</w:t>
      </w:r>
    </w:p>
    <w:p>
      <w:pPr>
        <w:pStyle w:val="5"/>
        <w:shd w:val="clear" w:color="auto" w:fill="FFFFFF"/>
        <w:ind w:firstLine="420"/>
        <w:rPr>
          <w:rFonts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在区委、区政府的领导下，贯彻执行党和国家各项方针、政策、法律、法规；负责辖区内的地区性、群众性、公益性、社会性工作；（2）负责精神文明建设工作，积极组织以提高市民素质为目的的活动，树立文明新风；（3）做好辖区范围内的城市建设和管理、市容环境卫生、园林绿化、环境保护、市政等监督、管理、服务工作；（4）负责辖区内的维护稳定工作及社会治安综合治理工作，依照有关政策规定做好外来人口的管理工作；（5）负责民事调解，法律服务工作，维护居民的合法权益，负责社区建设和管理，指导开展社区服务工作，大力兴办社会福利事业，发动和组织社区成员开展各类社区公益活动；（6）负责民兵、兵役、拥军优属、优抚安置、社会救济、社会福利、社区文化、科普、体育、教育、旅游工作；（7）发展村级经济，管理国有资产和集体资产，为镇政府、行政村经济组织提供人才、科技、信息和其他服务，以经济、法律和必要的行政手段推动政府、村级经济发展和维护市场秩序；负责计划生育、劳动就业、安全生产监督、初级卫生保健、调解等工作；（8）指导和帮助居（村）民委员会搞好组织建设和制度建设，发挥居（村）民委员会的群众自治作用；（9）配合有关部门做好防汛、防火、防震、抢险和救灾工作。</w:t>
      </w:r>
    </w:p>
    <w:p>
      <w:pPr>
        <w:pStyle w:val="5"/>
        <w:shd w:val="clear" w:color="auto" w:fill="FFFFFF"/>
        <w:ind w:firstLine="420"/>
        <w:rPr>
          <w:rFonts w:ascii="楷体" w:hAnsi="楷体" w:eastAsia="楷体" w:cs="楷体"/>
          <w:sz w:val="32"/>
          <w:szCs w:val="32"/>
        </w:rPr>
      </w:pPr>
      <w:r>
        <w:rPr>
          <w:rStyle w:val="7"/>
          <w:rFonts w:ascii="楷体" w:hAnsi="楷体" w:eastAsia="楷体" w:cs="楷体"/>
          <w:sz w:val="32"/>
          <w:szCs w:val="32"/>
          <w:shd w:val="clear" w:color="auto" w:fill="FFFFFF"/>
        </w:rPr>
        <w:t>（二）机构设置</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本镇设置独立</w:t>
      </w:r>
      <w:r>
        <w:rPr>
          <w:rFonts w:hint="eastAsia" w:ascii="方正仿宋_GBK" w:hAnsi="方正仿宋_GBK" w:eastAsia="方正仿宋_GBK" w:cs="方正仿宋_GBK"/>
          <w:sz w:val="32"/>
          <w:szCs w:val="32"/>
          <w:shd w:val="clear" w:color="auto" w:fill="FFFFFF"/>
        </w:rPr>
        <w:t>核算</w:t>
      </w:r>
      <w:r>
        <w:rPr>
          <w:rFonts w:ascii="方正仿宋_GBK" w:hAnsi="方正仿宋_GBK" w:eastAsia="方正仿宋_GBK" w:cs="方正仿宋_GBK"/>
          <w:sz w:val="32"/>
          <w:szCs w:val="32"/>
          <w:shd w:val="clear" w:color="auto" w:fill="FFFFFF"/>
        </w:rPr>
        <w:t>机构</w:t>
      </w:r>
      <w:r>
        <w:rPr>
          <w:rFonts w:hint="eastAsia"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个，行政机构：</w:t>
      </w:r>
      <w:r>
        <w:rPr>
          <w:rFonts w:hint="eastAsia" w:ascii="方正仿宋_GBK" w:hAnsi="方正仿宋_GBK" w:eastAsia="方正仿宋_GBK" w:cs="方正仿宋_GBK"/>
          <w:sz w:val="32"/>
          <w:szCs w:val="32"/>
          <w:shd w:val="clear" w:color="auto" w:fill="FFFFFF"/>
        </w:rPr>
        <w:t>重庆市铜梁区</w:t>
      </w:r>
      <w:r>
        <w:rPr>
          <w:rFonts w:ascii="方正仿宋_GBK" w:hAnsi="方正仿宋_GBK" w:eastAsia="方正仿宋_GBK" w:cs="方正仿宋_GBK"/>
          <w:sz w:val="32"/>
          <w:szCs w:val="32"/>
          <w:shd w:val="clear" w:color="auto" w:fill="FFFFFF"/>
        </w:rPr>
        <w:t>虎峰镇人民政府</w:t>
      </w:r>
      <w:r>
        <w:rPr>
          <w:rFonts w:hint="eastAsia" w:ascii="方正仿宋_GBK" w:hAnsi="方正仿宋_GBK" w:eastAsia="方正仿宋_GBK" w:cs="方正仿宋_GBK"/>
          <w:sz w:val="32"/>
          <w:szCs w:val="32"/>
          <w:shd w:val="clear" w:color="auto" w:fill="FFFFFF"/>
        </w:rPr>
        <w:t>（本级）。独立编制事业单位机构7个为：重庆市铜梁区虎峰镇农业服务中心、重庆市铜梁区虎峰镇文化服务中心、重庆市铜梁区虎峰镇劳动就业和社会保障服务所、重庆市铜梁区虎峰镇退役军人服务站、重庆市铜梁区虎峰镇综合行政执法大队、重庆市铜梁区虎峰镇乡村产业培育中心、重庆市铜梁区虎峰镇乡村生态治理中心。</w:t>
      </w:r>
      <w:r>
        <w:rPr>
          <w:rFonts w:ascii="方正仿宋_GBK" w:hAnsi="方正仿宋_GBK" w:eastAsia="方正仿宋_GBK" w:cs="方正仿宋_GBK"/>
          <w:sz w:val="32"/>
          <w:szCs w:val="32"/>
          <w:shd w:val="clear" w:color="auto" w:fill="FFFFFF"/>
        </w:rPr>
        <w:t>全镇22个村，4个社区。</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独立核算机构较上年减少 2个，原因是上年填写有误。</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我单位2023年度人员实有78人，较2022年度总人数减少2人。</w:t>
      </w:r>
    </w:p>
    <w:p>
      <w:pPr>
        <w:pStyle w:val="5"/>
        <w:shd w:val="clear" w:color="auto" w:fill="FFFFFF"/>
        <w:rPr>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二、部门决算情况说明</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本单位2023年收入、支出年初预算为4484.99万元，上年收入、支出年初预算3989.32万元，增加11.1%。原因是乡村振兴发展需要，根据重庆市铜梁区财政局关于2023年预算编制要求，严格按照文件要求编制预算。2023</w:t>
      </w:r>
      <w:r>
        <w:rPr>
          <w:rFonts w:ascii="方正仿宋_GBK" w:hAnsi="方正仿宋_GBK" w:eastAsia="方正仿宋_GBK" w:cs="方正仿宋_GBK"/>
          <w:sz w:val="32"/>
          <w:szCs w:val="32"/>
          <w:shd w:val="clear" w:color="auto" w:fill="FFFFFF"/>
        </w:rPr>
        <w:t>年初结转和结余</w:t>
      </w:r>
      <w:r>
        <w:rPr>
          <w:rFonts w:hint="eastAsia" w:ascii="方正仿宋_GBK" w:hAnsi="方正仿宋_GBK" w:eastAsia="方正仿宋_GBK" w:cs="方正仿宋_GBK"/>
          <w:sz w:val="32"/>
          <w:szCs w:val="32"/>
          <w:shd w:val="clear" w:color="auto" w:fill="FFFFFF"/>
        </w:rPr>
        <w:t>为0，</w:t>
      </w:r>
      <w:r>
        <w:rPr>
          <w:rFonts w:ascii="方正仿宋_GBK" w:hAnsi="方正仿宋_GBK" w:eastAsia="方正仿宋_GBK" w:cs="方正仿宋_GBK"/>
          <w:sz w:val="32"/>
          <w:szCs w:val="32"/>
          <w:shd w:val="clear" w:color="auto" w:fill="FFFFFF"/>
        </w:rPr>
        <w:t>年末结转和结余</w:t>
      </w:r>
      <w:r>
        <w:rPr>
          <w:rFonts w:hint="eastAsia" w:ascii="方正仿宋_GBK" w:hAnsi="方正仿宋_GBK" w:eastAsia="方正仿宋_GBK" w:cs="方正仿宋_GBK"/>
          <w:sz w:val="32"/>
          <w:szCs w:val="32"/>
          <w:shd w:val="clear" w:color="auto" w:fill="FFFFFF"/>
        </w:rPr>
        <w:t>为0。</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收入9464.96万元较上年度4625.55万元增加104.6%，原因是一般公共预算财政拨款6425.18万元，较上年度4470.25万元增加43.7%，是由于党群服务中心提档升级工程双桥村项目、镇街招商引税项目、体育公园建设、泥结石路、四好公路项目收入等；政府性基金预算财政拨款3039.79万元较上年155.3万元增加1857.3%，原因是体育公园土地权益价款和虎峰镇全民健身中心（含综合保障服务中心）土地权益价款。</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支出9464.96万元较上年度4625.55万元增加104.6%，原因是一般公共预算财政支出6425.18万元，较上年度4470.25万元增加43.7%，是由于党群服务中心提档升级工程双桥村项目、镇街招商引税项目、体育公园建设、泥结石路、四好公路等支出等；政府性基金预算财政支出3039.79万元较上年155.3万元增加1857.3%，原因是上交体育公园土地权益价款和虎峰镇全民健身中心（含综合保障服务中心）土地权益价款支出。</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差异原因分析。2023年决算数9464.96万元比2023年初预算4484.99万元高出4979.97万元，原因是一般公共服务支出2023年决算数比年初预算数高237.4万元，为年中项目双桥村党群服务中心提档升级、镇级招商引税奖励项目等。文化旅游体育与传媒支出2023年决算数比年初预算数高381.94万元，原因是年中项目体育公园、周末到铜梁镇长晒主题等项目。社会保障和就业支出2023年决算数比年初预算数高181.21万元，原因是肇事肇祸精神病人、临时救助等项目。城乡社区支出2023年决算数比年初预算数高3722.82万元，原因是年中项目体育公园土地权益溢价款、全民健身中心（含综合保障服务中心）土地权益溢价款、2020年2021年2022年泥结石路硬化项目等，农林水支出2023年决算数比年初预算数低561.29万元，原因是2023年将事业单位基本人员和公用支出全都编制在农林水支出中，决算时将各事业单位分别到各属大类，故年初预算数大于决算执行数。交通运输支出2023年决算数比年初预算数高904.1万元，原因是2022年四好公路结转、四好农村路建设、2021年农村联网路及结转项目等。灾害防治及应急管理2023年决算数比年初预算数高113.5万元，原因是年初未做预算，年中项目森林防火、应急排危、2023年镇街防汛救灾</w:t>
      </w:r>
      <w:r>
        <w:rPr>
          <w:rFonts w:hint="eastAsia" w:ascii="方正仿宋_GBK" w:hAnsi="方正仿宋_GBK" w:eastAsia="方正仿宋_GBK" w:cs="方正仿宋_GBK"/>
          <w:sz w:val="32"/>
          <w:szCs w:val="32"/>
          <w:shd w:val="clear" w:color="auto" w:fill="FFFFFF"/>
          <w:lang w:val="en-US" w:eastAsia="zh-CN"/>
        </w:rPr>
        <w:t>专</w:t>
      </w:r>
      <w:r>
        <w:rPr>
          <w:rFonts w:hint="eastAsia" w:ascii="方正仿宋_GBK" w:hAnsi="方正仿宋_GBK" w:eastAsia="方正仿宋_GBK" w:cs="方正仿宋_GBK"/>
          <w:sz w:val="32"/>
          <w:szCs w:val="32"/>
          <w:shd w:val="clear" w:color="auto" w:fill="FFFFFF"/>
        </w:rPr>
        <w:t>项等。</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snapToGrid w:val="0"/>
        <w:spacing w:line="520" w:lineRule="exact"/>
        <w:ind w:firstLine="643" w:firstLineChars="200"/>
        <w:rPr>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2023年度收入总计9464.96万元，支出总计9464.96万元。收支较上年决算数增加4839.41万元，增长104.6%，主要原因是</w:t>
      </w:r>
      <w:r>
        <w:rPr>
          <w:rFonts w:hint="eastAsia" w:ascii="方正仿宋_GBK" w:hAnsi="方正仿宋_GBK" w:eastAsia="方正仿宋_GBK" w:cs="方正仿宋_GBK"/>
          <w:sz w:val="32"/>
          <w:szCs w:val="32"/>
          <w:shd w:val="clear" w:color="auto" w:fill="FFFFFF"/>
        </w:rPr>
        <w:t>一般公共预算财政拨款收支6425.18万元，较上年度4470.25万元增加43.7%，是由于党群服务中心提档升级工程双桥村项目、镇街招商引税项目、体育公园建设、泥结石路、四好公路项目等；政府性基金预算财政拨款收支3039.79万元较上年155.3万元增加1857.3%，原因是体育公园土地权益价款和虎峰镇全民健身中心（含综合保障服务中心）土地权益价款。</w:t>
      </w:r>
    </w:p>
    <w:p>
      <w:pPr>
        <w:snapToGrid w:val="0"/>
        <w:spacing w:line="520" w:lineRule="exact"/>
        <w:ind w:firstLine="643" w:firstLineChars="200"/>
        <w:rPr>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2023年度收入合计9464.96万元，较上年决算数增加4839.41万元，增长104.6%，主要原因是</w:t>
      </w:r>
      <w:r>
        <w:rPr>
          <w:rFonts w:hint="eastAsia" w:ascii="方正仿宋_GBK" w:hAnsi="方正仿宋_GBK" w:eastAsia="方正仿宋_GBK" w:cs="方正仿宋_GBK"/>
          <w:sz w:val="32"/>
          <w:szCs w:val="32"/>
          <w:shd w:val="clear" w:color="auto" w:fill="FFFFFF"/>
        </w:rPr>
        <w:t>一般公共预算财政拨款6425.18万元，较上年度4470.25万元增加43.7%，是由于党群服务中心提档升级工程双桥村项目、镇街招商引税项目、体育公园建设、泥结石路、四好公路项目收入等；政府性基金预算财政拨款3039.79万元较上年155.3万元增加1857.3%，原因是体育公园土地权益价款和虎峰镇全民健身中心（含综合保障服务中心）土地权益价款收入。</w:t>
      </w:r>
      <w:r>
        <w:rPr>
          <w:rFonts w:ascii="方正仿宋_GBK" w:hAnsi="方正仿宋_GBK" w:eastAsia="方正仿宋_GBK" w:cs="方正仿宋_GBK"/>
          <w:sz w:val="32"/>
          <w:szCs w:val="32"/>
          <w:shd w:val="clear" w:color="auto" w:fill="FFFFFF"/>
        </w:rPr>
        <w:t>其中：财政拨款收入9464.96万元，占100.0%；事业收入0万元，占0%；经营收入0万元，占0.0%；其他收入0万元，占0.0%。此外，使用非财政拨款结余和专用结余0万元，年初结转和结余0万元。</w:t>
      </w:r>
    </w:p>
    <w:p>
      <w:pPr>
        <w:snapToGrid w:val="0"/>
        <w:spacing w:line="520" w:lineRule="exact"/>
        <w:ind w:firstLine="643" w:firstLineChars="200"/>
        <w:rPr>
          <w:rFonts w:ascii="仿宋_GB2312" w:hAnsi="仿宋" w:eastAsia="仿宋_GB2312" w:cs="仿宋"/>
          <w:color w:val="000000"/>
          <w:sz w:val="32"/>
          <w:szCs w:val="32"/>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9464.96</w:t>
      </w:r>
      <w:r>
        <w:rPr>
          <w:rFonts w:ascii="方正仿宋_GBK" w:hAnsi="方正仿宋_GBK" w:eastAsia="方正仿宋_GBK" w:cs="方正仿宋_GBK"/>
          <w:sz w:val="32"/>
          <w:szCs w:val="32"/>
          <w:shd w:val="clear" w:color="auto" w:fill="FFFFFF"/>
        </w:rPr>
        <w:t>万元，较上年决算数增加4839.41万元，增长104.6%，主要原因是</w:t>
      </w:r>
      <w:r>
        <w:rPr>
          <w:rFonts w:hint="eastAsia" w:ascii="方正仿宋_GBK" w:hAnsi="方正仿宋_GBK" w:eastAsia="方正仿宋_GBK" w:cs="方正仿宋_GBK"/>
          <w:sz w:val="32"/>
          <w:szCs w:val="32"/>
          <w:shd w:val="clear" w:color="auto" w:fill="FFFFFF"/>
        </w:rPr>
        <w:t>一般公共预算财政支出6425.18万元，较上年度4470.25万元增加43.7%，是由于党群服务中心提档升级工程双桥村项目、镇街招商引税项目、体育公园建设、泥结石路、四好公路等支出；政府性基金预算财政支出3039.79万元较上年155.3万元增加1857.3%，原因是上交体育公园土地权益价款和虎峰镇全民健身中心（含综合保障服务中心）土地权益价款支出。</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2575.87</w:t>
      </w:r>
      <w:r>
        <w:rPr>
          <w:rFonts w:ascii="方正仿宋_GBK" w:hAnsi="方正仿宋_GBK" w:eastAsia="方正仿宋_GBK" w:cs="方正仿宋_GBK"/>
          <w:sz w:val="32"/>
          <w:szCs w:val="32"/>
          <w:shd w:val="clear" w:color="auto" w:fill="FFFFFF"/>
        </w:rPr>
        <w:t>万元，占27.2%；项目支出</w:t>
      </w:r>
      <w:r>
        <w:rPr>
          <w:rFonts w:ascii="方正仿宋_GBK" w:hAnsi="方正仿宋_GBK" w:eastAsia="方正仿宋_GBK" w:cs="方正仿宋_GBK"/>
          <w:sz w:val="32"/>
          <w:szCs w:val="32"/>
        </w:rPr>
        <w:t>6889.1</w:t>
      </w:r>
      <w:r>
        <w:rPr>
          <w:rFonts w:ascii="方正仿宋_GBK" w:hAnsi="方正仿宋_GBK" w:eastAsia="方正仿宋_GBK" w:cs="方正仿宋_GBK"/>
          <w:sz w:val="32"/>
          <w:szCs w:val="32"/>
          <w:shd w:val="clear" w:color="auto" w:fill="FFFFFF"/>
        </w:rPr>
        <w:t>万元，占72.</w:t>
      </w:r>
      <w:r>
        <w:rPr>
          <w:rFonts w:hint="eastAsia"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年末结转和结余。</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2023年度财政拨款收、支总计9464.96万元。与2022年相比，财政拨款收、支总计各增加4839.41万元，增长104.6%。主要原因是</w:t>
      </w:r>
      <w:r>
        <w:rPr>
          <w:rFonts w:hint="eastAsia" w:ascii="方正仿宋_GBK" w:hAnsi="方正仿宋_GBK" w:eastAsia="方正仿宋_GBK" w:cs="方正仿宋_GBK"/>
          <w:sz w:val="32"/>
          <w:szCs w:val="32"/>
          <w:shd w:val="clear" w:color="auto" w:fill="FFFFFF"/>
        </w:rPr>
        <w:t>一般公共预算财政拨款收支6425.18万元，较上年度4470.25万元增加43.7%，是由于党群服务中心提档升级工程双桥村项目、镇街招商引税项目、体育公园建设、泥结石路、四好公路项目等；政府性基金预算财政拨款收支3039.79万元较上年155.3万元增加1857.3%，原因是体育公园土地权益价款和虎峰镇全民健身中心（含综合保障服务中心）土地权益价款。</w:t>
      </w:r>
    </w:p>
    <w:p>
      <w:pPr>
        <w:pStyle w:val="5"/>
        <w:snapToGrid w:val="0"/>
        <w:spacing w:before="0" w:beforeAutospacing="0" w:after="0" w:afterAutospacing="0" w:line="600"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snapToGrid w:val="0"/>
        <w:spacing w:line="520" w:lineRule="exact"/>
        <w:ind w:firstLine="482" w:firstLineChars="150"/>
        <w:outlineLvl w:val="0"/>
        <w:rPr>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2023年度一般公共预算财政拨款收入6425.18万元，较上年决算数增加1954.93万元，增长43.7%。主要原因</w:t>
      </w:r>
      <w:r>
        <w:rPr>
          <w:rFonts w:hint="eastAsia" w:ascii="方正仿宋_GBK" w:hAnsi="方正仿宋_GBK" w:eastAsia="方正仿宋_GBK" w:cs="方正仿宋_GBK"/>
          <w:sz w:val="32"/>
          <w:szCs w:val="32"/>
          <w:shd w:val="clear" w:color="auto" w:fill="FFFFFF"/>
        </w:rPr>
        <w:t>是党群服务中心提档升级工程双桥村项目、镇街招商引税项目、体育公园建设、泥结石路、四好公路等</w:t>
      </w:r>
      <w:r>
        <w:rPr>
          <w:rFonts w:ascii="方正仿宋_GBK" w:hAnsi="方正仿宋_GBK" w:eastAsia="方正仿宋_GBK" w:cs="方正仿宋_GBK"/>
          <w:sz w:val="32"/>
          <w:szCs w:val="32"/>
          <w:shd w:val="clear" w:color="auto" w:fill="FFFFFF"/>
        </w:rPr>
        <w:t>。较年初预算数增加1940.19万元，增长43.</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乡村振兴发展需要，根据重庆市铜梁区财政局关于2023年预算编制要求，严格按照文件要求编制预算。</w:t>
      </w:r>
      <w:r>
        <w:rPr>
          <w:rFonts w:ascii="方正仿宋_GBK" w:hAnsi="方正仿宋_GBK" w:eastAsia="方正仿宋_GBK" w:cs="方正仿宋_GBK"/>
          <w:sz w:val="32"/>
          <w:szCs w:val="32"/>
          <w:shd w:val="clear" w:color="auto" w:fill="FFFFFF"/>
        </w:rPr>
        <w:t>此外，年初财政拨款结转和结余0万元。</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2023年度一般公共预算财政拨款支出6425.18万元，较上年决算数增加1954.93万元，增长43.7%。主要原因</w:t>
      </w:r>
      <w:r>
        <w:rPr>
          <w:rFonts w:hint="eastAsia" w:ascii="方正仿宋_GBK" w:hAnsi="方正仿宋_GBK" w:eastAsia="方正仿宋_GBK" w:cs="方正仿宋_GBK"/>
          <w:sz w:val="32"/>
          <w:szCs w:val="32"/>
          <w:shd w:val="clear" w:color="auto" w:fill="FFFFFF"/>
        </w:rPr>
        <w:t>是党群服务中心提档升级工程双桥村项目、镇街招商引税项目、体育公园建设、泥结石路、四好公路等</w:t>
      </w:r>
      <w:r>
        <w:rPr>
          <w:rFonts w:ascii="方正仿宋_GBK" w:hAnsi="方正仿宋_GBK" w:eastAsia="方正仿宋_GBK" w:cs="方正仿宋_GBK"/>
          <w:sz w:val="32"/>
          <w:szCs w:val="32"/>
          <w:shd w:val="clear" w:color="auto" w:fill="FFFFFF"/>
        </w:rPr>
        <w:t>。较年初预算数增加1940.19万元，增长43.</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乡村振兴发展需要，根据重庆市铜梁区财政局关于2023年预算编制要求，严格按照文件要求编制预算。</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一般公共预算财政拨款结转和结余。</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1320.57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%，较年初预算数增加237.4万元，增长21.9%，主要原因</w:t>
      </w:r>
      <w:r>
        <w:rPr>
          <w:rFonts w:hint="eastAsia" w:ascii="方正仿宋_GBK" w:hAnsi="方正仿宋_GBK" w:eastAsia="方正仿宋_GBK" w:cs="方正仿宋_GBK"/>
          <w:sz w:val="32"/>
          <w:szCs w:val="32"/>
          <w:shd w:val="clear" w:color="auto" w:fill="FFFFFF"/>
        </w:rPr>
        <w:t>是年中项目双桥村党群服务中心提档升级、镇级招商引税奖励项目等。</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2</w:t>
      </w:r>
      <w:r>
        <w:rPr>
          <w:rFonts w:ascii="方正仿宋_GBK" w:hAnsi="方正仿宋_GBK" w:eastAsia="方正仿宋_GBK" w:cs="方正仿宋_GBK"/>
          <w:sz w:val="32"/>
          <w:szCs w:val="32"/>
          <w:shd w:val="clear" w:color="auto" w:fill="FFFFFF"/>
        </w:rPr>
        <w:t>）文化旅游体育与传媒支出407.94万元，占6.</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%，较年初预算数增加381.94万元，增长1469.0%，主要原因是</w:t>
      </w:r>
      <w:r>
        <w:rPr>
          <w:rFonts w:hint="eastAsia" w:ascii="方正仿宋_GBK" w:hAnsi="方正仿宋_GBK" w:eastAsia="方正仿宋_GBK" w:cs="方正仿宋_GBK"/>
          <w:sz w:val="32"/>
          <w:szCs w:val="32"/>
          <w:shd w:val="clear" w:color="auto" w:fill="FFFFFF"/>
        </w:rPr>
        <w:t>年中项目体育公园、周末到铜梁镇长晒主题等项目。</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707.59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11.0</w:t>
      </w:r>
      <w:r>
        <w:rPr>
          <w:rFonts w:ascii="方正仿宋_GBK" w:hAnsi="方正仿宋_GBK" w:eastAsia="方正仿宋_GBK" w:cs="方正仿宋_GBK"/>
          <w:sz w:val="32"/>
          <w:szCs w:val="32"/>
          <w:shd w:val="clear" w:color="auto" w:fill="FFFFFF"/>
        </w:rPr>
        <w:t>%，较年初预算数增加181.21万元，增长34.4%，主要原因是</w:t>
      </w:r>
      <w:r>
        <w:rPr>
          <w:rFonts w:hint="eastAsia" w:ascii="方正仿宋_GBK" w:hAnsi="方正仿宋_GBK" w:eastAsia="方正仿宋_GBK" w:cs="方正仿宋_GBK"/>
          <w:sz w:val="32"/>
          <w:szCs w:val="32"/>
          <w:shd w:val="clear" w:color="auto" w:fill="FFFFFF"/>
        </w:rPr>
        <w:t>肇事肇祸精神病人、临时救助等项目。</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90.94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w:t>
      </w:r>
      <w:r>
        <w:rPr>
          <w:rFonts w:ascii="方正仿宋_GBK" w:hAnsi="方正仿宋_GBK" w:eastAsia="方正仿宋_GBK" w:cs="方正仿宋_GBK"/>
          <w:sz w:val="32"/>
          <w:szCs w:val="32"/>
          <w:shd w:val="clear" w:color="auto" w:fill="FFFFFF"/>
        </w:rPr>
        <w:t>%，较年初预算数减少22.49万元，下降19.8%，主要原因</w:t>
      </w:r>
      <w:r>
        <w:rPr>
          <w:rFonts w:hint="eastAsia" w:ascii="方正仿宋_GBK" w:hAnsi="方正仿宋_GBK" w:eastAsia="方正仿宋_GBK" w:cs="方正仿宋_GBK"/>
          <w:sz w:val="32"/>
          <w:szCs w:val="32"/>
          <w:shd w:val="clear" w:color="auto" w:fill="FFFFFF"/>
        </w:rPr>
        <w:t>是疫情情况好转</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shd w:val="clear" w:color="auto" w:fill="FFFFFF"/>
        </w:rPr>
        <w:t>）节能环保支出</w:t>
      </w:r>
      <w:r>
        <w:rPr>
          <w:rFonts w:ascii="方正仿宋_GBK" w:hAnsi="方正仿宋_GBK" w:eastAsia="方正仿宋_GBK" w:cs="方正仿宋_GBK"/>
          <w:sz w:val="32"/>
          <w:szCs w:val="32"/>
        </w:rPr>
        <w:t>68.52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%，较年初预算数增加22.77万元，增长49.</w:t>
      </w:r>
      <w:r>
        <w:rPr>
          <w:rFonts w:hint="eastAsia"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%，主要原</w:t>
      </w:r>
      <w:r>
        <w:rPr>
          <w:rFonts w:ascii="方正仿宋_GBK" w:hAnsi="方正仿宋_GBK" w:eastAsia="方正仿宋_GBK" w:cs="方正仿宋_GBK"/>
          <w:color w:val="000000" w:themeColor="text1"/>
          <w:sz w:val="32"/>
          <w:szCs w:val="32"/>
          <w:shd w:val="clear" w:color="auto" w:fill="FFFFFF"/>
        </w:rPr>
        <w:t>因是</w:t>
      </w:r>
      <w:r>
        <w:rPr>
          <w:rFonts w:hint="eastAsia" w:ascii="方正仿宋_GBK" w:hAnsi="方正仿宋_GBK" w:eastAsia="方正仿宋_GBK" w:cs="方正仿宋_GBK"/>
          <w:color w:val="000000" w:themeColor="text1"/>
          <w:sz w:val="32"/>
          <w:szCs w:val="32"/>
          <w:shd w:val="clear" w:color="auto" w:fill="FFFFFF"/>
        </w:rPr>
        <w:t>新增铜梁区久远河双河口至莲花屋基生态环境系统整治等项目</w:t>
      </w:r>
      <w:r>
        <w:rPr>
          <w:rFonts w:ascii="方正仿宋_GBK" w:hAnsi="方正仿宋_GBK" w:eastAsia="方正仿宋_GBK" w:cs="方正仿宋_GBK"/>
          <w:color w:val="000000" w:themeColor="text1"/>
          <w:sz w:val="32"/>
          <w:szCs w:val="32"/>
          <w:shd w:val="clear" w:color="auto" w:fill="FFFFFF"/>
        </w:rPr>
        <w:t>。</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902.79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w:t>
      </w:r>
      <w:r>
        <w:rPr>
          <w:rFonts w:hint="eastAsia"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%，较年初预算数增加683.04万元，增长310.8%，主要原因是</w:t>
      </w:r>
      <w:r>
        <w:rPr>
          <w:rFonts w:hint="eastAsia" w:ascii="方正仿宋_GBK" w:hAnsi="方正仿宋_GBK" w:eastAsia="方正仿宋_GBK" w:cs="方正仿宋_GBK"/>
          <w:sz w:val="32"/>
          <w:szCs w:val="32"/>
          <w:shd w:val="clear" w:color="auto" w:fill="FFFFFF"/>
        </w:rPr>
        <w:t>2020年2021年2022年泥结石路硬化等项目。</w:t>
      </w:r>
    </w:p>
    <w:p>
      <w:pPr>
        <w:pStyle w:val="5"/>
        <w:snapToGrid w:val="0"/>
        <w:spacing w:before="0" w:beforeAutospacing="0" w:after="0" w:afterAutospacing="0" w:line="600" w:lineRule="exact"/>
        <w:ind w:firstLine="640" w:firstLineChars="200"/>
        <w:rPr>
          <w:rFonts w:ascii="仿宋_GB2312" w:hAnsi="仿宋" w:eastAsia="仿宋_GB2312"/>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1614.65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25.1</w:t>
      </w:r>
      <w:r>
        <w:rPr>
          <w:rFonts w:ascii="方正仿宋_GBK" w:hAnsi="方正仿宋_GBK" w:eastAsia="方正仿宋_GBK" w:cs="方正仿宋_GBK"/>
          <w:sz w:val="32"/>
          <w:szCs w:val="32"/>
          <w:shd w:val="clear" w:color="auto" w:fill="FFFFFF"/>
        </w:rPr>
        <w:t>%，较年初预算数减少561.29万元，下降25.8%，主要原因是</w:t>
      </w:r>
      <w:r>
        <w:rPr>
          <w:rFonts w:hint="eastAsia" w:ascii="方正仿宋_GBK" w:hAnsi="方正仿宋_GBK" w:eastAsia="方正仿宋_GBK" w:cs="方正仿宋_GBK"/>
          <w:sz w:val="32"/>
          <w:szCs w:val="32"/>
          <w:shd w:val="clear" w:color="auto" w:fill="FFFFFF"/>
        </w:rPr>
        <w:t>2023年将事业单位基本人员和公用支出全都编制在农林水支出中，决算时将各事业单位分别到各属大类，故年初预算数大于决算执行数。</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1083.91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w:t>
      </w:r>
      <w:r>
        <w:rPr>
          <w:rFonts w:hint="eastAsia" w:ascii="方正仿宋_GBK" w:hAnsi="方正仿宋_GBK" w:eastAsia="方正仿宋_GBK" w:cs="方正仿宋_GBK"/>
          <w:sz w:val="32"/>
          <w:szCs w:val="32"/>
        </w:rPr>
        <w:t>9</w:t>
      </w:r>
      <w:r>
        <w:rPr>
          <w:rFonts w:ascii="方正仿宋_GBK" w:hAnsi="方正仿宋_GBK" w:eastAsia="方正仿宋_GBK" w:cs="方正仿宋_GBK"/>
          <w:sz w:val="32"/>
          <w:szCs w:val="32"/>
          <w:shd w:val="clear" w:color="auto" w:fill="FFFFFF"/>
        </w:rPr>
        <w:t>%，较年初预算数增加904.09万元，增长502.</w:t>
      </w:r>
      <w:r>
        <w:rPr>
          <w:rFonts w:hint="eastAsia"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2022年四好公路结转、四好农村路建设、2021年农村联网路及结转项目等。</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color w:val="000000" w:themeColor="text1"/>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w:t>
      </w:r>
      <w:r>
        <w:rPr>
          <w:rFonts w:ascii="方正仿宋_GBK" w:hAnsi="方正仿宋_GBK" w:eastAsia="方正仿宋_GBK" w:cs="方正仿宋_GBK"/>
          <w:color w:val="000000" w:themeColor="text1"/>
          <w:sz w:val="32"/>
          <w:szCs w:val="32"/>
        </w:rPr>
        <w:t>房保障支出114.76</w:t>
      </w:r>
      <w:r>
        <w:rPr>
          <w:rFonts w:ascii="方正仿宋_GBK" w:hAnsi="方正仿宋_GBK" w:eastAsia="方正仿宋_GBK" w:cs="方正仿宋_GBK"/>
          <w:color w:val="000000" w:themeColor="text1"/>
          <w:sz w:val="32"/>
          <w:szCs w:val="32"/>
          <w:shd w:val="clear" w:color="auto" w:fill="FFFFFF"/>
        </w:rPr>
        <w:t>万元，占</w:t>
      </w:r>
      <w:r>
        <w:rPr>
          <w:rFonts w:ascii="方正仿宋_GBK" w:hAnsi="方正仿宋_GBK" w:eastAsia="方正仿宋_GBK" w:cs="方正仿宋_GBK"/>
          <w:color w:val="000000" w:themeColor="text1"/>
          <w:sz w:val="32"/>
          <w:szCs w:val="32"/>
        </w:rPr>
        <w:t>1.</w:t>
      </w:r>
      <w:r>
        <w:rPr>
          <w:rFonts w:hint="eastAsia" w:ascii="方正仿宋_GBK" w:hAnsi="方正仿宋_GBK" w:eastAsia="方正仿宋_GBK" w:cs="方正仿宋_GBK"/>
          <w:color w:val="000000" w:themeColor="text1"/>
          <w:sz w:val="32"/>
          <w:szCs w:val="32"/>
        </w:rPr>
        <w:t>8</w:t>
      </w:r>
      <w:r>
        <w:rPr>
          <w:rFonts w:ascii="方正仿宋_GBK" w:hAnsi="方正仿宋_GBK" w:eastAsia="方正仿宋_GBK" w:cs="方正仿宋_GBK"/>
          <w:color w:val="000000" w:themeColor="text1"/>
          <w:sz w:val="32"/>
          <w:szCs w:val="32"/>
          <w:shd w:val="clear" w:color="auto" w:fill="FFFFFF"/>
        </w:rPr>
        <w:t>%，较年初预算数无增减，主要原因是</w:t>
      </w:r>
      <w:r>
        <w:rPr>
          <w:rFonts w:hint="eastAsia" w:ascii="方正仿宋_GBK" w:hAnsi="方正仿宋_GBK" w:eastAsia="方正仿宋_GBK" w:cs="方正仿宋_GBK"/>
          <w:color w:val="000000" w:themeColor="text1"/>
          <w:sz w:val="32"/>
          <w:szCs w:val="32"/>
          <w:shd w:val="clear" w:color="auto" w:fill="FFFFFF"/>
        </w:rPr>
        <w:t>严格执行预算制度</w:t>
      </w:r>
      <w:r>
        <w:rPr>
          <w:rFonts w:ascii="方正仿宋_GBK" w:hAnsi="方正仿宋_GBK" w:eastAsia="方正仿宋_GBK" w:cs="方正仿宋_GBK"/>
          <w:color w:val="000000" w:themeColor="text1"/>
          <w:sz w:val="32"/>
          <w:szCs w:val="32"/>
          <w:shd w:val="clear" w:color="auto" w:fill="FFFFFF"/>
        </w:rPr>
        <w:t>。</w:t>
      </w:r>
    </w:p>
    <w:p>
      <w:pPr>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灾害防治及应急管理支出113.50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%，较年初预算数增加113.5万元，增长100.0%，主要原因是</w:t>
      </w:r>
      <w:r>
        <w:rPr>
          <w:rFonts w:hint="eastAsia" w:ascii="方正仿宋_GBK" w:hAnsi="方正仿宋_GBK" w:eastAsia="方正仿宋_GBK" w:cs="方正仿宋_GBK"/>
          <w:sz w:val="32"/>
          <w:szCs w:val="32"/>
          <w:shd w:val="clear" w:color="auto" w:fill="FFFFFF"/>
        </w:rPr>
        <w:t>年初未做预算，年中项目森林防火、应急排危、2023年镇街防汛救灾转项等。</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color w:val="000000" w:themeColor="text1"/>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2575.87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2040.3</w:t>
      </w:r>
      <w:r>
        <w:rPr>
          <w:rFonts w:ascii="方正仿宋_GBK" w:hAnsi="方正仿宋_GBK" w:eastAsia="方正仿宋_GBK" w:cs="方正仿宋_GBK"/>
          <w:sz w:val="32"/>
          <w:szCs w:val="32"/>
          <w:shd w:val="clear" w:color="auto" w:fill="FFFFFF"/>
        </w:rPr>
        <w:t>万元，较上年决算数增加63.25万元，增长3.2%，主要原因是</w:t>
      </w:r>
      <w:r>
        <w:rPr>
          <w:rFonts w:hint="eastAsia" w:ascii="方正仿宋_GBK" w:hAnsi="方正仿宋_GBK" w:eastAsia="方正仿宋_GBK" w:cs="方正仿宋_GBK"/>
          <w:sz w:val="32"/>
          <w:szCs w:val="32"/>
          <w:shd w:val="clear" w:color="auto" w:fill="FFFFFF"/>
        </w:rPr>
        <w:t>文化旅游体育与传媒、社会保障和就业等支出增加。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单位给在职人员的各类劳动报酬，以及为其缴纳的各项社会保险费等，退休、遗属等相关经费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535.56</w:t>
      </w:r>
      <w:r>
        <w:rPr>
          <w:rFonts w:ascii="方正仿宋_GBK" w:hAnsi="方正仿宋_GBK" w:eastAsia="方正仿宋_GBK" w:cs="方正仿宋_GBK"/>
          <w:sz w:val="32"/>
          <w:szCs w:val="32"/>
          <w:shd w:val="clear" w:color="auto" w:fill="FFFFFF"/>
        </w:rPr>
        <w:t>万元，较上年决算数增加2.9万元，增长0.5%，主要原因</w:t>
      </w:r>
      <w:r>
        <w:rPr>
          <w:rFonts w:ascii="方正仿宋_GBK" w:hAnsi="方正仿宋_GBK" w:eastAsia="方正仿宋_GBK" w:cs="方正仿宋_GBK"/>
          <w:color w:val="000000" w:themeColor="text1"/>
          <w:sz w:val="32"/>
          <w:szCs w:val="32"/>
          <w:shd w:val="clear" w:color="auto" w:fill="FFFFFF"/>
        </w:rPr>
        <w:t>是</w:t>
      </w:r>
      <w:r>
        <w:rPr>
          <w:rFonts w:hint="eastAsia" w:ascii="方正仿宋_GBK" w:hAnsi="方正仿宋_GBK" w:eastAsia="方正仿宋_GBK" w:cs="方正仿宋_GBK"/>
          <w:color w:val="000000" w:themeColor="text1"/>
          <w:sz w:val="32"/>
          <w:szCs w:val="32"/>
          <w:shd w:val="clear" w:color="auto" w:fill="FFFFFF"/>
        </w:rPr>
        <w:t>文化旅游体育与传媒支出、农林水等支出增加</w:t>
      </w:r>
      <w:r>
        <w:rPr>
          <w:rFonts w:ascii="方正仿宋_GBK" w:hAnsi="方正仿宋_GBK" w:eastAsia="方正仿宋_GBK" w:cs="方正仿宋_GBK"/>
          <w:color w:val="000000" w:themeColor="text1"/>
          <w:sz w:val="32"/>
          <w:szCs w:val="32"/>
          <w:shd w:val="clear" w:color="auto" w:fill="FFFFFF"/>
        </w:rPr>
        <w:t>。公用经费用途主要</w:t>
      </w:r>
      <w:r>
        <w:rPr>
          <w:rFonts w:hint="eastAsia" w:ascii="方正仿宋_GBK" w:hAnsi="方正仿宋_GBK" w:eastAsia="方正仿宋_GBK" w:cs="方正仿宋_GBK"/>
          <w:color w:val="000000" w:themeColor="text1"/>
          <w:sz w:val="32"/>
          <w:szCs w:val="32"/>
          <w:shd w:val="clear" w:color="auto" w:fill="FFFFFF"/>
        </w:rPr>
        <w:t>保障机关运行等相关支出</w:t>
      </w:r>
      <w:r>
        <w:rPr>
          <w:rFonts w:ascii="方正仿宋_GBK" w:hAnsi="方正仿宋_GBK" w:eastAsia="方正仿宋_GBK" w:cs="方正仿宋_GBK"/>
          <w:color w:val="000000" w:themeColor="text1"/>
          <w:sz w:val="32"/>
          <w:szCs w:val="32"/>
          <w:shd w:val="clear" w:color="auto" w:fill="FFFFFF"/>
        </w:rPr>
        <w:t>。</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snapToGrid w:val="0"/>
        <w:spacing w:line="52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3039.79</w:t>
      </w:r>
      <w:r>
        <w:rPr>
          <w:rFonts w:ascii="方正仿宋_GBK" w:hAnsi="方正仿宋_GBK" w:eastAsia="方正仿宋_GBK" w:cs="方正仿宋_GBK"/>
          <w:sz w:val="32"/>
          <w:szCs w:val="32"/>
          <w:shd w:val="clear" w:color="auto" w:fill="FFFFFF"/>
        </w:rPr>
        <w:t>万元，较上年决算数增加2884.49万元，增长1857.</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体育公园土地权益价款和虎峰镇全民健身中心（含综合保障服务中心）土地权益价款收入。</w:t>
      </w:r>
      <w:r>
        <w:rPr>
          <w:rFonts w:ascii="方正仿宋_GBK" w:hAnsi="方正仿宋_GBK" w:eastAsia="方正仿宋_GBK" w:cs="方正仿宋_GBK"/>
          <w:sz w:val="32"/>
          <w:szCs w:val="32"/>
          <w:shd w:val="clear" w:color="auto" w:fill="FFFFFF"/>
        </w:rPr>
        <w:t>本年支出3039.79万元，较上年决算数增加2884.49万元，增长1857.</w:t>
      </w:r>
      <w:r>
        <w:rPr>
          <w:rFonts w:hint="eastAsia"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体育公园土地权益价款和虎峰镇全民健身中心（含综合保障服务中心）土地权益价款支出。</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仿宋_GB2312" w:hAnsi="仿宋" w:eastAsia="仿宋_GB2312" w:cs="仿宋"/>
          <w:color w:val="000000"/>
          <w:sz w:val="32"/>
          <w:szCs w:val="32"/>
        </w:rPr>
        <w:t> </w:t>
      </w:r>
      <w:r>
        <w:rPr>
          <w:rFonts w:ascii="方正仿宋_GBK" w:hAnsi="方正仿宋_GBK" w:eastAsia="方正仿宋_GBK" w:cs="方正仿宋_GBK"/>
          <w:sz w:val="32"/>
          <w:szCs w:val="32"/>
          <w:shd w:val="clear" w:color="auto" w:fill="FFFFFF"/>
        </w:rPr>
        <w:t>本部门2023年度无国有资本经营预算财政拨款支出。</w:t>
      </w:r>
    </w:p>
    <w:p>
      <w:pPr>
        <w:pStyle w:val="5"/>
        <w:shd w:val="clear" w:color="auto" w:fill="FFFFFF"/>
        <w:rPr>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ind w:firstLine="709"/>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2023年度“三公”经费支出共计14.08万元，较年初预算数减少12.92万元，下降47.</w:t>
      </w:r>
      <w:r>
        <w:rPr>
          <w:rFonts w:hint="eastAsia"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根据</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八项规定精神，压减开支。</w:t>
      </w:r>
      <w:r>
        <w:rPr>
          <w:rFonts w:ascii="方正仿宋_GBK" w:hAnsi="方正仿宋_GBK" w:eastAsia="方正仿宋_GBK" w:cs="方正仿宋_GBK"/>
          <w:sz w:val="32"/>
          <w:szCs w:val="32"/>
          <w:shd w:val="clear" w:color="auto" w:fill="FFFFFF"/>
        </w:rPr>
        <w:t>较上年支出数增加5.28万元，增长60.0%，主要原因是</w:t>
      </w:r>
      <w:r>
        <w:rPr>
          <w:rFonts w:hint="eastAsia" w:ascii="方正仿宋_GBK" w:hAnsi="方正仿宋_GBK" w:eastAsia="方正仿宋_GBK" w:cs="方正仿宋_GBK"/>
          <w:sz w:val="32"/>
          <w:szCs w:val="32"/>
          <w:shd w:val="clear" w:color="auto" w:fill="FFFFFF"/>
        </w:rPr>
        <w:t xml:space="preserve">因疫情和洪灾及森林防火影响，公务用车次数较往年增多。公务用车购置及运行维护费14.08万元较上年度5.96万元增加136.2%，原因是因疫情和洪灾及森林防火影响，公务用车次数较往年增多。公务接待费0万元，较上年度2.84万元减少100.0%，原因是2023年未做公务接待预算。  </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2023年度本部门因公出国（境）费用0万元，主要原因是本单位202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年度未发生因公出国境事由支出。</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公务车购置费0万元，主要原因是本单位202</w:t>
      </w:r>
      <w:r>
        <w:rPr>
          <w:rFonts w:hint="eastAsia" w:ascii="方正仿宋_GBK" w:hAnsi="方正仿宋_GBK" w:eastAsia="方正仿宋_GBK" w:cs="方正仿宋_GBK"/>
          <w:sz w:val="32"/>
          <w:szCs w:val="32"/>
          <w:shd w:val="clear" w:color="auto" w:fill="FFFFFF"/>
        </w:rPr>
        <w:t>3</w:t>
      </w:r>
      <w:r>
        <w:rPr>
          <w:rFonts w:ascii="方正仿宋_GBK" w:hAnsi="方正仿宋_GBK" w:eastAsia="方正仿宋_GBK" w:cs="方正仿宋_GBK"/>
          <w:sz w:val="32"/>
          <w:szCs w:val="32"/>
          <w:shd w:val="clear" w:color="auto" w:fill="FFFFFF"/>
        </w:rPr>
        <w:t>年度未发生公务车购置费支出。</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公务车运行维护费14.08万元，主要用于</w:t>
      </w:r>
      <w:r>
        <w:rPr>
          <w:rFonts w:hint="eastAsia" w:ascii="方正仿宋_GBK" w:hAnsi="方正仿宋_GBK" w:eastAsia="方正仿宋_GBK" w:cs="方正仿宋_GBK"/>
          <w:sz w:val="32"/>
          <w:szCs w:val="32"/>
          <w:shd w:val="clear" w:color="auto" w:fill="FFFFFF"/>
        </w:rPr>
        <w:t>日常检查、疫情和洪灾及森林防火</w:t>
      </w:r>
      <w:r>
        <w:rPr>
          <w:rFonts w:ascii="方正仿宋_GBK" w:hAnsi="方正仿宋_GBK" w:eastAsia="方正仿宋_GBK" w:cs="方正仿宋_GBK"/>
          <w:sz w:val="32"/>
          <w:szCs w:val="32"/>
          <w:shd w:val="clear" w:color="auto" w:fill="FFFFFF"/>
        </w:rPr>
        <w:t>。费用支出较年初预算数减少12.92万元，下降47.</w:t>
      </w:r>
      <w:r>
        <w:rPr>
          <w:rFonts w:hint="eastAsia" w:ascii="方正仿宋_GBK" w:hAnsi="方正仿宋_GBK" w:eastAsia="方正仿宋_GBK" w:cs="方正仿宋_GBK"/>
          <w:sz w:val="32"/>
          <w:szCs w:val="32"/>
          <w:shd w:val="clear" w:color="auto" w:fill="FFFFFF"/>
        </w:rPr>
        <w:t>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根据</w:t>
      </w:r>
      <w:r>
        <w:rPr>
          <w:rFonts w:hint="eastAsia" w:ascii="方正仿宋_GBK" w:hAnsi="方正仿宋_GBK" w:eastAsia="方正仿宋_GBK" w:cs="方正仿宋_GBK"/>
          <w:sz w:val="32"/>
          <w:szCs w:val="32"/>
          <w:shd w:val="clear" w:color="auto" w:fill="FFFFFF"/>
          <w:lang w:val="en-US" w:eastAsia="zh-CN"/>
        </w:rPr>
        <w:t>中央</w:t>
      </w:r>
      <w:r>
        <w:rPr>
          <w:rFonts w:hint="eastAsia" w:ascii="方正仿宋_GBK" w:hAnsi="方正仿宋_GBK" w:eastAsia="方正仿宋_GBK" w:cs="方正仿宋_GBK"/>
          <w:sz w:val="32"/>
          <w:szCs w:val="32"/>
          <w:shd w:val="clear" w:color="auto" w:fill="FFFFFF"/>
        </w:rPr>
        <w:t>八项规定精神，压减开支</w:t>
      </w:r>
      <w:r>
        <w:rPr>
          <w:rFonts w:ascii="方正仿宋_GBK" w:hAnsi="方正仿宋_GBK" w:eastAsia="方正仿宋_GBK" w:cs="方正仿宋_GBK"/>
          <w:sz w:val="32"/>
          <w:szCs w:val="32"/>
          <w:shd w:val="clear" w:color="auto" w:fill="FFFFFF"/>
        </w:rPr>
        <w:t>。较上年支出数增加8.12万元，增长136.2%，主要原</w:t>
      </w:r>
      <w:bookmarkStart w:id="0" w:name="_GoBack"/>
      <w:bookmarkEnd w:id="0"/>
      <w:r>
        <w:rPr>
          <w:rFonts w:ascii="方正仿宋_GBK" w:hAnsi="方正仿宋_GBK" w:eastAsia="方正仿宋_GBK" w:cs="方正仿宋_GBK"/>
          <w:sz w:val="32"/>
          <w:szCs w:val="32"/>
          <w:shd w:val="clear" w:color="auto" w:fill="FFFFFF"/>
        </w:rPr>
        <w:t>因是</w:t>
      </w:r>
      <w:r>
        <w:rPr>
          <w:rFonts w:hint="eastAsia" w:ascii="方正仿宋_GBK" w:hAnsi="方正仿宋_GBK" w:eastAsia="方正仿宋_GBK" w:cs="方正仿宋_GBK"/>
          <w:sz w:val="32"/>
          <w:szCs w:val="32"/>
          <w:shd w:val="clear" w:color="auto" w:fill="FFFFFF"/>
        </w:rPr>
        <w:t>因疫情和洪灾及森林防火影响，公务用车次数较往年增多</w:t>
      </w:r>
      <w:r>
        <w:rPr>
          <w:rFonts w:ascii="方正仿宋_GBK" w:hAnsi="方正仿宋_GBK" w:eastAsia="方正仿宋_GBK" w:cs="方正仿宋_GBK"/>
          <w:sz w:val="32"/>
          <w:szCs w:val="32"/>
          <w:shd w:val="clear" w:color="auto" w:fill="FFFFFF"/>
        </w:rPr>
        <w:t>。</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公务接待费0万元，主要原因是</w:t>
      </w:r>
      <w:r>
        <w:rPr>
          <w:rFonts w:hint="eastAsia" w:ascii="方正仿宋_GBK" w:hAnsi="方正仿宋_GBK" w:eastAsia="方正仿宋_GBK" w:cs="方正仿宋_GBK"/>
          <w:sz w:val="32"/>
          <w:szCs w:val="32"/>
          <w:shd w:val="clear" w:color="auto" w:fill="FFFFFF"/>
        </w:rPr>
        <w:t>2023年未做公务接待预算</w:t>
      </w:r>
      <w:r>
        <w:rPr>
          <w:rFonts w:ascii="方正仿宋_GBK" w:hAnsi="方正仿宋_GBK" w:eastAsia="方正仿宋_GBK" w:cs="方正仿宋_GBK"/>
          <w:sz w:val="32"/>
          <w:szCs w:val="32"/>
          <w:shd w:val="clear" w:color="auto" w:fill="FFFFFF"/>
        </w:rPr>
        <w:t>。较上年支出数减少2.84万元，下降100.0%，主要原因是</w:t>
      </w:r>
      <w:r>
        <w:rPr>
          <w:rFonts w:hint="eastAsia" w:ascii="方正仿宋_GBK" w:hAnsi="方正仿宋_GBK" w:eastAsia="方正仿宋_GBK" w:cs="方正仿宋_GBK"/>
          <w:sz w:val="32"/>
          <w:szCs w:val="32"/>
          <w:shd w:val="clear" w:color="auto" w:fill="FFFFFF"/>
        </w:rPr>
        <w:t>2023年未做公务接待预算</w:t>
      </w:r>
      <w:r>
        <w:rPr>
          <w:rFonts w:ascii="方正仿宋_GBK" w:hAnsi="方正仿宋_GBK" w:eastAsia="方正仿宋_GBK" w:cs="方正仿宋_GBK"/>
          <w:sz w:val="32"/>
          <w:szCs w:val="32"/>
          <w:shd w:val="clear" w:color="auto" w:fill="FFFFFF"/>
        </w:rPr>
        <w:t>。</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rPr>
          <w:rFonts w:ascii="Times New Roman" w:hAnsi="Times New Roman" w:eastAsia="方正仿宋_GBK"/>
          <w:bCs/>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3.52</w:t>
      </w:r>
      <w:r>
        <w:rPr>
          <w:rFonts w:ascii="方正仿宋_GBK" w:hAnsi="方正仿宋_GBK" w:eastAsia="方正仿宋_GBK" w:cs="方正仿宋_GBK"/>
          <w:sz w:val="32"/>
          <w:szCs w:val="32"/>
          <w:shd w:val="clear" w:color="auto" w:fill="FFFFFF"/>
        </w:rPr>
        <w:t>万元。</w:t>
      </w:r>
    </w:p>
    <w:p>
      <w:pPr>
        <w:pStyle w:val="5"/>
        <w:shd w:val="clear" w:color="auto" w:fill="FFFFFF"/>
        <w:rPr>
          <w:rStyle w:val="7"/>
          <w:rFonts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9"/>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会议费支出。本年度培训费支出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rPr>
        <w:t>无</w:t>
      </w:r>
      <w:r>
        <w:rPr>
          <w:rFonts w:ascii="方正仿宋_GBK" w:hAnsi="方正仿宋_GBK" w:eastAsia="方正仿宋_GBK" w:cs="方正仿宋_GBK"/>
          <w:sz w:val="32"/>
          <w:szCs w:val="32"/>
          <w:shd w:val="clear" w:color="auto" w:fill="FFFFFF"/>
        </w:rPr>
        <w:t>培训费支出。</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spacing w:line="594" w:lineRule="exact"/>
        <w:ind w:firstLine="640" w:firstLineChars="200"/>
        <w:rPr>
          <w:rFonts w:ascii="方正仿宋_GBK" w:hAnsi="仿宋_GB2312" w:eastAsia="方正仿宋_GBK" w:cs="仿宋_GB2312"/>
          <w:sz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450.87</w:t>
      </w:r>
      <w:r>
        <w:rPr>
          <w:rFonts w:ascii="方正仿宋_GBK" w:hAnsi="方正仿宋_GBK" w:eastAsia="方正仿宋_GBK" w:cs="方正仿宋_GBK"/>
          <w:sz w:val="32"/>
          <w:szCs w:val="32"/>
          <w:shd w:val="clear" w:color="auto" w:fill="FFFFFF"/>
        </w:rPr>
        <w:t>万元，机关运行经费开支</w:t>
      </w:r>
      <w:r>
        <w:rPr>
          <w:rFonts w:hint="eastAsia" w:ascii="方正仿宋_GBK" w:hAnsi="仿宋_GB2312" w:eastAsia="方正仿宋_GBK" w:cs="仿宋_GB2312"/>
          <w:sz w:val="32"/>
        </w:rPr>
        <w:t>主要用于办公费、印刷费、邮电费、水电费、物管费、差旅费、会议费、培训费及其他商品和服务支出等。</w:t>
      </w:r>
      <w:r>
        <w:rPr>
          <w:rFonts w:ascii="方正仿宋_GBK" w:hAnsi="方正仿宋_GBK" w:eastAsia="方正仿宋_GBK" w:cs="方正仿宋_GBK"/>
          <w:sz w:val="32"/>
          <w:szCs w:val="32"/>
          <w:shd w:val="clear" w:color="auto" w:fill="FFFFFF"/>
        </w:rPr>
        <w:t>机关运行经费较上年支出数减少12.08万元，下降2.6%，主要原因是</w:t>
      </w:r>
      <w:r>
        <w:rPr>
          <w:rFonts w:hint="eastAsia" w:ascii="方正仿宋_GBK" w:hAnsi="方正仿宋_GBK" w:eastAsia="方正仿宋_GBK" w:cs="方正仿宋_GBK"/>
          <w:sz w:val="32"/>
          <w:szCs w:val="32"/>
          <w:shd w:val="clear" w:color="auto" w:fill="FFFFFF"/>
        </w:rPr>
        <w:t>受疫情影响，压减开支</w:t>
      </w:r>
      <w:r>
        <w:rPr>
          <w:rFonts w:ascii="方正仿宋_GBK" w:hAnsi="方正仿宋_GBK" w:eastAsia="方正仿宋_GBK" w:cs="方正仿宋_GBK"/>
          <w:sz w:val="32"/>
          <w:szCs w:val="32"/>
          <w:shd w:val="clear" w:color="auto" w:fill="FFFFFF"/>
        </w:rPr>
        <w:t>。</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9"/>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661.84</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1.38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530.8</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129.66</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445.84万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67.</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445.84</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67.</w:t>
      </w:r>
      <w:r>
        <w:rPr>
          <w:rFonts w:hint="eastAsia"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 xml:space="preserve"> %。主要用于采</w:t>
      </w:r>
      <w:r>
        <w:rPr>
          <w:rFonts w:ascii="方正仿宋_GBK" w:hAnsi="方正仿宋_GBK" w:eastAsia="方正仿宋_GBK" w:cs="方正仿宋_GBK"/>
          <w:sz w:val="32"/>
          <w:szCs w:val="32"/>
        </w:rPr>
        <w:t>购</w:t>
      </w:r>
      <w:r>
        <w:rPr>
          <w:rFonts w:hint="eastAsia" w:ascii="方正仿宋_GBK" w:hAnsi="方正仿宋_GBK" w:eastAsia="方正仿宋_GBK" w:cs="方正仿宋_GBK"/>
          <w:sz w:val="32"/>
          <w:szCs w:val="32"/>
        </w:rPr>
        <w:t>虎峰镇群力敬老院达标改造项目施工、松材线虫除治、场镇环境综合整治提升工程施工等</w:t>
      </w:r>
      <w:r>
        <w:rPr>
          <w:rFonts w:ascii="方正仿宋_GBK" w:hAnsi="方正仿宋_GBK" w:eastAsia="方正仿宋_GBK" w:cs="方正仿宋_GBK"/>
          <w:sz w:val="32"/>
          <w:szCs w:val="32"/>
        </w:rPr>
        <w:t>。</w:t>
      </w:r>
    </w:p>
    <w:p>
      <w:pPr>
        <w:pStyle w:val="5"/>
        <w:numPr>
          <w:ilvl w:val="0"/>
          <w:numId w:val="1"/>
        </w:numPr>
        <w:shd w:val="clear" w:color="auto" w:fill="FFFFFF"/>
        <w:rPr>
          <w:rStyle w:val="7"/>
          <w:rFonts w:ascii="黑体" w:hAnsi="黑体" w:eastAsia="黑体" w:cs="黑体"/>
          <w:sz w:val="32"/>
          <w:szCs w:val="32"/>
          <w:shd w:val="clear" w:color="auto" w:fill="FFFFFF"/>
        </w:rPr>
      </w:pPr>
      <w:r>
        <w:rPr>
          <w:rStyle w:val="7"/>
          <w:rFonts w:ascii="黑体" w:hAnsi="黑体" w:eastAsia="黑体" w:cs="黑体"/>
          <w:sz w:val="32"/>
          <w:szCs w:val="32"/>
          <w:shd w:val="clear" w:color="auto" w:fill="FFFFFF"/>
        </w:rPr>
        <w:t>预算绩效管理情况说明</w:t>
      </w:r>
    </w:p>
    <w:p>
      <w:r>
        <w:rPr>
          <w:rFonts w:hint="eastAsia" w:ascii="方正楷体_GBK" w:hAnsi="方正楷体_GBK" w:eastAsia="方正楷体_GBK" w:cs="方正楷体_GBK"/>
          <w:sz w:val="32"/>
          <w:szCs w:val="32"/>
        </w:rPr>
        <w:t>（一）预算绩效管理工作开展情况</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根据预算绩效管理要求，我单位对部门整体和38个项目开展了绩效自评，其中，以填报自评表形式开展自评38项，涉及资金7029.1万元。</w:t>
      </w:r>
    </w:p>
    <w:p>
      <w:r>
        <w:rPr>
          <w:rFonts w:hint="eastAsia" w:ascii="方正楷体_GBK" w:hAnsi="方正楷体_GBK" w:eastAsia="方正楷体_GBK" w:cs="方正楷体_GBK"/>
          <w:sz w:val="32"/>
          <w:szCs w:val="32"/>
        </w:rPr>
        <w:t xml:space="preserve"> （二）绩效自评结果。</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1.绩效目标自评表。</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（1）部门整体绩效自评表。</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详见附件。</w:t>
      </w:r>
    </w:p>
    <w:p>
      <w:pPr>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（2）项目绩效自评表。</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w:t>
      </w:r>
    </w:p>
    <w:p>
      <w:pPr>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2.绩效自评报告或案例。</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我单位未委托第三方开展绩效评价。</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3.关于绩效自评结果的说明。</w:t>
      </w:r>
    </w:p>
    <w:p>
      <w:pPr>
        <w:ind w:firstLine="320" w:firstLineChars="1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我单位对38个项目进行绩效自评，其中38个已完成年度绩效目标，0个未完成年度绩效目标。</w:t>
      </w:r>
    </w:p>
    <w:p>
      <w:pPr>
        <w:keepNext w:val="0"/>
        <w:keepLines w:val="0"/>
        <w:pageBreakBefore w:val="0"/>
        <w:kinsoku/>
        <w:wordWrap/>
        <w:overflowPunct/>
        <w:topLinePunct w:val="0"/>
        <w:autoSpaceDE/>
        <w:bidi w:val="0"/>
        <w:adjustRightInd/>
        <w:snapToGrid/>
        <w:spacing w:beforeAutospacing="0" w:afterAutospacing="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eastAsia="方正楷体_GBK" w:cs="Times New Roman"/>
          <w:sz w:val="32"/>
          <w:szCs w:val="32"/>
        </w:rPr>
        <w:t>（三）重点绩效评价结果。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420" w:firstLineChars="200"/>
        <w:textAlignment w:val="auto"/>
        <w:rPr>
          <w:rFonts w:hint="eastAsia" w:ascii="方正仿宋_GBK" w:hAnsi="方正仿宋_GBK" w:eastAsia="方正仿宋_GBK" w:cs="方正仿宋_GBK"/>
          <w:sz w:val="32"/>
          <w:szCs w:val="32"/>
        </w:rPr>
      </w:pPr>
      <w:r>
        <w:rPr>
          <w:rFonts w:hint="default" w:ascii="Times New Roman" w:hAnsi="Times New Roman" w:cs="Times New Roman"/>
        </w:rPr>
        <w:t xml:space="preserve"> </w:t>
      </w:r>
      <w:r>
        <w:rPr>
          <w:rFonts w:hint="eastAsia" w:ascii="方正仿宋_GBK" w:hAnsi="方正仿宋_GBK" w:eastAsia="方正仿宋_GBK" w:cs="方正仿宋_GBK"/>
          <w:sz w:val="32"/>
          <w:szCs w:val="32"/>
        </w:rPr>
        <w:t>我单位未开展重点绩效评价</w:t>
      </w:r>
      <w:r>
        <w:rPr>
          <w:rFonts w:hint="eastAsia" w:ascii="方正仿宋_GBK" w:hAnsi="Calibri" w:eastAsia="方正仿宋_GBK" w:cs="Times New Roman"/>
          <w:kern w:val="2"/>
          <w:sz w:val="32"/>
          <w:szCs w:val="32"/>
        </w:rPr>
        <w:t>。</w:t>
      </w:r>
    </w:p>
    <w:p>
      <w:pPr>
        <w:pStyle w:val="5"/>
        <w:shd w:val="clear" w:color="auto" w:fill="FFFFFF"/>
        <w:rPr>
          <w:rStyle w:val="7"/>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rPr>
          <w:rFonts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 </w:t>
      </w: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rPr>
          <w:rStyle w:val="7"/>
          <w:rFonts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 xml:space="preserve">  </w:t>
      </w:r>
      <w:r>
        <w:rPr>
          <w:rStyle w:val="7"/>
          <w:rFonts w:ascii="黑体" w:hAnsi="黑体" w:eastAsia="黑体" w:cs="黑体"/>
          <w:sz w:val="32"/>
          <w:szCs w:val="32"/>
          <w:shd w:val="clear" w:color="auto" w:fill="FFFFFF"/>
        </w:rPr>
        <w:t>七、决算公开联系方式及信息反馈渠道</w:t>
      </w:r>
    </w:p>
    <w:p>
      <w:pPr>
        <w:pStyle w:val="13"/>
        <w:snapToGrid w:val="0"/>
        <w:spacing w:beforeAutospacing="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本单位决算公开信息反馈和联系方式：刘思远023-45511425</w:t>
      </w:r>
    </w:p>
    <w:p>
      <w:pPr>
        <w:pStyle w:val="5"/>
        <w:snapToGrid w:val="0"/>
        <w:spacing w:before="0" w:beforeAutospacing="0" w:after="0" w:afterAutospacing="0" w:line="600" w:lineRule="exact"/>
        <w:ind w:firstLine="640" w:firstLineChars="200"/>
        <w:rPr>
          <w:rFonts w:ascii="方正仿宋_GBK" w:hAnsi="方正仿宋_GBK" w:eastAsia="方正仿宋_GBK" w:cs="方正仿宋_GBK"/>
          <w:sz w:val="32"/>
          <w:szCs w:val="32"/>
          <w:highlight w:val="yellow"/>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2YThjZjZkZDUwMDQzMTU2OWE4NDRlYTg4MmE2ZDcifQ=="/>
  </w:docVars>
  <w:rsids>
    <w:rsidRoot w:val="00540C19"/>
    <w:rsid w:val="0006444D"/>
    <w:rsid w:val="000678AF"/>
    <w:rsid w:val="000E40CD"/>
    <w:rsid w:val="000E53A0"/>
    <w:rsid w:val="000E593F"/>
    <w:rsid w:val="000F76AB"/>
    <w:rsid w:val="00165D57"/>
    <w:rsid w:val="00183966"/>
    <w:rsid w:val="001A7B5E"/>
    <w:rsid w:val="001B72EA"/>
    <w:rsid w:val="00216942"/>
    <w:rsid w:val="00230630"/>
    <w:rsid w:val="00233AD9"/>
    <w:rsid w:val="002D7D8D"/>
    <w:rsid w:val="00325AA3"/>
    <w:rsid w:val="00351775"/>
    <w:rsid w:val="00371026"/>
    <w:rsid w:val="0043305B"/>
    <w:rsid w:val="004579F8"/>
    <w:rsid w:val="00482709"/>
    <w:rsid w:val="004862A6"/>
    <w:rsid w:val="004A7F7B"/>
    <w:rsid w:val="00540C19"/>
    <w:rsid w:val="005A23BD"/>
    <w:rsid w:val="005F7FF3"/>
    <w:rsid w:val="00687D7B"/>
    <w:rsid w:val="006B2A44"/>
    <w:rsid w:val="006C1E71"/>
    <w:rsid w:val="006C796D"/>
    <w:rsid w:val="00764295"/>
    <w:rsid w:val="0078778C"/>
    <w:rsid w:val="00830A2D"/>
    <w:rsid w:val="008469AB"/>
    <w:rsid w:val="00856209"/>
    <w:rsid w:val="00893901"/>
    <w:rsid w:val="00894722"/>
    <w:rsid w:val="008C6C5C"/>
    <w:rsid w:val="0090475C"/>
    <w:rsid w:val="00A021F0"/>
    <w:rsid w:val="00A07210"/>
    <w:rsid w:val="00A07502"/>
    <w:rsid w:val="00A12157"/>
    <w:rsid w:val="00A653CA"/>
    <w:rsid w:val="00AC7A15"/>
    <w:rsid w:val="00B0743A"/>
    <w:rsid w:val="00B806B0"/>
    <w:rsid w:val="00B82A31"/>
    <w:rsid w:val="00BA08A2"/>
    <w:rsid w:val="00BB767C"/>
    <w:rsid w:val="00CB0A59"/>
    <w:rsid w:val="00CB700D"/>
    <w:rsid w:val="00D05494"/>
    <w:rsid w:val="00D339E9"/>
    <w:rsid w:val="00D374B2"/>
    <w:rsid w:val="00DA1658"/>
    <w:rsid w:val="00DB5E40"/>
    <w:rsid w:val="00DC6726"/>
    <w:rsid w:val="00DE1041"/>
    <w:rsid w:val="00E3221A"/>
    <w:rsid w:val="00EA10BA"/>
    <w:rsid w:val="00EB020B"/>
    <w:rsid w:val="00F426DD"/>
    <w:rsid w:val="00F86392"/>
    <w:rsid w:val="00F87DDB"/>
    <w:rsid w:val="00FB0CD9"/>
    <w:rsid w:val="00FB5E8A"/>
    <w:rsid w:val="0EA746EC"/>
    <w:rsid w:val="12A06977"/>
    <w:rsid w:val="1A771084"/>
    <w:rsid w:val="22E220F1"/>
    <w:rsid w:val="277A156A"/>
    <w:rsid w:val="28EB4A94"/>
    <w:rsid w:val="326C3B92"/>
    <w:rsid w:val="32D47F9A"/>
    <w:rsid w:val="3A2666EE"/>
    <w:rsid w:val="3CE438B0"/>
    <w:rsid w:val="43076FBD"/>
    <w:rsid w:val="43ED10CC"/>
    <w:rsid w:val="44321EB7"/>
    <w:rsid w:val="4C9E4055"/>
    <w:rsid w:val="4F5C6639"/>
    <w:rsid w:val="551A1EC8"/>
    <w:rsid w:val="58305A91"/>
    <w:rsid w:val="585D70BF"/>
    <w:rsid w:val="593054FB"/>
    <w:rsid w:val="5E2B7481"/>
    <w:rsid w:val="60B821C4"/>
    <w:rsid w:val="66576AAB"/>
    <w:rsid w:val="6AEB1816"/>
    <w:rsid w:val="6D3E4309"/>
    <w:rsid w:val="6DA81E2E"/>
    <w:rsid w:val="6DC55E69"/>
    <w:rsid w:val="6E7E4132"/>
    <w:rsid w:val="6FB81FE1"/>
    <w:rsid w:val="7F397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9">
    <w:name w:val="列出段落1"/>
    <w:basedOn w:val="1"/>
    <w:qFormat/>
    <w:uiPriority w:val="99"/>
    <w:pPr>
      <w:ind w:firstLine="420" w:firstLineChars="200"/>
    </w:p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1">
    <w:name w:val="21"/>
    <w:qFormat/>
    <w:uiPriority w:val="0"/>
    <w:rPr>
      <w:rFonts w:hint="default" w:ascii="Wingdings" w:hAnsi="Wingdings" w:cs="Wingdings"/>
      <w:b/>
      <w:bCs/>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3">
    <w:name w:val="普通(网站)1"/>
    <w:basedOn w:val="1"/>
    <w:qFormat/>
    <w:uiPriority w:val="0"/>
    <w:pPr>
      <w:spacing w:beforeAutospacing="1" w:afterAutospacing="1"/>
    </w:p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7025</Words>
  <Characters>8044</Characters>
  <Lines>58</Lines>
  <Paragraphs>16</Paragraphs>
  <TotalTime>3</TotalTime>
  <ScaleCrop>false</ScaleCrop>
  <LinksUpToDate>false</LinksUpToDate>
  <CharactersWithSpaces>8100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2024-10-15T08:37:00Z</dcterms:created>
  <dc:creator>hp99</dc:creator>
  <cp:lastModifiedBy>Administrator</cp:lastModifiedBy>
  <dcterms:modified xsi:type="dcterms:W3CDTF">2024-10-31T03:11:01Z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4FDF59FD1285401CA3E4A73265BB7443_12</vt:lpwstr>
  </property>
</Properties>
</file>