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重庆市铜梁区虎峰镇人民政府（本级）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一、</w:t>
      </w:r>
      <w:r>
        <w:rPr>
          <w:rStyle w:val="8"/>
          <w:rFonts w:hint="eastAsia" w:ascii="黑体" w:hAnsi="黑体" w:eastAsia="黑体" w:cs="黑体"/>
          <w:b w:val="0"/>
          <w:bCs/>
          <w:sz w:val="32"/>
          <w:szCs w:val="32"/>
          <w:shd w:val="clear" w:color="auto" w:fill="FFFFFF"/>
          <w:lang w:eastAsia="zh-CN"/>
        </w:rPr>
        <w:t>单位</w:t>
      </w:r>
      <w:r>
        <w:rPr>
          <w:rStyle w:val="8"/>
          <w:rFonts w:ascii="黑体" w:hAnsi="黑体" w:eastAsia="黑体" w:cs="黑体"/>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方正仿宋_GBK" w:hAnsi="方正仿宋_GBK" w:eastAsia="方正仿宋_GBK" w:cs="方正仿宋_GBK"/>
          <w:b w:val="0"/>
          <w:bCs/>
          <w:sz w:val="32"/>
          <w:szCs w:val="32"/>
        </w:rPr>
      </w:pPr>
      <w:r>
        <w:rPr>
          <w:rStyle w:val="8"/>
          <w:rFonts w:ascii="楷体" w:hAnsi="楷体" w:eastAsia="楷体" w:cs="楷体"/>
          <w:b w:val="0"/>
          <w:bCs/>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负责民事调解，法律服务工作，维护居民的合法权益，负责社区建设和管理，指导开展社区服务工作，大力兴办社会福利事业，发动和组织社区成员开展各类社区公益活动；（6）负责民兵、兵役、拥军优属、优抚安置、社会救济、社会福利、社区文化、科普、体育、教育、旅游工作；（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8）指导和帮助居（村）民委员会搞好组织建设和制度建设，发挥居（村）民委员会的群众自治作用；（9）配合有关部门做好防汛、防火、防震、抢险和救灾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楷体" w:hAnsi="楷体" w:eastAsia="楷体" w:cs="楷体"/>
          <w:b w:val="0"/>
          <w:bCs/>
          <w:sz w:val="32"/>
          <w:szCs w:val="32"/>
        </w:rPr>
      </w:pPr>
      <w:r>
        <w:rPr>
          <w:rStyle w:val="8"/>
          <w:rFonts w:ascii="楷体" w:hAnsi="楷体" w:eastAsia="楷体" w:cs="楷体"/>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设置独立</w:t>
      </w:r>
      <w:r>
        <w:rPr>
          <w:rFonts w:hint="eastAsia" w:ascii="方正仿宋_GBK" w:hAnsi="方正仿宋_GBK" w:eastAsia="方正仿宋_GBK" w:cs="方正仿宋_GBK"/>
          <w:sz w:val="32"/>
          <w:szCs w:val="32"/>
          <w:shd w:val="clear" w:color="auto" w:fill="FFFFFF"/>
        </w:rPr>
        <w:t>核算</w:t>
      </w:r>
      <w:r>
        <w:rPr>
          <w:rFonts w:ascii="方正仿宋_GBK" w:hAnsi="方正仿宋_GBK" w:eastAsia="方正仿宋_GBK" w:cs="方正仿宋_GBK"/>
          <w:sz w:val="32"/>
          <w:szCs w:val="32"/>
          <w:shd w:val="clear" w:color="auto" w:fill="FFFFFF"/>
        </w:rPr>
        <w:t>机构</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个，</w:t>
      </w:r>
      <w:r>
        <w:rPr>
          <w:rFonts w:hint="eastAsia" w:ascii="方正仿宋_GBK" w:hAnsi="方正仿宋_GBK" w:eastAsia="方正仿宋_GBK" w:cs="方正仿宋_GBK"/>
          <w:sz w:val="32"/>
          <w:szCs w:val="32"/>
          <w:shd w:val="clear" w:color="auto" w:fill="FFFFFF"/>
          <w:lang w:eastAsia="zh-CN"/>
        </w:rPr>
        <w:t>其中</w:t>
      </w:r>
      <w:r>
        <w:rPr>
          <w:rFonts w:ascii="方正仿宋_GBK" w:hAnsi="方正仿宋_GBK" w:eastAsia="方正仿宋_GBK" w:cs="方正仿宋_GBK"/>
          <w:sz w:val="32"/>
          <w:szCs w:val="32"/>
          <w:shd w:val="clear" w:color="auto" w:fill="FFFFFF"/>
        </w:rPr>
        <w:t>行政机构</w:t>
      </w:r>
      <w:r>
        <w:rPr>
          <w:rFonts w:hint="eastAsia" w:ascii="方正仿宋_GBK" w:hAnsi="方正仿宋_GBK" w:eastAsia="方正仿宋_GBK" w:cs="方正仿宋_GBK"/>
          <w:sz w:val="32"/>
          <w:szCs w:val="32"/>
          <w:shd w:val="clear" w:color="auto" w:fill="FFFFFF"/>
          <w:lang w:eastAsia="zh-CN"/>
        </w:rPr>
        <w:t>一个</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重庆市铜梁区</w:t>
      </w:r>
      <w:r>
        <w:rPr>
          <w:rFonts w:ascii="方正仿宋_GBK" w:hAnsi="方正仿宋_GBK" w:eastAsia="方正仿宋_GBK" w:cs="方正仿宋_GBK"/>
          <w:sz w:val="32"/>
          <w:szCs w:val="32"/>
          <w:shd w:val="clear" w:color="auto" w:fill="FFFFFF"/>
        </w:rPr>
        <w:t>虎峰镇人民政府</w:t>
      </w:r>
      <w:r>
        <w:rPr>
          <w:rFonts w:hint="eastAsia" w:ascii="方正仿宋_GBK" w:hAnsi="方正仿宋_GBK" w:eastAsia="方正仿宋_GBK" w:cs="方正仿宋_GBK"/>
          <w:sz w:val="32"/>
          <w:szCs w:val="32"/>
          <w:shd w:val="clear" w:color="auto" w:fill="FFFFFF"/>
        </w:rPr>
        <w:t>（本级）</w:t>
      </w:r>
      <w:r>
        <w:rPr>
          <w:rFonts w:hint="eastAsia" w:ascii="方正仿宋_GBK" w:hAnsi="方正仿宋_GBK" w:eastAsia="方正仿宋_GBK" w:cs="方正仿宋_GBK"/>
          <w:sz w:val="32"/>
          <w:szCs w:val="32"/>
          <w:shd w:val="clear" w:color="auto" w:fill="FFFFFF"/>
          <w:lang w:eastAsia="zh-CN"/>
        </w:rPr>
        <w:t>。下属</w:t>
      </w:r>
      <w:r>
        <w:rPr>
          <w:rFonts w:hint="eastAsia" w:ascii="方正仿宋_GBK" w:hAnsi="方正仿宋_GBK" w:eastAsia="方正仿宋_GBK" w:cs="方正仿宋_GBK"/>
          <w:sz w:val="32"/>
          <w:szCs w:val="32"/>
          <w:shd w:val="clear" w:color="auto" w:fill="FFFFFF"/>
        </w:rPr>
        <w:t>事业单位7个</w:t>
      </w:r>
      <w:r>
        <w:rPr>
          <w:rFonts w:hint="eastAsia" w:ascii="方正仿宋_GBK" w:hAnsi="方正仿宋_GBK" w:eastAsia="方正仿宋_GBK" w:cs="方正仿宋_GBK"/>
          <w:sz w:val="32"/>
          <w:szCs w:val="32"/>
          <w:shd w:val="clear" w:color="auto" w:fill="FFFFFF"/>
          <w:lang w:eastAsia="zh-CN"/>
        </w:rPr>
        <w:t>，分别为</w:t>
      </w:r>
      <w:r>
        <w:rPr>
          <w:rFonts w:hint="eastAsia" w:ascii="方正仿宋_GBK" w:hAnsi="方正仿宋_GBK" w:eastAsia="方正仿宋_GBK" w:cs="方正仿宋_GBK"/>
          <w:sz w:val="32"/>
          <w:szCs w:val="32"/>
          <w:shd w:val="clear" w:color="auto" w:fill="FFFFFF"/>
        </w:rPr>
        <w:t>为：重庆市铜梁区虎峰镇农业服务中心、重庆市铜梁区虎峰镇文化服务中心、重庆市铜梁区虎峰镇劳动就业和社会保障服务所、重庆市铜梁区虎峰镇退役军人服务站、重庆市铜梁区虎峰镇综合行政执法大队、重庆市铜梁区虎峰镇乡村产业培育中心、重庆市铜梁区虎峰镇乡村生态治理中心。</w:t>
      </w:r>
      <w:r>
        <w:rPr>
          <w:rFonts w:ascii="方正仿宋_GBK" w:hAnsi="方正仿宋_GBK" w:eastAsia="方正仿宋_GBK" w:cs="方正仿宋_GBK"/>
          <w:sz w:val="32"/>
          <w:szCs w:val="32"/>
          <w:shd w:val="clear" w:color="auto" w:fill="FFFFFF"/>
        </w:rPr>
        <w:t>全镇22个村，4个社区。</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底在编</w:t>
      </w:r>
      <w:r>
        <w:rPr>
          <w:rFonts w:hint="eastAsia" w:ascii="方正仿宋_GBK" w:hAnsi="方正仿宋_GBK" w:eastAsia="方正仿宋_GBK" w:cs="方正仿宋_GBK"/>
          <w:sz w:val="32"/>
          <w:szCs w:val="32"/>
          <w:shd w:val="clear" w:color="auto" w:fill="FFFFFF"/>
        </w:rPr>
        <w:t>人员实有</w:t>
      </w:r>
      <w:r>
        <w:rPr>
          <w:rFonts w:hint="eastAsia" w:ascii="方正仿宋_GBK" w:hAnsi="方正仿宋_GBK" w:eastAsia="方正仿宋_GBK" w:cs="方正仿宋_GBK"/>
          <w:sz w:val="32"/>
          <w:szCs w:val="32"/>
          <w:shd w:val="clear" w:color="auto" w:fill="FFFFFF"/>
          <w:lang w:val="en-US" w:eastAsia="zh-CN"/>
        </w:rPr>
        <w:t>31</w:t>
      </w:r>
      <w:r>
        <w:rPr>
          <w:rFonts w:hint="eastAsia" w:ascii="方正仿宋_GBK" w:hAnsi="方正仿宋_GBK" w:eastAsia="方正仿宋_GBK" w:cs="方正仿宋_GBK"/>
          <w:sz w:val="32"/>
          <w:szCs w:val="32"/>
          <w:shd w:val="clear" w:color="auto" w:fill="FFFFFF"/>
        </w:rPr>
        <w:t>人，较202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年度总人数减少</w:t>
      </w:r>
      <w:r>
        <w:rPr>
          <w:rFonts w:hint="eastAsia" w:ascii="方正仿宋_GBK" w:hAnsi="方正仿宋_GBK" w:eastAsia="方正仿宋_GBK" w:cs="方正仿宋_GBK"/>
          <w:sz w:val="32"/>
          <w:szCs w:val="32"/>
          <w:shd w:val="clear" w:color="auto" w:fill="FFFFFF"/>
          <w:lang w:val="en-US" w:eastAsia="zh-CN"/>
        </w:rPr>
        <w:t>47</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2024年根据财政管理要求将独立编制的事业单位分账套核算，相应事业单位人员划转至各事业单位</w:t>
      </w:r>
      <w:r>
        <w:rPr>
          <w:rFonts w:hint="eastAsia" w:ascii="方正仿宋_GBK" w:hAnsi="方正仿宋_GBK" w:eastAsia="方正仿宋_GBK" w:cs="方正仿宋_GBK"/>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二、</w:t>
      </w:r>
      <w:r>
        <w:rPr>
          <w:rStyle w:val="8"/>
          <w:rFonts w:hint="eastAsia" w:ascii="黑体" w:hAnsi="黑体" w:eastAsia="黑体" w:cs="黑体"/>
          <w:b w:val="0"/>
          <w:bCs/>
          <w:sz w:val="32"/>
          <w:szCs w:val="32"/>
          <w:shd w:val="clear" w:color="auto" w:fill="FFFFFF"/>
          <w:lang w:eastAsia="zh-CN"/>
        </w:rPr>
        <w:t>单位</w:t>
      </w:r>
      <w:r>
        <w:rPr>
          <w:rStyle w:val="8"/>
          <w:rFonts w:ascii="黑体" w:hAnsi="黑体" w:eastAsia="黑体" w:cs="黑体"/>
          <w:b w:val="0"/>
          <w:bCs/>
          <w:sz w:val="32"/>
          <w:szCs w:val="32"/>
          <w:shd w:val="clear" w:color="auto" w:fill="FFFFFF"/>
        </w:rPr>
        <w:t>决算</w:t>
      </w:r>
      <w:r>
        <w:rPr>
          <w:rStyle w:val="8"/>
          <w:rFonts w:hint="eastAsia" w:ascii="黑体" w:hAnsi="黑体" w:eastAsia="黑体" w:cs="黑体"/>
          <w:b w:val="0"/>
          <w:bCs/>
          <w:sz w:val="32"/>
          <w:szCs w:val="32"/>
          <w:shd w:val="clear" w:color="auto" w:fill="FFFFFF"/>
          <w:lang w:eastAsia="zh-CN"/>
        </w:rPr>
        <w:t>收支</w:t>
      </w:r>
      <w:r>
        <w:rPr>
          <w:rStyle w:val="8"/>
          <w:rFonts w:ascii="黑体" w:hAnsi="黑体" w:eastAsia="黑体" w:cs="黑体"/>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度收入总计3283.49万元，支出总计</w:t>
      </w:r>
      <w:r>
        <w:rPr>
          <w:rFonts w:ascii="方正仿宋_GBK" w:hAnsi="方正仿宋_GBK" w:eastAsia="方正仿宋_GBK" w:cs="方正仿宋_GBK"/>
          <w:sz w:val="32"/>
          <w:szCs w:val="32"/>
        </w:rPr>
        <w:t>3283.49</w:t>
      </w:r>
      <w:r>
        <w:rPr>
          <w:rFonts w:ascii="方正仿宋_GBK" w:hAnsi="方正仿宋_GBK" w:eastAsia="方正仿宋_GBK" w:cs="方正仿宋_GBK"/>
          <w:sz w:val="32"/>
          <w:szCs w:val="32"/>
          <w:shd w:val="clear" w:color="auto" w:fill="FFFFFF"/>
        </w:rPr>
        <w:t>万元。收、支与2023年度相比，减少6181.47万元，下降65.3%，主要原因是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2024年根据财政管理要求将独立编制的事业单位分账套核算，减少事业单位相关支出，本级支出</w:t>
      </w:r>
      <w:r>
        <w:rPr>
          <w:rFonts w:hint="eastAsia" w:ascii="方正仿宋_GBK" w:hAnsi="方正仿宋_GBK" w:eastAsia="方正仿宋_GBK" w:cs="方正仿宋_GBK"/>
          <w:kern w:val="0"/>
          <w:sz w:val="32"/>
          <w:szCs w:val="32"/>
          <w:lang w:val="en-US" w:eastAsia="zh-CN" w:bidi="ar-SA"/>
        </w:rPr>
        <w:t>与2023年相比，减少体育公园建设项目一般公共预算拨款收入1556.31万元，减少政府性基金预算拨款收入（体育公园及全民健身中心土地溢价款）3039.78万元；减少益丰时代广场项目用电安全等问题整治项目、2023年镇街防汛救灾专项收入等项目约300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度收入合计3283.49万元，与2023年度相比，减少6181.47万元，下降65.3%，主要原因是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2024年根据财政管理要求将独立编制的事业单位分账套核算，减少事业单位相关支出，本级支出</w:t>
      </w:r>
      <w:r>
        <w:rPr>
          <w:rFonts w:hint="eastAsia" w:ascii="方正仿宋_GBK" w:hAnsi="方正仿宋_GBK" w:eastAsia="方正仿宋_GBK" w:cs="方正仿宋_GBK"/>
          <w:kern w:val="0"/>
          <w:sz w:val="32"/>
          <w:szCs w:val="32"/>
          <w:lang w:val="en-US" w:eastAsia="zh-CN" w:bidi="ar-SA"/>
        </w:rPr>
        <w:t>与2023年相比，减少体育公园建设项目一般公共预算拨款收入1556.31万元，减少政府性基金预算拨款收入（体育公园及全民健身中心土地溢价款）3039.78万元；减少益丰时代广场项目用电安全等问题整治项目、2023年镇街防汛救灾专项收入等项目约300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3283.49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3283.49</w:t>
      </w:r>
      <w:r>
        <w:rPr>
          <w:rFonts w:ascii="方正仿宋_GBK" w:hAnsi="方正仿宋_GBK" w:eastAsia="方正仿宋_GBK" w:cs="方正仿宋_GBK"/>
          <w:sz w:val="32"/>
          <w:szCs w:val="32"/>
          <w:shd w:val="clear" w:color="auto" w:fill="FFFFFF"/>
        </w:rPr>
        <w:t>万元，与2023年度相比，减少6181.47万元，下降65.3%，主要原因是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2024年根据财政管理要求将独立编制的事业单位分账套核算，减少了事业单位相关支出，本级支出</w:t>
      </w:r>
      <w:r>
        <w:rPr>
          <w:rFonts w:hint="eastAsia" w:ascii="方正仿宋_GBK" w:hAnsi="方正仿宋_GBK" w:eastAsia="方正仿宋_GBK" w:cs="方正仿宋_GBK"/>
          <w:kern w:val="0"/>
          <w:sz w:val="32"/>
          <w:szCs w:val="32"/>
          <w:lang w:val="en-US" w:eastAsia="zh-CN" w:bidi="ar-SA"/>
        </w:rPr>
        <w:t>与2023年相比，减少体育公园建设项目一般公共预算拨款支出1556.31万元，减少政府性基金预算拨款支出（体育公园及全民健身中心土地溢价款）3039.78万元；减少益丰时代广场项目用电安全等问题整治项目、2023年镇街防汛救灾专项收入等项目约300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1080.09</w:t>
      </w:r>
      <w:r>
        <w:rPr>
          <w:rFonts w:ascii="方正仿宋_GBK" w:hAnsi="方正仿宋_GBK" w:eastAsia="方正仿宋_GBK" w:cs="方正仿宋_GBK"/>
          <w:sz w:val="32"/>
          <w:szCs w:val="32"/>
          <w:shd w:val="clear" w:color="auto" w:fill="FFFFFF"/>
        </w:rPr>
        <w:t>万元，占32.89%；项目支出</w:t>
      </w:r>
      <w:r>
        <w:rPr>
          <w:rFonts w:ascii="方正仿宋_GBK" w:hAnsi="方正仿宋_GBK" w:eastAsia="方正仿宋_GBK" w:cs="方正仿宋_GBK"/>
          <w:sz w:val="32"/>
          <w:szCs w:val="32"/>
        </w:rPr>
        <w:t>2203.40</w:t>
      </w:r>
      <w:r>
        <w:rPr>
          <w:rFonts w:ascii="方正仿宋_GBK" w:hAnsi="方正仿宋_GBK" w:eastAsia="方正仿宋_GBK" w:cs="方正仿宋_GBK"/>
          <w:sz w:val="32"/>
          <w:szCs w:val="32"/>
          <w:shd w:val="clear" w:color="auto" w:fill="FFFFFF"/>
        </w:rPr>
        <w:t>万元，占67.11%；经营支出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度财政拨款收、支总计3283.49万元。与202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年相比，财政拨款收、支总计各减少6181.47万元，下降65.3%。主要原因是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2024年根据财政管理要求将独立编制的事业单位分账套核算，减少了事业单位相关收支，本级支出</w:t>
      </w:r>
      <w:r>
        <w:rPr>
          <w:rFonts w:hint="eastAsia" w:ascii="方正仿宋_GBK" w:hAnsi="方正仿宋_GBK" w:eastAsia="方正仿宋_GBK" w:cs="方正仿宋_GBK"/>
          <w:kern w:val="0"/>
          <w:sz w:val="32"/>
          <w:szCs w:val="32"/>
          <w:lang w:val="en-US" w:eastAsia="zh-CN" w:bidi="ar-SA"/>
        </w:rPr>
        <w:t>与2023年相比，减少体育公园建设项目一般公共预算拨款支出1556.31万元，减少政府性基金预算拨款收支（体育公园及全民健身中心土地溢价款）3039.78万元；减少益丰时代广场项目用电安全等问题整治项目、2023年镇街防汛救灾专项等项目收支约300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3283.49</w:t>
      </w:r>
      <w:r>
        <w:rPr>
          <w:rFonts w:ascii="方正仿宋_GBK" w:hAnsi="方正仿宋_GBK" w:eastAsia="方正仿宋_GBK" w:cs="方正仿宋_GBK"/>
          <w:sz w:val="32"/>
          <w:szCs w:val="32"/>
          <w:shd w:val="clear" w:color="auto" w:fill="FFFFFF"/>
        </w:rPr>
        <w:t>万元，与2023年度相比，减少3141.69万元，下降48.9%。主要原因是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2024年根据财政管理要求将独立编制的事业单位分账套核算，减少了事业单位相关收入，本级收入</w:t>
      </w:r>
      <w:r>
        <w:rPr>
          <w:rFonts w:hint="eastAsia" w:ascii="方正仿宋_GBK" w:hAnsi="方正仿宋_GBK" w:eastAsia="方正仿宋_GBK" w:cs="方正仿宋_GBK"/>
          <w:kern w:val="0"/>
          <w:sz w:val="32"/>
          <w:szCs w:val="32"/>
          <w:lang w:val="en-US" w:eastAsia="zh-CN" w:bidi="ar-SA"/>
        </w:rPr>
        <w:t>与2023年相比，2024年减少体育公园建设项目一般公共预算拨款收入1556.31万元，</w:t>
      </w:r>
      <w:r>
        <w:rPr>
          <w:rFonts w:hint="eastAsia" w:ascii="方正仿宋_GBK" w:hAnsi="方正仿宋_GBK" w:eastAsia="方正仿宋_GBK" w:cs="方正仿宋_GBK"/>
          <w:sz w:val="32"/>
          <w:szCs w:val="32"/>
          <w:shd w:val="clear" w:color="auto" w:fill="FFFFFF"/>
          <w:lang w:val="en-US" w:eastAsia="zh-CN"/>
        </w:rPr>
        <w:t>减少益丰时代广场项目用电安全等问题整治项目及2023年镇街防汛救灾项目</w:t>
      </w:r>
      <w:r>
        <w:rPr>
          <w:rFonts w:hint="eastAsia" w:ascii="方正仿宋_GBK" w:hAnsi="方正仿宋_GBK" w:eastAsia="方正仿宋_GBK" w:cs="方正仿宋_GBK"/>
          <w:kern w:val="0"/>
          <w:sz w:val="32"/>
          <w:szCs w:val="32"/>
          <w:lang w:val="en-US" w:eastAsia="zh-CN" w:bidi="ar-SA"/>
        </w:rPr>
        <w:t>一般公共预算拨款收入</w:t>
      </w:r>
      <w:r>
        <w:rPr>
          <w:rFonts w:hint="eastAsia" w:ascii="方正仿宋_GBK" w:hAnsi="方正仿宋_GBK" w:eastAsia="方正仿宋_GBK" w:cs="方正仿宋_GBK"/>
          <w:sz w:val="32"/>
          <w:szCs w:val="32"/>
          <w:shd w:val="clear" w:color="auto" w:fill="FFFFFF"/>
          <w:lang w:val="en-US" w:eastAsia="zh-CN"/>
        </w:rPr>
        <w:t>约300万</w:t>
      </w:r>
      <w:r>
        <w:rPr>
          <w:rFonts w:hint="eastAsia" w:ascii="方正仿宋_GBK" w:hAnsi="方正仿宋_GBK" w:eastAsia="方正仿宋_GBK" w:cs="方正仿宋_GBK"/>
          <w:color w:val="auto"/>
          <w:sz w:val="32"/>
          <w:szCs w:val="32"/>
          <w:shd w:val="clear" w:color="auto" w:fill="FFFFFF"/>
          <w:lang w:val="en-US" w:eastAsia="zh-CN"/>
        </w:rPr>
        <w:t>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较年初预算数增加333.84万元，增长11.3%。主要原因是</w:t>
      </w:r>
      <w:r>
        <w:rPr>
          <w:rFonts w:hint="eastAsia" w:ascii="方正仿宋_GBK" w:hAnsi="方正仿宋_GBK" w:eastAsia="方正仿宋_GBK" w:cs="方正仿宋_GBK"/>
          <w:sz w:val="32"/>
          <w:szCs w:val="32"/>
          <w:shd w:val="clear" w:color="auto" w:fill="FFFFFF"/>
          <w:lang w:eastAsia="zh-CN"/>
        </w:rPr>
        <w:t>本年财政下达体育公园建设项目资金</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村社区</w:t>
      </w:r>
      <w:r>
        <w:rPr>
          <w:rFonts w:hint="eastAsia" w:ascii="方正仿宋_GBK" w:hAnsi="方正仿宋_GBK" w:eastAsia="方正仿宋_GBK" w:cs="方正仿宋_GBK"/>
          <w:sz w:val="32"/>
          <w:szCs w:val="32"/>
          <w:shd w:val="clear" w:color="auto" w:fill="FFFFFF"/>
          <w:lang w:eastAsia="zh-CN"/>
        </w:rPr>
        <w:t>干部</w:t>
      </w:r>
      <w:r>
        <w:rPr>
          <w:rFonts w:ascii="方正仿宋_GBK" w:hAnsi="方正仿宋_GBK" w:eastAsia="方正仿宋_GBK" w:cs="方正仿宋_GBK"/>
          <w:sz w:val="32"/>
          <w:szCs w:val="32"/>
          <w:shd w:val="clear" w:color="auto" w:fill="FFFFFF"/>
        </w:rPr>
        <w:t>工资调标补发</w:t>
      </w:r>
      <w:r>
        <w:rPr>
          <w:rFonts w:hint="eastAsia" w:ascii="方正仿宋_GBK" w:hAnsi="方正仿宋_GBK" w:eastAsia="方正仿宋_GBK" w:cs="方正仿宋_GBK"/>
          <w:sz w:val="32"/>
          <w:szCs w:val="32"/>
          <w:shd w:val="clear" w:color="auto" w:fill="FFFFFF"/>
          <w:lang w:eastAsia="zh-CN"/>
        </w:rPr>
        <w:t>等</w:t>
      </w:r>
      <w:r>
        <w:rPr>
          <w:rFonts w:hint="eastAsia" w:ascii="方正仿宋_GBK" w:hAnsi="方正仿宋_GBK" w:eastAsia="方正仿宋_GBK" w:cs="方正仿宋_GBK"/>
          <w:sz w:val="32"/>
          <w:szCs w:val="32"/>
          <w:shd w:val="clear" w:color="auto" w:fill="FFFFFF"/>
          <w:lang w:val="en-US" w:eastAsia="zh-CN"/>
        </w:rPr>
        <w:t>增加项目预算。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3283.49</w:t>
      </w:r>
      <w:r>
        <w:rPr>
          <w:rFonts w:ascii="方正仿宋_GBK" w:hAnsi="方正仿宋_GBK" w:eastAsia="方正仿宋_GBK" w:cs="方正仿宋_GBK"/>
          <w:sz w:val="32"/>
          <w:szCs w:val="32"/>
          <w:shd w:val="clear" w:color="auto" w:fill="FFFFFF"/>
        </w:rPr>
        <w:t>万元，与2023年度相比，减少3141.69万元，下降48.9%。主要原因是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2024年根据财政管理要求将独立编制的事业单位分账套核算，减少了事业单位相关支出，本级支出</w:t>
      </w:r>
      <w:r>
        <w:rPr>
          <w:rFonts w:hint="eastAsia" w:ascii="方正仿宋_GBK" w:hAnsi="方正仿宋_GBK" w:eastAsia="方正仿宋_GBK" w:cs="方正仿宋_GBK"/>
          <w:kern w:val="0"/>
          <w:sz w:val="32"/>
          <w:szCs w:val="32"/>
          <w:lang w:val="en-US" w:eastAsia="zh-CN" w:bidi="ar-SA"/>
        </w:rPr>
        <w:t>与2023年相比，2024年减少体育公园建设项目一般公共预算拨款支出1556.31万元，</w:t>
      </w:r>
      <w:r>
        <w:rPr>
          <w:rFonts w:hint="eastAsia" w:ascii="方正仿宋_GBK" w:hAnsi="方正仿宋_GBK" w:eastAsia="方正仿宋_GBK" w:cs="方正仿宋_GBK"/>
          <w:sz w:val="32"/>
          <w:szCs w:val="32"/>
          <w:shd w:val="clear" w:color="auto" w:fill="FFFFFF"/>
          <w:lang w:val="en-US" w:eastAsia="zh-CN"/>
        </w:rPr>
        <w:t>减少益丰时代广场项目用电安全等问题整治项目及2023年镇街防汛救灾项目</w:t>
      </w:r>
      <w:r>
        <w:rPr>
          <w:rFonts w:hint="eastAsia" w:ascii="方正仿宋_GBK" w:hAnsi="方正仿宋_GBK" w:eastAsia="方正仿宋_GBK" w:cs="方正仿宋_GBK"/>
          <w:kern w:val="0"/>
          <w:sz w:val="32"/>
          <w:szCs w:val="32"/>
          <w:lang w:val="en-US" w:eastAsia="zh-CN" w:bidi="ar-SA"/>
        </w:rPr>
        <w:t>一般公共预算拨款支出</w:t>
      </w:r>
      <w:r>
        <w:rPr>
          <w:rFonts w:hint="eastAsia" w:ascii="方正仿宋_GBK" w:hAnsi="方正仿宋_GBK" w:eastAsia="方正仿宋_GBK" w:cs="方正仿宋_GBK"/>
          <w:sz w:val="32"/>
          <w:szCs w:val="32"/>
          <w:shd w:val="clear" w:color="auto" w:fill="FFFFFF"/>
          <w:lang w:val="en-US" w:eastAsia="zh-CN"/>
        </w:rPr>
        <w:t>约300万</w:t>
      </w:r>
      <w:r>
        <w:rPr>
          <w:rFonts w:hint="eastAsia" w:ascii="方正仿宋_GBK" w:hAnsi="方正仿宋_GBK" w:eastAsia="方正仿宋_GBK" w:cs="方正仿宋_GBK"/>
          <w:color w:val="auto"/>
          <w:sz w:val="32"/>
          <w:szCs w:val="32"/>
          <w:shd w:val="clear" w:color="auto" w:fill="FFFFFF"/>
          <w:lang w:val="en-US" w:eastAsia="zh-CN"/>
        </w:rPr>
        <w:t>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较年初预算数增加333.84万元，增长11.3%。主要原因是</w:t>
      </w:r>
      <w:r>
        <w:rPr>
          <w:rFonts w:hint="eastAsia" w:ascii="方正仿宋_GBK" w:hAnsi="方正仿宋_GBK" w:eastAsia="方正仿宋_GBK" w:cs="方正仿宋_GBK"/>
          <w:sz w:val="32"/>
          <w:szCs w:val="32"/>
          <w:shd w:val="clear" w:color="auto" w:fill="FFFFFF"/>
          <w:lang w:eastAsia="zh-CN"/>
        </w:rPr>
        <w:t>本年财政下达体育公园建设项目资金</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村社区</w:t>
      </w:r>
      <w:r>
        <w:rPr>
          <w:rFonts w:hint="eastAsia" w:ascii="方正仿宋_GBK" w:hAnsi="方正仿宋_GBK" w:eastAsia="方正仿宋_GBK" w:cs="方正仿宋_GBK"/>
          <w:sz w:val="32"/>
          <w:szCs w:val="32"/>
          <w:shd w:val="clear" w:color="auto" w:fill="FFFFFF"/>
          <w:lang w:eastAsia="zh-CN"/>
        </w:rPr>
        <w:t>干部</w:t>
      </w:r>
      <w:r>
        <w:rPr>
          <w:rFonts w:ascii="方正仿宋_GBK" w:hAnsi="方正仿宋_GBK" w:eastAsia="方正仿宋_GBK" w:cs="方正仿宋_GBK"/>
          <w:sz w:val="32"/>
          <w:szCs w:val="32"/>
          <w:shd w:val="clear" w:color="auto" w:fill="FFFFFF"/>
        </w:rPr>
        <w:t>工资调标补发</w:t>
      </w:r>
      <w:r>
        <w:rPr>
          <w:rFonts w:hint="eastAsia" w:ascii="方正仿宋_GBK" w:hAnsi="方正仿宋_GBK" w:eastAsia="方正仿宋_GBK" w:cs="方正仿宋_GBK"/>
          <w:sz w:val="32"/>
          <w:szCs w:val="32"/>
          <w:shd w:val="clear" w:color="auto" w:fill="FFFFFF"/>
          <w:lang w:eastAsia="zh-CN"/>
        </w:rPr>
        <w:t>等</w:t>
      </w:r>
      <w:r>
        <w:rPr>
          <w:rFonts w:hint="eastAsia" w:ascii="方正仿宋_GBK" w:hAnsi="方正仿宋_GBK" w:eastAsia="方正仿宋_GBK" w:cs="方正仿宋_GBK"/>
          <w:sz w:val="32"/>
          <w:szCs w:val="32"/>
          <w:shd w:val="clear" w:color="auto" w:fill="FFFFFF"/>
          <w:lang w:val="en-US" w:eastAsia="zh-CN"/>
        </w:rPr>
        <w:t>增加项目预算。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869.62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26.48</w:t>
      </w:r>
      <w:r>
        <w:rPr>
          <w:rFonts w:ascii="方正仿宋_GBK" w:hAnsi="方正仿宋_GBK" w:eastAsia="方正仿宋_GBK" w:cs="方正仿宋_GBK"/>
          <w:sz w:val="32"/>
          <w:szCs w:val="32"/>
          <w:shd w:val="clear" w:color="auto" w:fill="FFFFFF"/>
        </w:rPr>
        <w:t>%，较年初预算数减少108.48万元，下降11.1%，主要原因是</w:t>
      </w:r>
      <w:r>
        <w:rPr>
          <w:rFonts w:hint="eastAsia" w:ascii="方正仿宋_GBK" w:hAnsi="方正仿宋_GBK" w:eastAsia="方正仿宋_GBK" w:cs="方正仿宋_GBK"/>
          <w:sz w:val="32"/>
          <w:szCs w:val="32"/>
          <w:shd w:val="clear" w:color="auto" w:fill="FFFFFF"/>
          <w:lang w:eastAsia="zh-CN"/>
        </w:rPr>
        <w:t>根据中央八项规定精神及财力状况压减了一般公共服务开支，年初根据财政管理要求将事业单位分账套分别核算，减少了本级相关的支出。</w:t>
      </w:r>
      <w:r>
        <w:rPr>
          <w:rFonts w:hint="eastAsia" w:ascii="方正仿宋_GBK" w:hAnsi="方正仿宋_GBK" w:eastAsia="方正仿宋_GBK" w:cs="方正仿宋_GBK"/>
          <w:sz w:val="32"/>
          <w:szCs w:val="32"/>
          <w:shd w:val="clear" w:color="auto" w:fill="FFFFFF"/>
          <w:lang w:val="en-US" w:eastAsia="zh-CN"/>
        </w:rPr>
        <w:t xml:space="preserve">  </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ascii="方正仿宋_GBK" w:hAnsi="方正仿宋_GBK" w:eastAsia="方正仿宋_GBK" w:cs="方正仿宋_GBK"/>
          <w:sz w:val="32"/>
          <w:szCs w:val="32"/>
        </w:rPr>
        <w:t>2.54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%，较年初预算数减少7.46万元，下降74.6%，主要原因是</w:t>
      </w:r>
      <w:r>
        <w:rPr>
          <w:rFonts w:hint="eastAsia" w:ascii="方正仿宋_GBK" w:hAnsi="方正仿宋_GBK" w:eastAsia="方正仿宋_GBK" w:cs="方正仿宋_GBK"/>
          <w:sz w:val="32"/>
          <w:szCs w:val="32"/>
          <w:shd w:val="clear" w:color="auto" w:fill="FFFFFF"/>
          <w:lang w:eastAsia="zh-CN"/>
        </w:rPr>
        <w:t>年初预算较实际需求相差较大，实际支出主要为征兵宣传、体检及基干民兵训练保障等，实际支出数较年初预算数相差较大。</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229.70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%，较年初预算数增加203.70万元，增长783.5%，主要原因是</w:t>
      </w:r>
      <w:r>
        <w:rPr>
          <w:rFonts w:hint="eastAsia" w:ascii="方正仿宋_GBK" w:hAnsi="方正仿宋_GBK" w:eastAsia="方正仿宋_GBK" w:cs="方正仿宋_GBK"/>
          <w:sz w:val="32"/>
          <w:szCs w:val="32"/>
          <w:shd w:val="clear" w:color="auto" w:fill="FFFFFF"/>
          <w:lang w:eastAsia="zh-CN"/>
        </w:rPr>
        <w:t>财政下达体育公园建设项目资金</w:t>
      </w:r>
      <w:r>
        <w:rPr>
          <w:rFonts w:hint="eastAsia" w:ascii="方正仿宋_GBK" w:hAnsi="方正仿宋_GBK" w:eastAsia="方正仿宋_GBK" w:cs="方正仿宋_GBK"/>
          <w:sz w:val="32"/>
          <w:szCs w:val="32"/>
          <w:shd w:val="clear" w:color="auto" w:fill="FFFFFF"/>
          <w:lang w:val="en-US" w:eastAsia="zh-CN"/>
        </w:rPr>
        <w:t>227.11万元，减少年初预算支出26.68万元。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284.60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8.67</w:t>
      </w:r>
      <w:r>
        <w:rPr>
          <w:rFonts w:ascii="方正仿宋_GBK" w:hAnsi="方正仿宋_GBK" w:eastAsia="方正仿宋_GBK" w:cs="方正仿宋_GBK"/>
          <w:sz w:val="32"/>
          <w:szCs w:val="32"/>
          <w:shd w:val="clear" w:color="auto" w:fill="FFFFFF"/>
        </w:rPr>
        <w:t>%，较年初预算数增加18.20万元，增长6.8%，主要原因是主要原因是</w:t>
      </w:r>
      <w:r>
        <w:rPr>
          <w:rFonts w:hint="eastAsia" w:ascii="方正仿宋_GBK" w:hAnsi="方正仿宋_GBK" w:eastAsia="方正仿宋_GBK" w:cs="方正仿宋_GBK"/>
          <w:sz w:val="32"/>
          <w:szCs w:val="32"/>
          <w:shd w:val="clear" w:color="auto" w:fill="FFFFFF"/>
          <w:lang w:eastAsia="zh-CN"/>
        </w:rPr>
        <w:t>年中增加</w:t>
      </w:r>
      <w:r>
        <w:rPr>
          <w:rFonts w:hint="eastAsia" w:ascii="方正仿宋_GBK" w:hAnsi="方正仿宋_GBK" w:eastAsia="方正仿宋_GBK" w:cs="方正仿宋_GBK"/>
          <w:sz w:val="32"/>
          <w:szCs w:val="32"/>
          <w:shd w:val="clear" w:color="auto" w:fill="FFFFFF"/>
        </w:rPr>
        <w:t>殡葬服务设施市级补助资金</w:t>
      </w:r>
      <w:r>
        <w:rPr>
          <w:rFonts w:hint="eastAsia" w:ascii="方正仿宋_GBK" w:hAnsi="方正仿宋_GBK" w:eastAsia="方正仿宋_GBK" w:cs="方正仿宋_GBK"/>
          <w:sz w:val="32"/>
          <w:szCs w:val="32"/>
          <w:shd w:val="clear" w:color="auto" w:fill="FFFFFF"/>
          <w:lang w:eastAsia="zh-CN"/>
        </w:rPr>
        <w:t>及镇街临时救助资金预算支出。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47.82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%，较年初预算数减少25.19万元，下降34.5%，主要原因是</w:t>
      </w:r>
      <w:r>
        <w:rPr>
          <w:rFonts w:hint="eastAsia" w:ascii="方正仿宋_GBK" w:hAnsi="方正仿宋_GBK" w:eastAsia="方正仿宋_GBK" w:cs="方正仿宋_GBK"/>
          <w:sz w:val="32"/>
          <w:szCs w:val="32"/>
          <w:shd w:val="clear" w:color="auto" w:fill="FFFFFF"/>
          <w:lang w:eastAsia="zh-CN"/>
        </w:rPr>
        <w:t>减少了公务员医疗补助缴费项目。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６</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106.07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3.23</w:t>
      </w:r>
      <w:r>
        <w:rPr>
          <w:rFonts w:ascii="方正仿宋_GBK" w:hAnsi="方正仿宋_GBK" w:eastAsia="方正仿宋_GBK" w:cs="方正仿宋_GBK"/>
          <w:sz w:val="32"/>
          <w:szCs w:val="32"/>
          <w:shd w:val="clear" w:color="auto" w:fill="FFFFFF"/>
        </w:rPr>
        <w:t>%，较年初预算数增加106.07万元，增长100.0%，主要原因是</w:t>
      </w:r>
      <w:r>
        <w:rPr>
          <w:rFonts w:hint="eastAsia" w:ascii="方正仿宋_GBK" w:hAnsi="方正仿宋_GBK" w:eastAsia="方正仿宋_GBK" w:cs="方正仿宋_GBK"/>
          <w:sz w:val="32"/>
          <w:szCs w:val="32"/>
          <w:shd w:val="clear" w:color="auto" w:fill="FFFFFF"/>
          <w:lang w:eastAsia="zh-CN"/>
        </w:rPr>
        <w:t>预算项目市政环卫经费（托底）在预年初算时支出功能科目使用错误，年终由城乡社区支出功能科目调整至节能环保支出功能科目。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７）城乡社区支出95.29万元，占2.90%，较年初预算数减少110.41万元，下降53.7%，主要原因是预算项目市政环卫经费（托底）在预年初算时支出功能科目使用错误，年终由城乡社区支出功能科目调整至节能环保支出功能科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lang w:val="en-US" w:eastAsia="zh-CN" w:bidi="ar-SA"/>
        </w:rPr>
        <w:t>（８）农林</w:t>
      </w:r>
      <w:r>
        <w:rPr>
          <w:rFonts w:ascii="方正仿宋_GBK" w:hAnsi="方正仿宋_GBK" w:eastAsia="方正仿宋_GBK" w:cs="方正仿宋_GBK"/>
          <w:sz w:val="32"/>
          <w:szCs w:val="32"/>
          <w:shd w:val="clear" w:color="auto" w:fill="FFFFFF"/>
        </w:rPr>
        <w:t>水支出</w:t>
      </w:r>
      <w:r>
        <w:rPr>
          <w:rFonts w:ascii="方正仿宋_GBK" w:hAnsi="方正仿宋_GBK" w:eastAsia="方正仿宋_GBK" w:cs="方正仿宋_GBK"/>
          <w:sz w:val="32"/>
          <w:szCs w:val="32"/>
        </w:rPr>
        <w:t>1200.78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36.57</w:t>
      </w:r>
      <w:r>
        <w:rPr>
          <w:rFonts w:ascii="方正仿宋_GBK" w:hAnsi="方正仿宋_GBK" w:eastAsia="方正仿宋_GBK" w:cs="方正仿宋_GBK"/>
          <w:sz w:val="32"/>
          <w:szCs w:val="32"/>
          <w:shd w:val="clear" w:color="auto" w:fill="FFFFFF"/>
        </w:rPr>
        <w:t>%，较年初预算数减少13.52万元，下降1.1%，主要原因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bidi="ar-SA"/>
        </w:rPr>
        <w:t>（９）</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323.28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9.85</w:t>
      </w:r>
      <w:r>
        <w:rPr>
          <w:rFonts w:ascii="方正仿宋_GBK" w:hAnsi="方正仿宋_GBK" w:eastAsia="方正仿宋_GBK" w:cs="方正仿宋_GBK"/>
          <w:sz w:val="32"/>
          <w:szCs w:val="32"/>
          <w:shd w:val="clear" w:color="auto" w:fill="FFFFFF"/>
        </w:rPr>
        <w:t>%，较年初预算数增加247.98万元，增长329.3%，主要原因是</w:t>
      </w:r>
      <w:r>
        <w:rPr>
          <w:rFonts w:hint="eastAsia" w:ascii="方正仿宋_GBK" w:hAnsi="方正仿宋_GBK" w:eastAsia="方正仿宋_GBK" w:cs="方正仿宋_GBK"/>
          <w:color w:val="auto"/>
          <w:sz w:val="32"/>
          <w:szCs w:val="32"/>
          <w:shd w:val="clear" w:color="auto" w:fill="FFFFFF"/>
          <w:lang w:eastAsia="zh-CN"/>
        </w:rPr>
        <w:t>年中财政下达</w:t>
      </w:r>
      <w:r>
        <w:rPr>
          <w:rFonts w:hint="eastAsia" w:ascii="方正仿宋_GBK" w:hAnsi="方正仿宋_GBK"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rPr>
        <w:t>年四好公路</w:t>
      </w:r>
      <w:r>
        <w:rPr>
          <w:rFonts w:hint="eastAsia" w:ascii="方正仿宋_GBK" w:hAnsi="方正仿宋_GBK" w:eastAsia="方正仿宋_GBK" w:cs="方正仿宋_GBK"/>
          <w:sz w:val="32"/>
          <w:szCs w:val="32"/>
          <w:shd w:val="clear" w:color="auto" w:fill="FFFFFF"/>
          <w:lang w:eastAsia="zh-CN"/>
        </w:rPr>
        <w:t>建设</w:t>
      </w:r>
      <w:r>
        <w:rPr>
          <w:rFonts w:hint="eastAsia" w:ascii="方正仿宋_GBK" w:hAnsi="方正仿宋_GBK" w:eastAsia="方正仿宋_GBK" w:cs="方正仿宋_GBK"/>
          <w:color w:val="auto"/>
          <w:sz w:val="32"/>
          <w:szCs w:val="32"/>
          <w:shd w:val="clear" w:color="auto" w:fill="FFFFFF"/>
          <w:lang w:eastAsia="zh-CN"/>
        </w:rPr>
        <w:t>资金</w:t>
      </w:r>
      <w:r>
        <w:rPr>
          <w:rFonts w:hint="eastAsia" w:ascii="方正仿宋_GBK" w:hAnsi="方正仿宋_GBK" w:eastAsia="方正仿宋_GBK" w:cs="方正仿宋_GBK"/>
          <w:color w:val="auto"/>
          <w:sz w:val="32"/>
          <w:szCs w:val="32"/>
          <w:shd w:val="clear" w:color="auto" w:fill="FFFFFF"/>
          <w:lang w:val="en-US" w:eastAsia="zh-CN"/>
        </w:rPr>
        <w:t>311万元，同时减少预算项目农村道路养护资金支出75.3万元，压减了一般公共服务支出、农林水支出等项目。</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10</w:t>
      </w:r>
      <w:r>
        <w:rPr>
          <w:rFonts w:ascii="方正仿宋_GBK" w:hAnsi="方正仿宋_GBK" w:eastAsia="方正仿宋_GBK" w:cs="方正仿宋_GBK"/>
          <w:sz w:val="32"/>
          <w:szCs w:val="32"/>
        </w:rPr>
        <w:t>）住房保障支出59.43万元，占1.81%，较年初预算数无增减。</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灾害防治及应急管理支出64.36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%，较年初预算数增加22.96万元，增长55.5%，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年中天气炎热，增加了防汛抗旱专项资金。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1080.09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878.21</w:t>
      </w:r>
      <w:r>
        <w:rPr>
          <w:rFonts w:ascii="方正仿宋_GBK" w:hAnsi="方正仿宋_GBK" w:eastAsia="方正仿宋_GBK" w:cs="方正仿宋_GBK"/>
          <w:sz w:val="32"/>
          <w:szCs w:val="32"/>
          <w:shd w:val="clear" w:color="auto" w:fill="FFFFFF"/>
        </w:rPr>
        <w:t>万元，与2023年度相比，减少1162.09万元，下降57.0%，主要原因是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2024年根据财政管理要求将独立编制的事业单位分账套核算，减少了事业单位</w:t>
      </w:r>
      <w:r>
        <w:rPr>
          <w:rFonts w:hint="eastAsia" w:ascii="方正仿宋_GBK" w:hAnsi="方正仿宋_GBK" w:eastAsia="方正仿宋_GBK" w:cs="方正仿宋_GBK"/>
          <w:sz w:val="32"/>
          <w:szCs w:val="32"/>
          <w:lang w:val="en-US" w:eastAsia="zh-CN"/>
        </w:rPr>
        <w:t>人员相关支出</w:t>
      </w:r>
      <w:r>
        <w:rPr>
          <w:rFonts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rPr>
        <w:t>单位给在职人员的各类劳动报酬，以及为其缴纳的各项社会保险费等，退休、遗属等相关经费</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201.88</w:t>
      </w:r>
      <w:r>
        <w:rPr>
          <w:rFonts w:ascii="方正仿宋_GBK" w:hAnsi="方正仿宋_GBK" w:eastAsia="方正仿宋_GBK" w:cs="方正仿宋_GBK"/>
          <w:sz w:val="32"/>
          <w:szCs w:val="32"/>
          <w:shd w:val="clear" w:color="auto" w:fill="FFFFFF"/>
        </w:rPr>
        <w:t>万元，与2023年度相比，减少333.68万元，下降62.3%，主要原因是</w:t>
      </w:r>
      <w:r>
        <w:rPr>
          <w:rFonts w:hint="eastAsia" w:ascii="方正仿宋_GBK" w:hAnsi="方正仿宋_GBK" w:eastAsia="方正仿宋_GBK" w:cs="方正仿宋_GBK"/>
          <w:sz w:val="32"/>
          <w:szCs w:val="32"/>
          <w:shd w:val="clear" w:color="auto" w:fill="FFFFFF"/>
          <w:lang w:val="en-US" w:eastAsia="zh-CN"/>
        </w:rPr>
        <w:t>2024年根据财政管理要求将独立编制的事业单位分账套核算，且</w:t>
      </w:r>
      <w:r>
        <w:rPr>
          <w:rFonts w:hint="eastAsia" w:ascii="方正仿宋_GBK" w:hAnsi="方正仿宋_GBK" w:eastAsia="方正仿宋_GBK" w:cs="方正仿宋_GBK"/>
          <w:sz w:val="32"/>
          <w:szCs w:val="32"/>
          <w:shd w:val="clear" w:color="auto" w:fill="FFFFFF"/>
          <w:lang w:eastAsia="zh-CN"/>
        </w:rPr>
        <w:t>根据财力状况压减了部分公用经费支出</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办公费、维修维护费等</w:t>
      </w:r>
      <w:r>
        <w:rPr>
          <w:rFonts w:hint="eastAsia" w:ascii="方正仿宋_GBK" w:hAnsi="方正仿宋_GBK" w:eastAsia="方正仿宋_GBK" w:cs="方正仿宋_GBK"/>
          <w:sz w:val="32"/>
          <w:szCs w:val="32"/>
          <w:shd w:val="clear" w:color="auto" w:fill="FFFFFF"/>
        </w:rPr>
        <w:t>保障机关运行</w:t>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相关支出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auto"/>
        </w:rPr>
      </w:pPr>
      <w:r>
        <w:rPr>
          <w:rStyle w:val="8"/>
          <w:rFonts w:ascii="方正仿宋_GBK" w:hAnsi="方正仿宋_GBK" w:eastAsia="方正仿宋_GBK" w:cs="方正仿宋_GBK"/>
          <w:b w:val="0"/>
          <w:bCs/>
          <w:sz w:val="32"/>
          <w:szCs w:val="32"/>
          <w:shd w:val="clear" w:color="auto" w:fill="auto"/>
        </w:rPr>
        <w:t>本单位</w:t>
      </w:r>
      <w:r>
        <w:rPr>
          <w:rStyle w:val="8"/>
          <w:rFonts w:hint="eastAsia" w:ascii="方正仿宋_GBK" w:hAnsi="方正仿宋_GBK" w:eastAsia="方正仿宋_GBK" w:cs="方正仿宋_GBK"/>
          <w:b w:val="0"/>
          <w:bCs/>
          <w:sz w:val="32"/>
          <w:szCs w:val="32"/>
          <w:shd w:val="clear" w:color="auto" w:fill="auto"/>
          <w:lang w:eastAsia="zh-CN"/>
        </w:rPr>
        <w:t>2024年</w:t>
      </w:r>
      <w:r>
        <w:rPr>
          <w:rStyle w:val="8"/>
          <w:rFonts w:ascii="方正仿宋_GBK" w:hAnsi="方正仿宋_GBK" w:eastAsia="方正仿宋_GBK" w:cs="方正仿宋_GBK"/>
          <w:b w:val="0"/>
          <w:bCs/>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ascii="方正仿宋_GBK" w:hAnsi="方正仿宋_GBK" w:eastAsia="方正仿宋_GBK" w:cs="方正仿宋_GBK"/>
          <w:b w:val="0"/>
          <w:bCs/>
          <w:sz w:val="32"/>
          <w:szCs w:val="32"/>
          <w:shd w:val="clear" w:color="auto" w:fill="auto"/>
        </w:rPr>
        <w:t>本单位</w:t>
      </w:r>
      <w:r>
        <w:rPr>
          <w:rStyle w:val="8"/>
          <w:rFonts w:hint="eastAsia" w:ascii="方正仿宋_GBK" w:hAnsi="方正仿宋_GBK" w:eastAsia="方正仿宋_GBK" w:cs="方正仿宋_GBK"/>
          <w:b w:val="0"/>
          <w:bCs/>
          <w:sz w:val="32"/>
          <w:szCs w:val="32"/>
          <w:shd w:val="clear" w:color="auto" w:fill="auto"/>
          <w:lang w:eastAsia="zh-CN"/>
        </w:rPr>
        <w:t>2024年</w:t>
      </w:r>
      <w:r>
        <w:rPr>
          <w:rStyle w:val="8"/>
          <w:rFonts w:ascii="方正仿宋_GBK" w:hAnsi="方正仿宋_GBK" w:eastAsia="方正仿宋_GBK" w:cs="方正仿宋_GBK"/>
          <w:b w:val="0"/>
          <w:bCs/>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三、</w:t>
      </w:r>
      <w:r>
        <w:rPr>
          <w:rStyle w:val="8"/>
          <w:rFonts w:hint="eastAsia" w:ascii="黑体" w:hAnsi="黑体" w:eastAsia="黑体" w:cs="黑体"/>
          <w:b w:val="0"/>
          <w:bCs/>
          <w:sz w:val="32"/>
          <w:szCs w:val="32"/>
          <w:shd w:val="clear" w:color="auto" w:fill="FFFFFF"/>
          <w:lang w:eastAsia="zh-CN"/>
        </w:rPr>
        <w:t>财政拨款</w:t>
      </w:r>
      <w:r>
        <w:rPr>
          <w:rStyle w:val="8"/>
          <w:rFonts w:ascii="黑体" w:hAnsi="黑体" w:eastAsia="黑体" w:cs="黑体"/>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9.12</w:t>
      </w:r>
      <w:r>
        <w:rPr>
          <w:rFonts w:ascii="方正仿宋_GBK" w:hAnsi="方正仿宋_GBK" w:eastAsia="方正仿宋_GBK" w:cs="方正仿宋_GBK"/>
          <w:sz w:val="32"/>
          <w:szCs w:val="32"/>
          <w:shd w:val="clear" w:color="auto" w:fill="FFFFFF"/>
        </w:rPr>
        <w:t>万元，较年初预算数减少18.38万元，下降66.8%，主要原因是</w:t>
      </w:r>
      <w:r>
        <w:rPr>
          <w:rFonts w:hint="eastAsia" w:ascii="方正仿宋_GBK" w:hAnsi="方正仿宋_GBK" w:eastAsia="方正仿宋_GBK" w:cs="方正仿宋_GBK"/>
          <w:sz w:val="32"/>
          <w:szCs w:val="32"/>
          <w:shd w:val="clear" w:color="auto" w:fill="FFFFFF"/>
        </w:rPr>
        <w:t>根据</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八项规定精神</w:t>
      </w:r>
      <w:r>
        <w:rPr>
          <w:rFonts w:hint="eastAsia" w:ascii="方正仿宋_GBK" w:hAnsi="方正仿宋_GBK" w:eastAsia="方正仿宋_GBK" w:cs="方正仿宋_GBK"/>
          <w:sz w:val="32"/>
          <w:szCs w:val="32"/>
          <w:shd w:val="clear" w:color="auto" w:fill="FFFFFF"/>
          <w:lang w:eastAsia="zh-CN"/>
        </w:rPr>
        <w:t>及财力状况</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sz w:val="32"/>
          <w:szCs w:val="32"/>
          <w:shd w:val="clear" w:color="auto" w:fill="FFFFFF"/>
        </w:rPr>
        <w:t>压减开支。</w:t>
      </w:r>
      <w:r>
        <w:rPr>
          <w:rFonts w:ascii="方正仿宋_GBK" w:hAnsi="方正仿宋_GBK" w:eastAsia="方正仿宋_GBK" w:cs="方正仿宋_GBK"/>
          <w:sz w:val="32"/>
          <w:szCs w:val="32"/>
          <w:shd w:val="clear" w:color="auto" w:fill="FFFFFF"/>
        </w:rPr>
        <w:t>较上年支出数减少4.96万元，下降35.2%，主要原因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2024年我镇报废一辆公务用车，相应维护费用减少。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万元，主要原因是本单位202</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年度未发生因公出国境事由支出。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公务车购置费0万元，主要原因是本单位202</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年度未发生公务车购置费支出。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9.12</w:t>
      </w:r>
      <w:r>
        <w:rPr>
          <w:rFonts w:ascii="方正仿宋_GBK" w:hAnsi="方正仿宋_GBK" w:eastAsia="方正仿宋_GBK" w:cs="方正仿宋_GBK"/>
          <w:sz w:val="32"/>
          <w:szCs w:val="32"/>
          <w:shd w:val="clear" w:color="auto" w:fill="FFFFFF"/>
        </w:rPr>
        <w:t>万元，主要用于主要用于</w:t>
      </w:r>
      <w:r>
        <w:rPr>
          <w:rFonts w:hint="eastAsia" w:ascii="方正仿宋_GBK" w:hAnsi="方正仿宋_GBK" w:eastAsia="方正仿宋_GBK" w:cs="方正仿宋_GBK"/>
          <w:sz w:val="32"/>
          <w:szCs w:val="32"/>
          <w:shd w:val="clear" w:color="auto" w:fill="FFFFFF"/>
        </w:rPr>
        <w:t>日常检查</w:t>
      </w:r>
      <w:r>
        <w:rPr>
          <w:rFonts w:hint="eastAsia" w:ascii="方正仿宋_GBK" w:hAnsi="方正仿宋_GBK" w:eastAsia="方正仿宋_GBK" w:cs="方正仿宋_GBK"/>
          <w:sz w:val="32"/>
          <w:szCs w:val="32"/>
          <w:shd w:val="clear" w:color="auto" w:fill="FFFFFF"/>
          <w:lang w:eastAsia="zh-CN"/>
        </w:rPr>
        <w:t>，工作对接及森林防火等。</w:t>
      </w:r>
      <w:r>
        <w:rPr>
          <w:rFonts w:ascii="方正仿宋_GBK" w:hAnsi="方正仿宋_GBK" w:eastAsia="方正仿宋_GBK" w:cs="方正仿宋_GBK"/>
          <w:sz w:val="32"/>
          <w:szCs w:val="32"/>
          <w:shd w:val="clear" w:color="auto" w:fill="FFFFFF"/>
        </w:rPr>
        <w:t>费用支出较年初预算数减少15.38万元，下降62.8%，主要原因是</w:t>
      </w:r>
      <w:r>
        <w:rPr>
          <w:rFonts w:hint="eastAsia" w:ascii="方正仿宋_GBK" w:hAnsi="方正仿宋_GBK" w:eastAsia="方正仿宋_GBK" w:cs="方正仿宋_GBK"/>
          <w:color w:val="auto"/>
          <w:sz w:val="32"/>
          <w:szCs w:val="32"/>
          <w:shd w:val="clear" w:color="auto" w:fill="FFFFFF"/>
          <w:lang w:val="en-US" w:eastAsia="zh-CN"/>
        </w:rPr>
        <w:t>2024年报废一辆公务用车，相应维护费用减少，且本着节约的精神压减了公务用车频次。</w:t>
      </w:r>
      <w:r>
        <w:rPr>
          <w:rFonts w:ascii="方正仿宋_GBK" w:hAnsi="方正仿宋_GBK" w:eastAsia="方正仿宋_GBK" w:cs="方正仿宋_GBK"/>
          <w:sz w:val="32"/>
          <w:szCs w:val="32"/>
          <w:shd w:val="clear" w:color="auto" w:fill="FFFFFF"/>
        </w:rPr>
        <w:t>较上年支出数减少4.96万元，下降35.2%，主要原因是</w:t>
      </w:r>
      <w:r>
        <w:rPr>
          <w:rFonts w:hint="eastAsia" w:ascii="方正仿宋_GBK" w:hAnsi="方正仿宋_GBK" w:eastAsia="方正仿宋_GBK" w:cs="方正仿宋_GBK"/>
          <w:color w:val="auto"/>
          <w:sz w:val="32"/>
          <w:szCs w:val="32"/>
          <w:shd w:val="clear" w:color="auto" w:fill="FFFFFF"/>
          <w:lang w:val="en-US" w:eastAsia="zh-CN"/>
        </w:rPr>
        <w:t>2024年我镇报废一辆公务用车，相应维护费用减少，并且减少了公务用车用车频次。</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费用支出较年初预算数减少3.00万元，下降100.0%，主要原因是</w:t>
      </w:r>
      <w:r>
        <w:rPr>
          <w:rFonts w:hint="eastAsia" w:ascii="方正仿宋_GBK" w:hAnsi="方正仿宋_GBK" w:eastAsia="方正仿宋_GBK" w:cs="方正仿宋_GBK"/>
          <w:sz w:val="32"/>
          <w:szCs w:val="32"/>
          <w:shd w:val="clear" w:color="auto" w:fill="FFFFFF"/>
          <w:lang w:eastAsia="zh-CN"/>
        </w:rPr>
        <w:t>未开展公务接待工作</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3.04</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黑体" w:cs="黑体"/>
          <w:b w:val="0"/>
          <w:bCs/>
          <w:sz w:val="32"/>
          <w:szCs w:val="32"/>
          <w:shd w:val="clear" w:color="auto" w:fill="FFFFFF"/>
        </w:rPr>
      </w:pPr>
      <w:r>
        <w:rPr>
          <w:rStyle w:val="8"/>
          <w:rFonts w:ascii="黑体" w:hAnsi="黑体" w:eastAsia="黑体" w:cs="黑体"/>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201.88</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仿宋_GB2312" w:eastAsia="方正仿宋_GBK" w:cs="仿宋_GB2312"/>
          <w:sz w:val="32"/>
        </w:rPr>
        <w:t>办公费、印刷费、邮电费、水电费、物管费、差旅费、会议费、培训费及其他商品和服务支出等</w:t>
      </w:r>
      <w:r>
        <w:rPr>
          <w:rFonts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较上年支出数减少248.99万元，下降55.2%，主要原因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2024年根据财政管理要求，各事业单位分账套核算，机关运行经费统计口径与2023年不同，且2024年本着厉行节约的精神压减了部分开支</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497.92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494.51</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496.36万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99.69</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496.36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99.69</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lang w:eastAsia="zh-CN"/>
        </w:rPr>
        <w:t>回龙村美丽家园项目4</w:t>
      </w:r>
      <w:r>
        <w:rPr>
          <w:rFonts w:hint="eastAsia" w:ascii="方正仿宋_GBK" w:hAnsi="方正仿宋_GBK" w:eastAsia="方正仿宋_GBK" w:cs="方正仿宋_GBK"/>
          <w:color w:val="auto"/>
          <w:sz w:val="32"/>
          <w:szCs w:val="32"/>
          <w:shd w:val="clear" w:color="auto" w:fill="FFFFFF"/>
          <w:lang w:val="en-US" w:eastAsia="zh-CN"/>
        </w:rPr>
        <w:t>94.51万元，采购办公电脑等3.41万元。</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黑体" w:hAnsi="黑体" w:eastAsia="黑体" w:cs="黑体"/>
          <w:b w:val="0"/>
          <w:bCs/>
          <w:sz w:val="32"/>
          <w:szCs w:val="32"/>
          <w:shd w:val="clear" w:color="auto" w:fill="FFFFFF"/>
          <w:lang w:val="en-US" w:eastAsia="zh-CN" w:bidi="ar-SA"/>
        </w:rPr>
      </w:pPr>
      <w:r>
        <w:rPr>
          <w:rStyle w:val="8"/>
          <w:rFonts w:hint="eastAsia" w:ascii="黑体" w:hAnsi="黑体" w:eastAsia="黑体" w:cs="黑体"/>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30</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30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2203.40</w:t>
      </w:r>
      <w:r>
        <w:rPr>
          <w:rFonts w:hint="eastAsia" w:ascii="方正仿宋_GBK" w:hAnsi="方正仿宋_GBK" w:eastAsia="方正仿宋_GBK" w:cs="方正仿宋_GBK"/>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30</w:t>
      </w:r>
      <w:r>
        <w:rPr>
          <w:rFonts w:hint="eastAsia" w:ascii="方正仿宋_GBK" w:hAnsi="方正仿宋_GBK" w:eastAsia="方正仿宋_GBK" w:cs="方正仿宋_GBK"/>
          <w:kern w:val="0"/>
          <w:sz w:val="32"/>
          <w:szCs w:val="32"/>
          <w:shd w:val="clear" w:fill="FFFFFF"/>
        </w:rPr>
        <w:t>项目进行绩效自评，其中</w:t>
      </w:r>
      <w:r>
        <w:rPr>
          <w:rFonts w:hint="eastAsia" w:ascii="方正仿宋_GBK" w:hAnsi="方正仿宋_GBK" w:eastAsia="方正仿宋_GBK" w:cs="方正仿宋_GBK"/>
          <w:kern w:val="0"/>
          <w:sz w:val="32"/>
          <w:szCs w:val="32"/>
          <w:shd w:val="clear" w:fill="FFFFFF"/>
          <w:lang w:val="en-US" w:eastAsia="zh-CN"/>
        </w:rPr>
        <w:t>30</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leftChars="0" w:firstLine="640" w:firstLineChars="200"/>
        <w:textAlignment w:val="auto"/>
        <w:rPr>
          <w:rFonts w:hint="default" w:ascii="楷体" w:hAnsi="楷体" w:eastAsia="楷体" w:cs="楷体"/>
          <w:b w:val="0"/>
          <w:bCs w:val="0"/>
          <w:kern w:val="0"/>
          <w:sz w:val="32"/>
          <w:szCs w:val="32"/>
          <w:shd w:val="clear" w:fill="FFFFFF"/>
          <w:lang w:val="en-US" w:eastAsia="zh-CN" w:bidi="ar"/>
        </w:rPr>
      </w:pPr>
      <w:r>
        <w:rPr>
          <w:rFonts w:hint="eastAsia" w:ascii="楷体" w:hAnsi="楷体" w:eastAsia="楷体" w:cs="楷体"/>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w:t>
      </w:r>
      <w:bookmarkStart w:id="0" w:name="_GoBack"/>
      <w:bookmarkEnd w:id="0"/>
      <w:r>
        <w:rPr>
          <w:rFonts w:hint="eastAsia" w:ascii="方正仿宋_GBK" w:hAnsi="方正仿宋_GBK" w:eastAsia="方正仿宋_GBK" w:cs="方正仿宋_GBK"/>
          <w:b w:val="0"/>
          <w:bCs w:val="0"/>
          <w:kern w:val="0"/>
          <w:sz w:val="32"/>
          <w:szCs w:val="32"/>
          <w:shd w:val="clear" w:fill="FFFFFF"/>
          <w:lang w:val="en-US" w:eastAsia="zh-CN"/>
        </w:rPr>
        <w:t>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黑体" w:cs="黑体"/>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shd w:val="clear" w:fill="FFFFFF"/>
          <w:lang w:eastAsia="zh-CN"/>
        </w:rPr>
        <w:t>联系人：吴云胜</w:t>
      </w:r>
      <w:r>
        <w:rPr>
          <w:rFonts w:hint="eastAsia" w:ascii="方正仿宋_GBK" w:hAnsi="方正仿宋_GBK" w:eastAsia="方正仿宋_GBK" w:cs="方正仿宋_GBK"/>
          <w:b w:val="0"/>
          <w:bCs w:val="0"/>
          <w:color w:val="auto"/>
          <w:kern w:val="0"/>
          <w:sz w:val="32"/>
          <w:szCs w:val="32"/>
          <w:shd w:val="clear" w:fill="FFFFFF"/>
          <w:lang w:val="en-US" w:eastAsia="zh-CN"/>
        </w:rPr>
        <w:t xml:space="preserve"> 联系方式：</w:t>
      </w:r>
      <w:r>
        <w:rPr>
          <w:rFonts w:hint="eastAsia" w:ascii="方正仿宋_GBK" w:hAnsi="方正仿宋_GBK"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lang w:val="en-US" w:eastAsia="zh-CN"/>
        </w:rPr>
        <w:t>45511425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bCs/>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color="auto" w:fill="auto"/>
          <w:lang w:val="en-US" w:eastAsia="zh-CN"/>
        </w:rPr>
      </w:pPr>
      <w:r>
        <w:rPr>
          <w:rStyle w:val="11"/>
          <w:rFonts w:hint="eastAsia" w:ascii="方正仿宋_GBK" w:hAnsi="方正仿宋_GBK" w:eastAsia="方正仿宋_GBK" w:cs="方正仿宋_GBK"/>
          <w:b w:val="0"/>
          <w:bCs w:val="0"/>
          <w:sz w:val="32"/>
          <w:szCs w:val="32"/>
          <w:shd w:val="clear" w:color="auto" w:fill="auto"/>
          <w:lang w:val="en-US" w:eastAsia="zh-CN"/>
        </w:rPr>
        <w:t>附件：</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color="auto" w:fill="auto"/>
          <w:lang w:val="en-US" w:eastAsia="zh-CN"/>
        </w:rPr>
      </w:pPr>
      <w:r>
        <w:rPr>
          <w:rStyle w:val="11"/>
          <w:rFonts w:hint="eastAsia" w:ascii="方正仿宋_GBK" w:hAnsi="方正仿宋_GBK" w:eastAsia="方正仿宋_GBK" w:cs="方正仿宋_GBK"/>
          <w:b w:val="0"/>
          <w:bCs w:val="0"/>
          <w:sz w:val="32"/>
          <w:szCs w:val="32"/>
          <w:shd w:val="clear" w:color="auto" w:fill="auto"/>
          <w:lang w:val="en-US" w:eastAsia="zh-CN"/>
        </w:rPr>
        <w:t>1、重庆市铜梁区虎峰镇人民政府（本级）2024年度决算公开说明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color="auto" w:fill="auto"/>
          <w:lang w:val="en-US" w:eastAsia="zh-CN"/>
        </w:rPr>
      </w:pPr>
      <w:r>
        <w:rPr>
          <w:rStyle w:val="11"/>
          <w:rFonts w:hint="eastAsia" w:ascii="方正仿宋_GBK" w:hAnsi="方正仿宋_GBK" w:eastAsia="方正仿宋_GBK" w:cs="方正仿宋_GBK"/>
          <w:b w:val="0"/>
          <w:bCs w:val="0"/>
          <w:sz w:val="32"/>
          <w:szCs w:val="32"/>
          <w:shd w:val="clear" w:color="auto" w:fill="auto"/>
          <w:lang w:val="en-US" w:eastAsia="zh-CN"/>
        </w:rPr>
        <w:t>2、重庆市铜梁区虎峰镇人民政府（本级）2024年度决算公开报表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color="auto" w:fill="auto"/>
          <w:lang w:val="en-US" w:eastAsia="zh-CN"/>
        </w:rPr>
      </w:pPr>
      <w:r>
        <w:rPr>
          <w:rStyle w:val="11"/>
          <w:rFonts w:hint="eastAsia" w:ascii="方正仿宋_GBK" w:hAnsi="方正仿宋_GBK" w:eastAsia="方正仿宋_GBK" w:cs="方正仿宋_GBK"/>
          <w:b w:val="0"/>
          <w:bCs w:val="0"/>
          <w:sz w:val="32"/>
          <w:szCs w:val="32"/>
          <w:shd w:val="clear" w:color="auto" w:fill="auto"/>
          <w:lang w:val="en-US" w:eastAsia="zh-CN"/>
        </w:rPr>
        <w:t>3、重庆市铜梁区虎峰镇人民政府（本级）2024年度项目绩效自评表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bCs/>
          <w:sz w:val="32"/>
          <w:szCs w:val="32"/>
          <w:shd w:val="clear" w:color="auto" w:fill="auto"/>
          <w:lang w:val="en-US" w:eastAsia="zh-CN"/>
        </w:rPr>
      </w:pPr>
      <w:r>
        <w:rPr>
          <w:rStyle w:val="11"/>
          <w:rFonts w:hint="eastAsia" w:ascii="方正仿宋_GBK" w:hAnsi="方正仿宋_GBK" w:eastAsia="方正仿宋_GBK" w:cs="方正仿宋_GBK"/>
          <w:b/>
          <w:bCs/>
          <w:sz w:val="32"/>
          <w:szCs w:val="32"/>
          <w:shd w:val="clear" w:color="auto" w:fill="auto"/>
          <w:lang w:val="en-US" w:eastAsia="zh-CN"/>
        </w:rPr>
        <w:t xml:space="preserve">   </w:t>
      </w:r>
    </w:p>
    <w:sectPr>
      <w:headerReference r:id="rId3" w:type="default"/>
      <w:footerReference r:id="rId4" w:type="default"/>
      <w:pgSz w:w="11850" w:h="16783"/>
      <w:pgMar w:top="2098" w:right="1474" w:bottom="1984" w:left="1587" w:header="0" w:footer="1134"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550ABE"/>
    <w:rsid w:val="007B419D"/>
    <w:rsid w:val="009B67B8"/>
    <w:rsid w:val="00B03CCD"/>
    <w:rsid w:val="00FE7556"/>
    <w:rsid w:val="01474EBF"/>
    <w:rsid w:val="01F3521E"/>
    <w:rsid w:val="024F3527"/>
    <w:rsid w:val="028975AE"/>
    <w:rsid w:val="03E3214F"/>
    <w:rsid w:val="04313242"/>
    <w:rsid w:val="04446191"/>
    <w:rsid w:val="044C50BA"/>
    <w:rsid w:val="06A2550B"/>
    <w:rsid w:val="06E5236E"/>
    <w:rsid w:val="06F80EE2"/>
    <w:rsid w:val="07001CCA"/>
    <w:rsid w:val="075678DB"/>
    <w:rsid w:val="08051BCA"/>
    <w:rsid w:val="08887FC5"/>
    <w:rsid w:val="08B84F60"/>
    <w:rsid w:val="08BA052C"/>
    <w:rsid w:val="08DB07BA"/>
    <w:rsid w:val="096D53CC"/>
    <w:rsid w:val="098305D0"/>
    <w:rsid w:val="09B72B6E"/>
    <w:rsid w:val="0A3851D8"/>
    <w:rsid w:val="0A5C4B69"/>
    <w:rsid w:val="0AEC3BC7"/>
    <w:rsid w:val="0B4A44D5"/>
    <w:rsid w:val="0B9335CE"/>
    <w:rsid w:val="0C7927C4"/>
    <w:rsid w:val="0C9B098C"/>
    <w:rsid w:val="0CC87775"/>
    <w:rsid w:val="0D11728C"/>
    <w:rsid w:val="0D673E11"/>
    <w:rsid w:val="0DB50EFE"/>
    <w:rsid w:val="0DBA406A"/>
    <w:rsid w:val="0DDA54E4"/>
    <w:rsid w:val="0E3A5F83"/>
    <w:rsid w:val="0F836721"/>
    <w:rsid w:val="103645A3"/>
    <w:rsid w:val="107B59E5"/>
    <w:rsid w:val="11003CB0"/>
    <w:rsid w:val="111445C7"/>
    <w:rsid w:val="1158083A"/>
    <w:rsid w:val="11F03528"/>
    <w:rsid w:val="12083B55"/>
    <w:rsid w:val="12C921C4"/>
    <w:rsid w:val="13850DCB"/>
    <w:rsid w:val="13871C70"/>
    <w:rsid w:val="13A71CB4"/>
    <w:rsid w:val="13AF1D43"/>
    <w:rsid w:val="13C643C6"/>
    <w:rsid w:val="13CE1647"/>
    <w:rsid w:val="141A11EA"/>
    <w:rsid w:val="14200702"/>
    <w:rsid w:val="14651130"/>
    <w:rsid w:val="148E377E"/>
    <w:rsid w:val="1580711B"/>
    <w:rsid w:val="189B0D0B"/>
    <w:rsid w:val="18D21BDA"/>
    <w:rsid w:val="194A1770"/>
    <w:rsid w:val="19917D9C"/>
    <w:rsid w:val="19B906A4"/>
    <w:rsid w:val="1A1F744B"/>
    <w:rsid w:val="1A4854EC"/>
    <w:rsid w:val="1B690438"/>
    <w:rsid w:val="1B6F15B6"/>
    <w:rsid w:val="1BAA2EDC"/>
    <w:rsid w:val="1C47643B"/>
    <w:rsid w:val="1CE157EE"/>
    <w:rsid w:val="1D014A01"/>
    <w:rsid w:val="1D022362"/>
    <w:rsid w:val="1D187DD7"/>
    <w:rsid w:val="1DD26311"/>
    <w:rsid w:val="1EF67CA4"/>
    <w:rsid w:val="1FCD26AF"/>
    <w:rsid w:val="20642787"/>
    <w:rsid w:val="20D64653"/>
    <w:rsid w:val="21556F04"/>
    <w:rsid w:val="21927E8A"/>
    <w:rsid w:val="21DA611C"/>
    <w:rsid w:val="22403BD3"/>
    <w:rsid w:val="243857A5"/>
    <w:rsid w:val="24932670"/>
    <w:rsid w:val="24B92327"/>
    <w:rsid w:val="2533755C"/>
    <w:rsid w:val="26396DF4"/>
    <w:rsid w:val="270642A6"/>
    <w:rsid w:val="27167136"/>
    <w:rsid w:val="27B23302"/>
    <w:rsid w:val="28D3440D"/>
    <w:rsid w:val="291735DF"/>
    <w:rsid w:val="29310A5F"/>
    <w:rsid w:val="29C37A35"/>
    <w:rsid w:val="29C95E09"/>
    <w:rsid w:val="2A076083"/>
    <w:rsid w:val="2A73162E"/>
    <w:rsid w:val="2B167953"/>
    <w:rsid w:val="2B200583"/>
    <w:rsid w:val="2B8209DE"/>
    <w:rsid w:val="2C161D32"/>
    <w:rsid w:val="2C2D3EC7"/>
    <w:rsid w:val="2C6762A3"/>
    <w:rsid w:val="2D8D2A49"/>
    <w:rsid w:val="2E5977D4"/>
    <w:rsid w:val="2FE029D7"/>
    <w:rsid w:val="2FF06E00"/>
    <w:rsid w:val="315D199F"/>
    <w:rsid w:val="315F0B22"/>
    <w:rsid w:val="31D84415"/>
    <w:rsid w:val="32285F6F"/>
    <w:rsid w:val="32770556"/>
    <w:rsid w:val="329C0913"/>
    <w:rsid w:val="3337290D"/>
    <w:rsid w:val="3529097C"/>
    <w:rsid w:val="352930DB"/>
    <w:rsid w:val="35573069"/>
    <w:rsid w:val="358C217E"/>
    <w:rsid w:val="359F188C"/>
    <w:rsid w:val="362D2433"/>
    <w:rsid w:val="36441D18"/>
    <w:rsid w:val="36C9128A"/>
    <w:rsid w:val="3738196F"/>
    <w:rsid w:val="37841E99"/>
    <w:rsid w:val="37BF1123"/>
    <w:rsid w:val="37F26E25"/>
    <w:rsid w:val="383C073C"/>
    <w:rsid w:val="38BE4696"/>
    <w:rsid w:val="39166507"/>
    <w:rsid w:val="39AE1450"/>
    <w:rsid w:val="39B82A39"/>
    <w:rsid w:val="39F33306"/>
    <w:rsid w:val="3B1705E5"/>
    <w:rsid w:val="3B18334B"/>
    <w:rsid w:val="3B36794F"/>
    <w:rsid w:val="3B544954"/>
    <w:rsid w:val="3BB17E26"/>
    <w:rsid w:val="3BBF6D9E"/>
    <w:rsid w:val="3BF014AD"/>
    <w:rsid w:val="3C6A5B02"/>
    <w:rsid w:val="3D2757A1"/>
    <w:rsid w:val="3D3D4FC4"/>
    <w:rsid w:val="3D700015"/>
    <w:rsid w:val="3DDB383D"/>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5693E"/>
    <w:rsid w:val="415C674B"/>
    <w:rsid w:val="426C1EA8"/>
    <w:rsid w:val="42E86A87"/>
    <w:rsid w:val="43136432"/>
    <w:rsid w:val="43770A38"/>
    <w:rsid w:val="443A3B12"/>
    <w:rsid w:val="44A854C2"/>
    <w:rsid w:val="44DD597D"/>
    <w:rsid w:val="45563952"/>
    <w:rsid w:val="465B470D"/>
    <w:rsid w:val="469D6AD4"/>
    <w:rsid w:val="46FC41C7"/>
    <w:rsid w:val="47674801"/>
    <w:rsid w:val="47C44780"/>
    <w:rsid w:val="48225EF7"/>
    <w:rsid w:val="495C4A24"/>
    <w:rsid w:val="4AD70EE7"/>
    <w:rsid w:val="4B7951CB"/>
    <w:rsid w:val="4B7C315C"/>
    <w:rsid w:val="4BAB7F90"/>
    <w:rsid w:val="4DA57899"/>
    <w:rsid w:val="4DAC4ACA"/>
    <w:rsid w:val="4F186D58"/>
    <w:rsid w:val="4FEF67D2"/>
    <w:rsid w:val="4FF956BD"/>
    <w:rsid w:val="50CA2BBB"/>
    <w:rsid w:val="50EC262C"/>
    <w:rsid w:val="522F6E0C"/>
    <w:rsid w:val="52463BA1"/>
    <w:rsid w:val="53C0244D"/>
    <w:rsid w:val="53DD4D4E"/>
    <w:rsid w:val="53E578CE"/>
    <w:rsid w:val="543B029D"/>
    <w:rsid w:val="545D0246"/>
    <w:rsid w:val="54CF2021"/>
    <w:rsid w:val="55480552"/>
    <w:rsid w:val="554E5773"/>
    <w:rsid w:val="555A3CBC"/>
    <w:rsid w:val="56530F5D"/>
    <w:rsid w:val="568B3B43"/>
    <w:rsid w:val="5842572D"/>
    <w:rsid w:val="59403CBE"/>
    <w:rsid w:val="5950220A"/>
    <w:rsid w:val="5AE75037"/>
    <w:rsid w:val="5B58571C"/>
    <w:rsid w:val="5B8376C2"/>
    <w:rsid w:val="5B96133A"/>
    <w:rsid w:val="5BCD4831"/>
    <w:rsid w:val="5C1336B7"/>
    <w:rsid w:val="5C263CE4"/>
    <w:rsid w:val="5C5D2777"/>
    <w:rsid w:val="5CD32DF8"/>
    <w:rsid w:val="5D290C69"/>
    <w:rsid w:val="5D537F41"/>
    <w:rsid w:val="5EA1549F"/>
    <w:rsid w:val="5EFA176D"/>
    <w:rsid w:val="5F0247F9"/>
    <w:rsid w:val="5F2D4A41"/>
    <w:rsid w:val="601C34ED"/>
    <w:rsid w:val="60A958A9"/>
    <w:rsid w:val="60D22ADB"/>
    <w:rsid w:val="61025A59"/>
    <w:rsid w:val="613D5BBC"/>
    <w:rsid w:val="614B7B86"/>
    <w:rsid w:val="61536C39"/>
    <w:rsid w:val="6276587C"/>
    <w:rsid w:val="628230A6"/>
    <w:rsid w:val="62944DD7"/>
    <w:rsid w:val="62AB52B7"/>
    <w:rsid w:val="634D1435"/>
    <w:rsid w:val="63C25DC5"/>
    <w:rsid w:val="63C62057"/>
    <w:rsid w:val="63C73832"/>
    <w:rsid w:val="64FB113D"/>
    <w:rsid w:val="654E4D38"/>
    <w:rsid w:val="655C29BA"/>
    <w:rsid w:val="656152C6"/>
    <w:rsid w:val="6587477F"/>
    <w:rsid w:val="658C3A08"/>
    <w:rsid w:val="65C031CA"/>
    <w:rsid w:val="65CE6852"/>
    <w:rsid w:val="66267C04"/>
    <w:rsid w:val="663F505A"/>
    <w:rsid w:val="665C1999"/>
    <w:rsid w:val="667F2393"/>
    <w:rsid w:val="66EE5541"/>
    <w:rsid w:val="67787679"/>
    <w:rsid w:val="692172FD"/>
    <w:rsid w:val="6A3829EE"/>
    <w:rsid w:val="6A6E7611"/>
    <w:rsid w:val="6B474EF5"/>
    <w:rsid w:val="6C560CAE"/>
    <w:rsid w:val="6CCF5D35"/>
    <w:rsid w:val="6D0615E4"/>
    <w:rsid w:val="6D903FF5"/>
    <w:rsid w:val="6DA955B8"/>
    <w:rsid w:val="6DE346AB"/>
    <w:rsid w:val="6EF334FB"/>
    <w:rsid w:val="6F7F6A2D"/>
    <w:rsid w:val="6FB442D1"/>
    <w:rsid w:val="6FFB2E76"/>
    <w:rsid w:val="71C34D91"/>
    <w:rsid w:val="71ED38AA"/>
    <w:rsid w:val="720229AA"/>
    <w:rsid w:val="724C17B7"/>
    <w:rsid w:val="72DB435C"/>
    <w:rsid w:val="741F7013"/>
    <w:rsid w:val="750837F0"/>
    <w:rsid w:val="764F62AB"/>
    <w:rsid w:val="765C45EC"/>
    <w:rsid w:val="768A7619"/>
    <w:rsid w:val="76E14979"/>
    <w:rsid w:val="77EA362A"/>
    <w:rsid w:val="7875383E"/>
    <w:rsid w:val="796D60A4"/>
    <w:rsid w:val="79A031D5"/>
    <w:rsid w:val="79EF1E68"/>
    <w:rsid w:val="7A1525F7"/>
    <w:rsid w:val="7A3E6CB6"/>
    <w:rsid w:val="7A680D2D"/>
    <w:rsid w:val="7B084641"/>
    <w:rsid w:val="7B260559"/>
    <w:rsid w:val="7B420052"/>
    <w:rsid w:val="7B5431F5"/>
    <w:rsid w:val="7BD06A28"/>
    <w:rsid w:val="7BDF4B3B"/>
    <w:rsid w:val="7BF378AF"/>
    <w:rsid w:val="7C1E4CD7"/>
    <w:rsid w:val="7C3A7C0B"/>
    <w:rsid w:val="7C5248E4"/>
    <w:rsid w:val="7C566698"/>
    <w:rsid w:val="7D427AE5"/>
    <w:rsid w:val="7FA73F44"/>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5</TotalTime>
  <ScaleCrop>false</ScaleCrop>
  <LinksUpToDate>false</LinksUpToDate>
  <CharactersWithSpaces>21460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2025-10-17T01:13:24Z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9EDAFD8FD9424A54844071572B3E9A06_13</vt:lpwstr>
  </property>
</Properties>
</file>