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3228C">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重庆市铜梁区华兴镇文化服务中心</w:t>
      </w:r>
    </w:p>
    <w:p w14:paraId="525DB187">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14:paraId="5BEE2AC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一、</w:t>
      </w:r>
      <w:r>
        <w:rPr>
          <w:rStyle w:val="9"/>
          <w:rFonts w:hint="eastAsia" w:ascii="黑体" w:hAnsi="黑体" w:eastAsia="黑体" w:cs="黑体"/>
          <w:b w:val="0"/>
          <w:bCs/>
          <w:sz w:val="32"/>
          <w:szCs w:val="32"/>
          <w:shd w:val="clear" w:color="auto" w:fill="FFFFFF"/>
          <w:lang w:eastAsia="zh-CN"/>
        </w:rPr>
        <w:t>单位</w:t>
      </w:r>
      <w:r>
        <w:rPr>
          <w:rStyle w:val="9"/>
          <w:rFonts w:ascii="黑体" w:hAnsi="黑体" w:eastAsia="黑体" w:cs="黑体"/>
          <w:b w:val="0"/>
          <w:bCs/>
          <w:sz w:val="32"/>
          <w:szCs w:val="32"/>
          <w:shd w:val="clear" w:color="auto" w:fill="FFFFFF"/>
        </w:rPr>
        <w:t>基本情况</w:t>
      </w:r>
    </w:p>
    <w:p w14:paraId="3EA74BB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（一）职能职责</w:t>
      </w:r>
    </w:p>
    <w:p w14:paraId="6062B456">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承担文化旅游、宣传、广播电视、体育、科技培训等方面服务工作。管理农村文艺演出活动和文化市场，非物质文化遗产搜集、整理等，完成主管部门交办的其他任务。</w:t>
      </w:r>
    </w:p>
    <w:p w14:paraId="31F45EE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（二）机构设置</w:t>
      </w:r>
    </w:p>
    <w:p w14:paraId="2A5A5AD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方正仿宋_GBK" w:hAnsi="方正仿宋_GBK" w:eastAsia="方正仿宋_GBK" w:cs="方正仿宋_GBK"/>
          <w:b w:val="0"/>
          <w:bCs/>
          <w:sz w:val="32"/>
          <w:szCs w:val="32"/>
          <w:shd w:val="clear" w:color="auto" w:fill="FFFFFF"/>
        </w:rPr>
      </w:pPr>
      <w:r>
        <w:rPr>
          <w:rStyle w:val="14"/>
          <w:rFonts w:hint="eastAsia" w:ascii="方正仿宋_GBK" w:hAnsi="方正仿宋_GBK" w:eastAsia="方正仿宋_GBK" w:cs="方正仿宋_GBK"/>
          <w:b w:val="0"/>
          <w:bCs/>
          <w:sz w:val="32"/>
          <w:szCs w:val="32"/>
          <w:shd w:val="clear" w:color="auto" w:fill="FFFFFF"/>
        </w:rPr>
        <w:t>重庆市铜梁区华兴镇人民政府</w:t>
      </w:r>
      <w:r>
        <w:rPr>
          <w:rFonts w:hint="eastAsia" w:ascii="方正仿宋_GBK" w:hAnsi="方正仿宋_GBK" w:eastAsia="方正仿宋_GBK" w:cs="方正仿宋_GBK"/>
          <w:kern w:val="16"/>
          <w:sz w:val="32"/>
          <w:szCs w:val="32"/>
        </w:rPr>
        <w:t>共有机构8个，其中政府机关1个，事业单位有</w:t>
      </w:r>
      <w:r>
        <w:rPr>
          <w:rStyle w:val="14"/>
          <w:rFonts w:hint="eastAsia" w:ascii="方正仿宋_GBK" w:hAnsi="方正仿宋_GBK" w:eastAsia="方正仿宋_GBK" w:cs="方正仿宋_GBK"/>
          <w:b w:val="0"/>
          <w:bCs/>
          <w:sz w:val="32"/>
          <w:szCs w:val="32"/>
          <w:shd w:val="clear" w:color="auto" w:fill="FFFFFF"/>
        </w:rPr>
        <w:t>农业服务中心、文化服务中心、劳动就业和社会保障服务所、退役军人服务站、综合行政执法大队、乡村产业培育中心、乡村生态治理中心共7个单位。</w:t>
      </w:r>
    </w:p>
    <w:p w14:paraId="33F4746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二、</w:t>
      </w:r>
      <w:r>
        <w:rPr>
          <w:rStyle w:val="9"/>
          <w:rFonts w:hint="eastAsia" w:ascii="黑体" w:hAnsi="黑体" w:eastAsia="黑体" w:cs="黑体"/>
          <w:b w:val="0"/>
          <w:bCs/>
          <w:sz w:val="32"/>
          <w:szCs w:val="32"/>
          <w:shd w:val="clear" w:color="auto" w:fill="FFFFFF"/>
          <w:lang w:eastAsia="zh-CN"/>
        </w:rPr>
        <w:t>单位</w:t>
      </w:r>
      <w:r>
        <w:rPr>
          <w:rStyle w:val="9"/>
          <w:rFonts w:hint="eastAsia" w:ascii="黑体" w:hAnsi="黑体" w:eastAsia="黑体" w:cs="黑体"/>
          <w:b w:val="0"/>
          <w:bCs/>
          <w:sz w:val="32"/>
          <w:szCs w:val="32"/>
          <w:shd w:val="clear" w:color="auto" w:fill="FFFFFF"/>
        </w:rPr>
        <w:t>决算</w:t>
      </w:r>
      <w:r>
        <w:rPr>
          <w:rStyle w:val="9"/>
          <w:rFonts w:hint="eastAsia" w:ascii="黑体" w:hAnsi="黑体" w:eastAsia="黑体" w:cs="黑体"/>
          <w:b w:val="0"/>
          <w:bCs/>
          <w:sz w:val="32"/>
          <w:szCs w:val="32"/>
          <w:shd w:val="clear" w:color="auto" w:fill="FFFFFF"/>
          <w:lang w:eastAsia="zh-CN"/>
        </w:rPr>
        <w:t>收支</w:t>
      </w:r>
      <w:r>
        <w:rPr>
          <w:rStyle w:val="9"/>
          <w:rFonts w:hint="eastAsia" w:ascii="黑体" w:hAnsi="黑体" w:eastAsia="黑体" w:cs="黑体"/>
          <w:b w:val="0"/>
          <w:bCs/>
          <w:sz w:val="32"/>
          <w:szCs w:val="32"/>
          <w:shd w:val="clear" w:color="auto" w:fill="FFFFFF"/>
        </w:rPr>
        <w:t>情况说明</w:t>
      </w:r>
    </w:p>
    <w:p w14:paraId="68D6F67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14:paraId="737C18EA">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度收入总计69.42万元，支出总计</w:t>
      </w:r>
      <w:r>
        <w:rPr>
          <w:rFonts w:hint="eastAsia" w:ascii="方正仿宋_GBK" w:hAnsi="方正仿宋_GBK" w:eastAsia="方正仿宋_GBK" w:cs="方正仿宋_GBK"/>
          <w:b w:val="0"/>
          <w:bCs/>
          <w:sz w:val="32"/>
          <w:szCs w:val="32"/>
        </w:rPr>
        <w:t>69.42</w:t>
      </w:r>
      <w:r>
        <w:rPr>
          <w:rFonts w:hint="eastAsia" w:ascii="方正仿宋_GBK" w:hAnsi="方正仿宋_GBK" w:eastAsia="方正仿宋_GBK" w:cs="方正仿宋_GBK"/>
          <w:b w:val="0"/>
          <w:bCs/>
          <w:sz w:val="32"/>
          <w:szCs w:val="32"/>
          <w:shd w:val="clear" w:color="auto" w:fill="FFFFFF"/>
        </w:rPr>
        <w:t>万元。收、支与202</w:t>
      </w:r>
      <w:r>
        <w:rPr>
          <w:rFonts w:hint="eastAsia" w:ascii="方正仿宋_GBK" w:hAnsi="方正仿宋_GBK" w:eastAsia="方正仿宋_GBK" w:cs="方正仿宋_GBK"/>
          <w:sz w:val="32"/>
          <w:szCs w:val="32"/>
          <w:shd w:val="clear" w:color="auto" w:fill="FFFFFF"/>
        </w:rPr>
        <w:t>3年度相比，增加69.42万元，增长100.0%，主要原因是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w:t>
      </w:r>
      <w:r>
        <w:rPr>
          <w:rFonts w:hint="eastAsia" w:ascii="方正仿宋_GBK" w:hAnsi="方正仿宋_GBK" w:eastAsia="方正仿宋_GBK" w:cs="方正仿宋_GBK"/>
          <w:i w:val="0"/>
          <w:iCs w:val="0"/>
          <w:caps w:val="0"/>
          <w:color w:val="000000"/>
          <w:spacing w:val="0"/>
          <w:sz w:val="32"/>
          <w:szCs w:val="32"/>
          <w:shd w:val="clear" w:fill="FAFAFA"/>
          <w:lang w:eastAsia="zh-CN"/>
        </w:rPr>
        <w:t>、支出</w:t>
      </w:r>
      <w:r>
        <w:rPr>
          <w:rFonts w:hint="eastAsia" w:ascii="方正仿宋_GBK" w:hAnsi="方正仿宋_GBK" w:eastAsia="方正仿宋_GBK" w:cs="方正仿宋_GBK"/>
          <w:i w:val="0"/>
          <w:iCs w:val="0"/>
          <w:caps w:val="0"/>
          <w:color w:val="000000"/>
          <w:spacing w:val="0"/>
          <w:sz w:val="32"/>
          <w:szCs w:val="32"/>
          <w:shd w:val="clear" w:fill="FAFAFA"/>
        </w:rPr>
        <w:t>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p>
    <w:p w14:paraId="7FB8338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度收入合计69.42万元，与2023年度相比，增加69.42万元，</w:t>
      </w:r>
      <w:r>
        <w:rPr>
          <w:rFonts w:hint="eastAsia" w:ascii="方正仿宋_GBK" w:hAnsi="方正仿宋_GBK" w:eastAsia="方正仿宋_GBK" w:cs="方正仿宋_GBK"/>
          <w:sz w:val="32"/>
          <w:szCs w:val="32"/>
          <w:shd w:val="clear" w:color="auto" w:fill="FFFFFF"/>
        </w:rPr>
        <w:t>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69.42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万元，占0.0%；经营收入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万元，占0.0%；其他收入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万元，占0.0%。此外，使用非财政拨款结余和专用结余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739F7C42">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度支出合计</w:t>
      </w:r>
      <w:r>
        <w:rPr>
          <w:rFonts w:hint="eastAsia" w:ascii="方正仿宋_GBK" w:hAnsi="方正仿宋_GBK" w:eastAsia="方正仿宋_GBK" w:cs="方正仿宋_GBK"/>
          <w:b w:val="0"/>
          <w:bCs/>
          <w:sz w:val="32"/>
          <w:szCs w:val="32"/>
        </w:rPr>
        <w:t>69.42</w:t>
      </w:r>
      <w:r>
        <w:rPr>
          <w:rFonts w:hint="eastAsia" w:ascii="方正仿宋_GBK" w:hAnsi="方正仿宋_GBK" w:eastAsia="方正仿宋_GBK" w:cs="方正仿宋_GBK"/>
          <w:b w:val="0"/>
          <w:bCs/>
          <w:sz w:val="32"/>
          <w:szCs w:val="32"/>
          <w:shd w:val="clear" w:color="auto" w:fill="FFFFFF"/>
        </w:rPr>
        <w:t>万元，与2023年度相比，增加6</w:t>
      </w:r>
      <w:r>
        <w:rPr>
          <w:rFonts w:hint="eastAsia" w:ascii="方正仿宋_GBK" w:hAnsi="方正仿宋_GBK" w:eastAsia="方正仿宋_GBK" w:cs="方正仿宋_GBK"/>
          <w:sz w:val="32"/>
          <w:szCs w:val="32"/>
          <w:shd w:val="clear" w:color="auto" w:fill="FFFFFF"/>
        </w:rPr>
        <w:t>9.42万元，增长100.0%，主要原因是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i w:val="0"/>
          <w:iCs w:val="0"/>
          <w:caps w:val="0"/>
          <w:color w:val="000000"/>
          <w:spacing w:val="0"/>
          <w:sz w:val="32"/>
          <w:szCs w:val="32"/>
          <w:shd w:val="clear" w:fill="FAFAFA"/>
          <w:lang w:eastAsia="zh-CN"/>
        </w:rPr>
        <w:t>支出</w:t>
      </w:r>
      <w:r>
        <w:rPr>
          <w:rFonts w:hint="eastAsia" w:ascii="方正仿宋_GBK" w:hAnsi="方正仿宋_GBK" w:eastAsia="方正仿宋_GBK" w:cs="方正仿宋_GBK"/>
          <w:i w:val="0"/>
          <w:iCs w:val="0"/>
          <w:caps w:val="0"/>
          <w:color w:val="000000"/>
          <w:spacing w:val="0"/>
          <w:sz w:val="32"/>
          <w:szCs w:val="32"/>
          <w:shd w:val="clear" w:fill="FAFAFA"/>
        </w:rPr>
        <w:t>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rPr>
        <w:t>67.49</w:t>
      </w:r>
      <w:r>
        <w:rPr>
          <w:rFonts w:hint="eastAsia" w:ascii="方正仿宋_GBK" w:hAnsi="方正仿宋_GBK" w:eastAsia="方正仿宋_GBK" w:cs="方正仿宋_GBK"/>
          <w:sz w:val="32"/>
          <w:szCs w:val="32"/>
          <w:shd w:val="clear" w:color="auto" w:fill="FFFFFF"/>
        </w:rPr>
        <w:t>万元，占97.1%；项目支出</w:t>
      </w:r>
      <w:r>
        <w:rPr>
          <w:rFonts w:hint="eastAsia" w:ascii="方正仿宋_GBK" w:hAnsi="方正仿宋_GBK" w:eastAsia="方正仿宋_GBK" w:cs="方正仿宋_GBK"/>
          <w:sz w:val="32"/>
          <w:szCs w:val="32"/>
        </w:rPr>
        <w:t>1.93</w:t>
      </w:r>
      <w:r>
        <w:rPr>
          <w:rFonts w:hint="eastAsia" w:ascii="方正仿宋_GBK" w:hAnsi="方正仿宋_GBK" w:eastAsia="方正仿宋_GBK" w:cs="方正仿宋_GBK"/>
          <w:sz w:val="32"/>
          <w:szCs w:val="32"/>
          <w:shd w:val="clear" w:color="auto" w:fill="FFFFFF"/>
        </w:rPr>
        <w:t>万元，占2.</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%；经营支出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万元，占0.0%。此外，结余分配</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76AC0259">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Style w:val="9"/>
          <w:rFonts w:hint="eastAsia"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度年末结转和结余</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305751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（二）财政拨款收入支出决算总体情况说明</w:t>
      </w:r>
    </w:p>
    <w:p w14:paraId="1A7CF5D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度财政拨款收、支总计69.42万元。与202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年相比，财政拨款收、支总计各增加69.42万元，增长100.0%。主要原因是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w:t>
      </w:r>
      <w:r>
        <w:rPr>
          <w:rFonts w:hint="eastAsia" w:ascii="方正仿宋_GBK" w:hAnsi="方正仿宋_GBK" w:eastAsia="方正仿宋_GBK" w:cs="方正仿宋_GBK"/>
          <w:i w:val="0"/>
          <w:iCs w:val="0"/>
          <w:caps w:val="0"/>
          <w:color w:val="000000"/>
          <w:spacing w:val="0"/>
          <w:sz w:val="32"/>
          <w:szCs w:val="32"/>
          <w:shd w:val="clear" w:fill="FAFAFA"/>
          <w:lang w:eastAsia="zh-CN"/>
        </w:rPr>
        <w:t>、支出</w:t>
      </w:r>
      <w:r>
        <w:rPr>
          <w:rFonts w:hint="eastAsia" w:ascii="方正仿宋_GBK" w:hAnsi="方正仿宋_GBK" w:eastAsia="方正仿宋_GBK" w:cs="方正仿宋_GBK"/>
          <w:i w:val="0"/>
          <w:iCs w:val="0"/>
          <w:caps w:val="0"/>
          <w:color w:val="000000"/>
          <w:spacing w:val="0"/>
          <w:sz w:val="32"/>
          <w:szCs w:val="32"/>
          <w:shd w:val="clear" w:fill="FAFAFA"/>
        </w:rPr>
        <w:t>为0，故本年度</w:t>
      </w:r>
      <w:r>
        <w:rPr>
          <w:rStyle w:val="9"/>
          <w:rFonts w:hint="eastAsia" w:ascii="方正仿宋_GBK" w:hAnsi="方正仿宋_GBK" w:eastAsia="方正仿宋_GBK" w:cs="方正仿宋_GBK"/>
          <w:b w:val="0"/>
          <w:bCs/>
          <w:sz w:val="32"/>
          <w:szCs w:val="32"/>
          <w:shd w:val="clear" w:color="auto" w:fill="FFFFFF"/>
        </w:rPr>
        <w:t>增长</w:t>
      </w:r>
      <w:r>
        <w:rPr>
          <w:rFonts w:hint="eastAsia" w:ascii="方正仿宋_GBK" w:hAnsi="方正仿宋_GBK" w:eastAsia="方正仿宋_GBK" w:cs="方正仿宋_GBK"/>
          <w:i w:val="0"/>
          <w:iCs w:val="0"/>
          <w:caps w:val="0"/>
          <w:color w:val="000000"/>
          <w:spacing w:val="0"/>
          <w:sz w:val="32"/>
          <w:szCs w:val="32"/>
          <w:shd w:val="clear" w:fill="FAFAFA"/>
        </w:rPr>
        <w:t>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p>
    <w:p w14:paraId="572ABA8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3A0A328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w:t>
      </w:r>
      <w:r>
        <w:rPr>
          <w:rFonts w:hint="eastAsia" w:ascii="方正仿宋_GBK" w:hAnsi="方正仿宋_GBK" w:eastAsia="方正仿宋_GBK" w:cs="方正仿宋_GBK"/>
          <w:sz w:val="32"/>
          <w:szCs w:val="32"/>
          <w:shd w:val="clear" w:color="auto" w:fill="FFFFFF"/>
          <w:lang w:eastAsia="zh-CN"/>
        </w:rPr>
        <w:t>024年</w:t>
      </w:r>
      <w:r>
        <w:rPr>
          <w:rFonts w:hint="eastAsia" w:ascii="方正仿宋_GBK" w:hAnsi="方正仿宋_GBK" w:eastAsia="方正仿宋_GBK" w:cs="方正仿宋_GBK"/>
          <w:sz w:val="32"/>
          <w:szCs w:val="32"/>
          <w:shd w:val="clear" w:color="auto" w:fill="FFFFFF"/>
        </w:rPr>
        <w:t>度一般公共预算财政拨款收入</w:t>
      </w:r>
      <w:r>
        <w:rPr>
          <w:rFonts w:hint="eastAsia" w:ascii="方正仿宋_GBK" w:hAnsi="方正仿宋_GBK" w:eastAsia="方正仿宋_GBK" w:cs="方正仿宋_GBK"/>
          <w:sz w:val="32"/>
          <w:szCs w:val="32"/>
        </w:rPr>
        <w:t>69.42</w:t>
      </w:r>
      <w:r>
        <w:rPr>
          <w:rFonts w:hint="eastAsia" w:ascii="方正仿宋_GBK" w:hAnsi="方正仿宋_GBK" w:eastAsia="方正仿宋_GBK" w:cs="方正仿宋_GBK"/>
          <w:sz w:val="32"/>
          <w:szCs w:val="32"/>
          <w:shd w:val="clear" w:color="auto" w:fill="FFFFFF"/>
        </w:rPr>
        <w:t>万元，与2023年度相比，增加69.42万元，增长100.0%。主要原因是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本单位上年度未单独核算，一般公共预算财政拨款</w:t>
      </w:r>
      <w:r>
        <w:rPr>
          <w:rFonts w:hint="eastAsia" w:ascii="方正仿宋_GBK" w:hAnsi="方正仿宋_GBK" w:eastAsia="方正仿宋_GBK" w:cs="方正仿宋_GBK"/>
          <w:i w:val="0"/>
          <w:iCs w:val="0"/>
          <w:caps w:val="0"/>
          <w:color w:val="000000"/>
          <w:spacing w:val="0"/>
          <w:sz w:val="32"/>
          <w:szCs w:val="32"/>
          <w:shd w:val="clear" w:fill="FAFAFA"/>
          <w:lang w:eastAsia="zh-CN"/>
        </w:rPr>
        <w:t>收入</w:t>
      </w:r>
      <w:r>
        <w:rPr>
          <w:rFonts w:hint="eastAsia" w:ascii="方正仿宋_GBK" w:hAnsi="方正仿宋_GBK" w:eastAsia="方正仿宋_GBK" w:cs="方正仿宋_GBK"/>
          <w:i w:val="0"/>
          <w:iCs w:val="0"/>
          <w:caps w:val="0"/>
          <w:color w:val="000000"/>
          <w:spacing w:val="0"/>
          <w:sz w:val="32"/>
          <w:szCs w:val="32"/>
          <w:shd w:val="clear" w:fill="FAFAFA"/>
        </w:rPr>
        <w:t>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较年初预算数减少3.49万元，下降4.8%。主要原因是</w:t>
      </w:r>
      <w:r>
        <w:rPr>
          <w:rFonts w:hint="eastAsia" w:ascii="方正仿宋_GBK" w:hAnsi="方正仿宋_GBK" w:eastAsia="方正仿宋_GBK" w:cs="方正仿宋_GBK"/>
          <w:sz w:val="32"/>
          <w:szCs w:val="32"/>
          <w:shd w:val="clear" w:color="auto" w:fill="FFFFFF"/>
          <w:lang w:eastAsia="zh-CN"/>
        </w:rPr>
        <w:t>财政资金紧张，压减预算。</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2089E97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w:t>
      </w:r>
      <w:r>
        <w:rPr>
          <w:rFonts w:hint="eastAsia" w:ascii="方正仿宋_GBK" w:hAnsi="方正仿宋_GBK" w:eastAsia="方正仿宋_GBK" w:cs="方正仿宋_GBK"/>
          <w:b w:val="0"/>
          <w:bCs/>
          <w:sz w:val="32"/>
          <w:szCs w:val="32"/>
        </w:rPr>
        <w:t>69.42</w:t>
      </w:r>
      <w:r>
        <w:rPr>
          <w:rFonts w:hint="eastAsia" w:ascii="方正仿宋_GBK" w:hAnsi="方正仿宋_GBK" w:eastAsia="方正仿宋_GBK" w:cs="方正仿宋_GBK"/>
          <w:b w:val="0"/>
          <w:bCs/>
          <w:sz w:val="32"/>
          <w:szCs w:val="32"/>
          <w:shd w:val="clear" w:color="auto" w:fill="FFFFFF"/>
        </w:rPr>
        <w:t>万元，与2023年</w:t>
      </w:r>
      <w:r>
        <w:rPr>
          <w:rFonts w:hint="eastAsia" w:ascii="方正仿宋_GBK" w:hAnsi="方正仿宋_GBK" w:eastAsia="方正仿宋_GBK" w:cs="方正仿宋_GBK"/>
          <w:sz w:val="32"/>
          <w:szCs w:val="32"/>
          <w:shd w:val="clear" w:color="auto" w:fill="FFFFFF"/>
        </w:rPr>
        <w:t>度相比，增加69.42万元，增长100.0%。主要原因是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i w:val="0"/>
          <w:iCs w:val="0"/>
          <w:caps w:val="0"/>
          <w:color w:val="000000"/>
          <w:spacing w:val="0"/>
          <w:sz w:val="32"/>
          <w:szCs w:val="32"/>
          <w:shd w:val="clear" w:fill="FAFAFA"/>
          <w:lang w:eastAsia="zh-CN"/>
        </w:rPr>
        <w:t>，</w:t>
      </w:r>
      <w:r>
        <w:rPr>
          <w:rFonts w:hint="eastAsia" w:ascii="方正仿宋_GBK" w:hAnsi="方正仿宋_GBK" w:eastAsia="方正仿宋_GBK" w:cs="方正仿宋_GBK"/>
          <w:i w:val="0"/>
          <w:iCs w:val="0"/>
          <w:caps w:val="0"/>
          <w:color w:val="000000"/>
          <w:spacing w:val="0"/>
          <w:sz w:val="32"/>
          <w:szCs w:val="32"/>
          <w:shd w:val="clear" w:fill="FAFAFA"/>
        </w:rPr>
        <w:t>一般公共预算财政拨款</w:t>
      </w:r>
      <w:r>
        <w:rPr>
          <w:rFonts w:hint="eastAsia" w:ascii="方正仿宋_GBK" w:hAnsi="方正仿宋_GBK" w:eastAsia="方正仿宋_GBK" w:cs="方正仿宋_GBK"/>
          <w:i w:val="0"/>
          <w:iCs w:val="0"/>
          <w:caps w:val="0"/>
          <w:color w:val="000000"/>
          <w:spacing w:val="0"/>
          <w:sz w:val="32"/>
          <w:szCs w:val="32"/>
          <w:shd w:val="clear" w:fill="FAFAFA"/>
          <w:lang w:eastAsia="zh-CN"/>
        </w:rPr>
        <w:t>支出</w:t>
      </w:r>
      <w:r>
        <w:rPr>
          <w:rFonts w:hint="eastAsia" w:ascii="方正仿宋_GBK" w:hAnsi="方正仿宋_GBK" w:eastAsia="方正仿宋_GBK" w:cs="方正仿宋_GBK"/>
          <w:i w:val="0"/>
          <w:iCs w:val="0"/>
          <w:caps w:val="0"/>
          <w:color w:val="000000"/>
          <w:spacing w:val="0"/>
          <w:sz w:val="32"/>
          <w:szCs w:val="32"/>
          <w:shd w:val="clear" w:fill="FAFAFA"/>
        </w:rPr>
        <w:t>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较年初预算数减少3.49万元，下降4.8%。主要原因是</w:t>
      </w:r>
      <w:r>
        <w:rPr>
          <w:rFonts w:hint="eastAsia" w:ascii="方正仿宋_GBK" w:hAnsi="方正仿宋_GBK" w:eastAsia="方正仿宋_GBK" w:cs="方正仿宋_GBK"/>
          <w:sz w:val="32"/>
          <w:szCs w:val="32"/>
          <w:shd w:val="clear" w:color="auto" w:fill="FFFFFF"/>
          <w:lang w:eastAsia="zh-CN"/>
        </w:rPr>
        <w:t>财政资金紧张，压减预算。</w:t>
      </w:r>
    </w:p>
    <w:p w14:paraId="394B669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Style w:val="9"/>
          <w:rFonts w:hint="eastAsia"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度年末一般公共预算财政拨款结转和结余</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2B16E22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rPr>
        <w:t xml:space="preserve"> 4.比较情况。</w:t>
      </w:r>
      <w:r>
        <w:rPr>
          <w:rFonts w:hint="eastAsia" w:ascii="方正仿宋_GBK" w:hAnsi="方正仿宋_GBK" w:eastAsia="方正仿宋_GBK" w:cs="方正仿宋_GBK"/>
          <w:b w:val="0"/>
          <w:bCs/>
          <w:sz w:val="32"/>
          <w:szCs w:val="32"/>
          <w:shd w:val="clear" w:color="auto" w:fill="FFFFFF"/>
        </w:rPr>
        <w:t>本单</w:t>
      </w:r>
      <w:r>
        <w:rPr>
          <w:rFonts w:hint="eastAsia" w:ascii="方正仿宋_GBK" w:hAnsi="方正仿宋_GBK" w:eastAsia="方正仿宋_GBK" w:cs="方正仿宋_GBK"/>
          <w:sz w:val="32"/>
          <w:szCs w:val="32"/>
          <w:shd w:val="clear" w:color="auto" w:fill="FFFFFF"/>
        </w:rPr>
        <w:t>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度一般公共预算财政拨款支出主要用于以下几个方面</w:t>
      </w:r>
      <w:r>
        <w:rPr>
          <w:rFonts w:hint="eastAsia" w:ascii="方正仿宋_GBK" w:hAnsi="方正仿宋_GBK" w:eastAsia="方正仿宋_GBK" w:cs="方正仿宋_GBK"/>
          <w:sz w:val="32"/>
          <w:szCs w:val="32"/>
          <w:shd w:val="clear" w:color="auto" w:fill="FFFFFF"/>
          <w:lang w:val="en-US" w:eastAsia="zh-CN"/>
        </w:rPr>
        <w:t>:</w:t>
      </w:r>
    </w:p>
    <w:p w14:paraId="315B0F8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（1）文化旅游体育与传媒支出</w:t>
      </w:r>
      <w:r>
        <w:rPr>
          <w:rFonts w:hint="eastAsia" w:ascii="方正仿宋_GBK" w:hAnsi="方正仿宋_GBK" w:eastAsia="方正仿宋_GBK" w:cs="方正仿宋_GBK"/>
          <w:sz w:val="32"/>
          <w:szCs w:val="32"/>
        </w:rPr>
        <w:t>58.36</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84.</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shd w:val="clear" w:color="auto" w:fill="FFFFFF"/>
        </w:rPr>
        <w:t>%，较年初预算数减少2.74万元，下降4.5%，主</w:t>
      </w:r>
      <w:r>
        <w:rPr>
          <w:rFonts w:hint="eastAsia" w:ascii="方正仿宋_GBK" w:hAnsi="方正仿宋_GBK" w:eastAsia="方正仿宋_GBK" w:cs="方正仿宋_GBK"/>
          <w:color w:val="auto"/>
          <w:sz w:val="32"/>
          <w:szCs w:val="32"/>
          <w:shd w:val="clear" w:color="auto" w:fill="FFFFFF"/>
        </w:rPr>
        <w:t>要原因是</w:t>
      </w:r>
      <w:r>
        <w:rPr>
          <w:rFonts w:hint="eastAsia" w:ascii="方正仿宋_GBK" w:hAnsi="方正仿宋_GBK" w:eastAsia="方正仿宋_GBK" w:cs="方正仿宋_GBK"/>
          <w:color w:val="auto"/>
          <w:sz w:val="32"/>
          <w:szCs w:val="32"/>
          <w:shd w:val="clear" w:color="auto" w:fill="FFFFFF"/>
          <w:lang w:eastAsia="zh-CN"/>
        </w:rPr>
        <w:t>减少文化旅游体育与传媒投入。</w:t>
      </w:r>
    </w:p>
    <w:p w14:paraId="15AC83D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rPr>
        <w:t>6.49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9.3</w:t>
      </w:r>
      <w:r>
        <w:rPr>
          <w:rFonts w:hint="eastAsia" w:ascii="方正仿宋_GBK" w:hAnsi="方正仿宋_GBK" w:eastAsia="方正仿宋_GBK" w:cs="方正仿宋_GBK"/>
          <w:sz w:val="32"/>
          <w:szCs w:val="32"/>
          <w:shd w:val="clear" w:color="auto" w:fill="FFFFFF"/>
        </w:rPr>
        <w:t>%，较年初预算数增加0.71万元，增长12.3%，主要原因是</w:t>
      </w:r>
      <w:r>
        <w:rPr>
          <w:rFonts w:hint="eastAsia" w:ascii="方正仿宋_GBK" w:hAnsi="方正仿宋_GBK" w:eastAsia="方正仿宋_GBK" w:cs="方正仿宋_GBK"/>
          <w:color w:val="auto"/>
          <w:sz w:val="32"/>
          <w:szCs w:val="32"/>
          <w:shd w:val="clear" w:color="auto" w:fill="FFFFFF"/>
          <w:lang w:eastAsia="zh-CN"/>
        </w:rPr>
        <w:t>追加社会保障与就业投入。</w:t>
      </w:r>
    </w:p>
    <w:p w14:paraId="7AA9084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rPr>
        <w:t>2.26</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shd w:val="clear" w:color="auto" w:fill="FFFFFF"/>
        </w:rPr>
        <w:t>%，较年初预算数减少0.87万元，下降27.8%，主要原因是</w:t>
      </w:r>
      <w:r>
        <w:rPr>
          <w:rFonts w:hint="eastAsia" w:ascii="方正仿宋_GBK" w:hAnsi="方正仿宋_GBK" w:eastAsia="方正仿宋_GBK" w:cs="方正仿宋_GBK"/>
          <w:color w:val="auto"/>
          <w:sz w:val="32"/>
          <w:szCs w:val="32"/>
          <w:shd w:val="clear" w:color="auto" w:fill="FFFFFF"/>
          <w:lang w:eastAsia="zh-CN"/>
        </w:rPr>
        <w:t>减少卫生健康投入。</w:t>
      </w:r>
    </w:p>
    <w:p w14:paraId="3CF4B1EE">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住房保障支出2.32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3.34</w:t>
      </w:r>
      <w:r>
        <w:rPr>
          <w:rFonts w:hint="eastAsia" w:ascii="方正仿宋_GBK" w:hAnsi="方正仿宋_GBK" w:eastAsia="方正仿宋_GBK" w:cs="方正仿宋_GBK"/>
          <w:sz w:val="32"/>
          <w:szCs w:val="32"/>
          <w:shd w:val="clear" w:color="auto" w:fill="FFFFFF"/>
        </w:rPr>
        <w:t>%，较年初预算数减少0.57万元，下降19.7%，主要原因是</w:t>
      </w:r>
      <w:r>
        <w:rPr>
          <w:rFonts w:hint="eastAsia" w:ascii="方正仿宋_GBK" w:hAnsi="方正仿宋_GBK" w:eastAsia="方正仿宋_GBK" w:cs="方正仿宋_GBK"/>
          <w:color w:val="auto"/>
          <w:sz w:val="32"/>
          <w:szCs w:val="32"/>
          <w:shd w:val="clear" w:color="auto" w:fill="FFFFFF"/>
          <w:lang w:eastAsia="zh-CN"/>
        </w:rPr>
        <w:t>减少住房保障投入。</w:t>
      </w:r>
    </w:p>
    <w:p w14:paraId="1B20B1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402A438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度一般公共财政拨款基本支出</w:t>
      </w:r>
      <w:r>
        <w:rPr>
          <w:rFonts w:hint="eastAsia" w:ascii="方正仿宋_GBK" w:hAnsi="方正仿宋_GBK" w:eastAsia="方正仿宋_GBK" w:cs="方正仿宋_GBK"/>
          <w:sz w:val="32"/>
          <w:szCs w:val="32"/>
        </w:rPr>
        <w:t>67.49</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56.25</w:t>
      </w:r>
      <w:r>
        <w:rPr>
          <w:rFonts w:hint="eastAsia" w:ascii="方正仿宋_GBK" w:hAnsi="方正仿宋_GBK" w:eastAsia="方正仿宋_GBK" w:cs="方正仿宋_GBK"/>
          <w:sz w:val="32"/>
          <w:szCs w:val="32"/>
          <w:shd w:val="clear" w:color="auto" w:fill="FFFFFF"/>
        </w:rPr>
        <w:t>万元，与2023年度相比，增加56.25万元，增长100.0%，主要原因是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本单位上年度未单独核算，人员经费支出为0，故本年度增长100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color="auto" w:fill="FFFFFF"/>
        </w:rPr>
        <w:t>基本津贴补贴、奖金、社会保障缴费、其他工资福利支出、对个人家庭补助支出等。</w:t>
      </w: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rPr>
        <w:t>11.24</w:t>
      </w:r>
      <w:r>
        <w:rPr>
          <w:rFonts w:hint="eastAsia" w:ascii="方正仿宋_GBK" w:hAnsi="方正仿宋_GBK" w:eastAsia="方正仿宋_GBK" w:cs="方正仿宋_GBK"/>
          <w:sz w:val="32"/>
          <w:szCs w:val="32"/>
          <w:shd w:val="clear" w:color="auto" w:fill="FFFFFF"/>
        </w:rPr>
        <w:t>万元，与2023年度相比，增加11.24万元，增长100.0%，主要原因是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本单位上年度未单独核算，日常公用经费支出为0，故本年度增长100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rPr>
        <w:t>办公费、水电费、邮电费、会议费、维修（护）费、培训费、劳务费、其他交通费、工会会费等。</w:t>
      </w:r>
    </w:p>
    <w:p w14:paraId="09B286F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（五）政府性基金预算收支决算情况说明</w:t>
      </w:r>
    </w:p>
    <w:p w14:paraId="2FC847AF">
      <w:pPr>
        <w:pStyle w:val="10"/>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2024年度无政府性基金预算财政拨款收支。</w:t>
      </w:r>
    </w:p>
    <w:p w14:paraId="40F274E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11AC8C12">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val="0"/>
          <w:bCs/>
          <w:sz w:val="32"/>
          <w:szCs w:val="32"/>
        </w:rPr>
        <w:t>本</w:t>
      </w:r>
      <w:r>
        <w:rPr>
          <w:rFonts w:hint="eastAsia" w:ascii="方正仿宋_GBK" w:hAnsi="方正仿宋_GBK" w:eastAsia="方正仿宋_GBK" w:cs="方正仿宋_GBK"/>
          <w:b w:val="0"/>
          <w:bCs/>
          <w:sz w:val="32"/>
          <w:szCs w:val="32"/>
          <w:lang w:eastAsia="zh-CN"/>
        </w:rPr>
        <w:t>单位</w:t>
      </w:r>
      <w:r>
        <w:rPr>
          <w:rFonts w:hint="eastAsia" w:ascii="方正仿宋_GBK" w:hAnsi="方正仿宋_GBK" w:eastAsia="方正仿宋_GBK" w:cs="方正仿宋_GBK"/>
          <w:b w:val="0"/>
          <w:bCs/>
          <w:sz w:val="32"/>
          <w:szCs w:val="32"/>
        </w:rPr>
        <w:t>202</w:t>
      </w:r>
      <w:r>
        <w:rPr>
          <w:rFonts w:hint="eastAsia" w:ascii="方正仿宋_GBK" w:hAnsi="方正仿宋_GBK" w:eastAsia="方正仿宋_GBK" w:cs="方正仿宋_GBK"/>
          <w:b w:val="0"/>
          <w:bCs/>
          <w:sz w:val="32"/>
          <w:szCs w:val="32"/>
          <w:lang w:val="en-US" w:eastAsia="zh-CN"/>
        </w:rPr>
        <w:t>4</w:t>
      </w:r>
      <w:r>
        <w:rPr>
          <w:rFonts w:hint="eastAsia" w:ascii="方正仿宋_GBK" w:hAnsi="方正仿宋_GBK" w:eastAsia="方正仿宋_GBK" w:cs="方正仿宋_GBK"/>
          <w:b w:val="0"/>
          <w:bCs/>
          <w:sz w:val="32"/>
          <w:szCs w:val="32"/>
        </w:rPr>
        <w:t>年度无国有资本经营预算财政拨款支出。</w:t>
      </w:r>
    </w:p>
    <w:p w14:paraId="69510B0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三、</w:t>
      </w:r>
      <w:r>
        <w:rPr>
          <w:rStyle w:val="9"/>
          <w:rFonts w:hint="eastAsia" w:ascii="黑体" w:hAnsi="黑体" w:eastAsia="黑体" w:cs="黑体"/>
          <w:b w:val="0"/>
          <w:bCs/>
          <w:sz w:val="32"/>
          <w:szCs w:val="32"/>
          <w:shd w:val="clear" w:color="auto" w:fill="FFFFFF"/>
          <w:lang w:eastAsia="zh-CN"/>
        </w:rPr>
        <w:t>财政拨款</w:t>
      </w:r>
      <w:r>
        <w:rPr>
          <w:rStyle w:val="9"/>
          <w:rFonts w:hint="eastAsia" w:ascii="黑体" w:hAnsi="黑体" w:eastAsia="黑体" w:cs="黑体"/>
          <w:b w:val="0"/>
          <w:bCs/>
          <w:sz w:val="32"/>
          <w:szCs w:val="32"/>
          <w:shd w:val="clear" w:color="auto" w:fill="FFFFFF"/>
        </w:rPr>
        <w:t>“三公”经费情况说明</w:t>
      </w:r>
    </w:p>
    <w:p w14:paraId="022848C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（一）“三公”经费支出总体情况说明</w:t>
      </w:r>
    </w:p>
    <w:p w14:paraId="1B20880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fill="FAFAFA"/>
          <w:lang w:eastAsia="zh-CN"/>
        </w:rPr>
        <w:t>本年度</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i w:val="0"/>
          <w:iCs w:val="0"/>
          <w:caps w:val="0"/>
          <w:color w:val="000000"/>
          <w:spacing w:val="0"/>
          <w:sz w:val="32"/>
          <w:szCs w:val="32"/>
          <w:shd w:val="clear" w:fill="FAFAFA"/>
          <w:lang w:eastAsia="zh-CN"/>
        </w:rPr>
        <w:t>，故上年度“三公”经费支出为</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0万元。</w:t>
      </w:r>
    </w:p>
    <w:p w14:paraId="415EAEC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（二）“三公”经费分项支出情况</w:t>
      </w:r>
    </w:p>
    <w:p w14:paraId="6E33B39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kern w:val="0"/>
          <w:sz w:val="32"/>
          <w:szCs w:val="32"/>
          <w:shd w:val="clear" w:color="auto" w:fill="FFFFFF"/>
        </w:rPr>
        <w:t>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年度未发生因公出国（境）费用</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费用支出较年初预算数无增减，与2023年度相比，无增减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kern w:val="2"/>
          <w:sz w:val="32"/>
          <w:szCs w:val="32"/>
          <w:lang w:val="en-US" w:eastAsia="zh-CN" w:bidi="ar"/>
        </w:rPr>
        <w:t>与上年度决算数持平。</w:t>
      </w:r>
    </w:p>
    <w:p w14:paraId="74B66C1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年度未发生公务车购置费</w:t>
      </w:r>
      <w:r>
        <w:rPr>
          <w:rFonts w:hint="eastAsia" w:ascii="方正仿宋_GBK" w:hAnsi="方正仿宋_GBK" w:eastAsia="方正仿宋_GBK" w:cs="方正仿宋_GBK"/>
          <w:sz w:val="32"/>
          <w:szCs w:val="32"/>
          <w:shd w:val="clear" w:color="auto" w:fill="FFFFFF"/>
        </w:rPr>
        <w:t>。费用支出较年初预算数无增减，与2023年度相比，无增减，</w:t>
      </w:r>
      <w:r>
        <w:rPr>
          <w:rFonts w:hint="eastAsia" w:ascii="方正仿宋_GBK" w:hAnsi="方正仿宋_GBK" w:eastAsia="方正仿宋_GBK" w:cs="方正仿宋_GBK"/>
          <w:kern w:val="2"/>
          <w:sz w:val="32"/>
          <w:szCs w:val="32"/>
          <w:lang w:val="en-US" w:eastAsia="zh-CN" w:bidi="ar"/>
        </w:rPr>
        <w:t>与上年度决算数持平。</w:t>
      </w:r>
    </w:p>
    <w:p w14:paraId="691E947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bCs/>
          <w:sz w:val="32"/>
          <w:szCs w:val="32"/>
          <w:lang w:eastAsia="zh-CN"/>
        </w:rPr>
        <w:t>公务车油费、维修费、路桥费、保险费等。</w:t>
      </w:r>
      <w:r>
        <w:rPr>
          <w:rFonts w:hint="eastAsia" w:ascii="方正仿宋_GBK" w:hAnsi="方正仿宋_GBK" w:eastAsia="方正仿宋_GBK" w:cs="方正仿宋_GBK"/>
          <w:sz w:val="32"/>
          <w:szCs w:val="32"/>
          <w:shd w:val="clear" w:color="auto" w:fill="FFFFFF"/>
        </w:rPr>
        <w:t>费用支出较年初预算数无增减，与2023年度相比，无增减，主要原因是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p>
    <w:p w14:paraId="776BEA4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年度未发生公务接待费。</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kern w:val="2"/>
          <w:sz w:val="32"/>
          <w:szCs w:val="32"/>
          <w:lang w:val="en-US" w:eastAsia="zh-CN" w:bidi="ar"/>
        </w:rPr>
        <w:t>与上年度决算数持平</w:t>
      </w:r>
      <w:r>
        <w:rPr>
          <w:rFonts w:hint="eastAsia" w:ascii="方正仿宋_GBK" w:hAnsi="方正仿宋_GBK" w:eastAsia="方正仿宋_GBK" w:cs="方正仿宋_GBK"/>
          <w:kern w:val="0"/>
          <w:sz w:val="32"/>
          <w:szCs w:val="32"/>
          <w:shd w:val="clear" w:color="auto" w:fill="FFFFFF"/>
          <w:lang w:eastAsia="zh-CN"/>
        </w:rPr>
        <w:t>。</w:t>
      </w:r>
    </w:p>
    <w:p w14:paraId="098E814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（三）“三公”经费实物量情况</w:t>
      </w:r>
    </w:p>
    <w:p w14:paraId="5601BF23">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本单位人均接待费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22382EC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四、其他需要说明的事项</w:t>
      </w:r>
    </w:p>
    <w:p w14:paraId="4512253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 xml:space="preserve"> （一）财政拨款会议费和培训费情况说明</w:t>
      </w:r>
    </w:p>
    <w:p w14:paraId="589F315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本年未产生相关会议费用</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本年未产生培训相关费用。</w:t>
      </w:r>
    </w:p>
    <w:p w14:paraId="2CEB02E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（二）机关运行经费情况说明</w:t>
      </w:r>
    </w:p>
    <w:p w14:paraId="6467F70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按照部门决算列报口径，我单位不在机关运行经费统计范围之内。</w:t>
      </w:r>
    </w:p>
    <w:p w14:paraId="7566FFD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（三）国有资产占用情况说明</w:t>
      </w:r>
    </w:p>
    <w:p w14:paraId="2C66D7E6">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12月31日，本单位共有车辆</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14:paraId="5A81120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（四）政府采购支出情况说明</w:t>
      </w:r>
    </w:p>
    <w:p w14:paraId="4889B33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hint="eastAsia" w:ascii="方正仿宋_GBK" w:hAnsi="方正仿宋_GBK" w:eastAsia="方正仿宋_GBK" w:cs="方正仿宋_GBK"/>
          <w:color w:val="auto"/>
          <w:sz w:val="32"/>
          <w:szCs w:val="32"/>
          <w:shd w:val="clear" w:color="auto" w:fill="FFFFFF"/>
        </w:rPr>
        <w:t>度我单位未发生政府采购事项，无相关经费支出。</w:t>
      </w:r>
    </w:p>
    <w:p w14:paraId="01688A1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sz w:val="32"/>
          <w:szCs w:val="32"/>
          <w:shd w:val="clear" w:color="auto" w:fill="FFFFFF"/>
          <w:lang w:val="en-US" w:eastAsia="zh-CN"/>
        </w:rPr>
      </w:pPr>
      <w:r>
        <w:rPr>
          <w:rStyle w:val="9"/>
          <w:rFonts w:hint="eastAsia" w:ascii="黑体" w:hAnsi="黑体" w:eastAsia="黑体" w:cs="黑体"/>
          <w:b w:val="0"/>
          <w:bCs/>
          <w:sz w:val="32"/>
          <w:szCs w:val="32"/>
          <w:shd w:val="clear" w:color="auto" w:fill="FFFFFF"/>
          <w:lang w:val="en-US" w:eastAsia="zh-CN"/>
        </w:rPr>
        <w:t>五、2024年度预算绩效管理情况说明</w:t>
      </w:r>
    </w:p>
    <w:p w14:paraId="41C8466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（一）预算绩效管理工作开展情况</w:t>
      </w:r>
    </w:p>
    <w:p w14:paraId="596B89B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1.93</w:t>
      </w:r>
      <w:r>
        <w:rPr>
          <w:rFonts w:hint="eastAsia" w:ascii="方正仿宋_GBK" w:hAnsi="方正仿宋_GBK" w:eastAsia="方正仿宋_GBK" w:cs="方正仿宋_GBK"/>
          <w:kern w:val="0"/>
          <w:sz w:val="32"/>
          <w:szCs w:val="32"/>
          <w:shd w:val="clear" w:fill="FFFFFF"/>
        </w:rPr>
        <w:t>万元；以委托第三方出具报告的方式（如有）开展绩效评价</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万元。</w:t>
      </w:r>
    </w:p>
    <w:p w14:paraId="49FB304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（二）绩效自评结果</w:t>
      </w:r>
    </w:p>
    <w:p w14:paraId="4886F7AF">
      <w:pPr>
        <w:pStyle w:val="13"/>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1.项目绩效自评表。</w:t>
      </w:r>
    </w:p>
    <w:p w14:paraId="1B5281A0">
      <w:pPr>
        <w:pStyle w:val="13"/>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详见附件。</w:t>
      </w:r>
    </w:p>
    <w:p w14:paraId="07755013">
      <w:pPr>
        <w:pStyle w:val="13"/>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2.项目绩效自评报告或案例。</w:t>
      </w:r>
    </w:p>
    <w:p w14:paraId="3837FF47">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14:paraId="66D6BCF1">
      <w:pPr>
        <w:pStyle w:val="13"/>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14:paraId="3E9BE6ED">
      <w:pPr>
        <w:pStyle w:val="13"/>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bookmarkStart w:id="0" w:name="_GoBack"/>
      <w:bookmarkEnd w:id="0"/>
      <w:r>
        <w:rPr>
          <w:rFonts w:hint="eastAsia" w:ascii="方正仿宋_GBK" w:hAnsi="方正仿宋_GBK" w:eastAsia="方正仿宋_GBK" w:cs="方正仿宋_GBK"/>
          <w:kern w:val="0"/>
          <w:sz w:val="32"/>
          <w:szCs w:val="32"/>
          <w:shd w:val="clear" w:fill="FFFFFF"/>
        </w:rPr>
        <w:t>单位对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14:paraId="41C7C55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lang w:val="en-US" w:eastAsia="zh-CN"/>
        </w:rPr>
      </w:pPr>
      <w:r>
        <w:rPr>
          <w:rStyle w:val="9"/>
          <w:rFonts w:hint="eastAsia" w:ascii="方正楷体_GBK" w:hAnsi="方正楷体_GBK" w:eastAsia="方正楷体_GBK" w:cs="方正楷体_GBK"/>
          <w:b w:val="0"/>
          <w:bCs/>
          <w:sz w:val="32"/>
          <w:szCs w:val="32"/>
          <w:shd w:val="clear" w:color="auto" w:fill="FFFFFF"/>
          <w:lang w:val="en-US" w:eastAsia="zh-CN"/>
        </w:rPr>
        <w:t xml:space="preserve">（三）财政重点绩效评价情况 </w:t>
      </w:r>
    </w:p>
    <w:p w14:paraId="06B434AA">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sz w:val="32"/>
          <w:szCs w:val="32"/>
          <w:shd w:val="clear" w:color="auto"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14:paraId="71F0D13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 xml:space="preserve"> </w:t>
      </w:r>
      <w:r>
        <w:rPr>
          <w:rStyle w:val="9"/>
          <w:rFonts w:hint="eastAsia" w:ascii="黑体" w:hAnsi="黑体" w:eastAsia="黑体" w:cs="黑体"/>
          <w:b w:val="0"/>
          <w:bCs/>
          <w:sz w:val="32"/>
          <w:szCs w:val="32"/>
          <w:shd w:val="clear" w:color="auto" w:fill="FFFFFF"/>
          <w:lang w:val="en-US" w:eastAsia="zh-CN"/>
        </w:rPr>
        <w:t>六、专业名词解释</w:t>
      </w:r>
    </w:p>
    <w:p w14:paraId="41EF023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rPr>
        <w:t>（一）财政拨款收入</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547F1A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CD7FFC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36C4892">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186EAF5">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ED1FBB1">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E5C883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94DC0B2">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A124DC6">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8B7D96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7C17F0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7CCDB31">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B9FD82">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350249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DDED584">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196E7A9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反映用于对个人和家庭的补助支出。</w:t>
      </w:r>
    </w:p>
    <w:p w14:paraId="1B30DA40">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Style w:val="9"/>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617495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lang w:val="en-US" w:eastAsia="zh-CN"/>
        </w:rPr>
        <w:t>七、决算公开联系方式及信息反馈渠道</w:t>
      </w:r>
    </w:p>
    <w:p w14:paraId="26FF630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1108E273">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Style w:val="12"/>
          <w:rFonts w:hint="eastAsia" w:ascii="方正仿宋_GBK" w:hAnsi="方正仿宋_GBK" w:eastAsia="方正仿宋_GBK" w:cs="方正仿宋_GBK"/>
          <w:b/>
          <w:bCs/>
          <w:sz w:val="32"/>
          <w:szCs w:val="32"/>
          <w:shd w:val="clear" w:fill="FFFF00"/>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严雪丹   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45363271</w:t>
      </w:r>
    </w:p>
    <w:sectPr>
      <w:headerReference r:id="rId3" w:type="default"/>
      <w:footerReference r:id="rId4" w:type="default"/>
      <w:pgSz w:w="11850" w:h="16783"/>
      <w:pgMar w:top="2098" w:right="1474" w:bottom="1984" w:left="1587" w:header="0" w:footer="283"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隶书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BB69">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45CC28">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245CC28">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22E7CC5">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22E7CC5">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BAE4">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4F0C79"/>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063573"/>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3F60A2"/>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76575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E435BD1"/>
    <w:rsid w:val="7E5B54C5"/>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 Text 21"/>
    <w:basedOn w:val="1"/>
    <w:qFormat/>
    <w:uiPriority w:val="0"/>
    <w:pPr>
      <w:spacing w:line="480" w:lineRule="auto"/>
    </w:pPr>
    <w:rPr>
      <w:rFonts w:hint="eastAsi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4">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7711</Words>
  <Characters>21008</Characters>
  <Lines>161</Lines>
  <Paragraphs>45</Paragraphs>
  <TotalTime>18</TotalTime>
  <ScaleCrop>false</ScaleCrop>
  <LinksUpToDate>false</LinksUpToDate>
  <CharactersWithSpaces>21460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雪</cp:lastModifiedBy>
  <dcterms:modified xsi:type="dcterms:W3CDTF">2025-10-16T02:29:21Z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9EDAFD8FD9424A54844071572B3E9A06_13</vt:lpwstr>
  </property>
</Properties>
</file>