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重庆市铜梁区华兴镇综合行政执法大队</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受镇人民政府委托、集中行使农林水利、规划建设、卫生计兰、市容环卫、环境保护、文化旅游等领域的行政执法权，完成主管部门</w:t>
      </w:r>
      <w:bookmarkStart w:id="0" w:name="_GoBack"/>
      <w:bookmarkEnd w:id="0"/>
      <w:r>
        <w:rPr>
          <w:rFonts w:hint="eastAsia" w:ascii="方正仿宋_GBK" w:hAnsi="方正仿宋_GBK" w:eastAsia="方正仿宋_GBK" w:cs="方正仿宋_GBK"/>
          <w:sz w:val="32"/>
          <w:szCs w:val="32"/>
          <w:lang w:val="en-US" w:eastAsia="zh-CN"/>
        </w:rPr>
        <w:t>交办的其他任务。</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方正仿宋_GBK" w:hAnsi="方正仿宋_GBK" w:eastAsia="方正仿宋_GBK" w:cs="方正仿宋_GBK"/>
          <w:b w:val="0"/>
          <w:bCs/>
          <w:sz w:val="32"/>
          <w:szCs w:val="32"/>
          <w:shd w:val="clear" w:color="auto" w:fill="FFFFFF"/>
        </w:rPr>
      </w:pPr>
      <w:r>
        <w:rPr>
          <w:rStyle w:val="15"/>
          <w:rFonts w:hint="eastAsia" w:ascii="方正仿宋_GBK" w:hAnsi="方正仿宋_GBK" w:eastAsia="方正仿宋_GBK" w:cs="方正仿宋_GBK"/>
          <w:b w:val="0"/>
          <w:bCs/>
          <w:sz w:val="32"/>
          <w:szCs w:val="32"/>
          <w:shd w:val="clear" w:color="auto" w:fill="FFFFFF"/>
        </w:rPr>
        <w:t>重庆市铜梁区华兴镇人民政府</w:t>
      </w:r>
      <w:r>
        <w:rPr>
          <w:rFonts w:hint="eastAsia" w:ascii="方正仿宋_GBK" w:hAnsi="方正仿宋_GBK" w:eastAsia="方正仿宋_GBK" w:cs="方正仿宋_GBK"/>
          <w:kern w:val="16"/>
          <w:sz w:val="32"/>
          <w:szCs w:val="32"/>
        </w:rPr>
        <w:t>共有机构8个，其中政府机关1个，事业单位有</w:t>
      </w:r>
      <w:r>
        <w:rPr>
          <w:rStyle w:val="15"/>
          <w:rFonts w:hint="eastAsia" w:ascii="方正仿宋_GBK" w:hAnsi="方正仿宋_GBK" w:eastAsia="方正仿宋_GBK" w:cs="方正仿宋_GBK"/>
          <w:b w:val="0"/>
          <w:bCs/>
          <w:sz w:val="32"/>
          <w:szCs w:val="32"/>
          <w:shd w:val="clear" w:color="auto" w:fill="FFFFFF"/>
        </w:rPr>
        <w:t>农业服务中心、文化服务中心、劳动就业和社会保障服务所、退役军人服务站、综合行政执法大队、乡村产业培育中心、乡村生态治理中心共7个单位。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w:t>
      </w:r>
      <w:r>
        <w:rPr>
          <w:rStyle w:val="9"/>
          <w:rFonts w:hint="eastAsia" w:ascii="方正楷体_GBK" w:hAnsi="方正楷体_GBK" w:eastAsia="方正楷体_GBK" w:cs="方正楷体_GBK"/>
          <w:b w:val="0"/>
          <w:bCs/>
          <w:sz w:val="32"/>
          <w:szCs w:val="32"/>
          <w:shd w:val="clear" w:color="auto" w:fill="FFFFFF"/>
          <w:lang w:val="en-US" w:eastAsia="zh-CN"/>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rPr>
      </w:pPr>
      <w:r>
        <w:rPr>
          <w:rStyle w:val="9"/>
          <w:rFonts w:hint="eastAsia" w:ascii="方正仿宋_GBK" w:hAnsi="方正仿宋_GBK" w:eastAsia="方正仿宋_GBK" w:cs="方正仿宋_GBK"/>
          <w:b w:val="0"/>
          <w:bCs/>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度收入总计90.55万元，支出总计</w:t>
      </w:r>
      <w:r>
        <w:rPr>
          <w:rFonts w:hint="eastAsia" w:ascii="方正仿宋_GBK" w:hAnsi="方正仿宋_GBK" w:eastAsia="方正仿宋_GBK" w:cs="方正仿宋_GBK"/>
          <w:b w:val="0"/>
          <w:bCs/>
          <w:sz w:val="32"/>
          <w:szCs w:val="32"/>
        </w:rPr>
        <w:t>90.55</w:t>
      </w:r>
      <w:r>
        <w:rPr>
          <w:rFonts w:hint="eastAsia" w:ascii="方正仿宋_GBK" w:hAnsi="方正仿宋_GBK" w:eastAsia="方正仿宋_GBK" w:cs="方正仿宋_GBK"/>
          <w:b w:val="0"/>
          <w:bCs/>
          <w:sz w:val="32"/>
          <w:szCs w:val="32"/>
          <w:shd w:val="clear" w:color="auto" w:fill="FFFFFF"/>
        </w:rPr>
        <w:t>万元。收、支与2023年度相比，增加90.55万元，增长100.0%，主要原因是</w:t>
      </w:r>
      <w:r>
        <w:rPr>
          <w:rFonts w:hint="eastAsia" w:ascii="方正仿宋_GBK" w:hAnsi="方正仿宋_GBK" w:eastAsia="方正仿宋_GBK" w:cs="方正仿宋_GBK"/>
          <w:b w:val="0"/>
          <w:bCs/>
          <w:i w:val="0"/>
          <w:iCs w:val="0"/>
          <w:caps w:val="0"/>
          <w:color w:val="000000"/>
          <w:spacing w:val="0"/>
          <w:sz w:val="32"/>
          <w:szCs w:val="32"/>
          <w:shd w:val="clear" w:fill="FAFAFA"/>
        </w:rPr>
        <w:t>本单位上年度未单独核算，收入</w:t>
      </w:r>
      <w:r>
        <w:rPr>
          <w:rFonts w:hint="eastAsia" w:ascii="方正仿宋_GBK" w:hAnsi="方正仿宋_GBK" w:eastAsia="方正仿宋_GBK" w:cs="方正仿宋_GBK"/>
          <w:b w:val="0"/>
          <w:bCs/>
          <w:i w:val="0"/>
          <w:iCs w:val="0"/>
          <w:caps w:val="0"/>
          <w:color w:val="000000"/>
          <w:spacing w:val="0"/>
          <w:sz w:val="32"/>
          <w:szCs w:val="32"/>
          <w:shd w:val="clear" w:fill="FAFAFA"/>
          <w:lang w:eastAsia="zh-CN"/>
        </w:rPr>
        <w:t>、支出</w:t>
      </w:r>
      <w:r>
        <w:rPr>
          <w:rFonts w:hint="eastAsia" w:ascii="方正仿宋_GBK" w:hAnsi="方正仿宋_GBK" w:eastAsia="方正仿宋_GBK" w:cs="方正仿宋_GBK"/>
          <w:b w:val="0"/>
          <w:bCs/>
          <w:i w:val="0"/>
          <w:iCs w:val="0"/>
          <w:caps w:val="0"/>
          <w:color w:val="000000"/>
          <w:spacing w:val="0"/>
          <w:sz w:val="32"/>
          <w:szCs w:val="32"/>
          <w:shd w:val="clear" w:fill="FAFAFA"/>
        </w:rPr>
        <w:t>为0，故本年度增长100</w:t>
      </w:r>
      <w:r>
        <w:rPr>
          <w:rFonts w:hint="eastAsia" w:ascii="方正仿宋_GBK" w:hAnsi="方正仿宋_GBK" w:eastAsia="方正仿宋_GBK" w:cs="方正仿宋_GBK"/>
          <w:b w:val="0"/>
          <w:bCs/>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b w:val="0"/>
          <w:bCs/>
          <w:i w:val="0"/>
          <w:iCs w:val="0"/>
          <w:caps w:val="0"/>
          <w:color w:val="000000"/>
          <w:spacing w:val="0"/>
          <w:sz w:val="32"/>
          <w:szCs w:val="32"/>
          <w:shd w:val="clear" w:fill="FAFAFA"/>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度收入合计90.55万元，与2023年度相比，增加90</w:t>
      </w:r>
      <w:r>
        <w:rPr>
          <w:rFonts w:hint="eastAsia" w:ascii="方正仿宋_GBK" w:hAnsi="方正仿宋_GBK" w:eastAsia="方正仿宋_GBK" w:cs="方正仿宋_GBK"/>
          <w:sz w:val="32"/>
          <w:szCs w:val="32"/>
          <w:shd w:val="clear" w:color="auto" w:fill="FFFFFF"/>
        </w:rPr>
        <w:t>.55万元，增长100.0%，主要原因是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本单位上年度未单独核算，收入为0，故本年度增长100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rPr>
        <w:t>90.55</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万元，占0.0%；经营收入</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万元，占0.0%；其他收入</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万元，占0.0%。此外，使用非财政拨款结余和专用结余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度支出合计</w:t>
      </w:r>
      <w:r>
        <w:rPr>
          <w:rFonts w:hint="eastAsia" w:ascii="方正仿宋_GBK" w:hAnsi="方正仿宋_GBK" w:eastAsia="方正仿宋_GBK" w:cs="方正仿宋_GBK"/>
          <w:b w:val="0"/>
          <w:bCs/>
          <w:sz w:val="32"/>
          <w:szCs w:val="32"/>
        </w:rPr>
        <w:t>90.55</w:t>
      </w:r>
      <w:r>
        <w:rPr>
          <w:rFonts w:hint="eastAsia" w:ascii="方正仿宋_GBK" w:hAnsi="方正仿宋_GBK" w:eastAsia="方正仿宋_GBK" w:cs="方正仿宋_GBK"/>
          <w:b w:val="0"/>
          <w:bCs/>
          <w:sz w:val="32"/>
          <w:szCs w:val="32"/>
          <w:shd w:val="clear" w:color="auto" w:fill="FFFFFF"/>
        </w:rPr>
        <w:t>万元，与2023年度相比，增加90.55万元，增长100.0%，主要原因是</w:t>
      </w:r>
      <w:r>
        <w:rPr>
          <w:rFonts w:hint="eastAsia" w:ascii="方正仿宋_GBK" w:hAnsi="方正仿宋_GBK" w:eastAsia="方正仿宋_GBK" w:cs="方正仿宋_GBK"/>
          <w:b w:val="0"/>
          <w:bCs/>
          <w:i w:val="0"/>
          <w:iCs w:val="0"/>
          <w:caps w:val="0"/>
          <w:color w:val="000000"/>
          <w:spacing w:val="0"/>
          <w:sz w:val="32"/>
          <w:szCs w:val="32"/>
          <w:shd w:val="clear" w:fill="FAFAFA"/>
        </w:rPr>
        <w:t>本单位上年度未单独核算，</w:t>
      </w:r>
      <w:r>
        <w:rPr>
          <w:rFonts w:hint="eastAsia" w:ascii="方正仿宋_GBK" w:hAnsi="方正仿宋_GBK" w:eastAsia="方正仿宋_GBK" w:cs="方正仿宋_GBK"/>
          <w:b w:val="0"/>
          <w:bCs/>
          <w:i w:val="0"/>
          <w:iCs w:val="0"/>
          <w:caps w:val="0"/>
          <w:color w:val="000000"/>
          <w:spacing w:val="0"/>
          <w:sz w:val="32"/>
          <w:szCs w:val="32"/>
          <w:shd w:val="clear" w:fill="FAFAFA"/>
          <w:lang w:eastAsia="zh-CN"/>
        </w:rPr>
        <w:t>支出</w:t>
      </w:r>
      <w:r>
        <w:rPr>
          <w:rFonts w:hint="eastAsia" w:ascii="方正仿宋_GBK" w:hAnsi="方正仿宋_GBK" w:eastAsia="方正仿宋_GBK" w:cs="方正仿宋_GBK"/>
          <w:b w:val="0"/>
          <w:bCs/>
          <w:i w:val="0"/>
          <w:iCs w:val="0"/>
          <w:caps w:val="0"/>
          <w:color w:val="000000"/>
          <w:spacing w:val="0"/>
          <w:sz w:val="32"/>
          <w:szCs w:val="32"/>
          <w:shd w:val="clear" w:fill="FAFAFA"/>
        </w:rPr>
        <w:t>为0，故本年度增长100</w:t>
      </w:r>
      <w:r>
        <w:rPr>
          <w:rFonts w:hint="eastAsia" w:ascii="方正仿宋_GBK" w:hAnsi="方正仿宋_GBK" w:eastAsia="方正仿宋_GBK" w:cs="方正仿宋_GBK"/>
          <w:b w:val="0"/>
          <w:bCs/>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b w:val="0"/>
          <w:bCs/>
          <w:i w:val="0"/>
          <w:iCs w:val="0"/>
          <w:caps w:val="0"/>
          <w:color w:val="000000"/>
          <w:spacing w:val="0"/>
          <w:sz w:val="32"/>
          <w:szCs w:val="32"/>
          <w:shd w:val="clear" w:fill="FAFAFA"/>
        </w:rPr>
        <w:t>%。</w:t>
      </w:r>
      <w:r>
        <w:rPr>
          <w:rFonts w:hint="eastAsia" w:ascii="方正仿宋_GBK" w:hAnsi="方正仿宋_GBK" w:eastAsia="方正仿宋_GBK" w:cs="方正仿宋_GBK"/>
          <w:b w:val="0"/>
          <w:bCs/>
          <w:sz w:val="32"/>
          <w:szCs w:val="32"/>
          <w:shd w:val="clear" w:color="auto" w:fill="FFFFFF"/>
        </w:rPr>
        <w:t>其中：基本支出</w:t>
      </w:r>
      <w:r>
        <w:rPr>
          <w:rFonts w:hint="eastAsia" w:ascii="方正仿宋_GBK" w:hAnsi="方正仿宋_GBK" w:eastAsia="方正仿宋_GBK" w:cs="方正仿宋_GBK"/>
          <w:b w:val="0"/>
          <w:bCs/>
          <w:sz w:val="32"/>
          <w:szCs w:val="32"/>
        </w:rPr>
        <w:t>85.67</w:t>
      </w:r>
      <w:r>
        <w:rPr>
          <w:rFonts w:hint="eastAsia" w:ascii="方正仿宋_GBK" w:hAnsi="方正仿宋_GBK" w:eastAsia="方正仿宋_GBK" w:cs="方正仿宋_GBK"/>
          <w:b w:val="0"/>
          <w:bCs/>
          <w:sz w:val="32"/>
          <w:szCs w:val="32"/>
          <w:shd w:val="clear" w:color="auto" w:fill="FFFFFF"/>
        </w:rPr>
        <w:t>万元，占94.6%；项目支出</w:t>
      </w:r>
      <w:r>
        <w:rPr>
          <w:rFonts w:hint="eastAsia" w:ascii="方正仿宋_GBK" w:hAnsi="方正仿宋_GBK" w:eastAsia="方正仿宋_GBK" w:cs="方正仿宋_GBK"/>
          <w:b w:val="0"/>
          <w:bCs/>
          <w:sz w:val="32"/>
          <w:szCs w:val="32"/>
        </w:rPr>
        <w:t>4.88</w:t>
      </w:r>
      <w:r>
        <w:rPr>
          <w:rFonts w:hint="eastAsia" w:ascii="方正仿宋_GBK" w:hAnsi="方正仿宋_GBK" w:eastAsia="方正仿宋_GBK" w:cs="方正仿宋_GBK"/>
          <w:b w:val="0"/>
          <w:bCs/>
          <w:sz w:val="32"/>
          <w:szCs w:val="32"/>
          <w:shd w:val="clear" w:color="auto" w:fill="FFFFFF"/>
        </w:rPr>
        <w:t>万元，占5.</w:t>
      </w:r>
      <w:r>
        <w:rPr>
          <w:rFonts w:hint="eastAsia" w:ascii="方正仿宋_GBK" w:hAnsi="方正仿宋_GBK" w:eastAsia="方正仿宋_GBK" w:cs="方正仿宋_GBK"/>
          <w:b w:val="0"/>
          <w:bCs/>
          <w:sz w:val="32"/>
          <w:szCs w:val="32"/>
          <w:shd w:val="clear" w:color="auto" w:fill="FFFFFF"/>
          <w:lang w:val="en-US" w:eastAsia="zh-CN"/>
        </w:rPr>
        <w:t>4</w:t>
      </w:r>
      <w:r>
        <w:rPr>
          <w:rFonts w:hint="eastAsia" w:ascii="方正仿宋_GBK" w:hAnsi="方正仿宋_GBK" w:eastAsia="方正仿宋_GBK" w:cs="方正仿宋_GBK"/>
          <w:b w:val="0"/>
          <w:bCs/>
          <w:sz w:val="32"/>
          <w:szCs w:val="32"/>
          <w:shd w:val="clear" w:color="auto" w:fill="FFFFFF"/>
        </w:rPr>
        <w:t>%；经营支出</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万元，占0.0%。此外，结余分配</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Style w:val="9"/>
          <w:rFonts w:hint="eastAsia" w:ascii="方正仿宋_GBK" w:hAnsi="方正仿宋_GBK" w:eastAsia="方正仿宋_GBK" w:cs="方正仿宋_GBK"/>
          <w:b w:val="0"/>
          <w:bCs/>
          <w:sz w:val="32"/>
          <w:szCs w:val="32"/>
          <w:shd w:val="clear" w:color="auto" w:fill="FFFFFF"/>
        </w:rPr>
        <w:t>4.结转结余情况。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度年末结转和结余</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万元，与2023年度相比，无</w:t>
      </w:r>
      <w:r>
        <w:rPr>
          <w:rFonts w:hint="eastAsia" w:ascii="方正仿宋_GBK" w:hAnsi="方正仿宋_GBK" w:eastAsia="方正仿宋_GBK" w:cs="方正仿宋_GBK"/>
          <w:sz w:val="32"/>
          <w:szCs w:val="32"/>
          <w:shd w:val="clear" w:color="auto" w:fill="FFFFFF"/>
        </w:rPr>
        <w:t>增减</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度财政拨款收、支总计90.55万元。与202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年相比，财政拨款收、支总计各增加90.55万元，增长100.0%。主要原因是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本单位上年度未单独核算，收入</w:t>
      </w:r>
      <w:r>
        <w:rPr>
          <w:rFonts w:hint="eastAsia" w:ascii="方正仿宋_GBK" w:hAnsi="方正仿宋_GBK" w:eastAsia="方正仿宋_GBK" w:cs="方正仿宋_GBK"/>
          <w:i w:val="0"/>
          <w:iCs w:val="0"/>
          <w:caps w:val="0"/>
          <w:color w:val="000000"/>
          <w:spacing w:val="0"/>
          <w:sz w:val="32"/>
          <w:szCs w:val="32"/>
          <w:shd w:val="clear" w:fill="FAFAFA"/>
          <w:lang w:eastAsia="zh-CN"/>
        </w:rPr>
        <w:t>、支出</w:t>
      </w:r>
      <w:r>
        <w:rPr>
          <w:rFonts w:hint="eastAsia" w:ascii="方正仿宋_GBK" w:hAnsi="方正仿宋_GBK" w:eastAsia="方正仿宋_GBK" w:cs="方正仿宋_GBK"/>
          <w:i w:val="0"/>
          <w:iCs w:val="0"/>
          <w:caps w:val="0"/>
          <w:color w:val="000000"/>
          <w:spacing w:val="0"/>
          <w:sz w:val="32"/>
          <w:szCs w:val="32"/>
          <w:shd w:val="clear" w:fill="FAFAFA"/>
        </w:rPr>
        <w:t>为0，故本年度</w:t>
      </w:r>
      <w:r>
        <w:rPr>
          <w:rStyle w:val="9"/>
          <w:rFonts w:hint="eastAsia" w:ascii="方正仿宋_GBK" w:hAnsi="方正仿宋_GBK" w:eastAsia="方正仿宋_GBK" w:cs="方正仿宋_GBK"/>
          <w:b w:val="0"/>
          <w:bCs/>
          <w:sz w:val="32"/>
          <w:szCs w:val="32"/>
          <w:shd w:val="clear" w:color="auto" w:fill="FFFFFF"/>
        </w:rPr>
        <w:t>增长</w:t>
      </w:r>
      <w:r>
        <w:rPr>
          <w:rFonts w:hint="eastAsia" w:ascii="方正仿宋_GBK" w:hAnsi="方正仿宋_GBK" w:eastAsia="方正仿宋_GBK" w:cs="方正仿宋_GBK"/>
          <w:i w:val="0"/>
          <w:iCs w:val="0"/>
          <w:caps w:val="0"/>
          <w:color w:val="000000"/>
          <w:spacing w:val="0"/>
          <w:sz w:val="32"/>
          <w:szCs w:val="32"/>
          <w:shd w:val="clear" w:fill="FAFAFA"/>
        </w:rPr>
        <w:t>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20</w:t>
      </w:r>
      <w:r>
        <w:rPr>
          <w:rFonts w:hint="eastAsia" w:ascii="方正仿宋_GBK" w:hAnsi="方正仿宋_GBK" w:eastAsia="方正仿宋_GBK" w:cs="方正仿宋_GBK"/>
          <w:sz w:val="32"/>
          <w:szCs w:val="32"/>
          <w:shd w:val="clear" w:color="auto" w:fill="FFFFFF"/>
          <w:lang w:eastAsia="zh-CN"/>
        </w:rPr>
        <w:t>24年</w:t>
      </w:r>
      <w:r>
        <w:rPr>
          <w:rFonts w:hint="eastAsia" w:ascii="方正仿宋_GBK" w:hAnsi="方正仿宋_GBK" w:eastAsia="方正仿宋_GBK" w:cs="方正仿宋_GBK"/>
          <w:sz w:val="32"/>
          <w:szCs w:val="32"/>
          <w:shd w:val="clear" w:color="auto" w:fill="FFFFFF"/>
        </w:rPr>
        <w:t>度一般公共预算财政拨款收入</w:t>
      </w:r>
      <w:r>
        <w:rPr>
          <w:rFonts w:hint="eastAsia" w:ascii="方正仿宋_GBK" w:hAnsi="方正仿宋_GBK" w:eastAsia="方正仿宋_GBK" w:cs="方正仿宋_GBK"/>
          <w:sz w:val="32"/>
          <w:szCs w:val="32"/>
        </w:rPr>
        <w:t>90.55</w:t>
      </w:r>
      <w:r>
        <w:rPr>
          <w:rFonts w:hint="eastAsia" w:ascii="方正仿宋_GBK" w:hAnsi="方正仿宋_GBK" w:eastAsia="方正仿宋_GBK" w:cs="方正仿宋_GBK"/>
          <w:sz w:val="32"/>
          <w:szCs w:val="32"/>
          <w:shd w:val="clear" w:color="auto" w:fill="FFFFFF"/>
        </w:rPr>
        <w:t>万元，与2023年度相比，增加90.55万元，增长100.0%。主要原因是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本单位上年度未单独核算，一般公共预算财政拨款</w:t>
      </w:r>
      <w:r>
        <w:rPr>
          <w:rFonts w:hint="eastAsia" w:ascii="方正仿宋_GBK" w:hAnsi="方正仿宋_GBK" w:eastAsia="方正仿宋_GBK" w:cs="方正仿宋_GBK"/>
          <w:i w:val="0"/>
          <w:iCs w:val="0"/>
          <w:caps w:val="0"/>
          <w:color w:val="000000"/>
          <w:spacing w:val="0"/>
          <w:sz w:val="32"/>
          <w:szCs w:val="32"/>
          <w:shd w:val="clear" w:fill="FAFAFA"/>
          <w:lang w:eastAsia="zh-CN"/>
        </w:rPr>
        <w:t>收入</w:t>
      </w:r>
      <w:r>
        <w:rPr>
          <w:rFonts w:hint="eastAsia" w:ascii="方正仿宋_GBK" w:hAnsi="方正仿宋_GBK" w:eastAsia="方正仿宋_GBK" w:cs="方正仿宋_GBK"/>
          <w:i w:val="0"/>
          <w:iCs w:val="0"/>
          <w:caps w:val="0"/>
          <w:color w:val="000000"/>
          <w:spacing w:val="0"/>
          <w:sz w:val="32"/>
          <w:szCs w:val="32"/>
          <w:shd w:val="clear" w:fill="FAFAFA"/>
        </w:rPr>
        <w:t>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较年初预算数减少8.48万元，下降8.6%。主要原因是</w:t>
      </w:r>
      <w:r>
        <w:rPr>
          <w:rFonts w:hint="eastAsia" w:ascii="方正仿宋_GBK" w:hAnsi="方正仿宋_GBK" w:eastAsia="方正仿宋_GBK" w:cs="方正仿宋_GBK"/>
          <w:color w:val="auto"/>
          <w:sz w:val="32"/>
          <w:szCs w:val="32"/>
          <w:shd w:val="clear" w:color="auto" w:fill="FFFFFF"/>
          <w:lang w:eastAsia="zh-CN"/>
        </w:rPr>
        <w:t>减少救灾相关资金投入。</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rPr>
      </w:pPr>
      <w:r>
        <w:rPr>
          <w:rStyle w:val="9"/>
          <w:rFonts w:hint="eastAsia"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w:t>
      </w:r>
      <w:r>
        <w:rPr>
          <w:rFonts w:hint="eastAsia" w:ascii="方正仿宋_GBK" w:hAnsi="方正仿宋_GBK" w:eastAsia="方正仿宋_GBK" w:cs="方正仿宋_GBK"/>
          <w:b w:val="0"/>
          <w:bCs/>
          <w:sz w:val="32"/>
          <w:szCs w:val="32"/>
        </w:rPr>
        <w:t>90.55</w:t>
      </w:r>
      <w:r>
        <w:rPr>
          <w:rFonts w:hint="eastAsia" w:ascii="方正仿宋_GBK" w:hAnsi="方正仿宋_GBK" w:eastAsia="方正仿宋_GBK" w:cs="方正仿宋_GBK"/>
          <w:b w:val="0"/>
          <w:bCs/>
          <w:sz w:val="32"/>
          <w:szCs w:val="32"/>
          <w:shd w:val="clear" w:color="auto" w:fill="FFFFFF"/>
        </w:rPr>
        <w:t>万元，与2023年度相比，增加90.55万元，增长100.0%。主要原因是</w:t>
      </w:r>
      <w:r>
        <w:rPr>
          <w:rFonts w:hint="eastAsia" w:ascii="方正仿宋_GBK" w:hAnsi="方正仿宋_GBK" w:eastAsia="方正仿宋_GBK" w:cs="方正仿宋_GBK"/>
          <w:b w:val="0"/>
          <w:bCs/>
          <w:i w:val="0"/>
          <w:iCs w:val="0"/>
          <w:caps w:val="0"/>
          <w:color w:val="000000"/>
          <w:spacing w:val="0"/>
          <w:sz w:val="32"/>
          <w:szCs w:val="32"/>
          <w:shd w:val="clear" w:fill="FAFAFA"/>
        </w:rPr>
        <w:t>本单位上年度未单独核算</w:t>
      </w:r>
      <w:r>
        <w:rPr>
          <w:rFonts w:hint="eastAsia" w:ascii="方正仿宋_GBK" w:hAnsi="方正仿宋_GBK" w:eastAsia="方正仿宋_GBK" w:cs="方正仿宋_GBK"/>
          <w:b w:val="0"/>
          <w:bCs/>
          <w:i w:val="0"/>
          <w:iCs w:val="0"/>
          <w:caps w:val="0"/>
          <w:color w:val="000000"/>
          <w:spacing w:val="0"/>
          <w:sz w:val="32"/>
          <w:szCs w:val="32"/>
          <w:shd w:val="clear" w:fill="FAFAFA"/>
          <w:lang w:eastAsia="zh-CN"/>
        </w:rPr>
        <w:t>，</w:t>
      </w:r>
      <w:r>
        <w:rPr>
          <w:rFonts w:hint="eastAsia" w:ascii="方正仿宋_GBK" w:hAnsi="方正仿宋_GBK" w:eastAsia="方正仿宋_GBK" w:cs="方正仿宋_GBK"/>
          <w:b w:val="0"/>
          <w:bCs/>
          <w:i w:val="0"/>
          <w:iCs w:val="0"/>
          <w:caps w:val="0"/>
          <w:color w:val="000000"/>
          <w:spacing w:val="0"/>
          <w:sz w:val="32"/>
          <w:szCs w:val="32"/>
          <w:shd w:val="clear" w:fill="FAFAFA"/>
        </w:rPr>
        <w:t>一般公共预算财政拨款</w:t>
      </w:r>
      <w:r>
        <w:rPr>
          <w:rFonts w:hint="eastAsia" w:ascii="方正仿宋_GBK" w:hAnsi="方正仿宋_GBK" w:eastAsia="方正仿宋_GBK" w:cs="方正仿宋_GBK"/>
          <w:b w:val="0"/>
          <w:bCs/>
          <w:i w:val="0"/>
          <w:iCs w:val="0"/>
          <w:caps w:val="0"/>
          <w:color w:val="000000"/>
          <w:spacing w:val="0"/>
          <w:sz w:val="32"/>
          <w:szCs w:val="32"/>
          <w:shd w:val="clear" w:fill="FAFAFA"/>
          <w:lang w:eastAsia="zh-CN"/>
        </w:rPr>
        <w:t>支出</w:t>
      </w:r>
      <w:r>
        <w:rPr>
          <w:rFonts w:hint="eastAsia" w:ascii="方正仿宋_GBK" w:hAnsi="方正仿宋_GBK" w:eastAsia="方正仿宋_GBK" w:cs="方正仿宋_GBK"/>
          <w:b w:val="0"/>
          <w:bCs/>
          <w:i w:val="0"/>
          <w:iCs w:val="0"/>
          <w:caps w:val="0"/>
          <w:color w:val="000000"/>
          <w:spacing w:val="0"/>
          <w:sz w:val="32"/>
          <w:szCs w:val="32"/>
          <w:shd w:val="clear" w:fill="FAFAFA"/>
        </w:rPr>
        <w:t>为0，故本年度增长100</w:t>
      </w:r>
      <w:r>
        <w:rPr>
          <w:rFonts w:hint="eastAsia" w:ascii="方正仿宋_GBK" w:hAnsi="方正仿宋_GBK" w:eastAsia="方正仿宋_GBK" w:cs="方正仿宋_GBK"/>
          <w:b w:val="0"/>
          <w:bCs/>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b w:val="0"/>
          <w:bCs/>
          <w:i w:val="0"/>
          <w:iCs w:val="0"/>
          <w:caps w:val="0"/>
          <w:color w:val="000000"/>
          <w:spacing w:val="0"/>
          <w:sz w:val="32"/>
          <w:szCs w:val="32"/>
          <w:shd w:val="clear" w:fill="FAFAFA"/>
        </w:rPr>
        <w:t>%。</w:t>
      </w:r>
      <w:r>
        <w:rPr>
          <w:rFonts w:hint="eastAsia" w:ascii="方正仿宋_GBK" w:hAnsi="方正仿宋_GBK" w:eastAsia="方正仿宋_GBK" w:cs="方正仿宋_GBK"/>
          <w:b w:val="0"/>
          <w:bCs/>
          <w:sz w:val="32"/>
          <w:szCs w:val="32"/>
          <w:shd w:val="clear" w:color="auto" w:fill="FFFFFF"/>
        </w:rPr>
        <w:t>较年初预算数减少8.48万元，下降8.6%。主要原因是</w:t>
      </w:r>
      <w:r>
        <w:rPr>
          <w:rFonts w:hint="eastAsia" w:ascii="方正仿宋_GBK" w:hAnsi="方正仿宋_GBK" w:eastAsia="方正仿宋_GBK" w:cs="方正仿宋_GBK"/>
          <w:b w:val="0"/>
          <w:bCs/>
          <w:color w:val="auto"/>
          <w:sz w:val="32"/>
          <w:szCs w:val="32"/>
          <w:shd w:val="clear" w:color="auto" w:fill="FFFFFF"/>
          <w:lang w:eastAsia="zh-CN"/>
        </w:rPr>
        <w:t>救灾相关资金支出减少。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Style w:val="9"/>
          <w:rFonts w:hint="eastAsia"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度年末一般公共预算财政拨款结转和结余</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rPr>
        <w:t xml:space="preserve"> 4.比较情况。</w:t>
      </w:r>
      <w:r>
        <w:rPr>
          <w:rFonts w:hint="eastAsia" w:ascii="方正仿宋_GBK" w:hAnsi="方正仿宋_GBK" w:eastAsia="方正仿宋_GBK" w:cs="方正仿宋_GBK"/>
          <w:b w:val="0"/>
          <w:bCs/>
          <w:sz w:val="32"/>
          <w:szCs w:val="32"/>
          <w:shd w:val="clear" w:color="auto" w:fill="FFFFFF"/>
        </w:rPr>
        <w:t>本单位</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度一般公共预算财政拨款支出主要用于以下几</w:t>
      </w:r>
      <w:r>
        <w:rPr>
          <w:rFonts w:hint="eastAsia" w:ascii="方正仿宋_GBK" w:hAnsi="方正仿宋_GBK" w:eastAsia="方正仿宋_GBK" w:cs="方正仿宋_GBK"/>
          <w:sz w:val="32"/>
          <w:szCs w:val="32"/>
          <w:shd w:val="clear" w:color="auto" w:fill="FFFFFF"/>
        </w:rPr>
        <w:t>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（1）一般公共服务支出</w:t>
      </w:r>
      <w:r>
        <w:rPr>
          <w:rFonts w:hint="eastAsia" w:ascii="方正仿宋_GBK" w:hAnsi="方正仿宋_GBK" w:eastAsia="方正仿宋_GBK" w:cs="方正仿宋_GBK"/>
          <w:sz w:val="32"/>
          <w:szCs w:val="32"/>
        </w:rPr>
        <w:t>77.24</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85.3</w:t>
      </w:r>
      <w:r>
        <w:rPr>
          <w:rFonts w:hint="eastAsia" w:ascii="方正仿宋_GBK" w:hAnsi="方正仿宋_GBK" w:eastAsia="方正仿宋_GBK" w:cs="方正仿宋_GBK"/>
          <w:sz w:val="32"/>
          <w:szCs w:val="32"/>
          <w:shd w:val="clear" w:color="auto" w:fill="FFFFFF"/>
        </w:rPr>
        <w:t>%，较年初预算数增加1.82万元，增长2.4%，</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追加一般公共服务投入。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sz w:val="32"/>
          <w:szCs w:val="32"/>
        </w:rPr>
        <w:t>8.14</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lang w:val="en-US" w:eastAsia="zh-CN"/>
        </w:rPr>
        <w:t>9.0</w:t>
      </w:r>
      <w:r>
        <w:rPr>
          <w:rFonts w:hint="eastAsia" w:ascii="方正仿宋_GBK" w:hAnsi="方正仿宋_GBK" w:eastAsia="方正仿宋_GBK" w:cs="方正仿宋_GBK"/>
          <w:sz w:val="32"/>
          <w:szCs w:val="32"/>
          <w:shd w:val="clear" w:color="auto" w:fill="FFFFFF"/>
        </w:rPr>
        <w:t>%，较年初预算数增加1.18万元，增长17.0%，主要原因是</w:t>
      </w:r>
      <w:r>
        <w:rPr>
          <w:rFonts w:hint="eastAsia" w:ascii="方正仿宋_GBK" w:hAnsi="方正仿宋_GBK" w:eastAsia="方正仿宋_GBK" w:cs="方正仿宋_GBK"/>
          <w:color w:val="auto"/>
          <w:sz w:val="32"/>
          <w:szCs w:val="32"/>
          <w:shd w:val="clear" w:color="auto" w:fill="FFFFFF"/>
          <w:lang w:eastAsia="zh-CN"/>
        </w:rPr>
        <w:t>追加社会保障与就业投入。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rPr>
        <w:t>2.61</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shd w:val="clear" w:color="auto" w:fill="FFFFFF"/>
        </w:rPr>
        <w:t>%，较年初预算数减少1.16万元，下降30.8%，主要原因是</w:t>
      </w:r>
      <w:r>
        <w:rPr>
          <w:rFonts w:hint="eastAsia" w:ascii="方正仿宋_GBK" w:hAnsi="方正仿宋_GBK" w:eastAsia="方正仿宋_GBK" w:cs="方正仿宋_GBK"/>
          <w:color w:val="auto"/>
          <w:sz w:val="32"/>
          <w:szCs w:val="32"/>
          <w:shd w:val="clear" w:color="auto" w:fill="FFFFFF"/>
          <w:lang w:eastAsia="zh-CN"/>
        </w:rPr>
        <w:t>减少卫生健康投入。</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住房保障支出2.55</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2.8</w:t>
      </w:r>
      <w:r>
        <w:rPr>
          <w:rFonts w:hint="eastAsia" w:ascii="方正仿宋_GBK" w:hAnsi="方正仿宋_GBK" w:eastAsia="方正仿宋_GBK" w:cs="方正仿宋_GBK"/>
          <w:sz w:val="32"/>
          <w:szCs w:val="32"/>
          <w:shd w:val="clear" w:color="auto" w:fill="FFFFFF"/>
        </w:rPr>
        <w:t>%，较年初预算数减少0.93万元，下降26.7%，主要原因是</w:t>
      </w:r>
      <w:r>
        <w:rPr>
          <w:rFonts w:hint="eastAsia" w:ascii="方正仿宋_GBK" w:hAnsi="方正仿宋_GBK" w:eastAsia="方正仿宋_GBK" w:cs="方正仿宋_GBK"/>
          <w:color w:val="auto"/>
          <w:sz w:val="32"/>
          <w:szCs w:val="32"/>
          <w:shd w:val="clear" w:color="auto" w:fill="FFFFFF"/>
          <w:lang w:eastAsia="zh-CN"/>
        </w:rPr>
        <w:t>减少住房保障投入。</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灾害防治及应急管理支出0</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0.0</w:t>
      </w:r>
      <w:r>
        <w:rPr>
          <w:rFonts w:hint="eastAsia" w:ascii="方正仿宋_GBK" w:hAnsi="方正仿宋_GBK" w:eastAsia="方正仿宋_GBK" w:cs="方正仿宋_GBK"/>
          <w:sz w:val="32"/>
          <w:szCs w:val="32"/>
          <w:shd w:val="clear" w:color="auto" w:fill="FFFFFF"/>
        </w:rPr>
        <w:t>%，较年初预算数减少9.4万元，下降100.0%，主要原因是</w:t>
      </w:r>
      <w:r>
        <w:rPr>
          <w:rFonts w:hint="eastAsia" w:ascii="方正仿宋_GBK" w:hAnsi="方正仿宋_GBK" w:eastAsia="方正仿宋_GBK" w:cs="方正仿宋_GBK"/>
          <w:color w:val="auto"/>
          <w:sz w:val="32"/>
          <w:szCs w:val="32"/>
          <w:shd w:val="clear" w:color="auto" w:fill="FFFFFF"/>
          <w:lang w:eastAsia="zh-CN"/>
        </w:rPr>
        <w:t>减少救灾相关资金投入。</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度一般公共财政拨款基本支出</w:t>
      </w:r>
      <w:r>
        <w:rPr>
          <w:rFonts w:hint="eastAsia" w:ascii="方正仿宋_GBK" w:hAnsi="方正仿宋_GBK" w:eastAsia="方正仿宋_GBK" w:cs="方正仿宋_GBK"/>
          <w:sz w:val="32"/>
          <w:szCs w:val="32"/>
        </w:rPr>
        <w:t>85.67</w:t>
      </w:r>
      <w:r>
        <w:rPr>
          <w:rFonts w:hint="eastAsia"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rPr>
        <w:t>70.76</w:t>
      </w:r>
      <w:r>
        <w:rPr>
          <w:rFonts w:hint="eastAsia" w:ascii="方正仿宋_GBK" w:hAnsi="方正仿宋_GBK" w:eastAsia="方正仿宋_GBK" w:cs="方正仿宋_GBK"/>
          <w:sz w:val="32"/>
          <w:szCs w:val="32"/>
          <w:shd w:val="clear" w:color="auto" w:fill="FFFFFF"/>
        </w:rPr>
        <w:t>万元，与2023年度相比，增加70.76万元，增长100.0%，主要原因是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本单位上年度未单独核算，人员经费支出为0，故本年度增长100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color="auto" w:fill="FFFFFF"/>
        </w:rPr>
        <w:t>基本津贴补贴、奖金、社会保障缴费、其他工资福利支出、对个人家庭补助支出等。</w:t>
      </w:r>
      <w:r>
        <w:rPr>
          <w:rFonts w:hint="eastAsia"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rPr>
        <w:t>14.91</w:t>
      </w:r>
      <w:r>
        <w:rPr>
          <w:rFonts w:hint="eastAsia" w:ascii="方正仿宋_GBK" w:hAnsi="方正仿宋_GBK" w:eastAsia="方正仿宋_GBK" w:cs="方正仿宋_GBK"/>
          <w:sz w:val="32"/>
          <w:szCs w:val="32"/>
          <w:shd w:val="clear" w:color="auto" w:fill="FFFFFF"/>
        </w:rPr>
        <w:t>万元，与2023年度相比，增加14.91万元，增长100.0%，主要原因是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本单位上年度未单独核算，日常公用经费支出为0，故本年度增长100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color="auto" w:fill="FFFFFF"/>
        </w:rPr>
        <w:t>办公费、水电费、邮电费、会议费、维修（护）费、培训费、劳务费、其他交通费、工会会费等。</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（五）政府性基金预算收支决算情况说明</w:t>
      </w:r>
    </w:p>
    <w:p>
      <w:pPr>
        <w:pStyle w:val="10"/>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2024年度无政府性基金预算财政拨款收支。</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val="0"/>
          <w:bCs/>
          <w:sz w:val="32"/>
          <w:szCs w:val="32"/>
        </w:rPr>
        <w:t>本</w:t>
      </w:r>
      <w:r>
        <w:rPr>
          <w:rFonts w:hint="eastAsia" w:ascii="方正仿宋_GBK" w:hAnsi="方正仿宋_GBK" w:eastAsia="方正仿宋_GBK" w:cs="方正仿宋_GBK"/>
          <w:b w:val="0"/>
          <w:bCs/>
          <w:sz w:val="32"/>
          <w:szCs w:val="32"/>
          <w:lang w:eastAsia="zh-CN"/>
        </w:rPr>
        <w:t>单位</w:t>
      </w:r>
      <w:r>
        <w:rPr>
          <w:rFonts w:hint="eastAsia" w:ascii="方正仿宋_GBK" w:hAnsi="方正仿宋_GBK" w:eastAsia="方正仿宋_GBK" w:cs="方正仿宋_GBK"/>
          <w:b w:val="0"/>
          <w:bCs/>
          <w:sz w:val="32"/>
          <w:szCs w:val="32"/>
        </w:rPr>
        <w:t>202</w:t>
      </w:r>
      <w:r>
        <w:rPr>
          <w:rFonts w:hint="eastAsia" w:ascii="方正仿宋_GBK" w:hAnsi="方正仿宋_GBK" w:eastAsia="方正仿宋_GBK" w:cs="方正仿宋_GBK"/>
          <w:b w:val="0"/>
          <w:bCs/>
          <w:sz w:val="32"/>
          <w:szCs w:val="32"/>
          <w:lang w:val="en-US" w:eastAsia="zh-CN"/>
        </w:rPr>
        <w:t>4</w:t>
      </w:r>
      <w:r>
        <w:rPr>
          <w:rFonts w:hint="eastAsia" w:ascii="方正仿宋_GBK" w:hAnsi="方正仿宋_GBK" w:eastAsia="方正仿宋_GBK" w:cs="方正仿宋_GBK"/>
          <w:b w:val="0"/>
          <w:bCs/>
          <w:sz w:val="32"/>
          <w:szCs w:val="32"/>
        </w:rPr>
        <w:t>年度无国有资本经营预算财政拨款支出。</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（一）“三公”经费支出总体情况说明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仿宋_GBK" w:hAnsi="方正仿宋_GBK" w:eastAsia="方正仿宋_GBK" w:cs="方正仿宋_GBK"/>
          <w:i w:val="0"/>
          <w:iCs w:val="0"/>
          <w:caps w:val="0"/>
          <w:color w:val="000000"/>
          <w:spacing w:val="0"/>
          <w:sz w:val="32"/>
          <w:szCs w:val="32"/>
          <w:shd w:val="clear" w:fill="FAFAFA"/>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fill="FAFAFA"/>
          <w:lang w:eastAsia="zh-CN"/>
        </w:rPr>
        <w:t>本年度</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w:t>
      </w:r>
      <w:r>
        <w:rPr>
          <w:rFonts w:hint="eastAsia" w:ascii="方正仿宋_GBK" w:hAnsi="方正仿宋_GBK" w:eastAsia="方正仿宋_GBK" w:cs="方正仿宋_GBK"/>
          <w:i w:val="0"/>
          <w:iCs w:val="0"/>
          <w:caps w:val="0"/>
          <w:color w:val="000000"/>
          <w:spacing w:val="0"/>
          <w:sz w:val="32"/>
          <w:szCs w:val="32"/>
          <w:shd w:val="clear" w:fill="FAFAFA"/>
          <w:lang w:eastAsia="zh-CN"/>
        </w:rPr>
        <w:t>，故上年度“三公”经费支出为</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0万元。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度本单位因公出国（境）费用</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kern w:val="0"/>
          <w:sz w:val="32"/>
          <w:szCs w:val="32"/>
          <w:shd w:val="clear" w:color="auto" w:fill="FFFFFF"/>
        </w:rPr>
        <w:t>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年度未发生因公出国（境）费用</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费用支出较年初预算数无增减，与2023年度相比，无增减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kern w:val="2"/>
          <w:sz w:val="32"/>
          <w:szCs w:val="32"/>
          <w:lang w:val="en-US" w:eastAsia="zh-CN" w:bidi="ar"/>
        </w:rPr>
        <w:t>与上年度决算数持平。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年度未发生公务车购置费</w:t>
      </w:r>
      <w:r>
        <w:rPr>
          <w:rFonts w:hint="eastAsia" w:ascii="方正仿宋_GBK" w:hAnsi="方正仿宋_GBK" w:eastAsia="方正仿宋_GBK" w:cs="方正仿宋_GBK"/>
          <w:sz w:val="32"/>
          <w:szCs w:val="32"/>
          <w:shd w:val="clear" w:color="auto" w:fill="FFFFFF"/>
        </w:rPr>
        <w:t>。费用支出较年初预算数无增减，与2023年度相比，无增减，</w:t>
      </w:r>
      <w:r>
        <w:rPr>
          <w:rFonts w:hint="eastAsia" w:ascii="方正仿宋_GBK" w:hAnsi="方正仿宋_GBK" w:eastAsia="方正仿宋_GBK" w:cs="方正仿宋_GBK"/>
          <w:kern w:val="2"/>
          <w:sz w:val="32"/>
          <w:szCs w:val="32"/>
          <w:lang w:val="en-US" w:eastAsia="zh-CN" w:bidi="ar"/>
        </w:rPr>
        <w:t>与上年度决算数持平。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bCs/>
          <w:sz w:val="32"/>
          <w:szCs w:val="32"/>
          <w:lang w:eastAsia="zh-CN"/>
        </w:rPr>
        <w:t>公务车油费、维修费、路桥费、保险费等。</w:t>
      </w:r>
      <w:r>
        <w:rPr>
          <w:rFonts w:hint="eastAsia" w:ascii="方正仿宋_GBK" w:hAnsi="方正仿宋_GBK" w:eastAsia="方正仿宋_GBK" w:cs="方正仿宋_GBK"/>
          <w:sz w:val="32"/>
          <w:szCs w:val="32"/>
          <w:shd w:val="clear" w:color="auto" w:fill="FFFFFF"/>
        </w:rPr>
        <w:t>费用支出较年初预算数无增减，与2023年度相比，无增减，主要原因是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kern w:val="0"/>
          <w:sz w:val="32"/>
          <w:szCs w:val="32"/>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年度未发生公务接待费。</w:t>
      </w:r>
      <w:r>
        <w:rPr>
          <w:rFonts w:hint="eastAsia"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kern w:val="2"/>
          <w:sz w:val="32"/>
          <w:szCs w:val="32"/>
          <w:lang w:val="en-US" w:eastAsia="zh-CN" w:bidi="ar"/>
        </w:rPr>
        <w:t>与上年度决算数持平</w:t>
      </w:r>
      <w:r>
        <w:rPr>
          <w:rFonts w:hint="eastAsia" w:ascii="方正仿宋_GBK" w:hAnsi="方正仿宋_GBK" w:eastAsia="方正仿宋_GBK" w:cs="方正仿宋_GBK"/>
          <w:kern w:val="0"/>
          <w:sz w:val="32"/>
          <w:szCs w:val="32"/>
          <w:shd w:val="clear" w:color="auto" w:fill="FFFFFF"/>
          <w:lang w:eastAsia="zh-CN"/>
        </w:rPr>
        <w:t>。</w:t>
      </w:r>
    </w:p>
    <w:p>
      <w:pPr>
        <w:pStyle w:val="6"/>
        <w:keepNext w:val="0"/>
        <w:keepLines w:val="0"/>
        <w:pageBreakBefore w:val="0"/>
        <w:widowControl/>
        <w:numPr>
          <w:ilvl w:val="0"/>
          <w:numId w:val="2"/>
        </w:numPr>
        <w:shd w:val="clear" w:color="auto" w:fill="FFFFFF"/>
        <w:kinsoku/>
        <w:wordWrap/>
        <w:overflowPunct/>
        <w:topLinePunct w:val="0"/>
        <w:autoSpaceDN/>
        <w:bidi w:val="0"/>
        <w:adjustRightInd/>
        <w:spacing w:beforeAutospacing="0" w:afterAutospacing="0" w:line="560" w:lineRule="exact"/>
        <w:ind w:firstLine="420"/>
        <w:textAlignment w:val="auto"/>
        <w:rPr>
          <w:rFonts w:hint="eastAsia" w:ascii="方正仿宋_GBK" w:hAnsi="方正仿宋_GBK" w:eastAsia="方正仿宋_GBK" w:cs="方正仿宋_GBK"/>
          <w:sz w:val="32"/>
          <w:szCs w:val="32"/>
        </w:rPr>
      </w:pPr>
      <w:r>
        <w:rPr>
          <w:rStyle w:val="9"/>
          <w:rFonts w:hint="eastAsia" w:ascii="方正楷体_GBK" w:hAnsi="方正楷体_GBK" w:eastAsia="方正楷体_GBK" w:cs="方正楷体_GBK"/>
          <w:b w:val="0"/>
          <w:bCs/>
          <w:sz w:val="32"/>
          <w:szCs w:val="32"/>
          <w:shd w:val="clear" w:color="auto" w:fill="FFFFFF"/>
        </w:rPr>
        <w:t>“三公”经费实物量情况</w:t>
      </w:r>
    </w:p>
    <w:p>
      <w:pPr>
        <w:pStyle w:val="6"/>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人；公务用车购置</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本单位人均接待费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黑体_GBK" w:hAnsi="方正黑体_GBK" w:eastAsia="方正黑体_GBK" w:cs="方正黑体_GBK"/>
          <w:b w:val="0"/>
          <w:bCs/>
          <w:sz w:val="32"/>
          <w:szCs w:val="32"/>
          <w:shd w:val="clear" w:color="auto" w:fill="FFFFFF"/>
          <w:lang w:eastAsia="zh-CN"/>
        </w:rPr>
        <w:t>四、其他需要说明的事项</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eastAsia" w:ascii="方正仿宋_GBK" w:hAnsi="方正仿宋_GBK" w:eastAsia="方正仿宋_GBK" w:cs="方正仿宋_GBK"/>
          <w:b/>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 xml:space="preserve"> </w:t>
      </w:r>
      <w:r>
        <w:rPr>
          <w:rStyle w:val="9"/>
          <w:rFonts w:hint="eastAsia" w:ascii="方正楷体_GBK" w:hAnsi="方正楷体_GBK" w:eastAsia="方正楷体_GBK" w:cs="方正楷体_GBK"/>
          <w:b w:val="0"/>
          <w:bCs/>
          <w:sz w:val="32"/>
          <w:szCs w:val="32"/>
          <w:shd w:val="clear" w:color="auto" w:fill="FFFFFF"/>
          <w:lang w:val="en-US" w:eastAsia="zh-CN"/>
        </w:rPr>
        <w:t>（</w:t>
      </w:r>
      <w:r>
        <w:rPr>
          <w:rStyle w:val="9"/>
          <w:rFonts w:hint="eastAsia" w:ascii="方正楷体_GBK" w:hAnsi="方正楷体_GBK" w:eastAsia="方正楷体_GBK" w:cs="方正楷体_GBK"/>
          <w:b w:val="0"/>
          <w:bCs/>
          <w:sz w:val="32"/>
          <w:szCs w:val="32"/>
          <w:shd w:val="clear" w:color="auto" w:fill="FFFFFF"/>
          <w:lang w:val="en-US" w:eastAsia="zh-CN" w:bidi="ar-SA"/>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本年未产生相关会议费用</w:t>
      </w:r>
      <w:r>
        <w:rPr>
          <w:rFonts w:hint="eastAsia"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i w:val="0"/>
          <w:iCs w:val="0"/>
          <w:caps w:val="0"/>
          <w:color w:val="000000"/>
          <w:spacing w:val="0"/>
          <w:sz w:val="32"/>
          <w:szCs w:val="32"/>
          <w:shd w:val="clear" w:fill="FAFAFA"/>
        </w:rPr>
        <w:t>上年度未单独核算，故本年培训费较上年</w:t>
      </w:r>
      <w:r>
        <w:rPr>
          <w:rFonts w:hint="eastAsia" w:ascii="方正仿宋_GBK" w:hAnsi="方正仿宋_GBK" w:eastAsia="方正仿宋_GBK" w:cs="方正仿宋_GBK"/>
          <w:i w:val="0"/>
          <w:iCs w:val="0"/>
          <w:caps w:val="0"/>
          <w:color w:val="000000"/>
          <w:spacing w:val="0"/>
          <w:sz w:val="32"/>
          <w:szCs w:val="32"/>
          <w:shd w:val="clear" w:fill="FAFAFA"/>
          <w:lang w:eastAsia="zh-CN"/>
        </w:rPr>
        <w:t>增长</w:t>
      </w:r>
      <w:r>
        <w:rPr>
          <w:rFonts w:hint="eastAsia" w:ascii="方正仿宋_GBK" w:hAnsi="方正仿宋_GBK" w:eastAsia="方正仿宋_GBK" w:cs="方正仿宋_GBK"/>
          <w:i w:val="0"/>
          <w:iCs w:val="0"/>
          <w:caps w:val="0"/>
          <w:color w:val="000000"/>
          <w:spacing w:val="0"/>
          <w:sz w:val="32"/>
          <w:szCs w:val="32"/>
          <w:shd w:val="clear" w:fill="FAFAFA"/>
        </w:rPr>
        <w:t>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按照部门决算列报口径，我单位不在机关运行经费统计范围之内。</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12月31日，本单位共有车辆</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辆，特种专业技术用车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辆，离退休干部用车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台（套）。</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hint="eastAsia" w:ascii="方正仿宋_GBK" w:hAnsi="方正仿宋_GBK" w:eastAsia="方正仿宋_GBK" w:cs="方正仿宋_GBK"/>
          <w:color w:val="auto"/>
          <w:sz w:val="32"/>
          <w:szCs w:val="32"/>
          <w:shd w:val="clear" w:color="auto" w:fill="FFFFFF"/>
        </w:rPr>
        <w:t>度我单位未发生政府采购事项，无相关经费支出。</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rPr>
      </w:pPr>
      <w:r>
        <w:rPr>
          <w:rStyle w:val="9"/>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（一）预算绩效管理工作开展情况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4.88</w:t>
      </w:r>
      <w:r>
        <w:rPr>
          <w:rFonts w:hint="eastAsia" w:ascii="方正仿宋_GBK" w:hAnsi="方正仿宋_GBK" w:eastAsia="方正仿宋_GBK" w:cs="方正仿宋_GBK"/>
          <w:kern w:val="0"/>
          <w:sz w:val="32"/>
          <w:szCs w:val="32"/>
          <w:shd w:val="clear" w:fill="FFFFFF"/>
        </w:rPr>
        <w:t>万元；以委托第三方出具报告的方式（如有）开展绩效评价</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万元。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（二）绩效自评结果</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1.项目绩效自评表。</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详见附件。</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2.项目绩效自评报告或案例。</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我单位对</w:t>
      </w:r>
      <w:r>
        <w:rPr>
          <w:rFonts w:hint="eastAsia" w:ascii="方正仿宋_GBK" w:hAnsi="方正仿宋_GBK" w:eastAsia="方正仿宋_GBK" w:cs="方正仿宋_GBK"/>
          <w:kern w:val="0"/>
          <w:sz w:val="32"/>
          <w:szCs w:val="32"/>
          <w:shd w:val="clear" w:fill="FFFFFF"/>
          <w:lang w:val="en-US" w:eastAsia="zh-CN"/>
        </w:rPr>
        <w:t>1个</w:t>
      </w:r>
      <w:r>
        <w:rPr>
          <w:rFonts w:hint="eastAsia" w:ascii="方正仿宋_GBK" w:hAnsi="方正仿宋_GBK" w:eastAsia="方正仿宋_GBK" w:cs="方正仿宋_GBK"/>
          <w:kern w:val="0"/>
          <w:sz w:val="32"/>
          <w:szCs w:val="32"/>
          <w:shd w:val="clear" w:fill="FFFFFF"/>
        </w:rPr>
        <w:t>项目进行绩效自评，其中</w:t>
      </w:r>
      <w:r>
        <w:rPr>
          <w:rFonts w:hint="eastAsia" w:ascii="方正仿宋_GBK" w:hAnsi="方正仿宋_GBK" w:eastAsia="方正仿宋_GBK" w:cs="方正仿宋_GBK"/>
          <w:kern w:val="0"/>
          <w:sz w:val="32"/>
          <w:szCs w:val="32"/>
          <w:shd w:val="clear" w:fill="FFFFFF"/>
          <w:lang w:val="en-US" w:eastAsia="zh-CN"/>
        </w:rPr>
        <w:t>1个</w:t>
      </w:r>
      <w:r>
        <w:rPr>
          <w:rFonts w:hint="eastAsia" w:ascii="方正仿宋_GBK" w:hAnsi="方正仿宋_GBK" w:eastAsia="方正仿宋_GBK" w:cs="方正仿宋_GBK"/>
          <w:kern w:val="0"/>
          <w:sz w:val="32"/>
          <w:szCs w:val="32"/>
          <w:shd w:val="clear" w:fill="FFFFFF"/>
        </w:rPr>
        <w:t>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lang w:val="en-US" w:eastAsia="zh-CN"/>
        </w:rPr>
      </w:pPr>
      <w:r>
        <w:rPr>
          <w:rStyle w:val="9"/>
          <w:rFonts w:hint="eastAsia" w:ascii="方正楷体_GBK" w:hAnsi="方正楷体_GBK" w:eastAsia="方正楷体_GBK" w:cs="方正楷体_GBK"/>
          <w:b w:val="0"/>
          <w:bCs/>
          <w:sz w:val="32"/>
          <w:szCs w:val="32"/>
          <w:shd w:val="clear" w:color="auto" w:fill="FFFFFF"/>
          <w:lang w:val="en-US" w:eastAsia="zh-CN"/>
        </w:rPr>
        <w:t xml:space="preserve">（三）财政重点绩效评价情况 </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eastAsia="zh-CN"/>
        </w:rPr>
      </w:pPr>
      <w:r>
        <w:rPr>
          <w:rStyle w:val="9"/>
          <w:rFonts w:hint="eastAsia" w:ascii="方正黑体_GBK" w:hAnsi="方正黑体_GBK" w:eastAsia="方正黑体_GBK" w:cs="方正黑体_GBK"/>
          <w:b w:val="0"/>
          <w:bCs/>
          <w:sz w:val="32"/>
          <w:szCs w:val="32"/>
          <w:shd w:val="clear" w:color="auto" w:fill="FFFFFF"/>
          <w:lang w:val="en-US" w:eastAsia="zh-CN"/>
        </w:rPr>
        <w:t>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w:t>
      </w:r>
      <w:r>
        <w:rPr>
          <w:rFonts w:hint="eastAsia" w:ascii="方正黑体_GBK" w:hAnsi="方正黑体_GBK" w:eastAsia="方正黑体_GBK" w:cs="方正黑体_GBK"/>
          <w:b w:val="0"/>
          <w:bCs/>
          <w:kern w:val="0"/>
          <w:sz w:val="32"/>
          <w:szCs w:val="32"/>
          <w:lang w:val="en-US" w:eastAsia="zh-CN"/>
        </w:rPr>
        <w:t>反馈</w:t>
      </w:r>
      <w:r>
        <w:rPr>
          <w:rStyle w:val="9"/>
          <w:rFonts w:hint="eastAsia" w:ascii="方正黑体_GBK" w:hAnsi="方正黑体_GBK" w:eastAsia="方正黑体_GBK" w:cs="方正黑体_GBK"/>
          <w:b w:val="0"/>
          <w:bCs/>
          <w:sz w:val="32"/>
          <w:szCs w:val="32"/>
          <w:shd w:val="clear" w:color="auto" w:fill="FFFFFF"/>
          <w:lang w:val="en-US" w:eastAsia="zh-CN" w:bidi="ar-SA"/>
        </w:rPr>
        <w:t>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Style w:val="12"/>
          <w:rFonts w:hint="eastAsia" w:ascii="方正仿宋_GBK" w:hAnsi="方正仿宋_GBK" w:eastAsia="方正仿宋_GBK" w:cs="方正仿宋_GBK"/>
          <w:b/>
          <w:bCs/>
          <w:color w:val="auto"/>
          <w:sz w:val="32"/>
          <w:szCs w:val="32"/>
          <w:shd w:val="clear" w:fill="FFFF00"/>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严雪丹   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45363271</w:t>
      </w: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A1308"/>
    <w:multiLevelType w:val="singleLevel"/>
    <w:tmpl w:val="922A1308"/>
    <w:lvl w:ilvl="0" w:tentative="0">
      <w:start w:val="3"/>
      <w:numFmt w:val="chineseCounting"/>
      <w:suff w:val="nothing"/>
      <w:lvlText w:val="%1、"/>
      <w:lvlJc w:val="left"/>
      <w:rPr>
        <w:rFonts w:hint="eastAsia"/>
      </w:rPr>
    </w:lvl>
  </w:abstractNum>
  <w:abstractNum w:abstractNumId="1">
    <w:nsid w:val="069E108C"/>
    <w:multiLevelType w:val="singleLevel"/>
    <w:tmpl w:val="069E108C"/>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4A000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83F2E3A"/>
    <w:rsid w:val="28A65C60"/>
    <w:rsid w:val="28D24C7D"/>
    <w:rsid w:val="29310A5F"/>
    <w:rsid w:val="29C37A35"/>
    <w:rsid w:val="29C95E09"/>
    <w:rsid w:val="2A076083"/>
    <w:rsid w:val="2A73162E"/>
    <w:rsid w:val="2B167953"/>
    <w:rsid w:val="2B200583"/>
    <w:rsid w:val="2B8209DE"/>
    <w:rsid w:val="2B892FE7"/>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0D2369"/>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D36999"/>
    <w:rsid w:val="46FC41C7"/>
    <w:rsid w:val="47674801"/>
    <w:rsid w:val="48225EF7"/>
    <w:rsid w:val="48FA39B0"/>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40B05"/>
    <w:rsid w:val="665C1999"/>
    <w:rsid w:val="667F2393"/>
    <w:rsid w:val="66EE5541"/>
    <w:rsid w:val="692172FD"/>
    <w:rsid w:val="6A3829EE"/>
    <w:rsid w:val="6B474EF5"/>
    <w:rsid w:val="6C560CAE"/>
    <w:rsid w:val="6D0615E4"/>
    <w:rsid w:val="6D903FF5"/>
    <w:rsid w:val="6DA955B8"/>
    <w:rsid w:val="6DE346AB"/>
    <w:rsid w:val="6F7F6A2D"/>
    <w:rsid w:val="6FB442D1"/>
    <w:rsid w:val="6FFB2E76"/>
    <w:rsid w:val="704F155E"/>
    <w:rsid w:val="71C34D91"/>
    <w:rsid w:val="71ED38AA"/>
    <w:rsid w:val="720229AA"/>
    <w:rsid w:val="72DB435C"/>
    <w:rsid w:val="750837F0"/>
    <w:rsid w:val="764F62AB"/>
    <w:rsid w:val="765C45EC"/>
    <w:rsid w:val="768A7619"/>
    <w:rsid w:val="76E14979"/>
    <w:rsid w:val="77EA362A"/>
    <w:rsid w:val="7875383E"/>
    <w:rsid w:val="78E75809"/>
    <w:rsid w:val="796D60A4"/>
    <w:rsid w:val="79A031D5"/>
    <w:rsid w:val="79B9457E"/>
    <w:rsid w:val="7A1525F7"/>
    <w:rsid w:val="7A3E6CB6"/>
    <w:rsid w:val="7A680D2D"/>
    <w:rsid w:val="7AB45BA7"/>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customStyle="1" w:styleId="2">
    <w:name w:val="Body Text 21"/>
    <w:basedOn w:val="1"/>
    <w:qFormat/>
    <w:uiPriority w:val="0"/>
    <w:pPr>
      <w:spacing w:line="480" w:lineRule="auto"/>
    </w:pPr>
    <w:rPr>
      <w:rFonts w:hint="eastAsi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p18"/>
    <w:basedOn w:val="1"/>
    <w:qFormat/>
    <w:uiPriority w:val="0"/>
    <w:pPr>
      <w:widowControl/>
      <w:ind w:firstLine="420"/>
      <w:jc w:val="left"/>
    </w:pPr>
    <w:rPr>
      <w:kern w:val="0"/>
      <w:sz w:val="30"/>
      <w:szCs w:val="30"/>
    </w:rPr>
  </w:style>
  <w:style w:type="character" w:customStyle="1" w:styleId="15">
    <w:name w:val="15"/>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7711</Words>
  <Characters>21008</Characters>
  <Lines>161</Lines>
  <Paragraphs>45</Paragraphs>
  <TotalTime>4</TotalTime>
  <ScaleCrop>false</ScaleCrop>
  <LinksUpToDate>false</LinksUpToDate>
  <CharactersWithSpaces>21460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半染</cp:lastModifiedBy>
  <dcterms:modified xsi:type="dcterms:W3CDTF">2025-10-29T09:41:30Z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