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right="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left="0" w:leftChars="0" w:right="0" w:rightChars="0" w:firstLine="0" w:firstLineChars="0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/>
        </w:rPr>
        <w:t>分时电价时段及收费标准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left="0" w:right="0" w:firstLine="42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高峰时段：11:00—17:00、20:00—22:00，在平段电价基础上提高0.10元/千瓦时（含税，下同）。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低谷时段：00:00—08:00，在平段电价基础上降低0.18元/千瓦时。</w:t>
      </w:r>
    </w:p>
    <w:p>
      <w:pPr>
        <w:numPr>
          <w:ilvl w:val="0"/>
          <w:numId w:val="0"/>
        </w:num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平段：08:00—11:00、17:00—20:00、22: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00—24:00，平段电价为国家规定的销售电价。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A0Y2E5OTY2NTM0OWZiNWU5OTU1NDEyNmYxNGUifQ=="/>
  </w:docVars>
  <w:rsids>
    <w:rsidRoot w:val="6F347CB0"/>
    <w:rsid w:val="6F34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2023-07-14T07:04:00Z</dcterms:created>
  <dc:creator>回眸</dc:creator>
  <cp:lastModifiedBy>回眸</cp:lastModifiedBy>
  <dcterms:modified xsi:type="dcterms:W3CDTF">2023-07-14T07:04:31Z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79901295D50B442C99C36C00D3A50B3C_11</vt:lpwstr>
  </property>
</Properties>
</file>