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ind w:firstLine="880" w:firstLineChars="200"/>
        <w:jc w:val="center"/>
        <w:rPr>
          <w:rFonts w:ascii="方正小标宋_GBK" w:eastAsia="方正小标宋_GBK"/>
          <w:b/>
          <w:sz w:val="44"/>
        </w:rPr>
      </w:pPr>
      <w:r>
        <w:rPr>
          <w:rStyle w:val="9"/>
          <w:rFonts w:ascii="方正小标宋_GBK" w:eastAsia="方正小标宋_GBK"/>
          <w:b w:val="0"/>
          <w:sz w:val="44"/>
        </w:rPr>
        <w:t>重庆市铜梁区人民政府旧县街道办事处</w:t>
      </w:r>
    </w:p>
    <w:p>
      <w:pPr>
        <w:pStyle w:val="6"/>
        <w:spacing w:before="0" w:beforeAutospacing="0" w:after="0" w:afterAutospacing="0" w:line="560" w:lineRule="exact"/>
        <w:ind w:firstLine="880" w:firstLineChars="200"/>
        <w:jc w:val="center"/>
        <w:rPr>
          <w:rStyle w:val="9"/>
          <w:rFonts w:hint="eastAsia" w:ascii="方正小标宋_GBK" w:eastAsia="方正小标宋_GBK"/>
          <w:b w:val="0"/>
          <w:sz w:val="44"/>
        </w:rPr>
      </w:pPr>
      <w:r>
        <w:rPr>
          <w:rStyle w:val="9"/>
          <w:rFonts w:ascii="Times New Roman" w:hAnsi="Times New Roman" w:eastAsia="方正小标宋_GBK" w:cs="Times New Roman"/>
          <w:b w:val="0"/>
          <w:sz w:val="44"/>
        </w:rPr>
        <w:t>2022</w:t>
      </w:r>
      <w:r>
        <w:rPr>
          <w:rStyle w:val="9"/>
          <w:rFonts w:ascii="方正小标宋_GBK" w:eastAsia="方正小标宋_GBK"/>
          <w:b w:val="0"/>
          <w:sz w:val="44"/>
        </w:rPr>
        <w:t>年度部门决算情况说明</w:t>
      </w:r>
    </w:p>
    <w:p>
      <w:pPr>
        <w:pStyle w:val="6"/>
        <w:spacing w:before="0" w:beforeAutospacing="0" w:after="0" w:afterAutospacing="0" w:line="560" w:lineRule="exact"/>
        <w:ind w:firstLine="883" w:firstLineChars="200"/>
        <w:jc w:val="center"/>
        <w:rPr>
          <w:rFonts w:ascii="方正小标宋_GBK" w:eastAsia="方正小标宋_GBK"/>
          <w:b/>
          <w:sz w:val="44"/>
        </w:rPr>
      </w:pPr>
    </w:p>
    <w:p>
      <w:pPr>
        <w:pStyle w:val="6"/>
        <w:spacing w:before="0" w:beforeAutospacing="0" w:after="0" w:afterAutospacing="0" w:line="560" w:lineRule="exact"/>
        <w:ind w:firstLine="640" w:firstLineChars="200"/>
        <w:rPr>
          <w:rFonts w:ascii="方正黑体_GBK" w:eastAsia="方正黑体_GBK"/>
          <w:b/>
          <w:sz w:val="32"/>
          <w:szCs w:val="32"/>
        </w:rPr>
      </w:pPr>
      <w:r>
        <w:rPr>
          <w:rStyle w:val="9"/>
          <w:rFonts w:hint="eastAsia" w:ascii="方正黑体_GBK" w:eastAsia="方正黑体_GBK"/>
          <w:b w:val="0"/>
          <w:sz w:val="32"/>
          <w:szCs w:val="32"/>
        </w:rPr>
        <w:t>一、部门基本情况</w:t>
      </w:r>
    </w:p>
    <w:p>
      <w:pPr>
        <w:pStyle w:val="6"/>
        <w:spacing w:before="0" w:beforeAutospacing="0" w:after="0" w:afterAutospacing="0" w:line="560" w:lineRule="exact"/>
        <w:ind w:firstLine="640" w:firstLineChars="200"/>
        <w:rPr>
          <w:rStyle w:val="9"/>
          <w:rFonts w:ascii="方正楷体_GBK" w:eastAsia="方正楷体_GBK"/>
          <w:b w:val="0"/>
          <w:sz w:val="32"/>
          <w:szCs w:val="32"/>
        </w:rPr>
      </w:pPr>
      <w:r>
        <w:rPr>
          <w:rStyle w:val="9"/>
          <w:rFonts w:hint="eastAsia" w:ascii="方正楷体_GBK" w:eastAsia="方正楷体_GBK"/>
          <w:b w:val="0"/>
          <w:sz w:val="32"/>
          <w:szCs w:val="32"/>
        </w:rPr>
        <w:t>（一）职能职责</w:t>
      </w:r>
    </w:p>
    <w:p>
      <w:pPr>
        <w:pStyle w:val="6"/>
        <w:spacing w:before="0" w:beforeAutospacing="0" w:after="0" w:afterAutospacing="0" w:line="560" w:lineRule="exact"/>
        <w:ind w:firstLine="640" w:firstLineChars="200"/>
        <w:rPr>
          <w:rFonts w:ascii="方正仿宋_GBK" w:eastAsia="方正仿宋_GBK"/>
          <w:b/>
          <w:bCs/>
          <w:sz w:val="32"/>
          <w:szCs w:val="32"/>
        </w:rPr>
      </w:pPr>
      <w:r>
        <w:rPr>
          <w:rFonts w:hint="eastAsia" w:ascii="方正仿宋_GBK" w:eastAsia="方正仿宋_GBK"/>
          <w:sz w:val="32"/>
          <w:szCs w:val="32"/>
        </w:rPr>
        <w:t>铜梁区旧县街道办事处在区委区</w:t>
      </w:r>
      <w:r>
        <w:rPr>
          <w:rFonts w:hint="eastAsia" w:ascii="方正仿宋_GBK" w:eastAsia="方正仿宋_GBK"/>
          <w:sz w:val="32"/>
          <w:szCs w:val="32"/>
          <w:lang w:eastAsia="zh-CN"/>
        </w:rPr>
        <w:t>政</w:t>
      </w:r>
      <w:r>
        <w:rPr>
          <w:rFonts w:hint="eastAsia" w:ascii="方正仿宋_GBK" w:eastAsia="方正仿宋_GBK"/>
          <w:sz w:val="32"/>
          <w:szCs w:val="32"/>
        </w:rPr>
        <w:t>府的领导下，贯彻执行党和国家的方针、政策、法律、法规；负责辖区内的地方性、群众性、公益性、社会性工作;负责精神文明建设；城市建设和管理、市容环境卫生、园林绿化、环境保护、市政、规划、房地产等监督、管理、服务工作;负责辖区内的稳定和社会治安综合治理工作，依照相关政策做好出租房屋和外来人口的管理工作; 负责民事调解，法律服务工作，维护居民的合法权益；负责社区建设和管理，指导开展社区服务工作，发动和组织社区成员开展各类社区公益活动；负责民兵、兵役、拥军优属、优抚安置、社会救济、社会福利、社会文化、科普、体育、教育、旅游等工作;负责发展街道和村（社区）组织集体经济，管理街道国有资产和村（社区）集体资产，为街道和村（社区）集体经济组织提供人才、科技、信息和其他服务，以经济、法律和必要的行政手段推动街道、村级经济发展和维护市场秩序;负责计划生育、安全生产监督工作;指导和帮助村（社区）居民委员会搞好组织建设和制度建设，发挥村（社区）居民委员会的群众自治作用;配合有关部门做好防汛、防风、防火、防震、抢险和救灾工作;向区人民政府反映群众意见和要求，办理人民群众来信来访事项。</w:t>
      </w:r>
    </w:p>
    <w:p>
      <w:pPr>
        <w:pStyle w:val="6"/>
        <w:spacing w:before="0" w:beforeAutospacing="0" w:after="0" w:afterAutospacing="0" w:line="560" w:lineRule="exact"/>
        <w:ind w:firstLine="640" w:firstLineChars="200"/>
        <w:rPr>
          <w:rStyle w:val="9"/>
          <w:rFonts w:ascii="方正楷体_GBK" w:eastAsia="方正楷体_GBK"/>
          <w:b w:val="0"/>
          <w:sz w:val="32"/>
          <w:szCs w:val="32"/>
        </w:rPr>
      </w:pPr>
      <w:r>
        <w:rPr>
          <w:rStyle w:val="9"/>
          <w:rFonts w:hint="eastAsia" w:ascii="方正楷体_GBK" w:eastAsia="方正楷体_GBK"/>
          <w:b w:val="0"/>
          <w:sz w:val="32"/>
          <w:szCs w:val="32"/>
        </w:rPr>
        <w:t>（二）机构设置</w:t>
      </w:r>
    </w:p>
    <w:p>
      <w:pPr>
        <w:pStyle w:val="6"/>
        <w:spacing w:before="0" w:beforeAutospacing="0" w:after="0" w:afterAutospacing="0" w:line="560" w:lineRule="exact"/>
        <w:ind w:firstLine="640" w:firstLineChars="200"/>
        <w:rPr>
          <w:rFonts w:ascii="方正仿宋_GBK" w:eastAsia="方正仿宋_GBK"/>
          <w:b/>
          <w:bCs/>
          <w:sz w:val="32"/>
          <w:szCs w:val="32"/>
        </w:rPr>
      </w:pPr>
      <w:r>
        <w:rPr>
          <w:rFonts w:hint="eastAsia" w:ascii="方正仿宋_GBK" w:eastAsia="方正仿宋_GBK"/>
          <w:sz w:val="32"/>
          <w:szCs w:val="32"/>
        </w:rPr>
        <w:t>内设党政办公室（党建工作办公室）；人大(工委)办公室；经济发展办公室（统计办公室）；社会事务办公室（民政</w:t>
      </w:r>
      <w:r>
        <w:rPr>
          <w:rFonts w:hint="eastAsia" w:ascii="方正仿宋_GBK" w:eastAsia="方正仿宋_GBK"/>
          <w:sz w:val="32"/>
          <w:szCs w:val="32"/>
          <w:lang w:eastAsia="zh-CN"/>
        </w:rPr>
        <w:t>与社会事务</w:t>
      </w:r>
      <w:r>
        <w:rPr>
          <w:rFonts w:hint="eastAsia" w:ascii="方正仿宋_GBK" w:eastAsia="方正仿宋_GBK"/>
          <w:sz w:val="32"/>
          <w:szCs w:val="32"/>
        </w:rPr>
        <w:t>办公室、人口和计划生育办公室）；建设管理办公室（环境保护办公室）；社会治安综</w:t>
      </w:r>
      <w:r>
        <w:rPr>
          <w:rFonts w:hint="eastAsia" w:ascii="方正仿宋_GBK" w:eastAsia="方正仿宋_GBK"/>
          <w:sz w:val="32"/>
          <w:szCs w:val="32"/>
          <w:lang w:eastAsia="zh-CN"/>
        </w:rPr>
        <w:t>合</w:t>
      </w:r>
      <w:r>
        <w:rPr>
          <w:rFonts w:hint="eastAsia" w:ascii="方正仿宋_GBK" w:eastAsia="方正仿宋_GBK"/>
          <w:sz w:val="32"/>
          <w:szCs w:val="32"/>
        </w:rPr>
        <w:t>治理委员会办公室（安全监督检查办公室、应急管理办公室、消防安全管理办公室）；社区管理办公室；财政办公室；产业服务中心、社会保障服务所；文化服务中心；城市提升服务中心；执法办公室；退役军人服务站。街道共</w:t>
      </w:r>
      <w:r>
        <w:rPr>
          <w:rFonts w:ascii="Times New Roman" w:hAnsi="Times New Roman" w:eastAsia="方正仿宋_GBK" w:cs="Times New Roman"/>
          <w:sz w:val="32"/>
          <w:szCs w:val="32"/>
        </w:rPr>
        <w:t>17</w:t>
      </w:r>
      <w:r>
        <w:rPr>
          <w:rFonts w:hint="eastAsia" w:ascii="方正仿宋_GBK" w:eastAsia="方正仿宋_GBK"/>
          <w:sz w:val="32"/>
          <w:szCs w:val="32"/>
        </w:rPr>
        <w:t>个行政村</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个社区居委会。年末机构数</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个，即政</w:t>
      </w:r>
      <w:r>
        <w:rPr>
          <w:rFonts w:hint="eastAsia" w:ascii="方正仿宋_GBK" w:eastAsia="方正仿宋_GBK"/>
          <w:sz w:val="32"/>
          <w:szCs w:val="32"/>
        </w:rPr>
        <w:t>府机关和财政办。</w:t>
      </w:r>
    </w:p>
    <w:p>
      <w:pPr>
        <w:pStyle w:val="6"/>
        <w:spacing w:before="0" w:beforeAutospacing="0" w:after="0" w:afterAutospacing="0" w:line="560" w:lineRule="exact"/>
        <w:ind w:firstLine="640" w:firstLineChars="200"/>
        <w:rPr>
          <w:rFonts w:hint="eastAsia" w:ascii="方正楷体_GBK" w:eastAsia="方正楷体_GBK"/>
          <w:b/>
          <w:sz w:val="32"/>
          <w:szCs w:val="32"/>
        </w:rPr>
      </w:pPr>
      <w:r>
        <w:rPr>
          <w:rStyle w:val="9"/>
          <w:rFonts w:hint="eastAsia" w:ascii="方正楷体_GBK" w:eastAsia="方正楷体_GBK"/>
          <w:b w:val="0"/>
          <w:sz w:val="32"/>
          <w:szCs w:val="32"/>
        </w:rPr>
        <w:t>（三）单位构成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从预算单位构成看，纳入本部门</w:t>
      </w:r>
      <w:r>
        <w:rPr>
          <w:rFonts w:ascii="Times New Roman" w:hAnsi="Times New Roman" w:eastAsia="方正仿宋_GBK" w:cs="Times New Roman"/>
          <w:sz w:val="32"/>
          <w:szCs w:val="32"/>
        </w:rPr>
        <w:t>2022</w:t>
      </w:r>
      <w:r>
        <w:rPr>
          <w:rFonts w:hint="eastAsia" w:ascii="方正仿宋_GBK" w:eastAsia="方正仿宋_GBK"/>
          <w:sz w:val="32"/>
          <w:szCs w:val="32"/>
        </w:rPr>
        <w:t>年度决算编制</w:t>
      </w:r>
      <w:r>
        <w:rPr>
          <w:rFonts w:hint="eastAsia" w:ascii="方正仿宋_GBK" w:eastAsia="方正仿宋_GBK"/>
          <w:sz w:val="32"/>
          <w:szCs w:val="32"/>
          <w:lang w:eastAsia="zh-CN"/>
        </w:rPr>
        <w:t>无</w:t>
      </w:r>
      <w:r>
        <w:rPr>
          <w:rFonts w:hint="eastAsia" w:ascii="方正仿宋_GBK" w:eastAsia="方正仿宋_GBK"/>
          <w:sz w:val="32"/>
          <w:szCs w:val="32"/>
        </w:rPr>
        <w:t>二级预算单位。</w:t>
      </w:r>
    </w:p>
    <w:p>
      <w:pPr>
        <w:pStyle w:val="6"/>
        <w:spacing w:before="0" w:beforeAutospacing="0" w:after="0" w:afterAutospacing="0" w:line="560" w:lineRule="exact"/>
        <w:ind w:firstLine="640" w:firstLineChars="200"/>
        <w:rPr>
          <w:rFonts w:hint="eastAsia" w:ascii="方正黑体_GBK" w:eastAsia="方正黑体_GBK"/>
          <w:b/>
          <w:sz w:val="32"/>
          <w:szCs w:val="32"/>
        </w:rPr>
      </w:pPr>
      <w:r>
        <w:rPr>
          <w:rStyle w:val="9"/>
          <w:rFonts w:hint="eastAsia" w:ascii="方正黑体_GBK" w:eastAsia="方正黑体_GBK"/>
          <w:b w:val="0"/>
          <w:sz w:val="32"/>
          <w:szCs w:val="32"/>
        </w:rPr>
        <w:t>二、部门决算情况说明</w:t>
      </w:r>
    </w:p>
    <w:p>
      <w:pPr>
        <w:pStyle w:val="6"/>
        <w:spacing w:before="0" w:beforeAutospacing="0" w:after="0" w:afterAutospacing="0" w:line="560" w:lineRule="exact"/>
        <w:ind w:firstLine="640" w:firstLineChars="200"/>
        <w:rPr>
          <w:rFonts w:ascii="方正黑体_GBK" w:eastAsia="方正黑体_GBK"/>
          <w:b/>
          <w:sz w:val="32"/>
          <w:szCs w:val="32"/>
        </w:rPr>
      </w:pPr>
      <w:r>
        <w:rPr>
          <w:rStyle w:val="9"/>
          <w:rFonts w:hint="eastAsia" w:ascii="方正楷体_GBK" w:eastAsia="方正楷体_GBK"/>
          <w:b w:val="0"/>
          <w:sz w:val="32"/>
          <w:szCs w:val="32"/>
        </w:rPr>
        <w:t>（一）收入支出决算总体情况说明</w:t>
      </w:r>
    </w:p>
    <w:p>
      <w:pPr>
        <w:pStyle w:val="6"/>
        <w:spacing w:before="0" w:beforeAutospacing="0" w:after="0" w:afterAutospacing="0" w:line="560" w:lineRule="exact"/>
        <w:ind w:firstLine="640" w:firstLineChars="200"/>
        <w:rPr>
          <w:rFonts w:ascii="方正仿宋_GBK" w:eastAsia="方正仿宋_GBK" w:cs="Arial"/>
          <w:sz w:val="32"/>
          <w:szCs w:val="32"/>
        </w:rPr>
      </w:pPr>
      <w:r>
        <w:rPr>
          <w:rStyle w:val="9"/>
          <w:rFonts w:ascii="Times New Roman" w:hAnsi="Times New Roman" w:eastAsia="方正仿宋_GBK" w:cs="Times New Roman"/>
          <w:b w:val="0"/>
          <w:sz w:val="32"/>
          <w:szCs w:val="32"/>
        </w:rPr>
        <w:t>1</w:t>
      </w:r>
      <w:r>
        <w:rPr>
          <w:rStyle w:val="9"/>
          <w:rFonts w:hint="eastAsia" w:ascii="方正仿宋_GBK" w:eastAsia="方正仿宋_GBK"/>
          <w:b w:val="0"/>
          <w:sz w:val="32"/>
          <w:szCs w:val="32"/>
        </w:rPr>
        <w:t>.总体情况</w:t>
      </w:r>
      <w:r>
        <w:rPr>
          <w:rStyle w:val="9"/>
          <w:rFonts w:hint="eastAsia" w:ascii="方正仿宋_GBK" w:eastAsia="方正仿宋_GBK"/>
          <w:sz w:val="32"/>
          <w:szCs w:val="32"/>
        </w:rPr>
        <w:t>。</w:t>
      </w:r>
      <w:r>
        <w:rPr>
          <w:rFonts w:ascii="Times New Roman" w:hAnsi="Times New Roman" w:eastAsia="方正仿宋_GBK" w:cs="Times New Roman"/>
          <w:sz w:val="32"/>
          <w:szCs w:val="32"/>
        </w:rPr>
        <w:t>2022</w:t>
      </w:r>
      <w:r>
        <w:rPr>
          <w:rFonts w:hint="eastAsia" w:ascii="方正仿宋_GBK" w:eastAsia="方正仿宋_GBK"/>
          <w:sz w:val="32"/>
          <w:szCs w:val="32"/>
        </w:rPr>
        <w:t>年度收入总计</w:t>
      </w:r>
      <w:r>
        <w:rPr>
          <w:rFonts w:ascii="Times New Roman" w:hAnsi="Times New Roman" w:eastAsia="方正仿宋_GBK" w:cs="Times New Roman"/>
          <w:sz w:val="32"/>
          <w:szCs w:val="32"/>
        </w:rPr>
        <w:t>5,760.56</w:t>
      </w:r>
      <w:r>
        <w:rPr>
          <w:rFonts w:hint="eastAsia" w:ascii="方正仿宋_GBK" w:eastAsia="方正仿宋_GBK"/>
          <w:sz w:val="32"/>
          <w:szCs w:val="32"/>
        </w:rPr>
        <w:t>万元，支出总计</w:t>
      </w:r>
      <w:r>
        <w:rPr>
          <w:rFonts w:ascii="Times New Roman" w:hAnsi="Times New Roman" w:eastAsia="方正仿宋_GBK" w:cs="Times New Roman"/>
          <w:sz w:val="32"/>
          <w:szCs w:val="32"/>
        </w:rPr>
        <w:t>5,760.56</w:t>
      </w:r>
      <w:r>
        <w:rPr>
          <w:rFonts w:hint="eastAsia" w:ascii="方正仿宋_GBK" w:eastAsia="方正仿宋_GBK"/>
          <w:sz w:val="32"/>
          <w:szCs w:val="32"/>
        </w:rPr>
        <w:t>万元。收支较上年决算数减少</w:t>
      </w:r>
      <w:r>
        <w:rPr>
          <w:rFonts w:ascii="Times New Roman" w:hAnsi="Times New Roman" w:eastAsia="方正仿宋_GBK" w:cs="Times New Roman"/>
          <w:sz w:val="32"/>
          <w:szCs w:val="32"/>
        </w:rPr>
        <w:t>3,765.22</w:t>
      </w:r>
      <w:r>
        <w:rPr>
          <w:rFonts w:hint="eastAsia" w:ascii="方正仿宋_GBK" w:eastAsia="方正仿宋_GBK"/>
          <w:sz w:val="32"/>
          <w:szCs w:val="32"/>
        </w:rPr>
        <w:t>万元,下降</w:t>
      </w:r>
      <w:r>
        <w:rPr>
          <w:rFonts w:ascii="Times New Roman" w:hAnsi="Times New Roman" w:eastAsia="方正仿宋_GBK" w:cs="Times New Roman"/>
          <w:sz w:val="32"/>
          <w:szCs w:val="32"/>
        </w:rPr>
        <w:t>39.5%</w:t>
      </w:r>
      <w:r>
        <w:rPr>
          <w:rFonts w:hint="eastAsia" w:ascii="方正仿宋_GBK" w:eastAsia="方正仿宋_GBK"/>
          <w:sz w:val="32"/>
          <w:szCs w:val="32"/>
        </w:rPr>
        <w:t>，主要原因是一般公共预算拨款收入</w:t>
      </w:r>
      <w:r>
        <w:rPr>
          <w:rFonts w:ascii="Times New Roman" w:hAnsi="Times New Roman" w:eastAsia="方正仿宋_GBK" w:cs="Times New Roman"/>
          <w:sz w:val="32"/>
          <w:szCs w:val="32"/>
        </w:rPr>
        <w:t>5531.82</w:t>
      </w:r>
      <w:r>
        <w:rPr>
          <w:rFonts w:hint="eastAsia" w:ascii="方正仿宋_GBK" w:eastAsia="方正仿宋_GBK"/>
          <w:sz w:val="32"/>
          <w:szCs w:val="32"/>
        </w:rPr>
        <w:t>万元，政府性基金预算财政拨款收入</w:t>
      </w:r>
      <w:r>
        <w:rPr>
          <w:rFonts w:ascii="Times New Roman" w:hAnsi="Times New Roman" w:eastAsia="方正仿宋_GBK" w:cs="Times New Roman"/>
          <w:sz w:val="32"/>
          <w:szCs w:val="32"/>
        </w:rPr>
        <w:t>152.75</w:t>
      </w:r>
      <w:r>
        <w:rPr>
          <w:rFonts w:hint="eastAsia" w:ascii="方正仿宋_GBK" w:eastAsia="方正仿宋_GBK"/>
          <w:sz w:val="32"/>
          <w:szCs w:val="32"/>
        </w:rPr>
        <w:t>万元，年初结转和结余</w:t>
      </w:r>
      <w:r>
        <w:rPr>
          <w:rFonts w:ascii="Times New Roman" w:hAnsi="Times New Roman" w:eastAsia="方正仿宋_GBK" w:cs="Times New Roman"/>
          <w:sz w:val="32"/>
          <w:szCs w:val="32"/>
        </w:rPr>
        <w:t>75.99</w:t>
      </w:r>
      <w:r>
        <w:rPr>
          <w:rFonts w:hint="eastAsia" w:ascii="方正仿宋_GBK" w:eastAsia="方正仿宋_GBK"/>
          <w:sz w:val="32"/>
          <w:szCs w:val="32"/>
        </w:rPr>
        <w:t>万元，合计</w:t>
      </w:r>
      <w:r>
        <w:rPr>
          <w:rFonts w:ascii="Times New Roman" w:hAnsi="Times New Roman" w:eastAsia="方正仿宋_GBK" w:cs="Times New Roman"/>
          <w:sz w:val="32"/>
          <w:szCs w:val="32"/>
        </w:rPr>
        <w:t>5760.56</w:t>
      </w:r>
      <w:r>
        <w:rPr>
          <w:rFonts w:hint="eastAsia" w:ascii="方正仿宋_GBK" w:eastAsia="方正仿宋_GBK"/>
          <w:sz w:val="32"/>
          <w:szCs w:val="32"/>
        </w:rPr>
        <w:t>万元。</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年一般公共预算财政拨款支出</w:t>
      </w:r>
      <w:r>
        <w:rPr>
          <w:rFonts w:hint="eastAsia" w:ascii="Times New Roman" w:hAnsi="Times New Roman" w:eastAsia="方正仿宋_GBK" w:cs="Times New Roman"/>
          <w:sz w:val="32"/>
          <w:szCs w:val="32"/>
        </w:rPr>
        <w:t>5531.82</w:t>
      </w:r>
      <w:r>
        <w:rPr>
          <w:rFonts w:hint="eastAsia" w:ascii="方正仿宋_GBK" w:hAnsi="Times New Roman" w:eastAsia="方正仿宋_GBK" w:cs="Times New Roman"/>
          <w:sz w:val="32"/>
          <w:szCs w:val="32"/>
        </w:rPr>
        <w:t>万元，政府性基金预算财政拨款支出</w:t>
      </w:r>
      <w:r>
        <w:rPr>
          <w:rFonts w:hint="eastAsia" w:ascii="Times New Roman" w:hAnsi="Times New Roman" w:eastAsia="方正仿宋_GBK" w:cs="Times New Roman"/>
          <w:sz w:val="32"/>
          <w:szCs w:val="32"/>
        </w:rPr>
        <w:t>152.75</w:t>
      </w:r>
      <w:r>
        <w:rPr>
          <w:rFonts w:hint="eastAsia" w:ascii="方正仿宋_GBK" w:hAnsi="Times New Roman" w:eastAsia="方正仿宋_GBK" w:cs="Times New Roman"/>
          <w:sz w:val="32"/>
          <w:szCs w:val="32"/>
        </w:rPr>
        <w:t>万元，年末结转和结余</w:t>
      </w:r>
      <w:r>
        <w:rPr>
          <w:rFonts w:hint="eastAsia" w:ascii="Times New Roman" w:hAnsi="Times New Roman" w:eastAsia="方正仿宋_GBK" w:cs="Times New Roman"/>
          <w:sz w:val="32"/>
          <w:szCs w:val="32"/>
        </w:rPr>
        <w:t>75.99</w:t>
      </w:r>
      <w:r>
        <w:rPr>
          <w:rFonts w:hint="eastAsia" w:ascii="方正仿宋_GBK" w:hAnsi="Times New Roman" w:eastAsia="方正仿宋_GBK" w:cs="Times New Roman"/>
          <w:sz w:val="32"/>
          <w:szCs w:val="32"/>
        </w:rPr>
        <w:t>万元，合计</w:t>
      </w:r>
      <w:r>
        <w:rPr>
          <w:rFonts w:hint="eastAsia" w:ascii="Times New Roman" w:hAnsi="Times New Roman" w:eastAsia="方正仿宋_GBK" w:cs="Times New Roman"/>
          <w:sz w:val="32"/>
          <w:szCs w:val="32"/>
        </w:rPr>
        <w:t>5760.56</w:t>
      </w:r>
      <w:r>
        <w:rPr>
          <w:rFonts w:hint="eastAsia" w:ascii="方正仿宋_GBK" w:hAnsi="Times New Roman" w:eastAsia="方正仿宋_GBK" w:cs="Times New Roman"/>
          <w:sz w:val="32"/>
          <w:szCs w:val="32"/>
        </w:rPr>
        <w:t>万元。收支较上年决算数减少</w:t>
      </w:r>
      <w:r>
        <w:rPr>
          <w:rFonts w:hint="eastAsia" w:ascii="Times New Roman" w:hAnsi="Times New Roman" w:eastAsia="方正仿宋_GBK" w:cs="Times New Roman"/>
          <w:sz w:val="32"/>
          <w:szCs w:val="32"/>
        </w:rPr>
        <w:t>3765.22</w:t>
      </w:r>
      <w:r>
        <w:rPr>
          <w:rFonts w:hint="eastAsia" w:ascii="方正仿宋_GBK" w:hAnsi="Times New Roman" w:eastAsia="方正仿宋_GBK" w:cs="Times New Roman"/>
          <w:sz w:val="32"/>
          <w:szCs w:val="32"/>
        </w:rPr>
        <w:t>万元、减少</w:t>
      </w:r>
      <w:r>
        <w:rPr>
          <w:rFonts w:hint="eastAsia" w:ascii="Times New Roman" w:hAnsi="Times New Roman" w:eastAsia="方正仿宋_GBK" w:cs="Times New Roman"/>
          <w:sz w:val="32"/>
          <w:szCs w:val="32"/>
        </w:rPr>
        <w:t>39.5%</w:t>
      </w:r>
      <w:r>
        <w:rPr>
          <w:rFonts w:hint="eastAsia" w:ascii="方正仿宋_GBK" w:hAnsi="Times New Roman" w:eastAsia="方正仿宋_GBK" w:cs="Times New Roman"/>
          <w:sz w:val="32"/>
          <w:szCs w:val="32"/>
        </w:rPr>
        <w:t>，主要原因是</w:t>
      </w:r>
      <w:r>
        <w:rPr>
          <w:rFonts w:hint="eastAsia" w:ascii="方正仿宋_GBK" w:eastAsia="方正仿宋_GBK" w:cs="Arial"/>
          <w:sz w:val="32"/>
          <w:szCs w:val="32"/>
        </w:rPr>
        <w:t>基本支出较去年减少</w:t>
      </w:r>
      <w:r>
        <w:rPr>
          <w:rFonts w:hint="eastAsia" w:ascii="Times New Roman" w:hAnsi="Times New Roman" w:eastAsia="方正仿宋_GBK" w:cs="Times New Roman"/>
          <w:sz w:val="32"/>
          <w:szCs w:val="32"/>
        </w:rPr>
        <w:t>91.99</w:t>
      </w:r>
      <w:r>
        <w:rPr>
          <w:rFonts w:hint="eastAsia" w:ascii="方正仿宋_GBK" w:eastAsia="方正仿宋_GBK" w:cs="Arial"/>
          <w:sz w:val="32"/>
          <w:szCs w:val="32"/>
        </w:rPr>
        <w:t>万元，项目资金较去年减少</w:t>
      </w:r>
      <w:r>
        <w:rPr>
          <w:rFonts w:hint="eastAsia" w:ascii="Times New Roman" w:hAnsi="Times New Roman" w:eastAsia="方正仿宋_GBK" w:cs="Times New Roman"/>
          <w:sz w:val="32"/>
          <w:szCs w:val="32"/>
        </w:rPr>
        <w:t>1708.22</w:t>
      </w:r>
      <w:r>
        <w:rPr>
          <w:rFonts w:hint="eastAsia" w:ascii="方正仿宋_GBK" w:eastAsia="方正仿宋_GBK" w:cs="Arial"/>
          <w:sz w:val="32"/>
          <w:szCs w:val="32"/>
        </w:rPr>
        <w:t>万元，基金项目较去年减少</w:t>
      </w:r>
      <w:r>
        <w:rPr>
          <w:rFonts w:hint="eastAsia" w:ascii="Times New Roman" w:hAnsi="Times New Roman" w:eastAsia="方正仿宋_GBK" w:cs="Times New Roman"/>
          <w:sz w:val="32"/>
          <w:szCs w:val="32"/>
        </w:rPr>
        <w:t>1965.01</w:t>
      </w:r>
      <w:r>
        <w:rPr>
          <w:rFonts w:hint="eastAsia" w:ascii="方正仿宋_GBK" w:eastAsia="方正仿宋_GBK" w:cs="Arial"/>
          <w:sz w:val="32"/>
          <w:szCs w:val="32"/>
        </w:rPr>
        <w:t>万元。</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ascii="Times New Roman" w:hAnsi="Times New Roman" w:eastAsia="方正仿宋_GBK" w:cs="Times New Roman"/>
          <w:b w:val="0"/>
          <w:sz w:val="32"/>
          <w:szCs w:val="32"/>
        </w:rPr>
        <w:t>2</w:t>
      </w:r>
      <w:r>
        <w:rPr>
          <w:rStyle w:val="9"/>
          <w:rFonts w:hint="eastAsia" w:ascii="方正仿宋_GBK" w:eastAsia="方正仿宋_GBK"/>
          <w:b w:val="0"/>
          <w:sz w:val="32"/>
          <w:szCs w:val="32"/>
        </w:rPr>
        <w:t>.收入情况</w:t>
      </w:r>
      <w:r>
        <w:rPr>
          <w:rStyle w:val="9"/>
          <w:rFonts w:hint="eastAsia" w:ascii="方正仿宋_GBK" w:eastAsia="方正仿宋_GBK"/>
          <w:sz w:val="32"/>
          <w:szCs w:val="32"/>
        </w:rPr>
        <w:t>。</w:t>
      </w:r>
      <w:r>
        <w:rPr>
          <w:rFonts w:hint="eastAsia" w:ascii="Times New Roman" w:hAnsi="Times New Roman" w:eastAsia="方正仿宋_GBK" w:cs="Times New Roman"/>
          <w:sz w:val="32"/>
          <w:szCs w:val="32"/>
        </w:rPr>
        <w:t>2022</w:t>
      </w:r>
      <w:r>
        <w:rPr>
          <w:rFonts w:hint="eastAsia" w:ascii="方正仿宋_GBK" w:eastAsia="方正仿宋_GBK"/>
          <w:sz w:val="32"/>
          <w:szCs w:val="32"/>
        </w:rPr>
        <w:t>年度收入合计</w:t>
      </w:r>
      <w:r>
        <w:rPr>
          <w:rFonts w:hint="eastAsia" w:ascii="Times New Roman" w:hAnsi="Times New Roman" w:eastAsia="方正仿宋_GBK" w:cs="Times New Roman"/>
          <w:sz w:val="32"/>
          <w:szCs w:val="32"/>
        </w:rPr>
        <w:t>5,684.57</w:t>
      </w:r>
      <w:r>
        <w:rPr>
          <w:rFonts w:hint="eastAsia" w:ascii="方正仿宋_GBK" w:eastAsia="方正仿宋_GBK"/>
          <w:sz w:val="32"/>
          <w:szCs w:val="32"/>
        </w:rPr>
        <w:t>万元，较上年决算数减少</w:t>
      </w:r>
      <w:r>
        <w:rPr>
          <w:rFonts w:hint="eastAsia" w:ascii="Times New Roman" w:hAnsi="Times New Roman" w:eastAsia="方正仿宋_GBK" w:cs="Times New Roman"/>
          <w:sz w:val="32"/>
          <w:szCs w:val="32"/>
        </w:rPr>
        <w:t>3,765.22</w:t>
      </w:r>
      <w:r>
        <w:rPr>
          <w:rFonts w:hint="eastAsia" w:ascii="方正仿宋_GBK" w:eastAsia="方正仿宋_GBK"/>
          <w:sz w:val="32"/>
          <w:szCs w:val="32"/>
        </w:rPr>
        <w:t>万元，下降</w:t>
      </w:r>
      <w:r>
        <w:rPr>
          <w:rFonts w:hint="eastAsia" w:ascii="Times New Roman" w:hAnsi="Times New Roman" w:eastAsia="方正仿宋_GBK" w:cs="Times New Roman"/>
          <w:sz w:val="32"/>
          <w:szCs w:val="32"/>
        </w:rPr>
        <w:t>39.8%</w:t>
      </w:r>
      <w:r>
        <w:rPr>
          <w:rFonts w:hint="eastAsia" w:ascii="方正仿宋_GBK" w:eastAsia="方正仿宋_GBK"/>
          <w:sz w:val="32"/>
          <w:szCs w:val="32"/>
        </w:rPr>
        <w:t>，主要原因是一般公共预算拨款收入</w:t>
      </w:r>
      <w:r>
        <w:rPr>
          <w:rFonts w:hint="eastAsia" w:ascii="Times New Roman" w:hAnsi="Times New Roman" w:eastAsia="方正仿宋_GBK" w:cs="Times New Roman"/>
          <w:sz w:val="32"/>
          <w:szCs w:val="32"/>
        </w:rPr>
        <w:t>5531.82</w:t>
      </w:r>
      <w:r>
        <w:rPr>
          <w:rFonts w:hint="eastAsia" w:ascii="方正仿宋_GBK" w:eastAsia="方正仿宋_GBK"/>
          <w:sz w:val="32"/>
          <w:szCs w:val="32"/>
        </w:rPr>
        <w:t>万元，政府性基金预算财政拨款收入</w:t>
      </w:r>
      <w:r>
        <w:rPr>
          <w:rFonts w:hint="eastAsia" w:ascii="Times New Roman" w:hAnsi="Times New Roman" w:eastAsia="方正仿宋_GBK" w:cs="Times New Roman"/>
          <w:sz w:val="32"/>
          <w:szCs w:val="32"/>
        </w:rPr>
        <w:t>152.75</w:t>
      </w:r>
      <w:r>
        <w:rPr>
          <w:rFonts w:hint="eastAsia" w:ascii="方正仿宋_GBK" w:eastAsia="方正仿宋_GBK"/>
          <w:sz w:val="32"/>
          <w:szCs w:val="32"/>
        </w:rPr>
        <w:t>万元，年初结转和结余</w:t>
      </w:r>
      <w:r>
        <w:rPr>
          <w:rFonts w:hint="eastAsia" w:ascii="Times New Roman" w:hAnsi="Times New Roman" w:eastAsia="方正仿宋_GBK" w:cs="Times New Roman"/>
          <w:sz w:val="32"/>
          <w:szCs w:val="32"/>
        </w:rPr>
        <w:t>75.99</w:t>
      </w:r>
      <w:r>
        <w:rPr>
          <w:rFonts w:hint="eastAsia" w:ascii="方正仿宋_GBK" w:eastAsia="方正仿宋_GBK"/>
          <w:sz w:val="32"/>
          <w:szCs w:val="32"/>
        </w:rPr>
        <w:t>万元，合计</w:t>
      </w:r>
      <w:r>
        <w:rPr>
          <w:rFonts w:hint="eastAsia" w:ascii="Times New Roman" w:hAnsi="Times New Roman" w:eastAsia="方正仿宋_GBK" w:cs="Times New Roman"/>
          <w:sz w:val="32"/>
          <w:szCs w:val="32"/>
        </w:rPr>
        <w:t>5760.56</w:t>
      </w:r>
      <w:r>
        <w:rPr>
          <w:rFonts w:hint="eastAsia" w:ascii="方正仿宋_GBK" w:eastAsia="方正仿宋_GBK"/>
          <w:sz w:val="32"/>
          <w:szCs w:val="32"/>
        </w:rPr>
        <w:t>万元。其中：财政拨款收入</w:t>
      </w:r>
      <w:r>
        <w:rPr>
          <w:rFonts w:hint="eastAsia" w:ascii="Times New Roman" w:hAnsi="Times New Roman" w:eastAsia="方正仿宋_GBK" w:cs="Times New Roman"/>
          <w:sz w:val="32"/>
          <w:szCs w:val="32"/>
        </w:rPr>
        <w:t>5,684.57</w:t>
      </w:r>
      <w:r>
        <w:rPr>
          <w:rFonts w:hint="eastAsia" w:ascii="方正仿宋_GBK" w:eastAsia="方正仿宋_GBK"/>
          <w:sz w:val="32"/>
          <w:szCs w:val="32"/>
        </w:rPr>
        <w:t>万元，占</w:t>
      </w:r>
      <w:r>
        <w:rPr>
          <w:rFonts w:hint="eastAsia" w:ascii="Times New Roman" w:hAnsi="Times New Roman" w:eastAsia="方正仿宋_GBK" w:cs="Times New Roman"/>
          <w:sz w:val="32"/>
          <w:szCs w:val="32"/>
        </w:rPr>
        <w:t>100.0%</w:t>
      </w:r>
      <w:r>
        <w:rPr>
          <w:rFonts w:hint="eastAsia" w:ascii="方正仿宋_GBK" w:eastAsia="方正仿宋_GBK"/>
          <w:sz w:val="32"/>
          <w:szCs w:val="32"/>
        </w:rPr>
        <w:t>。此外，使用非财政拨款结余</w:t>
      </w:r>
      <w:r>
        <w:rPr>
          <w:rFonts w:hint="eastAsia" w:ascii="Times New Roman" w:hAnsi="Times New Roman" w:eastAsia="方正仿宋_GBK" w:cs="Times New Roman"/>
          <w:sz w:val="32"/>
          <w:szCs w:val="32"/>
        </w:rPr>
        <w:t>0</w:t>
      </w:r>
      <w:r>
        <w:rPr>
          <w:rFonts w:hint="eastAsia" w:ascii="方正仿宋_GBK" w:eastAsia="方正仿宋_GBK"/>
          <w:sz w:val="32"/>
          <w:szCs w:val="32"/>
        </w:rPr>
        <w:t>万元，年初结转和结余</w:t>
      </w:r>
      <w:r>
        <w:rPr>
          <w:rFonts w:hint="eastAsia" w:ascii="Times New Roman" w:hAnsi="Times New Roman" w:eastAsia="方正仿宋_GBK" w:cs="Times New Roman"/>
          <w:sz w:val="32"/>
          <w:szCs w:val="32"/>
        </w:rPr>
        <w:t>75.99</w:t>
      </w:r>
      <w:r>
        <w:rPr>
          <w:rFonts w:hint="eastAsia" w:ascii="方正仿宋_GBK" w:eastAsia="方正仿宋_GBK"/>
          <w:sz w:val="32"/>
          <w:szCs w:val="32"/>
        </w:rPr>
        <w:t>万元。</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3.</w:t>
      </w:r>
      <w:r>
        <w:rPr>
          <w:rStyle w:val="9"/>
          <w:rFonts w:hint="eastAsia" w:ascii="方正仿宋_GBK" w:eastAsia="方正仿宋_GBK"/>
          <w:b w:val="0"/>
          <w:sz w:val="32"/>
          <w:szCs w:val="32"/>
        </w:rPr>
        <w:t>支出情况</w:t>
      </w:r>
      <w:r>
        <w:rPr>
          <w:rStyle w:val="9"/>
          <w:rFonts w:hint="eastAsia" w:ascii="方正仿宋_GBK" w:eastAsia="方正仿宋_GBK"/>
          <w:sz w:val="32"/>
          <w:szCs w:val="32"/>
        </w:rPr>
        <w:t>。</w:t>
      </w:r>
      <w:r>
        <w:rPr>
          <w:rFonts w:hint="eastAsia" w:ascii="Times New Roman" w:hAnsi="Times New Roman" w:eastAsia="方正仿宋_GBK" w:cs="Times New Roman"/>
          <w:sz w:val="32"/>
          <w:szCs w:val="32"/>
        </w:rPr>
        <w:t>2022</w:t>
      </w:r>
      <w:r>
        <w:rPr>
          <w:rFonts w:hint="eastAsia" w:ascii="方正仿宋_GBK" w:eastAsia="方正仿宋_GBK"/>
          <w:sz w:val="32"/>
          <w:szCs w:val="32"/>
        </w:rPr>
        <w:t>年度支出合计</w:t>
      </w:r>
      <w:r>
        <w:rPr>
          <w:rFonts w:hint="eastAsia" w:ascii="Times New Roman" w:hAnsi="Times New Roman" w:eastAsia="方正仿宋_GBK" w:cs="Times New Roman"/>
          <w:sz w:val="32"/>
          <w:szCs w:val="32"/>
        </w:rPr>
        <w:t>5,684.57</w:t>
      </w:r>
      <w:r>
        <w:rPr>
          <w:rFonts w:hint="eastAsia" w:ascii="方正仿宋_GBK" w:eastAsia="方正仿宋_GBK"/>
          <w:sz w:val="32"/>
          <w:szCs w:val="32"/>
        </w:rPr>
        <w:t>万元，较上年决算减少</w:t>
      </w:r>
      <w:r>
        <w:rPr>
          <w:rFonts w:hint="eastAsia" w:ascii="Times New Roman" w:hAnsi="Times New Roman" w:eastAsia="方正仿宋_GBK" w:cs="Times New Roman"/>
          <w:sz w:val="32"/>
          <w:szCs w:val="32"/>
        </w:rPr>
        <w:t>3,765.22万元，下降39.8%，主要原因是202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年一般公共预算财政拨款支出5531.82万元，政府性基金预算财政拨款支出152.75万元，年末结转和结余75.99万元。其中：基本支出2,572.97万元，占45.3%；项目支出3,111.6万元，占54.7%。</w:t>
      </w:r>
    </w:p>
    <w:p>
      <w:pPr>
        <w:pStyle w:val="6"/>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4.</w:t>
      </w:r>
      <w:r>
        <w:rPr>
          <w:rFonts w:hint="eastAsia" w:ascii="方正仿宋_GBK" w:hAnsi="Times New Roman" w:eastAsia="方正仿宋_GBK" w:cs="Times New Roman"/>
          <w:bCs/>
          <w:sz w:val="32"/>
          <w:szCs w:val="32"/>
        </w:rPr>
        <w:t>结转结余情况</w:t>
      </w:r>
      <w:r>
        <w:rPr>
          <w:rFonts w:hint="eastAsia" w:ascii="方正仿宋_GBK" w:hAnsi="Times New Roman" w:eastAsia="方正仿宋_GBK" w:cs="Times New Roman"/>
          <w:b/>
          <w:bCs/>
          <w:sz w:val="28"/>
          <w:szCs w:val="28"/>
        </w:rPr>
        <w:t>。</w:t>
      </w:r>
      <w:r>
        <w:rPr>
          <w:rFonts w:hint="eastAsia" w:ascii="Times New Roman" w:hAnsi="Times New Roman" w:eastAsia="方正仿宋_GBK" w:cs="Times New Roman"/>
          <w:sz w:val="32"/>
          <w:szCs w:val="32"/>
        </w:rPr>
        <w:t>2022年度年末结转和结余75.99万元，较上年决算数增加0万元，增长0.0%，主要原因是2019年抗洪救灾资金结余。</w:t>
      </w:r>
    </w:p>
    <w:p>
      <w:pPr>
        <w:pStyle w:val="6"/>
        <w:spacing w:before="0" w:beforeAutospacing="0" w:after="0" w:afterAutospacing="0" w:line="560" w:lineRule="exact"/>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（二）财政拨款收入支出决算总体情况说明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财政拨款收、支总计5,760.56万元。与2021年相比，财政拨款收、支总计各减少3,765.22万元，下降39.5%。主要原因是项目支出和基金收支减少，基本支出较去年减少91.99万元，项目资金较去年减少2411.56万元。其中：铜梁区第六特困设施建设项目767.1万元，泥结石路硬化项目395.78万元。</w:t>
      </w:r>
    </w:p>
    <w:p>
      <w:pPr>
        <w:pStyle w:val="6"/>
        <w:spacing w:before="0" w:beforeAutospacing="0" w:after="0" w:afterAutospacing="0" w:line="560" w:lineRule="exact"/>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（三）一般公共预算财政拨款收入支出决算情况说明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收入情况</w:t>
      </w:r>
      <w:r>
        <w:rPr>
          <w:rFonts w:hint="eastAsia" w:ascii="方正仿宋_GBK" w:hAnsi="Times New Roman" w:eastAsia="方正仿宋_GBK" w:cs="Times New Roman"/>
          <w:b/>
          <w:bCs/>
          <w:sz w:val="32"/>
          <w:szCs w:val="32"/>
        </w:rPr>
        <w:t>。</w:t>
      </w:r>
      <w:r>
        <w:rPr>
          <w:rFonts w:hint="eastAsia" w:ascii="Times New Roman" w:hAnsi="Times New Roman" w:eastAsia="方正仿宋_GBK" w:cs="Times New Roman"/>
          <w:sz w:val="32"/>
          <w:szCs w:val="32"/>
        </w:rPr>
        <w:t>2022年度一般公共预算财政拨款收入5,531.82万元，较上年决算数减少1,800.21万元，下降24.6%。主要原因是主要是因为基本支出较去年减少91.99万元，项目资金较去年减少1708.22万元。其中：铜梁区第六特困设施建设项目767.1万元，泥结石路硬化项目395.78万元，人居环境整治项目85万元，农村四好公路建设项目935.29万元，旧县街道石永路四祝路边坡整治项目228.39万元。较年初预算数增加1,627.84万元，增长41.7%。主要原因是基本支出较年初预算增加244.2万元，项目资金较年初增加1383.64万元。此外，年初财政拨款结转和结余75.99万元。</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2</w:t>
      </w:r>
      <w:r>
        <w:rPr>
          <w:rFonts w:hint="eastAsia" w:ascii="方正仿宋_GBK" w:hAnsi="Times New Roman" w:eastAsia="方正仿宋_GBK" w:cs="Times New Roman"/>
          <w:b/>
          <w:bCs/>
          <w:sz w:val="32"/>
          <w:szCs w:val="32"/>
        </w:rPr>
        <w:t>.</w:t>
      </w:r>
      <w:r>
        <w:rPr>
          <w:rFonts w:hint="eastAsia" w:ascii="方正仿宋_GBK" w:hAnsi="Times New Roman" w:eastAsia="方正仿宋_GBK" w:cs="Times New Roman"/>
          <w:bCs/>
          <w:sz w:val="32"/>
          <w:szCs w:val="32"/>
        </w:rPr>
        <w:t>支出情况</w:t>
      </w:r>
      <w:r>
        <w:rPr>
          <w:rFonts w:hint="eastAsia" w:ascii="Times New Roman" w:hAnsi="Times New Roman" w:cs="Times New Roman"/>
          <w:b/>
          <w:bCs/>
        </w:rPr>
        <w:t>。</w:t>
      </w:r>
      <w:r>
        <w:rPr>
          <w:rFonts w:hint="eastAsia" w:ascii="Times New Roman" w:hAnsi="Times New Roman" w:eastAsia="方正仿宋_GBK" w:cs="Times New Roman"/>
          <w:sz w:val="32"/>
          <w:szCs w:val="32"/>
        </w:rPr>
        <w:t>2022年度一般公共预算财政拨款支出5,531.82万元，较上年决算数减少1,800.21万元，下降24.6%。主要原因是基本支出较去年减少91.99万元，项目资金较去年减少1708.22万元。较年初预算数增加1,627.84万元，增长41.7%。主要原因是基本支出较年初预算增加244.2万元，项目资金较年初增加1383.64万元。</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3.结转结余情况</w:t>
      </w:r>
      <w:r>
        <w:rPr>
          <w:rFonts w:hint="eastAsia" w:ascii="方正仿宋_GBK" w:hAnsi="Times New Roman" w:eastAsia="方正仿宋_GBK" w:cs="Times New Roman"/>
          <w:b/>
          <w:bCs/>
          <w:sz w:val="28"/>
          <w:szCs w:val="28"/>
        </w:rPr>
        <w:t>。</w:t>
      </w:r>
      <w:r>
        <w:rPr>
          <w:rFonts w:hint="eastAsia" w:ascii="Times New Roman" w:hAnsi="Times New Roman" w:eastAsia="方正仿宋_GBK" w:cs="Times New Roman"/>
          <w:sz w:val="32"/>
          <w:szCs w:val="32"/>
        </w:rPr>
        <w:t>2022年度年末一般公共预算财政拨款结转和结余75.99万元，较上年决算数增加0万元，增长0.0%，主要原因是2019年抗洪救灾资金结余。</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cs="Times New Roman"/>
          <w:sz w:val="32"/>
          <w:szCs w:val="32"/>
        </w:rPr>
        <w:t>4.</w:t>
      </w:r>
      <w:r>
        <w:rPr>
          <w:rFonts w:hint="eastAsia" w:ascii="方正仿宋_GBK" w:hAnsi="Times New Roman" w:eastAsia="方正仿宋_GBK" w:cs="Times New Roman"/>
          <w:sz w:val="32"/>
          <w:szCs w:val="32"/>
        </w:rPr>
        <w:t>比较情况</w:t>
      </w:r>
      <w:r>
        <w:rPr>
          <w:rStyle w:val="9"/>
          <w:rFonts w:hint="eastAsia" w:ascii="方正仿宋_GBK" w:eastAsia="方正仿宋_GBK"/>
          <w:sz w:val="32"/>
          <w:szCs w:val="32"/>
        </w:rPr>
        <w:t>。</w:t>
      </w:r>
      <w:r>
        <w:rPr>
          <w:rFonts w:hint="eastAsia" w:ascii="Times New Roman" w:hAnsi="Times New Roman" w:eastAsia="方正仿宋_GBK" w:cs="Times New Roman"/>
          <w:sz w:val="32"/>
          <w:szCs w:val="32"/>
        </w:rPr>
        <w:t>本部门2022年度一般公共预算财政拨款支出主要用于以下几个方面：</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（1）一般公共服务支出1,358.24万元，占24.6%，较年初预算数增加294.64万元，增长27.7%，主要原因是行政执法类事业编制人员年初预算在城乡社区支出。</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（2）国防支出3.6万元，占0.1%，较年初预算数减少0.4万元，下降10</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%，主要原因是贯彻中央八项规定</w:t>
      </w:r>
      <w:r>
        <w:rPr>
          <w:rFonts w:hint="eastAsia" w:ascii="Times New Roman" w:hAnsi="Times New Roman" w:eastAsia="方正仿宋_GBK" w:cs="Times New Roman"/>
          <w:sz w:val="32"/>
          <w:szCs w:val="32"/>
          <w:lang w:eastAsia="zh-CN"/>
        </w:rPr>
        <w:t>精神</w:t>
      </w:r>
      <w:r>
        <w:rPr>
          <w:rFonts w:hint="eastAsia" w:ascii="Times New Roman" w:hAnsi="Times New Roman" w:eastAsia="方正仿宋_GBK" w:cs="Times New Roman"/>
          <w:sz w:val="32"/>
          <w:szCs w:val="32"/>
        </w:rPr>
        <w:t>，节约压减经费支出。</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（3）文化旅游体育与传媒支出94.73万元，占1.7%，较年初预算数增加94.73万元，增长</w:t>
      </w:r>
      <w:r>
        <w:rPr>
          <w:rFonts w:hint="eastAsia" w:ascii="Times New Roman" w:hAnsi="Times New Roman" w:eastAsia="方正仿宋_GBK" w:cs="Times New Roman"/>
          <w:sz w:val="32"/>
          <w:szCs w:val="32"/>
          <w:lang w:val="en-US" w:eastAsia="zh-CN"/>
        </w:rPr>
        <w:t>100.0</w:t>
      </w:r>
      <w:r>
        <w:rPr>
          <w:rFonts w:hint="eastAsia" w:ascii="Times New Roman" w:hAnsi="Times New Roman" w:eastAsia="方正仿宋_GBK" w:cs="Times New Roman"/>
          <w:sz w:val="32"/>
          <w:szCs w:val="32"/>
        </w:rPr>
        <w:t>%，主要原因是人员和公用经费都只预算在城乡社区支出。</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（4）社会保障与就业支出736.23万元，占13.3%，较年初预算数增加390.55万元，增长113</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%，主要原因是人员和公用经费都只预算在城乡社区支出。</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（5）卫生健康支出192.75万元，占3.5%，较年初预算数增加60.57万元，增长45.8%，主要原因是行政事业医疗</w:t>
      </w:r>
      <w:r>
        <w:rPr>
          <w:rFonts w:hint="eastAsia" w:ascii="Times New Roman" w:hAnsi="Times New Roman" w:eastAsia="方正仿宋_GBK" w:cs="Times New Roman"/>
          <w:sz w:val="32"/>
          <w:szCs w:val="32"/>
          <w:lang w:eastAsia="zh-CN"/>
        </w:rPr>
        <w:t>补助</w:t>
      </w:r>
      <w:r>
        <w:rPr>
          <w:rFonts w:hint="eastAsia" w:ascii="Times New Roman" w:hAnsi="Times New Roman" w:eastAsia="方正仿宋_GBK" w:cs="Times New Roman"/>
          <w:sz w:val="32"/>
          <w:szCs w:val="32"/>
        </w:rPr>
        <w:t>费</w:t>
      </w:r>
      <w:r>
        <w:rPr>
          <w:rFonts w:hint="eastAsia" w:ascii="Times New Roman" w:hAnsi="Times New Roman" w:eastAsia="方正仿宋_GBK" w:cs="Times New Roman"/>
          <w:sz w:val="32"/>
          <w:szCs w:val="32"/>
          <w:lang w:eastAsia="zh-CN"/>
        </w:rPr>
        <w:t>用</w:t>
      </w:r>
      <w:r>
        <w:rPr>
          <w:rFonts w:hint="eastAsia" w:ascii="Times New Roman" w:hAnsi="Times New Roman" w:eastAsia="方正仿宋_GBK" w:cs="Times New Roman"/>
          <w:sz w:val="32"/>
          <w:szCs w:val="32"/>
        </w:rPr>
        <w:t>比预算少支付19.5万元，预防新冠增加的项目资金80.07万元未纳入年初预算。</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（6）节能环保支出126.04万元，占2.3%，较年初预算数增加116.04万元，增长1160.4%，主要原因是旧县生态明渠应急整治工程125.51万元未安排年初预算，河长制工作经费比年初预算减少9.47万元。</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（7）城乡社区支出1,115.31万元，占20.2%，较年初预算数减少333.13万元，下降23</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%，主要原因是街道7个部门的基本支出年初预算都在这一个里面，基本支出较年初预算减少717.55万元，项目资金比年初预算增加384.42万元。</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（8）农林水支出1,275.79万元，占23.1%，较年初预算数增加540.75万元，增长73.6%，主要原因是基本支出379.35万元年初预算纳入城乡社区支出，另有161.4万元项目资金未纳入年初预算。</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（9）交通运输支出437.3万元，占7.9%，较年初预算数增加392万元，增长865.3%，主要原因是公路养护费比年初预算减少18.82万元，四好公路建设项目410.82万元未纳入年初预算。</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（10）住房保障支出79.74万元，占1.4%，较年初预算数增加0万元，增长0.0%，主要原因是严格按照预算安排支出。</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（11）灾害防治及应急管理支出112.09万元，占2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%，较年初预算数增加72.09万元，增长180.2%，主要原因是项目资金72.09万元未纳入年初预算。</w:t>
      </w:r>
    </w:p>
    <w:p>
      <w:pPr>
        <w:pStyle w:val="6"/>
        <w:spacing w:before="0" w:beforeAutospacing="0" w:after="0" w:afterAutospacing="0" w:line="560" w:lineRule="exact"/>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（四）一般公共预算财政拨款基本支出决算情况说明</w:t>
      </w:r>
    </w:p>
    <w:p>
      <w:pPr>
        <w:pStyle w:val="6"/>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一般公共预算财政拨款基本支出2,572.97万元。其中：人员经费2,028.05万元，较上年决算数减少53.02万元，下降2.5%，主要原因是工资福利支出比上年减少115.84万元，对家庭和个人补助较上年增加62.82万元。人员经费用途主要包括基本工资、津贴补贴、奖金、绩效工资、社会保障缴费及其他工资福利支出等。公用经费544.92万元，较上年决算数减少38.97万元，下降6.7%，主要原因是严格执行中央八项规定</w:t>
      </w:r>
      <w:r>
        <w:rPr>
          <w:rFonts w:hint="eastAsia" w:ascii="Times New Roman" w:hAnsi="Times New Roman" w:eastAsia="方正仿宋_GBK" w:cs="Times New Roman"/>
          <w:sz w:val="32"/>
          <w:szCs w:val="32"/>
          <w:lang w:eastAsia="zh-CN"/>
        </w:rPr>
        <w:t>精神</w:t>
      </w:r>
      <w:r>
        <w:rPr>
          <w:rFonts w:hint="eastAsia" w:ascii="Times New Roman" w:hAnsi="Times New Roman" w:eastAsia="方正仿宋_GBK" w:cs="Times New Roman"/>
          <w:sz w:val="32"/>
          <w:szCs w:val="32"/>
        </w:rPr>
        <w:t>，减少公用经费支出。公用经费用途主要包括办公费、</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运行维护费、广告宣传费、邮电费、办公用房水电费、差旅费、会议费、劳务费、维修（维护）费、工会经费等其他公用经费。</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（五）政府性基金预算收支决算情况说明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政府性基金预算财政拨款年初结转结余0万元，年末结转结余0万元。本年收入152.75万元，较上年决算数减少1,965.01万元，下降92.8%，主要原因是今年基金项目只有一个，合计152.75万元，减少2177.76万元。去年有基金项目9个：项目资金2117.76万元。主要有人和污水处理站和段家塘污水处理站维修资金9.82万元，西南水泥厂熟料及配套生产线搬迁技改项目372.06万元，2020年第一批泥结石路硬化项目10.4万元，城市及农村基础设施支出214.51万元，旧县街道公共服务中心改造项目80万元，铜梁区旧县十一人制足球场地设施建设项目179.97万元，文物安全保护经费0.68万元，社区教育经费0.4万元，铜梁区第六特困设施建设项目1249.92万元。本年支出152.75万元，较上年决算数减少1,965.01万元，下降92.8%，主要原因是今年基金项目只有一个，合计152.75万元，减少2177.76万元。去年有基金项目9个：项目资金2117.76万元。主要有人和污水处理站和段家塘污水处理站维修资金9.82万元，西南水泥厂熟料及配套生产线搬迁技改项目372.06万元，2020年第一批泥结石路硬化项目10.4万元，城市及农村基础设施支出214.51万元，旧县街道公共服务中心改造项目80万元，铜梁区旧县十一人制足球场地设施建设项目179.97万元，文物安全保护经费0.68万元，社区教育经费0.4万元，铜梁区第六特困设施建设项目1249.92万元。</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（六）国有资本经营预算财政拨款支出决算情况说明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本部门2022年度无国有资本经营预算财政拨款支出。</w:t>
      </w:r>
    </w:p>
    <w:p>
      <w:pPr>
        <w:pStyle w:val="6"/>
        <w:spacing w:before="0" w:beforeAutospacing="0" w:after="0" w:afterAutospacing="0" w:line="56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bCs/>
          <w:sz w:val="32"/>
          <w:szCs w:val="32"/>
        </w:rPr>
        <w:t>三、“三公”经费情况说明</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（一）“三公”经费支出总体情况说明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三公”经费支出共计9.52万元，较年初预算数减少18.88万元，下降66.5%，主要原因是认真贯彻落实中央八项规定精神，按照只减不增的要求从严控制“三公”经费。较上年支出数增加0万元，增长0.0%，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（二）“三公”经费分项支出情况</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本部门因公出国（境）费用0万元，主要是用于出国人员费用，单位规范了出国（出境）活动，当年未安排单位人员出国。费用支出较年初预算数增加0万元，增长0.0%，主要原因是年初在预算经费时，就严格落实经费管理规定，不安排人员出国。与上年决算数持平，主要原因是本单位上年和本年均未安排人员出国。</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购置费0万元，主要用于购买执法用车、监测车。费用支出较年初预算数增加0万元，增长0.0%，主要原因是本单位本年未购置</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费用。与上年决算数持平，主要原因是本单位近两年均未购置</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运行维护费9.52万元，主要用于机要文件交换、市内因公出行、上级部门工作检查等工作所需车辆的燃料费、维修费、过桥过路费、保险费等。费用支出较年初预算数减少18.88万元，下降66.5%，主要原因是严格落实公车使用规定，严禁公车私用，合理调度，节约费用。与上年决算数持平，主要原因是加强公车使用管理，合理调度。</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务接待费0万元，主要用于接待相关部门检查指导工作发生的接待支出。费用支出较年初预算数增加0万元，增长0.0%，主要原因是认真贯彻落实中央八项规定精神，按照只减不增的要求从严控制“三公”经费。与上年决算数持平，主要原因是认真贯彻落实中央八项规定精神，按照只减不增的要求从严控制“三公”经费。</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（三）“三公”经费实物量情况</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2022年度本部门因公出国（境）共计0个团组，0人；公务用车购置0辆，</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保有量为13辆；国内公务接待0批次0 人，其中：国内外事接待0批次，0人；国（境）外公务接待0批次，0人。2022年本部门人均接待费0元，车均购置费0万元，车均维护费 0.73万元。</w:t>
      </w:r>
    </w:p>
    <w:p>
      <w:pPr>
        <w:pStyle w:val="6"/>
        <w:spacing w:before="0" w:beforeAutospacing="0" w:after="0" w:afterAutospacing="0"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bCs/>
          <w:sz w:val="32"/>
          <w:szCs w:val="32"/>
        </w:rPr>
        <w:t>四、其他需要说明的事项</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（一）财政拨款会议费和培训费情况说明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本年度会议费支出0万元，较上年决算数增加0万元，增长0.0%，主要原因是本年及上年均未产生会议费。本年度培训费支出0万元，较上年决算数增加0万元，增长0.0%，主要原因是本年未产生培训费。</w:t>
      </w:r>
      <w:bookmarkStart w:id="0" w:name="_GoBack"/>
      <w:bookmarkEnd w:id="0"/>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（二）机关运行经费支出情况说明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2022年度本部门机关运行经费支出377.52万元，主要用于开支办公费、</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运行维护费、信息网络购置更新费等。其中办公费开支33.05万元，手续费开支了0.09万元，维修（维护）费开支了17.35万元，委托业务费开支了13.94万元，</w:t>
      </w:r>
      <w:r>
        <w:rPr>
          <w:rFonts w:hint="eastAsia" w:ascii="Times New Roman" w:hAnsi="Times New Roman" w:eastAsia="方正仿宋_GBK" w:cs="Times New Roman"/>
          <w:sz w:val="32"/>
          <w:szCs w:val="32"/>
          <w:lang w:eastAsia="zh-CN"/>
        </w:rPr>
        <w:t>公务用车</w:t>
      </w:r>
      <w:r>
        <w:rPr>
          <w:rFonts w:hint="eastAsia" w:ascii="Times New Roman" w:hAnsi="Times New Roman" w:eastAsia="方正仿宋_GBK" w:cs="Times New Roman"/>
          <w:sz w:val="32"/>
          <w:szCs w:val="32"/>
        </w:rPr>
        <w:t>运行维护费9.52万元，水电费25.17万元，邮电费42.28万元，差旅费69.02万元，劳务费51.36万元，工会经费28.54万元，其他交通费39.44万元，其他商品和服务支出39.75万元,办公设备购置8.01万元。机关运行经费较上年决算数减少206.37万元，下降35.3%，主要原因是因商品和服务支出较去年减少118.81万元，办公设备购置较上年减少10.09万元，去年计算口径差异多计77.47万元（事业人员今年不在机关运行经费统计范围之内）。</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（三）国有资产占用情况说明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截至2022年12月31日，本部门共有车辆13辆，其中，副部（省）级及以上领导用车0辆、主要领导干部用车0辆、机要通信用车1辆、应急保障用车2辆、执法执勤用车0辆，特种专业技术用车10辆，离退休干部用车0辆，其他用车0辆。</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单价100万元（含）以上设备（不含车辆）0台（套）。</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（四）政府采购支出说明</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本部门政府采购支出总额55.63万元，其中：政府采购货物支出55.63万元、政府采购工程支出0万元、政府采购服务支出0万元。授予中小企业合同金额55.63万元，占政府采购支出总额的100.0%，其中：授予小微企业合同金额55.63万元，占政府采购支出总额的100.0%。主要用于采购服务。</w:t>
      </w:r>
    </w:p>
    <w:p>
      <w:pPr>
        <w:pStyle w:val="6"/>
        <w:spacing w:before="0" w:beforeAutospacing="0" w:after="0" w:afterAutospacing="0"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bCs/>
          <w:sz w:val="32"/>
          <w:szCs w:val="32"/>
        </w:rPr>
        <w:t>五、预算绩效管理情况说明</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（一）预算绩效管理工作开展情况</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根据预算绩效管理要求，我街道对部门整体和预算支出的42个项目开展了绩效自评，其中，以填报自评表形式开展自评42项，涉及资金3168.86万元。分别是</w:t>
      </w:r>
      <w:r>
        <w:rPr>
          <w:rFonts w:hint="eastAsia" w:ascii="Times New Roman" w:hAnsi="Times New Roman" w:eastAsia="方正仿宋_GBK" w:cs="Times New Roman"/>
          <w:sz w:val="32"/>
          <w:szCs w:val="32"/>
          <w:lang w:eastAsia="zh-CN"/>
        </w:rPr>
        <w:t>“四好农村路”</w:t>
      </w:r>
      <w:r>
        <w:rPr>
          <w:rFonts w:hint="eastAsia" w:ascii="Times New Roman" w:hAnsi="Times New Roman" w:eastAsia="方正仿宋_GBK" w:cs="Times New Roman"/>
          <w:sz w:val="32"/>
          <w:szCs w:val="32"/>
        </w:rPr>
        <w:t>建设、应急工作经费、服务群众专项经费等42个项目。42个项目从产出、效果和满意度上设置绩效考核目标，从评价总体上</w:t>
      </w:r>
      <w:r>
        <w:rPr>
          <w:rFonts w:hint="eastAsia" w:ascii="Times New Roman" w:hAnsi="Times New Roman" w:eastAsia="方正仿宋_GBK" w:cs="Times New Roman"/>
          <w:sz w:val="32"/>
          <w:szCs w:val="32"/>
          <w:lang w:eastAsia="zh-CN"/>
        </w:rPr>
        <w:t>来看</w:t>
      </w:r>
      <w:r>
        <w:rPr>
          <w:rFonts w:hint="eastAsia" w:ascii="Times New Roman" w:hAnsi="Times New Roman" w:eastAsia="方正仿宋_GBK" w:cs="Times New Roman"/>
          <w:sz w:val="32"/>
          <w:szCs w:val="32"/>
        </w:rPr>
        <w:t xml:space="preserve">达到了项目绩效目标。 </w:t>
      </w:r>
    </w:p>
    <w:p>
      <w:pPr>
        <w:pStyle w:val="6"/>
        <w:spacing w:before="0" w:beforeAutospacing="0" w:after="0" w:afterAutospacing="0"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bCs/>
          <w:sz w:val="32"/>
          <w:szCs w:val="32"/>
        </w:rPr>
        <w:t>（二）绩效自评结果。</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1.绩效目标自评表。</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bCs/>
          <w:sz w:val="32"/>
          <w:szCs w:val="32"/>
        </w:rPr>
        <w:t>（1）部门整体绩效自评表。</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详见附件重庆市铜梁区人民政府旧县街道办事处2022年度部门整体绩效自评表。</w:t>
      </w:r>
    </w:p>
    <w:p>
      <w:pPr>
        <w:pStyle w:val="6"/>
        <w:spacing w:before="0" w:beforeAutospacing="0" w:after="0" w:afterAutospacing="0" w:line="560" w:lineRule="exact"/>
        <w:ind w:firstLine="640" w:firstLineChars="200"/>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（2）项目绩效自评表。</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详见附件重庆市铜梁区人民政府旧县街道办事处2022年度项目绩效自评表。</w:t>
      </w:r>
    </w:p>
    <w:p>
      <w:pPr>
        <w:pStyle w:val="6"/>
        <w:spacing w:before="0" w:beforeAutospacing="0" w:after="0" w:afterAutospacing="0" w:line="560" w:lineRule="exact"/>
        <w:ind w:firstLine="640" w:firstLineChars="200"/>
        <w:rPr>
          <w:rFonts w:hint="eastAsia" w:ascii="方正仿宋_GBK" w:hAnsi="Times New Roman" w:eastAsia="方正仿宋_GBK" w:cs="Times New Roman"/>
          <w:bCs/>
          <w:sz w:val="32"/>
          <w:szCs w:val="32"/>
        </w:rPr>
      </w:pPr>
      <w:r>
        <w:rPr>
          <w:rFonts w:ascii="Times New Roman" w:hAnsi="Times New Roman" w:cs="Times New Roman"/>
          <w:bCs/>
          <w:sz w:val="32"/>
          <w:szCs w:val="32"/>
        </w:rPr>
        <w:t>2.</w:t>
      </w:r>
      <w:r>
        <w:rPr>
          <w:rFonts w:hint="eastAsia" w:ascii="方正仿宋_GBK" w:hAnsi="Times New Roman" w:eastAsia="方正仿宋_GBK" w:cs="Times New Roman"/>
          <w:bCs/>
          <w:sz w:val="32"/>
          <w:szCs w:val="32"/>
        </w:rPr>
        <w:t>绩效自评报告或案例。</w:t>
      </w:r>
    </w:p>
    <w:p>
      <w:pPr>
        <w:pStyle w:val="6"/>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我单位未委托第三方开展绩效评价。</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ascii="Times New Roman" w:hAnsi="Times New Roman" w:cs="Times New Roman"/>
          <w:bCs/>
          <w:sz w:val="32"/>
          <w:szCs w:val="32"/>
        </w:rPr>
        <w:t>3.</w:t>
      </w:r>
      <w:r>
        <w:rPr>
          <w:rFonts w:hint="eastAsia" w:ascii="Times New Roman" w:hAnsi="Times New Roman" w:eastAsia="方正仿宋_GBK" w:cs="Times New Roman"/>
          <w:sz w:val="32"/>
          <w:szCs w:val="32"/>
        </w:rPr>
        <w:t>关于绩效自评结果的说明。</w:t>
      </w:r>
    </w:p>
    <w:p>
      <w:pPr>
        <w:pStyle w:val="6"/>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我单位对42个项目进行绩效自评，其中42个已完成年度绩效目标。</w:t>
      </w:r>
    </w:p>
    <w:p>
      <w:pPr>
        <w:pStyle w:val="6"/>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（三）重点绩效评价结果。</w:t>
      </w:r>
    </w:p>
    <w:p>
      <w:pPr>
        <w:pStyle w:val="6"/>
        <w:spacing w:before="0" w:beforeAutospacing="0" w:after="0" w:afterAutospacing="0"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我单位未委托第三方开展重点绩效评价。</w:t>
      </w:r>
    </w:p>
    <w:p>
      <w:pPr>
        <w:pStyle w:val="6"/>
        <w:spacing w:before="0" w:beforeAutospacing="0" w:after="0" w:afterAutospacing="0" w:line="560" w:lineRule="exact"/>
        <w:ind w:firstLine="640" w:firstLineChars="200"/>
        <w:rPr>
          <w:rFonts w:ascii="方正黑体_GBK" w:eastAsia="方正黑体_GBK"/>
          <w:b/>
          <w:sz w:val="32"/>
          <w:szCs w:val="32"/>
        </w:rPr>
      </w:pPr>
      <w:r>
        <w:rPr>
          <w:rStyle w:val="9"/>
          <w:rFonts w:hint="eastAsia" w:ascii="方正黑体_GBK" w:eastAsia="方正黑体_GBK"/>
          <w:b w:val="0"/>
          <w:sz w:val="32"/>
          <w:szCs w:val="32"/>
        </w:rPr>
        <w:t>六、专业名词解释</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（一）财政拨款收入</w:t>
      </w:r>
      <w:r>
        <w:rPr>
          <w:rFonts w:hint="eastAsia" w:ascii="方正仿宋_GBK" w:eastAsia="方正仿宋_GBK"/>
        </w:rPr>
        <w:t>：</w:t>
      </w:r>
      <w:r>
        <w:rPr>
          <w:rFonts w:hint="eastAsia" w:ascii="方正仿宋_GBK" w:eastAsia="方正仿宋_GBK"/>
          <w:sz w:val="32"/>
          <w:szCs w:val="32"/>
        </w:rPr>
        <w:t>指本年度从本级财政部门取得的财政拨款，包括一般公共预算财政拨款和政府性基金预算财政拨款。</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（二）事业收入</w:t>
      </w:r>
      <w:r>
        <w:t>：</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（三）经营收入</w:t>
      </w:r>
      <w:r>
        <w:rPr>
          <w:rStyle w:val="9"/>
          <w:rFonts w:ascii="方正仿宋_GBK" w:eastAsia="方正仿宋_GBK"/>
          <w:b w:val="0"/>
          <w:sz w:val="32"/>
          <w:szCs w:val="32"/>
        </w:rPr>
        <w:t>：</w:t>
      </w:r>
      <w:r>
        <w:rPr>
          <w:rFonts w:hint="eastAsia" w:ascii="方正仿宋_GBK" w:eastAsia="方正仿宋_GBK"/>
          <w:sz w:val="32"/>
          <w:szCs w:val="32"/>
        </w:rPr>
        <w:t>指事业单位在专业业务活动及其辅助活动之外开展非独立核算经营活动取得的现金流入。</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（四）其他收入</w:t>
      </w:r>
      <w:r>
        <w:rPr>
          <w:rStyle w:val="9"/>
          <w:rFonts w:hint="eastAsia" w:ascii="方正仿宋_GBK" w:eastAsia="方正仿宋_GBK"/>
          <w:sz w:val="32"/>
          <w:szCs w:val="32"/>
        </w:rPr>
        <w:t>：</w:t>
      </w:r>
      <w:r>
        <w:rPr>
          <w:rFonts w:hint="eastAsia" w:ascii="方正仿宋_GBK" w:eastAsia="方正仿宋_GBK"/>
          <w:sz w:val="32"/>
          <w:szCs w:val="32"/>
        </w:rPr>
        <w:t>指单位取得的除“财政拨款收入”、“事业收入”、“经营收入”等以 外的收入，包括未纳入财政预算或财政专户管理的投资收益、银行存款利息收入、租金收入、捐赠收入，现金盘盈收入、存货盘盈收入、收回已核销的应收及预付款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（五）使用非财政拨款结余</w:t>
      </w:r>
      <w:r>
        <w:rPr>
          <w:rFonts w:hint="eastAsia" w:ascii="方正仿宋_GBK" w:eastAsia="方正仿宋_GBK"/>
          <w:b/>
        </w:rPr>
        <w:t>：</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（六）年初结转和结余</w:t>
      </w:r>
      <w:r>
        <w:rPr>
          <w:rFonts w:hint="eastAsia" w:ascii="方正仿宋_GBK" w:eastAsia="方正仿宋_GBK"/>
        </w:rPr>
        <w:t>：</w:t>
      </w:r>
      <w:r>
        <w:rPr>
          <w:rFonts w:hint="eastAsia" w:ascii="方正仿宋_GBK" w:eastAsia="方正仿宋_GBK"/>
          <w:sz w:val="32"/>
          <w:szCs w:val="32"/>
        </w:rPr>
        <w:t>指单位上年结转本年使用的基本支出结转、项目支出结转和结余、经营结余。</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（八）年末结转和结余</w:t>
      </w:r>
      <w:r>
        <w:t>：</w:t>
      </w:r>
      <w:r>
        <w:rPr>
          <w:rFonts w:hint="eastAsia" w:ascii="方正仿宋_GBK" w:eastAsia="方正仿宋_GBK"/>
          <w:sz w:val="32"/>
          <w:szCs w:val="32"/>
        </w:rPr>
        <w:t>指单位结转下年的基本支出结转、项目支出结转和结余、经营结余。</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（九）基本支出</w:t>
      </w:r>
      <w:r>
        <w:rPr>
          <w:rFonts w:hint="eastAsia" w:ascii="方正仿宋_GBK" w:eastAsia="方正仿宋_GBK"/>
        </w:rPr>
        <w:t>：</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（十）项目支出</w:t>
      </w:r>
      <w:r>
        <w:rPr>
          <w:rFonts w:hint="eastAsia" w:ascii="方正仿宋_GBK" w:eastAsia="方正仿宋_GBK"/>
        </w:rPr>
        <w:t>：</w:t>
      </w:r>
      <w:r>
        <w:rPr>
          <w:rFonts w:hint="eastAsia" w:ascii="方正仿宋_GBK" w:eastAsia="方正仿宋_GBK"/>
          <w:sz w:val="32"/>
          <w:szCs w:val="32"/>
        </w:rPr>
        <w:t>指在基本支出之外为完成特定行政任务和事业发展目标所发生的支出。</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（十一）经营支出</w:t>
      </w:r>
      <w:r>
        <w:rPr>
          <w:rFonts w:hint="eastAsia" w:ascii="方正仿宋_GBK" w:eastAsia="方正仿宋_GBK"/>
        </w:rPr>
        <w:t>：</w:t>
      </w:r>
      <w:r>
        <w:rPr>
          <w:rFonts w:hint="eastAsia" w:ascii="方正仿宋_GBK" w:eastAsia="方正仿宋_GBK"/>
          <w:sz w:val="32"/>
          <w:szCs w:val="32"/>
        </w:rPr>
        <w:t>指事业单位在专业业务活动及其辅助活动之外开展非独立核算经营活动发生的支出。</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（十二）“三公”经费</w:t>
      </w:r>
      <w:r>
        <w:rPr>
          <w:rFonts w:hint="eastAsia" w:ascii="方正仿宋_GBK" w:eastAsia="方正仿宋_GBK"/>
        </w:rPr>
        <w:t>：</w:t>
      </w:r>
      <w:r>
        <w:t xml:space="preserve"> </w:t>
      </w:r>
      <w:r>
        <w:rPr>
          <w:rFonts w:hint="eastAsia" w:ascii="方正仿宋_GBK" w:eastAsia="方正仿宋_GBK"/>
          <w:sz w:val="32"/>
          <w:szCs w:val="32"/>
        </w:rPr>
        <w:t>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（十三）机关运行经费</w:t>
      </w:r>
      <w:r>
        <w:rPr>
          <w:rFonts w:hint="eastAsia" w:ascii="方正仿宋_GBK" w:eastAsia="方正仿宋_GBK"/>
        </w:rPr>
        <w:t>：</w:t>
      </w:r>
      <w:r>
        <w:rPr>
          <w:rFonts w:hint="eastAsia" w:ascii="方正仿宋_GBK" w:eastAsia="方正仿宋_GBK"/>
          <w:sz w:val="32"/>
          <w:szCs w:val="32"/>
        </w:rPr>
        <w:t>为保障行政单位（含参照公务员法管理的事业单位）运行用于购 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（十四）工资福利支出（支出经济分类科目类级）</w:t>
      </w:r>
      <w:r>
        <w:rPr>
          <w:rFonts w:hint="eastAsia" w:ascii="方正仿宋_GBK" w:eastAsia="方正仿宋_GBK"/>
        </w:rPr>
        <w:t>：</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6"/>
        <w:spacing w:before="0" w:beforeAutospacing="0" w:after="0" w:afterAutospacing="0" w:line="560" w:lineRule="exact"/>
        <w:ind w:firstLine="640" w:firstLineChars="200"/>
        <w:rPr>
          <w:rFonts w:ascii="方正仿宋_GBK" w:eastAsia="方正仿宋_GBK"/>
          <w:sz w:val="32"/>
          <w:szCs w:val="32"/>
        </w:rPr>
      </w:pPr>
      <w:r>
        <w:rPr>
          <w:rStyle w:val="9"/>
          <w:rFonts w:hint="eastAsia" w:ascii="方正仿宋_GBK" w:eastAsia="方正仿宋_GBK"/>
          <w:b w:val="0"/>
          <w:sz w:val="32"/>
          <w:szCs w:val="32"/>
        </w:rPr>
        <w:t>（十五）商品和服务支出（支出经济分类科目类级）</w:t>
      </w:r>
      <w:r>
        <w:rPr>
          <w:rFonts w:hint="eastAsia" w:ascii="方正仿宋_GBK" w:eastAsia="方正仿宋_GBK"/>
        </w:rPr>
        <w:t>：</w:t>
      </w:r>
      <w:r>
        <w:rPr>
          <w:rFonts w:hint="eastAsia" w:ascii="方正仿宋_GBK" w:eastAsia="方正仿宋_GBK"/>
          <w:sz w:val="32"/>
          <w:szCs w:val="32"/>
        </w:rPr>
        <w:t>反映单位购买商品和服务的支出（不包括用于购置固定资产的支出、战略性和应急储备支出）。</w:t>
      </w:r>
    </w:p>
    <w:p>
      <w:pPr>
        <w:pStyle w:val="6"/>
        <w:spacing w:before="0" w:beforeAutospacing="0" w:after="0" w:afterAutospacing="0" w:line="560" w:lineRule="exact"/>
        <w:ind w:firstLine="640" w:firstLineChars="200"/>
      </w:pPr>
      <w:r>
        <w:rPr>
          <w:rStyle w:val="9"/>
          <w:rFonts w:hint="eastAsia" w:ascii="方正仿宋_GBK" w:eastAsia="方正仿宋_GBK"/>
          <w:b w:val="0"/>
          <w:sz w:val="32"/>
          <w:szCs w:val="32"/>
        </w:rPr>
        <w:t>（十六）对个人和家庭的补助（支出经济分类科目类级）</w:t>
      </w:r>
      <w:r>
        <w:rPr>
          <w:rFonts w:hint="eastAsia" w:ascii="方正仿宋_GBK" w:eastAsia="方正仿宋_GBK"/>
        </w:rPr>
        <w:t>：</w:t>
      </w:r>
      <w:r>
        <w:rPr>
          <w:rFonts w:hint="eastAsia" w:ascii="方正仿宋_GBK" w:eastAsia="方正仿宋_GBK"/>
          <w:sz w:val="32"/>
          <w:szCs w:val="32"/>
        </w:rPr>
        <w:t>反映用于对个人和家庭的补助支出。</w:t>
      </w:r>
    </w:p>
    <w:p>
      <w:pPr>
        <w:pStyle w:val="6"/>
        <w:spacing w:before="0" w:beforeAutospacing="0" w:after="0" w:afterAutospacing="0" w:line="560" w:lineRule="exact"/>
        <w:ind w:firstLine="640" w:firstLineChars="200"/>
        <w:rPr>
          <w:rFonts w:hint="eastAsia" w:ascii="方正仿宋_GBK" w:eastAsia="方正仿宋_GBK"/>
          <w:sz w:val="32"/>
          <w:szCs w:val="32"/>
        </w:rPr>
      </w:pPr>
      <w:r>
        <w:rPr>
          <w:rStyle w:val="9"/>
          <w:rFonts w:hint="eastAsia" w:ascii="方正仿宋_GBK" w:eastAsia="方正仿宋_GBK"/>
          <w:b w:val="0"/>
          <w:sz w:val="32"/>
          <w:szCs w:val="32"/>
        </w:rPr>
        <w:t>（十七）其他资本性支出（支出经济分类科目类级）</w:t>
      </w:r>
      <w:r>
        <w:rPr>
          <w:rFonts w:hint="eastAsia" w:ascii="方正仿宋_GBK" w:eastAsia="方正仿宋_GBK"/>
        </w:rPr>
        <w:t>：反映非</w:t>
      </w:r>
      <w:r>
        <w:rPr>
          <w:rFonts w:hint="eastAsia" w:ascii="方正仿宋_GBK" w:eastAsia="方正仿宋_GBK"/>
          <w:sz w:val="32"/>
          <w:szCs w:val="32"/>
        </w:rPr>
        <w:t>各级发展与改革部门集中安排的用于购置固定资产、战略性和应急性储备、土地和无形资产，以及构建基础设施、大型修缮和财政支持企业更新改造所发生的支出。</w:t>
      </w:r>
    </w:p>
    <w:p>
      <w:pPr>
        <w:pStyle w:val="6"/>
        <w:spacing w:before="0" w:beforeAutospacing="0" w:after="0" w:afterAutospacing="0" w:line="560" w:lineRule="exact"/>
        <w:ind w:firstLine="640" w:firstLineChars="200"/>
        <w:rPr>
          <w:rFonts w:ascii="方正黑体_GBK" w:eastAsia="方正黑体_GBK"/>
          <w:b/>
          <w:sz w:val="32"/>
          <w:szCs w:val="32"/>
        </w:rPr>
      </w:pPr>
      <w:r>
        <w:rPr>
          <w:rStyle w:val="9"/>
          <w:rFonts w:hint="eastAsia" w:ascii="方正黑体_GBK" w:eastAsia="方正黑体_GBK"/>
          <w:b w:val="0"/>
          <w:sz w:val="32"/>
          <w:szCs w:val="32"/>
        </w:rPr>
        <w:t>七、决算公开联系方式及信息反馈渠道</w:t>
      </w:r>
    </w:p>
    <w:p>
      <w:pPr>
        <w:pStyle w:val="6"/>
        <w:spacing w:before="0" w:beforeAutospacing="0" w:after="0" w:afterAutospacing="0" w:line="560" w:lineRule="exact"/>
        <w:ind w:firstLine="640" w:firstLineChars="200"/>
        <w:rPr>
          <w:rFonts w:ascii="方正仿宋_GBK" w:eastAsia="方正仿宋_GBK"/>
          <w:sz w:val="32"/>
          <w:szCs w:val="32"/>
        </w:rPr>
      </w:pPr>
      <w:r>
        <w:rPr>
          <w:rFonts w:hint="eastAsia" w:ascii="方正仿宋_GBK" w:eastAsia="方正仿宋_GBK"/>
          <w:sz w:val="32"/>
          <w:szCs w:val="32"/>
        </w:rPr>
        <w:t>本单位决算公开信息反馈和联系方式：</w:t>
      </w:r>
    </w:p>
    <w:p>
      <w:pPr>
        <w:pStyle w:val="6"/>
        <w:spacing w:before="0" w:beforeAutospacing="0" w:after="0" w:afterAutospacing="0" w:line="560" w:lineRule="exact"/>
        <w:ind w:firstLine="640" w:firstLineChars="200"/>
        <w:rPr>
          <w:rFonts w:ascii="方正仿宋_GBK" w:eastAsia="方正仿宋_GBK"/>
          <w:sz w:val="32"/>
          <w:szCs w:val="32"/>
        </w:rPr>
      </w:pPr>
      <w:r>
        <w:rPr>
          <w:rFonts w:hint="eastAsia" w:ascii="方正仿宋_GBK" w:eastAsia="方正仿宋_GBK"/>
          <w:sz w:val="32"/>
          <w:szCs w:val="32"/>
        </w:rPr>
        <w:t>何双双     023-45422597</w:t>
      </w:r>
    </w:p>
    <w:p>
      <w:pPr>
        <w:spacing w:line="560" w:lineRule="exact"/>
        <w:ind w:firstLine="420" w:firstLineChars="200"/>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kNjBjNmRiMmFiMDkwNGQzYTY3ZjJiNmJkNTk0N2UifQ=="/>
  </w:docVars>
  <w:rsids>
    <w:rsidRoot w:val="00F6403B"/>
    <w:rsid w:val="0006145E"/>
    <w:rsid w:val="000A103B"/>
    <w:rsid w:val="000A28AD"/>
    <w:rsid w:val="000B0E1A"/>
    <w:rsid w:val="000F2991"/>
    <w:rsid w:val="001552C9"/>
    <w:rsid w:val="00171BDD"/>
    <w:rsid w:val="00181069"/>
    <w:rsid w:val="001D6731"/>
    <w:rsid w:val="00216FA5"/>
    <w:rsid w:val="002255EB"/>
    <w:rsid w:val="00286BB3"/>
    <w:rsid w:val="003601EB"/>
    <w:rsid w:val="003951A3"/>
    <w:rsid w:val="003C7D68"/>
    <w:rsid w:val="003E6C0E"/>
    <w:rsid w:val="003F26E0"/>
    <w:rsid w:val="00451E82"/>
    <w:rsid w:val="0045364E"/>
    <w:rsid w:val="00457691"/>
    <w:rsid w:val="004B257C"/>
    <w:rsid w:val="00525D0D"/>
    <w:rsid w:val="005720E0"/>
    <w:rsid w:val="00574779"/>
    <w:rsid w:val="00592343"/>
    <w:rsid w:val="00633428"/>
    <w:rsid w:val="00665746"/>
    <w:rsid w:val="00671CB6"/>
    <w:rsid w:val="00686244"/>
    <w:rsid w:val="006A0030"/>
    <w:rsid w:val="006A329E"/>
    <w:rsid w:val="006C26B2"/>
    <w:rsid w:val="006D6969"/>
    <w:rsid w:val="006D7034"/>
    <w:rsid w:val="006E6A0D"/>
    <w:rsid w:val="00706925"/>
    <w:rsid w:val="00726684"/>
    <w:rsid w:val="007513C4"/>
    <w:rsid w:val="00777E3E"/>
    <w:rsid w:val="00782324"/>
    <w:rsid w:val="00782D0D"/>
    <w:rsid w:val="0078347C"/>
    <w:rsid w:val="00784CA2"/>
    <w:rsid w:val="007950B3"/>
    <w:rsid w:val="0086141C"/>
    <w:rsid w:val="00876E7E"/>
    <w:rsid w:val="008E048B"/>
    <w:rsid w:val="00910E39"/>
    <w:rsid w:val="0092075D"/>
    <w:rsid w:val="00933F85"/>
    <w:rsid w:val="00961E07"/>
    <w:rsid w:val="009C2835"/>
    <w:rsid w:val="00A05BCC"/>
    <w:rsid w:val="00A064BD"/>
    <w:rsid w:val="00A10F68"/>
    <w:rsid w:val="00A433D6"/>
    <w:rsid w:val="00AE3E00"/>
    <w:rsid w:val="00B11CCE"/>
    <w:rsid w:val="00B8328C"/>
    <w:rsid w:val="00B91DE9"/>
    <w:rsid w:val="00BA7FDE"/>
    <w:rsid w:val="00BF0063"/>
    <w:rsid w:val="00BF390B"/>
    <w:rsid w:val="00C14E0D"/>
    <w:rsid w:val="00C45FF7"/>
    <w:rsid w:val="00CC0D69"/>
    <w:rsid w:val="00CD3FB1"/>
    <w:rsid w:val="00CE5A80"/>
    <w:rsid w:val="00D8744A"/>
    <w:rsid w:val="00E50E34"/>
    <w:rsid w:val="00E85B8F"/>
    <w:rsid w:val="00E93D20"/>
    <w:rsid w:val="00EA1F15"/>
    <w:rsid w:val="00EA5CF2"/>
    <w:rsid w:val="00EB5B6B"/>
    <w:rsid w:val="00EE14C7"/>
    <w:rsid w:val="00EF4FF3"/>
    <w:rsid w:val="00F077C0"/>
    <w:rsid w:val="00F10C94"/>
    <w:rsid w:val="00F33DC2"/>
    <w:rsid w:val="00F634D3"/>
    <w:rsid w:val="00F6403B"/>
    <w:rsid w:val="00F73A82"/>
    <w:rsid w:val="00FE7B88"/>
    <w:rsid w:val="00FF40B6"/>
    <w:rsid w:val="037C76D0"/>
    <w:rsid w:val="12216BC8"/>
    <w:rsid w:val="2BDC776C"/>
    <w:rsid w:val="41494BD5"/>
    <w:rsid w:val="64205561"/>
    <w:rsid w:val="7E63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99"/>
    <w:rPr>
      <w:kern w:val="0"/>
      <w:sz w:val="18"/>
      <w:szCs w:val="18"/>
    </w:rPr>
  </w:style>
  <w:style w:type="paragraph" w:styleId="4">
    <w:name w:val="footer"/>
    <w:basedOn w:val="1"/>
    <w:link w:val="15"/>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FollowedHyperlink"/>
    <w:semiHidden/>
    <w:qFormat/>
    <w:uiPriority w:val="99"/>
    <w:rPr>
      <w:color w:val="800080"/>
      <w:u w:val="single"/>
    </w:rPr>
  </w:style>
  <w:style w:type="character" w:styleId="11">
    <w:name w:val="Hyperlink"/>
    <w:semiHidden/>
    <w:qFormat/>
    <w:uiPriority w:val="99"/>
    <w:rPr>
      <w:color w:val="0000FF"/>
      <w:u w:val="single"/>
    </w:rPr>
  </w:style>
  <w:style w:type="character" w:customStyle="1" w:styleId="12">
    <w:name w:val="标题 1 Char"/>
    <w:basedOn w:val="8"/>
    <w:link w:val="2"/>
    <w:uiPriority w:val="9"/>
    <w:rPr>
      <w:rFonts w:cs="Calibri"/>
      <w:b/>
      <w:bCs/>
      <w:kern w:val="44"/>
      <w:sz w:val="44"/>
      <w:szCs w:val="44"/>
    </w:rPr>
  </w:style>
  <w:style w:type="character" w:customStyle="1" w:styleId="13">
    <w:name w:val="页眉 Char"/>
    <w:link w:val="5"/>
    <w:qFormat/>
    <w:uiPriority w:val="99"/>
    <w:rPr>
      <w:rFonts w:ascii="Calibri" w:hAnsi="Calibri" w:eastAsia="宋体" w:cs="Calibri"/>
      <w:sz w:val="18"/>
      <w:szCs w:val="18"/>
    </w:rPr>
  </w:style>
  <w:style w:type="character" w:customStyle="1" w:styleId="14">
    <w:name w:val="页眉 Char1"/>
    <w:qFormat/>
    <w:locked/>
    <w:uiPriority w:val="99"/>
    <w:rPr>
      <w:rFonts w:ascii="Times New Roman" w:hAnsi="Times New Roman" w:eastAsia="宋体" w:cs="Times New Roman"/>
      <w:kern w:val="0"/>
      <w:sz w:val="18"/>
      <w:szCs w:val="18"/>
    </w:rPr>
  </w:style>
  <w:style w:type="character" w:customStyle="1" w:styleId="15">
    <w:name w:val="页脚 Char"/>
    <w:link w:val="4"/>
    <w:qFormat/>
    <w:uiPriority w:val="99"/>
    <w:rPr>
      <w:rFonts w:ascii="Calibri" w:hAnsi="Calibri" w:eastAsia="宋体" w:cs="Calibri"/>
      <w:sz w:val="18"/>
      <w:szCs w:val="18"/>
    </w:rPr>
  </w:style>
  <w:style w:type="character" w:customStyle="1" w:styleId="16">
    <w:name w:val="页脚 Char1"/>
    <w:qFormat/>
    <w:locked/>
    <w:uiPriority w:val="99"/>
    <w:rPr>
      <w:rFonts w:ascii="Times New Roman" w:hAnsi="Times New Roman" w:eastAsia="宋体" w:cs="Times New Roman"/>
      <w:kern w:val="0"/>
      <w:sz w:val="18"/>
      <w:szCs w:val="18"/>
    </w:rPr>
  </w:style>
  <w:style w:type="character" w:customStyle="1" w:styleId="17">
    <w:name w:val="批注框文本 Char"/>
    <w:link w:val="3"/>
    <w:qFormat/>
    <w:uiPriority w:val="99"/>
    <w:rPr>
      <w:rFonts w:ascii="Calibri" w:hAnsi="Calibri" w:eastAsia="宋体" w:cs="Calibri"/>
      <w:sz w:val="18"/>
      <w:szCs w:val="18"/>
    </w:rPr>
  </w:style>
  <w:style w:type="character" w:customStyle="1" w:styleId="18">
    <w:name w:val="批注框文本 Char1"/>
    <w:qFormat/>
    <w:uiPriority w:val="0"/>
    <w:rPr>
      <w:rFonts w:ascii="Calibri" w:hAnsi="Calibri" w:eastAsia="宋体" w:cs="Times New Roman"/>
      <w:sz w:val="18"/>
      <w:szCs w:val="18"/>
    </w:rPr>
  </w:style>
  <w:style w:type="character" w:customStyle="1" w:styleId="19">
    <w:name w:val="apple-converted-space"/>
    <w:basedOn w:val="8"/>
    <w:qFormat/>
    <w:uiPriority w:val="99"/>
  </w:style>
  <w:style w:type="paragraph" w:styleId="20">
    <w:name w:val="List Paragraph"/>
    <w:basedOn w:val="1"/>
    <w:qFormat/>
    <w:uiPriority w:val="34"/>
    <w:pPr>
      <w:ind w:firstLine="420" w:firstLineChars="200"/>
    </w:pPr>
    <w:rPr>
      <w:rFonts w:cs="Times New Roman"/>
      <w:szCs w:val="22"/>
    </w:rPr>
  </w:style>
  <w:style w:type="paragraph" w:customStyle="1" w:styleId="21">
    <w:name w:val="普通(网站) Char Char"/>
    <w:basedOn w:val="1"/>
    <w:semiHidden/>
    <w:qFormat/>
    <w:uiPriority w:val="99"/>
    <w:pPr>
      <w:spacing w:before="100" w:beforeAutospacing="1" w:after="100" w:afterAutospacing="1"/>
      <w:jc w:val="left"/>
    </w:pPr>
    <w:rPr>
      <w:rFonts w:ascii="宋体" w:hAnsi="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4460-AA10-4ACB-B226-5FFA4796F1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6958</Words>
  <Characters>7996</Characters>
  <Lines>57</Lines>
  <Paragraphs>16</Paragraphs>
  <TotalTime>1138</TotalTime>
  <ScaleCrop>false</ScaleCrop>
  <LinksUpToDate>false</LinksUpToDate>
  <CharactersWithSpaces>8013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2023-09-15T02:45:00Z</dcterms:created>
  <dc:creator>PC</dc:creator>
  <cp:lastModifiedBy>Administrator</cp:lastModifiedBy>
  <dcterms:modified xsi:type="dcterms:W3CDTF">2023-10-26T11:46:09Z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5C78E736B83C4DE582574D2B09AE0C01_12</vt:lpwstr>
  </property>
</Properties>
</file>