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5"/>
        <w:spacing w:before="0" w:beforeAutospacing="0" w:after="0" w:afterAutospacing="0" w:line="596" w:lineRule="exact"/>
        <w:jc w:val="center"/>
        <w:rPr>
          <w:rFonts w:hint="default" w:ascii="Times New Roman" w:hAnsi="Times New Roman" w:eastAsia="方正小标宋_GBK"/>
          <w:sz w:val="44"/>
          <w:szCs w:val="44"/>
        </w:rPr>
      </w:pPr>
      <w:r>
        <w:rPr>
          <w:rFonts w:hint="default" w:ascii="Times New Roman" w:hAnsi="Times New Roman" w:eastAsia="方正小标宋_GBK"/>
          <w:sz w:val="44"/>
          <w:szCs w:val="44"/>
        </w:rPr>
        <w:t>重庆市铜梁区</w:t>
      </w:r>
      <w:r>
        <w:rPr>
          <w:rFonts w:hint="eastAsia" w:ascii="Times New Roman" w:hAnsi="Times New Roman" w:eastAsia="方正小标宋_GBK"/>
          <w:sz w:val="44"/>
          <w:szCs w:val="44"/>
          <w:lang w:eastAsia="zh-CN"/>
        </w:rPr>
        <w:t>人民政府</w:t>
      </w:r>
      <w:r>
        <w:rPr>
          <w:rFonts w:hint="default" w:ascii="Times New Roman" w:hAnsi="Times New Roman" w:eastAsia="方正小标宋_GBK"/>
          <w:sz w:val="44"/>
          <w:szCs w:val="44"/>
        </w:rPr>
        <w:t>旧县街道办事处</w:t>
      </w:r>
    </w:p>
    <w:p>
      <w:pPr>
        <w:pStyle w:val="5"/>
        <w:spacing w:before="0" w:beforeAutospacing="0" w:after="0" w:afterAutospacing="0" w:line="596" w:lineRule="exact"/>
        <w:jc w:val="center"/>
        <w:rPr>
          <w:rFonts w:hint="default" w:ascii="Times New Roman" w:hAnsi="Times New Roman" w:eastAsia="方正小标宋_GBK"/>
          <w:sz w:val="36"/>
          <w:szCs w:val="36"/>
          <w:shd w:val="clear" w:color="auto" w:fill="FFFFFF"/>
        </w:rPr>
      </w:pPr>
      <w:r>
        <w:rPr>
          <w:rFonts w:hint="default" w:ascii="Times New Roman" w:hAnsi="Times New Roman" w:eastAsia="方正小标宋_GBK"/>
          <w:sz w:val="44"/>
          <w:szCs w:val="44"/>
          <w:shd w:val="clear" w:color="auto" w:fill="FFFFFF"/>
        </w:rPr>
        <w:t>2024年度决算公开说明</w:t>
      </w:r>
    </w:p>
    <w:p>
      <w:pPr>
        <w:pStyle w:val="5"/>
        <w:shd w:val="clear" w:color="auto" w:fill="FFFFFF"/>
        <w:spacing w:before="0" w:beforeAutospacing="0" w:after="0" w:afterAutospacing="0" w:line="596" w:lineRule="exact"/>
        <w:ind w:firstLine="643" w:firstLineChars="200"/>
        <w:rPr>
          <w:rStyle w:val="8"/>
          <w:rFonts w:hint="default" w:ascii="Times New Roman" w:hAnsi="Times New Roman" w:eastAsia="黑体"/>
          <w:sz w:val="32"/>
          <w:szCs w:val="32"/>
          <w:shd w:val="clear" w:color="auto" w:fill="FFFFFF"/>
        </w:rPr>
      </w:pPr>
      <w:r>
        <w:rPr>
          <w:rStyle w:val="8"/>
          <w:rFonts w:hint="default" w:ascii="Times New Roman" w:hAnsi="Times New Roman" w:eastAsia="黑体"/>
          <w:sz w:val="32"/>
          <w:szCs w:val="32"/>
          <w:shd w:val="clear" w:color="auto" w:fill="FFFFFF"/>
        </w:rPr>
        <w:t>一、部门基本情况</w:t>
      </w:r>
    </w:p>
    <w:p>
      <w:pPr>
        <w:pStyle w:val="5"/>
        <w:shd w:val="clear" w:color="auto" w:fill="FFFFFF"/>
        <w:ind w:firstLine="420"/>
        <w:rPr>
          <w:rFonts w:hint="default" w:ascii="Times New Roman" w:hAnsi="Times New Roman" w:eastAsia="方正仿宋_GBK"/>
          <w:sz w:val="32"/>
          <w:szCs w:val="32"/>
        </w:rPr>
      </w:pPr>
      <w:r>
        <w:rPr>
          <w:rStyle w:val="8"/>
          <w:rFonts w:hint="default" w:ascii="Times New Roman" w:hAnsi="Times New Roman" w:eastAsia="楷体"/>
          <w:sz w:val="32"/>
          <w:szCs w:val="32"/>
          <w:shd w:val="clear" w:color="auto" w:fill="FFFFFF"/>
        </w:rPr>
        <w:t>（一）职能职责</w:t>
      </w:r>
      <w:bookmarkStart w:id="0" w:name="_GoBack"/>
      <w:bookmarkEnd w:id="0"/>
    </w:p>
    <w:p>
      <w:pPr>
        <w:pStyle w:val="5"/>
        <w:snapToGrid w:val="0"/>
        <w:spacing w:before="0" w:beforeAutospacing="0" w:after="0" w:afterAutospacing="0" w:line="600" w:lineRule="exact"/>
        <w:ind w:firstLine="640" w:firstLineChars="200"/>
        <w:jc w:val="both"/>
        <w:rPr>
          <w:rFonts w:hint="default" w:ascii="Times New Roman" w:hAnsi="Times New Roman" w:eastAsia="方正仿宋_GBK"/>
          <w:sz w:val="32"/>
          <w:szCs w:val="32"/>
        </w:rPr>
      </w:pPr>
      <w:r>
        <w:rPr>
          <w:rFonts w:hint="default" w:ascii="Times New Roman" w:hAnsi="Times New Roman" w:eastAsia="方正仿宋_GBK"/>
          <w:sz w:val="32"/>
          <w:szCs w:val="32"/>
          <w:shd w:val="clear" w:color="auto" w:fill="FFFFFF"/>
        </w:rPr>
        <w:t>铜梁区旧县街道办事处在区委、区政府的领导下，贯彻执行党和国家的方针、政策、法律法规；负责辖区内的地方性、群众性、公益性、社会性工作；负责精神文明建设；城市建设和管理、市容环境卫生、园林绿化、环境保护、市政、规划、房地产等监督、管理、服务工作；负责辖区内的稳定和社会治安综合治理工作，依照相关政策做好出租房屋和外来人口的管理工作； 负责民事调解，法律服务工作，维护居民的合法权益；负责社区建设和管理，指导开展社区服务工作，发动和组织社区成员开展各类社区公益活动；负责民兵、兵役、拥军优属、优抚安置、社会救济、社会福利、社会文化、科普、体育、教育、旅游等工作；负责发展街道和村（社区）组织集体经济，管理街道国有资产和村（社区）集体资产，为街道和村（社区）集体经济组织提供人才、科技、信息和其他服务，以经济、法律和必要的行政手段推动街道、村级经济发展和维护市场秩序；负责计划生育、安全生产监督工作；指导和帮助村（社区）居民委员会搞好组织建设和制度建设，发挥村（社区）居民委员会的群众自治作用；配合有关部门做好防汛、防风、防火、防震、抢险和救灾工作；向区人民政府反映群众意见和要求，办理人民群众来信来访事项。</w:t>
      </w:r>
    </w:p>
    <w:p>
      <w:pPr>
        <w:pStyle w:val="5"/>
        <w:shd w:val="clear" w:color="auto" w:fill="FFFFFF"/>
        <w:ind w:firstLine="420"/>
        <w:rPr>
          <w:rFonts w:hint="default" w:ascii="Times New Roman" w:hAnsi="Times New Roman" w:eastAsia="楷体"/>
          <w:sz w:val="32"/>
          <w:szCs w:val="32"/>
        </w:rPr>
      </w:pPr>
      <w:r>
        <w:rPr>
          <w:rStyle w:val="8"/>
          <w:rFonts w:hint="default" w:ascii="Times New Roman" w:hAnsi="Times New Roman" w:eastAsia="楷体"/>
          <w:sz w:val="32"/>
          <w:szCs w:val="32"/>
          <w:shd w:val="clear" w:color="auto" w:fill="FFFFFF"/>
        </w:rPr>
        <w:t>（二）机构设置</w:t>
      </w:r>
    </w:p>
    <w:p>
      <w:pPr>
        <w:pStyle w:val="13"/>
        <w:tabs>
          <w:tab w:val="center" w:pos="4153"/>
          <w:tab w:val="left" w:pos="7275"/>
        </w:tabs>
        <w:spacing w:line="594" w:lineRule="exact"/>
        <w:ind w:firstLine="640"/>
        <w:rPr>
          <w:rFonts w:ascii="Times New Roman" w:hAnsi="Times New Roman" w:eastAsia="方正楷体_GBK"/>
          <w:sz w:val="32"/>
        </w:rPr>
      </w:pPr>
      <w:r>
        <w:rPr>
          <w:rFonts w:ascii="Times New Roman" w:hAnsi="Times New Roman" w:eastAsia="方正仿宋_GBK"/>
          <w:sz w:val="32"/>
          <w:szCs w:val="32"/>
          <w:shd w:val="clear" w:color="auto" w:fill="FFFFFF"/>
        </w:rPr>
        <w:t>旧县街道下设12个综合办事机构，分别是党政办公室、党群工作办公室、人大工作委员会办公室、纪工委办公室、武装部办公室、经济发展办公室、民政和社区事务办公室、规划建设管理环保办公室、财政办公室、平安建设办公室、应急管理办公室、综合行政执法办公室；7个事业单位，分别是重庆市铜梁区旧县街道产业培育中心、重庆市铜梁区旧县街道社区文化服务中心、重庆市铜梁区旧县街道劳动就业和社会保障服务所、重庆市铜梁区旧县街道综合行政执法大队、重庆市铜梁区旧县街道退役军人服务站、重庆市铜梁区旧县街道社区事务服务中心、重庆市铜梁区旧县街道城市提升服务中心。</w:t>
      </w:r>
    </w:p>
    <w:p>
      <w:pPr>
        <w:pStyle w:val="5"/>
        <w:numPr>
          <w:ilvl w:val="0"/>
          <w:numId w:val="1"/>
        </w:numPr>
        <w:shd w:val="clear" w:color="auto" w:fill="FFFFFF"/>
        <w:rPr>
          <w:rStyle w:val="8"/>
          <w:rFonts w:hint="default" w:ascii="Times New Roman" w:hAnsi="Times New Roman" w:eastAsia="楷体"/>
          <w:sz w:val="32"/>
          <w:szCs w:val="32"/>
          <w:shd w:val="clear" w:color="auto" w:fill="FFFFFF"/>
        </w:rPr>
      </w:pPr>
      <w:r>
        <w:rPr>
          <w:rStyle w:val="8"/>
          <w:rFonts w:hint="default" w:ascii="Times New Roman" w:hAnsi="Times New Roman" w:eastAsia="楷体"/>
          <w:sz w:val="32"/>
          <w:szCs w:val="32"/>
          <w:shd w:val="clear" w:color="auto" w:fill="FFFFFF"/>
        </w:rPr>
        <w:t>单位构成</w:t>
      </w:r>
    </w:p>
    <w:p>
      <w:pPr>
        <w:pStyle w:val="5"/>
        <w:shd w:val="clear" w:color="auto" w:fill="FFFFFF"/>
        <w:ind w:firstLine="640" w:firstLineChars="200"/>
        <w:rPr>
          <w:rFonts w:hint="default" w:ascii="Times New Roman" w:hAnsi="Times New Roman" w:eastAsia="方正仿宋_GBK"/>
          <w:color w:val="FF0000"/>
          <w:sz w:val="32"/>
          <w:szCs w:val="32"/>
          <w:shd w:val="clear" w:color="auto" w:fill="FFFFFF"/>
        </w:rPr>
      </w:pPr>
      <w:r>
        <w:rPr>
          <w:rFonts w:hint="default" w:ascii="Times New Roman" w:hAnsi="Times New Roman" w:eastAsia="方正仿宋_GBK"/>
          <w:sz w:val="32"/>
          <w:szCs w:val="32"/>
          <w:shd w:val="clear" w:color="auto" w:fill="FFFFFF"/>
        </w:rPr>
        <w:t>从预算单位构成看，纳入本部门2024年度决算编制的二级预算单位主要包括重庆市铜梁区旧县街道办事处（本级）、重庆市铜梁区旧县街道产业培育中心、重庆市铜梁区旧县街道社区文化服务中心、重庆市铜梁区旧县街道劳动就业和社会保障服务所、重庆市铜梁区旧县街道综合行政执法大队、重庆市铜梁区旧县街道退役军人服务站、重庆市铜梁区旧县街道社区事务服务中心、重庆市铜梁区旧县街道城市提升服务中心。</w:t>
      </w:r>
    </w:p>
    <w:p>
      <w:pPr>
        <w:pStyle w:val="5"/>
        <w:shd w:val="clear" w:color="auto" w:fill="FFFFFF"/>
        <w:spacing w:before="0" w:beforeAutospacing="0" w:after="0" w:afterAutospacing="0" w:line="596" w:lineRule="exact"/>
        <w:ind w:firstLine="643" w:firstLineChars="200"/>
        <w:rPr>
          <w:rStyle w:val="8"/>
          <w:rFonts w:hint="default" w:ascii="Times New Roman" w:hAnsi="Times New Roman" w:eastAsia="黑体"/>
          <w:sz w:val="32"/>
          <w:szCs w:val="32"/>
          <w:shd w:val="clear" w:color="auto" w:fill="FFFFFF"/>
        </w:rPr>
      </w:pPr>
      <w:r>
        <w:rPr>
          <w:rStyle w:val="8"/>
          <w:rFonts w:hint="default" w:ascii="Times New Roman" w:hAnsi="Times New Roman" w:eastAsia="黑体"/>
          <w:sz w:val="32"/>
          <w:szCs w:val="32"/>
          <w:shd w:val="clear" w:color="auto" w:fill="FFFFFF"/>
        </w:rPr>
        <w:t>二、部门决算收支情况说明</w:t>
      </w:r>
    </w:p>
    <w:p>
      <w:pPr>
        <w:pStyle w:val="9"/>
        <w:autoSpaceDE w:val="0"/>
        <w:ind w:firstLine="643"/>
        <w:rPr>
          <w:rFonts w:ascii="Times New Roman" w:hAnsi="Times New Roman" w:eastAsia="楷体"/>
          <w:b/>
          <w:bCs/>
          <w:sz w:val="32"/>
          <w:szCs w:val="32"/>
          <w:shd w:val="clear" w:color="auto" w:fill="FFFFFF"/>
        </w:rPr>
      </w:pPr>
      <w:r>
        <w:rPr>
          <w:rFonts w:ascii="Times New Roman" w:hAnsi="Times New Roman" w:eastAsia="楷体"/>
          <w:b/>
          <w:bCs/>
          <w:sz w:val="32"/>
          <w:szCs w:val="32"/>
          <w:shd w:val="clear" w:color="auto" w:fill="FFFFFF"/>
        </w:rPr>
        <w:t>（一）收入支出决算总体情况说明。</w:t>
      </w:r>
    </w:p>
    <w:p>
      <w:pPr>
        <w:pStyle w:val="5"/>
        <w:shd w:val="clear" w:color="auto" w:fill="FFFFFF"/>
        <w:ind w:firstLine="643" w:firstLineChars="200"/>
        <w:rPr>
          <w:rFonts w:hint="default" w:ascii="Times New Roman" w:hAnsi="Times New Roman" w:eastAsia="方正仿宋_GBK"/>
          <w:sz w:val="32"/>
          <w:szCs w:val="32"/>
        </w:rPr>
      </w:pPr>
      <w:r>
        <w:rPr>
          <w:rStyle w:val="8"/>
          <w:rFonts w:hint="default" w:ascii="Times New Roman" w:hAnsi="Times New Roman" w:eastAsia="方正仿宋_GBK"/>
          <w:sz w:val="32"/>
          <w:szCs w:val="32"/>
          <w:shd w:val="clear" w:color="auto" w:fill="FFFFFF"/>
        </w:rPr>
        <w:t>1.总体情况。</w:t>
      </w:r>
      <w:r>
        <w:rPr>
          <w:rFonts w:hint="default" w:ascii="Times New Roman" w:hAnsi="Times New Roman" w:eastAsia="方正仿宋_GBK"/>
          <w:sz w:val="32"/>
          <w:szCs w:val="32"/>
          <w:shd w:val="clear" w:color="auto" w:fill="FFFFFF"/>
        </w:rPr>
        <w:t>2024年度收入总计4144.42万元，支出总计</w:t>
      </w:r>
      <w:r>
        <w:rPr>
          <w:rFonts w:hint="default" w:ascii="Times New Roman" w:hAnsi="Times New Roman" w:eastAsia="方正仿宋_GBK"/>
          <w:sz w:val="32"/>
          <w:szCs w:val="32"/>
        </w:rPr>
        <w:t>4144.42</w:t>
      </w:r>
      <w:r>
        <w:rPr>
          <w:rFonts w:hint="default" w:ascii="Times New Roman" w:hAnsi="Times New Roman" w:eastAsia="方正仿宋_GBK"/>
          <w:sz w:val="32"/>
          <w:szCs w:val="32"/>
          <w:shd w:val="clear" w:color="auto" w:fill="FFFFFF"/>
        </w:rPr>
        <w:t>万元。收、支与2023年度相比，减少2913.73万元，下降41.3%，主要原因是基本支出减少173.72万元；项目资金减少2740.01万元，其中基本建设项目减少1651.00万元。</w:t>
      </w:r>
    </w:p>
    <w:p>
      <w:pPr>
        <w:pStyle w:val="5"/>
        <w:snapToGrid w:val="0"/>
        <w:spacing w:before="0" w:beforeAutospacing="0" w:after="0" w:afterAutospacing="0" w:line="600" w:lineRule="exact"/>
        <w:ind w:firstLine="643" w:firstLineChars="200"/>
        <w:jc w:val="both"/>
        <w:rPr>
          <w:rFonts w:hint="default" w:ascii="Times New Roman" w:hAnsi="Times New Roman" w:eastAsia="方正仿宋_GBK"/>
          <w:sz w:val="32"/>
          <w:szCs w:val="32"/>
          <w:shd w:val="clear" w:color="auto" w:fill="FFFFFF"/>
        </w:rPr>
      </w:pPr>
      <w:r>
        <w:rPr>
          <w:rStyle w:val="8"/>
          <w:rFonts w:hint="default" w:ascii="Times New Roman" w:hAnsi="Times New Roman" w:eastAsia="方正仿宋_GBK"/>
          <w:sz w:val="32"/>
          <w:szCs w:val="32"/>
          <w:shd w:val="clear" w:color="auto" w:fill="FFFFFF"/>
        </w:rPr>
        <w:t>2.收入情况。</w:t>
      </w:r>
      <w:r>
        <w:rPr>
          <w:rFonts w:hint="default" w:ascii="Times New Roman" w:hAnsi="Times New Roman" w:eastAsia="方正仿宋_GBK"/>
          <w:sz w:val="32"/>
          <w:szCs w:val="32"/>
          <w:shd w:val="clear" w:color="auto" w:fill="FFFFFF"/>
        </w:rPr>
        <w:t>2024年度收入合计4068.43万元，与2023年度相比，减少2913.72万元，下降41.7%，主要原因是一般公共预算财政拨款减少2696.95万元，政府性基金预算财政拨款减少216.79万元。其中：财政拨款收入</w:t>
      </w:r>
      <w:r>
        <w:rPr>
          <w:rFonts w:hint="default" w:ascii="Times New Roman" w:hAnsi="Times New Roman" w:eastAsia="方正仿宋_GBK"/>
          <w:sz w:val="32"/>
          <w:szCs w:val="32"/>
        </w:rPr>
        <w:t>4068.43</w:t>
      </w:r>
      <w:r>
        <w:rPr>
          <w:rFonts w:hint="default" w:ascii="Times New Roman" w:hAnsi="Times New Roman" w:eastAsia="方正仿宋_GBK"/>
          <w:sz w:val="32"/>
          <w:szCs w:val="32"/>
          <w:shd w:val="clear" w:color="auto" w:fill="FFFFFF"/>
        </w:rPr>
        <w:t>万元，占</w:t>
      </w:r>
      <w:r>
        <w:rPr>
          <w:rFonts w:hint="default" w:ascii="Times New Roman" w:hAnsi="Times New Roman" w:eastAsia="方正仿宋_GBK"/>
          <w:sz w:val="32"/>
          <w:szCs w:val="32"/>
        </w:rPr>
        <w:t>100.0</w:t>
      </w:r>
      <w:r>
        <w:rPr>
          <w:rFonts w:hint="default" w:ascii="Times New Roman" w:hAnsi="Times New Roman" w:eastAsia="方正仿宋_GBK"/>
          <w:sz w:val="32"/>
          <w:szCs w:val="32"/>
          <w:shd w:val="clear" w:color="auto" w:fill="FFFFFF"/>
        </w:rPr>
        <w:t>%；事业收入</w:t>
      </w:r>
      <w:r>
        <w:rPr>
          <w:rFonts w:hint="default" w:ascii="Times New Roman" w:hAnsi="Times New Roman" w:eastAsia="方正仿宋_GBK"/>
          <w:sz w:val="32"/>
          <w:szCs w:val="32"/>
        </w:rPr>
        <w:t>0.00</w:t>
      </w:r>
      <w:r>
        <w:rPr>
          <w:rFonts w:hint="default" w:ascii="Times New Roman" w:hAnsi="Times New Roman" w:eastAsia="方正仿宋_GBK"/>
          <w:sz w:val="32"/>
          <w:szCs w:val="32"/>
          <w:shd w:val="clear" w:color="auto" w:fill="FFFFFF"/>
        </w:rPr>
        <w:t>万元，占0.0%；经营收入</w:t>
      </w:r>
      <w:r>
        <w:rPr>
          <w:rFonts w:hint="default" w:ascii="Times New Roman" w:hAnsi="Times New Roman" w:eastAsia="方正仿宋_GBK"/>
          <w:sz w:val="32"/>
          <w:szCs w:val="32"/>
        </w:rPr>
        <w:t>0.00</w:t>
      </w:r>
      <w:r>
        <w:rPr>
          <w:rFonts w:hint="default" w:ascii="Times New Roman" w:hAnsi="Times New Roman" w:eastAsia="方正仿宋_GBK"/>
          <w:sz w:val="32"/>
          <w:szCs w:val="32"/>
          <w:shd w:val="clear" w:color="auto" w:fill="FFFFFF"/>
        </w:rPr>
        <w:t>万元，占0.0%；其他收入</w:t>
      </w:r>
      <w:r>
        <w:rPr>
          <w:rFonts w:hint="default" w:ascii="Times New Roman" w:hAnsi="Times New Roman" w:eastAsia="方正仿宋_GBK"/>
          <w:sz w:val="32"/>
          <w:szCs w:val="32"/>
        </w:rPr>
        <w:t>0.00</w:t>
      </w:r>
      <w:r>
        <w:rPr>
          <w:rFonts w:hint="default" w:ascii="Times New Roman" w:hAnsi="Times New Roman" w:eastAsia="方正仿宋_GBK"/>
          <w:sz w:val="32"/>
          <w:szCs w:val="32"/>
          <w:shd w:val="clear" w:color="auto" w:fill="FFFFFF"/>
        </w:rPr>
        <w:t>万元，占0.0%。此外，使用非财政拨款结余和专用结余</w:t>
      </w:r>
      <w:r>
        <w:rPr>
          <w:rFonts w:hint="default" w:ascii="Times New Roman" w:hAnsi="Times New Roman" w:eastAsia="方正仿宋_GBK"/>
          <w:sz w:val="32"/>
          <w:szCs w:val="32"/>
        </w:rPr>
        <w:t>0.00</w:t>
      </w:r>
      <w:r>
        <w:rPr>
          <w:rFonts w:hint="default" w:ascii="Times New Roman" w:hAnsi="Times New Roman" w:eastAsia="方正仿宋_GBK"/>
          <w:sz w:val="32"/>
          <w:szCs w:val="32"/>
          <w:shd w:val="clear" w:color="auto" w:fill="FFFFFF"/>
        </w:rPr>
        <w:t>万元，年初结转和结余</w:t>
      </w:r>
      <w:r>
        <w:rPr>
          <w:rFonts w:hint="default" w:ascii="Times New Roman" w:hAnsi="Times New Roman" w:eastAsia="方正仿宋_GBK"/>
          <w:sz w:val="32"/>
          <w:szCs w:val="32"/>
        </w:rPr>
        <w:t>75.99</w:t>
      </w:r>
      <w:r>
        <w:rPr>
          <w:rFonts w:hint="default" w:ascii="Times New Roman" w:hAnsi="Times New Roman" w:eastAsia="方正仿宋_GBK"/>
          <w:sz w:val="32"/>
          <w:szCs w:val="32"/>
          <w:shd w:val="clear" w:color="auto" w:fill="FFFFFF"/>
        </w:rPr>
        <w:t>万元。</w:t>
      </w:r>
    </w:p>
    <w:p>
      <w:pPr>
        <w:pStyle w:val="5"/>
        <w:snapToGrid w:val="0"/>
        <w:spacing w:before="0" w:beforeAutospacing="0" w:after="0" w:afterAutospacing="0" w:line="600" w:lineRule="exact"/>
        <w:ind w:firstLine="643" w:firstLineChars="200"/>
        <w:jc w:val="both"/>
        <w:rPr>
          <w:rFonts w:hint="default" w:ascii="Times New Roman" w:hAnsi="Times New Roman" w:eastAsia="方正仿宋_GBK"/>
          <w:sz w:val="32"/>
          <w:szCs w:val="32"/>
          <w:shd w:val="clear" w:color="auto" w:fill="FFFFFF"/>
        </w:rPr>
      </w:pPr>
      <w:r>
        <w:rPr>
          <w:rStyle w:val="8"/>
          <w:rFonts w:hint="default" w:ascii="Times New Roman" w:hAnsi="Times New Roman" w:eastAsia="方正仿宋_GBK"/>
          <w:sz w:val="32"/>
          <w:szCs w:val="32"/>
          <w:shd w:val="clear" w:color="auto" w:fill="FFFFFF"/>
        </w:rPr>
        <w:t>3.支出情况。</w:t>
      </w:r>
      <w:r>
        <w:rPr>
          <w:rFonts w:hint="default" w:ascii="Times New Roman" w:hAnsi="Times New Roman" w:eastAsia="方正仿宋_GBK"/>
          <w:sz w:val="32"/>
          <w:szCs w:val="32"/>
          <w:shd w:val="clear" w:color="auto" w:fill="FFFFFF"/>
        </w:rPr>
        <w:t>2024年度支出合计</w:t>
      </w:r>
      <w:r>
        <w:rPr>
          <w:rFonts w:hint="default" w:ascii="Times New Roman" w:hAnsi="Times New Roman" w:eastAsia="方正仿宋_GBK"/>
          <w:sz w:val="32"/>
          <w:szCs w:val="32"/>
        </w:rPr>
        <w:t>4068.43</w:t>
      </w:r>
      <w:r>
        <w:rPr>
          <w:rFonts w:hint="default" w:ascii="Times New Roman" w:hAnsi="Times New Roman" w:eastAsia="方正仿宋_GBK"/>
          <w:sz w:val="32"/>
          <w:szCs w:val="32"/>
          <w:shd w:val="clear" w:color="auto" w:fill="FFFFFF"/>
        </w:rPr>
        <w:t>万元，与2023年度相比，减少2913.72万元，下降41.7%，主要原因是基本支出减少173.72万元；项目资金减少2740.01万元，其中基本建设项目减少1651.00万元。其中：基本支出</w:t>
      </w:r>
      <w:r>
        <w:rPr>
          <w:rFonts w:hint="default" w:ascii="Times New Roman" w:hAnsi="Times New Roman" w:eastAsia="方正仿宋_GBK"/>
          <w:sz w:val="32"/>
          <w:szCs w:val="32"/>
        </w:rPr>
        <w:t>2272.72</w:t>
      </w:r>
      <w:r>
        <w:rPr>
          <w:rFonts w:hint="default" w:ascii="Times New Roman" w:hAnsi="Times New Roman" w:eastAsia="方正仿宋_GBK"/>
          <w:sz w:val="32"/>
          <w:szCs w:val="32"/>
          <w:shd w:val="clear" w:color="auto" w:fill="FFFFFF"/>
        </w:rPr>
        <w:t>万元，占55.9%；项目支出</w:t>
      </w:r>
      <w:r>
        <w:rPr>
          <w:rFonts w:hint="default" w:ascii="Times New Roman" w:hAnsi="Times New Roman" w:eastAsia="方正仿宋_GBK"/>
          <w:sz w:val="32"/>
          <w:szCs w:val="32"/>
        </w:rPr>
        <w:t>1795.71</w:t>
      </w:r>
      <w:r>
        <w:rPr>
          <w:rFonts w:hint="default" w:ascii="Times New Roman" w:hAnsi="Times New Roman" w:eastAsia="方正仿宋_GBK"/>
          <w:sz w:val="32"/>
          <w:szCs w:val="32"/>
          <w:shd w:val="clear" w:color="auto" w:fill="FFFFFF"/>
        </w:rPr>
        <w:t>万元，占44.1%；经营支出</w:t>
      </w:r>
      <w:r>
        <w:rPr>
          <w:rFonts w:hint="default" w:ascii="Times New Roman" w:hAnsi="Times New Roman" w:eastAsia="方正仿宋_GBK"/>
          <w:sz w:val="32"/>
          <w:szCs w:val="32"/>
        </w:rPr>
        <w:t>0.00</w:t>
      </w:r>
      <w:r>
        <w:rPr>
          <w:rFonts w:hint="default" w:ascii="Times New Roman" w:hAnsi="Times New Roman" w:eastAsia="方正仿宋_GBK"/>
          <w:sz w:val="32"/>
          <w:szCs w:val="32"/>
          <w:shd w:val="clear" w:color="auto" w:fill="FFFFFF"/>
        </w:rPr>
        <w:t>万元，占0.0%。此外，结余分配</w:t>
      </w:r>
      <w:r>
        <w:rPr>
          <w:rFonts w:hint="default" w:ascii="Times New Roman" w:hAnsi="Times New Roman" w:eastAsia="方正仿宋_GBK"/>
          <w:sz w:val="32"/>
          <w:szCs w:val="32"/>
        </w:rPr>
        <w:t>0.00</w:t>
      </w:r>
      <w:r>
        <w:rPr>
          <w:rFonts w:hint="default" w:ascii="Times New Roman" w:hAnsi="Times New Roman" w:eastAsia="方正仿宋_GBK"/>
          <w:sz w:val="32"/>
          <w:szCs w:val="32"/>
          <w:shd w:val="clear" w:color="auto" w:fill="FFFFFF"/>
        </w:rPr>
        <w:t>万元。</w:t>
      </w:r>
    </w:p>
    <w:p>
      <w:pPr>
        <w:pStyle w:val="5"/>
        <w:snapToGrid w:val="0"/>
        <w:spacing w:before="0" w:beforeAutospacing="0" w:after="0" w:afterAutospacing="0" w:line="600" w:lineRule="exact"/>
        <w:ind w:firstLine="643" w:firstLineChars="200"/>
        <w:jc w:val="both"/>
        <w:rPr>
          <w:rFonts w:hint="default" w:ascii="Times New Roman" w:hAnsi="Times New Roman" w:eastAsia="方正仿宋_GBK"/>
          <w:sz w:val="32"/>
          <w:szCs w:val="32"/>
        </w:rPr>
      </w:pPr>
      <w:r>
        <w:rPr>
          <w:rStyle w:val="8"/>
          <w:rFonts w:hint="default" w:ascii="Times New Roman" w:hAnsi="Times New Roman" w:eastAsia="方正仿宋_GBK"/>
          <w:sz w:val="32"/>
          <w:szCs w:val="32"/>
          <w:shd w:val="clear" w:color="auto" w:fill="FFFFFF"/>
        </w:rPr>
        <w:t>4.结转结余情况。</w:t>
      </w:r>
      <w:r>
        <w:rPr>
          <w:rFonts w:hint="default" w:ascii="Times New Roman" w:hAnsi="Times New Roman" w:eastAsia="方正仿宋_GBK"/>
          <w:sz w:val="32"/>
          <w:szCs w:val="32"/>
          <w:shd w:val="clear" w:color="auto" w:fill="FFFFFF"/>
        </w:rPr>
        <w:t>2024年度年末结转和结余</w:t>
      </w:r>
      <w:r>
        <w:rPr>
          <w:rFonts w:hint="default" w:ascii="Times New Roman" w:hAnsi="Times New Roman" w:eastAsia="方正仿宋_GBK"/>
          <w:sz w:val="32"/>
          <w:szCs w:val="32"/>
        </w:rPr>
        <w:t>75.99</w:t>
      </w:r>
      <w:r>
        <w:rPr>
          <w:rFonts w:hint="default" w:ascii="Times New Roman" w:hAnsi="Times New Roman" w:eastAsia="方正仿宋_GBK"/>
          <w:sz w:val="32"/>
          <w:szCs w:val="32"/>
          <w:shd w:val="clear" w:color="auto" w:fill="FFFFFF"/>
        </w:rPr>
        <w:t>万元，与2023年度相比，无增减，主要原因是2019年抗洪救灾资金结余75.99万元。</w:t>
      </w:r>
    </w:p>
    <w:p>
      <w:pPr>
        <w:pStyle w:val="9"/>
        <w:autoSpaceDE w:val="0"/>
        <w:ind w:firstLine="643"/>
        <w:rPr>
          <w:rFonts w:ascii="Times New Roman" w:hAnsi="Times New Roman" w:eastAsia="楷体"/>
          <w:b/>
          <w:bCs/>
          <w:sz w:val="32"/>
          <w:szCs w:val="32"/>
          <w:shd w:val="clear" w:color="auto" w:fill="FFFFFF"/>
        </w:rPr>
      </w:pPr>
      <w:r>
        <w:rPr>
          <w:rFonts w:ascii="Times New Roman" w:hAnsi="Times New Roman" w:eastAsia="楷体"/>
          <w:b/>
          <w:bCs/>
          <w:sz w:val="32"/>
          <w:szCs w:val="32"/>
          <w:shd w:val="clear" w:color="auto" w:fill="FFFFFF"/>
        </w:rPr>
        <w:t>（二）财政拨款收入支出决算总体情况说明</w:t>
      </w:r>
    </w:p>
    <w:p>
      <w:pPr>
        <w:pStyle w:val="5"/>
        <w:snapToGrid w:val="0"/>
        <w:spacing w:before="0" w:beforeAutospacing="0" w:after="0" w:afterAutospacing="0" w:line="600" w:lineRule="exact"/>
        <w:ind w:firstLine="640" w:firstLineChars="200"/>
        <w:jc w:val="both"/>
        <w:rPr>
          <w:rFonts w:hint="default" w:ascii="Times New Roman" w:hAnsi="Times New Roman" w:eastAsia="方正仿宋_GBK"/>
          <w:sz w:val="32"/>
          <w:szCs w:val="32"/>
        </w:rPr>
      </w:pPr>
      <w:r>
        <w:rPr>
          <w:rFonts w:hint="default" w:ascii="Times New Roman" w:hAnsi="Times New Roman" w:eastAsia="方正仿宋_GBK"/>
          <w:sz w:val="32"/>
          <w:szCs w:val="32"/>
          <w:shd w:val="clear" w:color="auto" w:fill="FFFFFF"/>
        </w:rPr>
        <w:t>2024年度财政拨款收、支总计4144.42万元。与2023年相比，财政拨款收、支总计各减少2913.73万元，下降41.3%。主要原因是基本支出减少173.72万元；项目资金减少2740.01万元，其中基本建设项目减少1651.00万元。</w:t>
      </w:r>
    </w:p>
    <w:p>
      <w:pPr>
        <w:pStyle w:val="9"/>
        <w:autoSpaceDE w:val="0"/>
        <w:ind w:firstLine="643"/>
        <w:rPr>
          <w:rFonts w:ascii="Times New Roman" w:hAnsi="Times New Roman" w:eastAsia="楷体"/>
          <w:b/>
          <w:bCs/>
          <w:sz w:val="32"/>
          <w:szCs w:val="32"/>
          <w:shd w:val="clear" w:color="auto" w:fill="FFFFFF"/>
        </w:rPr>
      </w:pPr>
      <w:r>
        <w:rPr>
          <w:rFonts w:ascii="Times New Roman" w:hAnsi="Times New Roman" w:eastAsia="楷体"/>
          <w:b/>
          <w:bCs/>
          <w:sz w:val="32"/>
          <w:szCs w:val="32"/>
          <w:shd w:val="clear" w:color="auto" w:fill="FFFFFF"/>
        </w:rPr>
        <w:t>（三）一般公共预算财政拨款收入支出决算情况说明</w:t>
      </w:r>
    </w:p>
    <w:p>
      <w:pPr>
        <w:pStyle w:val="5"/>
        <w:snapToGrid w:val="0"/>
        <w:spacing w:before="0" w:beforeAutospacing="0" w:after="0" w:afterAutospacing="0" w:line="600" w:lineRule="exact"/>
        <w:ind w:firstLine="643" w:firstLineChars="200"/>
        <w:jc w:val="both"/>
        <w:rPr>
          <w:rFonts w:hint="default" w:ascii="Times New Roman" w:hAnsi="Times New Roman" w:eastAsia="方正仿宋_GBK"/>
          <w:sz w:val="32"/>
          <w:szCs w:val="32"/>
        </w:rPr>
      </w:pPr>
      <w:r>
        <w:rPr>
          <w:rStyle w:val="8"/>
          <w:rFonts w:hint="default" w:ascii="Times New Roman" w:hAnsi="Times New Roman" w:eastAsia="方正仿宋_GBK"/>
          <w:sz w:val="32"/>
          <w:szCs w:val="32"/>
          <w:shd w:val="clear" w:color="auto" w:fill="FFFFFF"/>
        </w:rPr>
        <w:t>1.收入情况。</w:t>
      </w:r>
      <w:r>
        <w:rPr>
          <w:rFonts w:hint="default" w:ascii="Times New Roman" w:hAnsi="Times New Roman" w:eastAsia="方正仿宋_GBK"/>
          <w:sz w:val="32"/>
          <w:szCs w:val="32"/>
          <w:shd w:val="clear" w:color="auto" w:fill="FFFFFF"/>
        </w:rPr>
        <w:t>2024年度一般公共预算财政拨款收入</w:t>
      </w:r>
      <w:r>
        <w:rPr>
          <w:rFonts w:hint="default" w:ascii="Times New Roman" w:hAnsi="Times New Roman" w:eastAsia="方正仿宋_GBK"/>
          <w:sz w:val="32"/>
          <w:szCs w:val="32"/>
        </w:rPr>
        <w:t>4068.43</w:t>
      </w:r>
      <w:r>
        <w:rPr>
          <w:rFonts w:hint="default" w:ascii="Times New Roman" w:hAnsi="Times New Roman" w:eastAsia="方正仿宋_GBK"/>
          <w:sz w:val="32"/>
          <w:szCs w:val="32"/>
          <w:shd w:val="clear" w:color="auto" w:fill="FFFFFF"/>
        </w:rPr>
        <w:t>万元，与2023年度相比，减少2696.95万元，下降39.9%。主要原因是人员经费减少85.22万元，公用经费88.49万元，项目经费减少2523.23万元。较年初预算数减少46.31万元，下降1.1%。主要原因是基本支出较年初预算减少130.24万元，项目支出较年初预算增加83.93万元。此外，年初财政拨款结转和结余</w:t>
      </w:r>
      <w:r>
        <w:rPr>
          <w:rFonts w:hint="default" w:ascii="Times New Roman" w:hAnsi="Times New Roman" w:eastAsia="方正仿宋_GBK"/>
          <w:sz w:val="32"/>
          <w:szCs w:val="32"/>
        </w:rPr>
        <w:t>75.99</w:t>
      </w:r>
      <w:r>
        <w:rPr>
          <w:rFonts w:hint="default" w:ascii="Times New Roman" w:hAnsi="Times New Roman" w:eastAsia="方正仿宋_GBK"/>
          <w:sz w:val="32"/>
          <w:szCs w:val="32"/>
          <w:shd w:val="clear" w:color="auto" w:fill="FFFFFF"/>
        </w:rPr>
        <w:t>万元。</w:t>
      </w:r>
    </w:p>
    <w:p>
      <w:pPr>
        <w:pStyle w:val="5"/>
        <w:snapToGrid w:val="0"/>
        <w:spacing w:before="0" w:beforeAutospacing="0" w:after="0" w:afterAutospacing="0" w:line="600" w:lineRule="exact"/>
        <w:ind w:firstLine="643" w:firstLineChars="200"/>
        <w:jc w:val="both"/>
        <w:rPr>
          <w:rFonts w:hint="default" w:ascii="Times New Roman" w:hAnsi="Times New Roman" w:eastAsia="方正仿宋_GBK"/>
          <w:sz w:val="32"/>
          <w:szCs w:val="32"/>
        </w:rPr>
      </w:pPr>
      <w:r>
        <w:rPr>
          <w:rStyle w:val="8"/>
          <w:rFonts w:hint="default" w:ascii="Times New Roman" w:hAnsi="Times New Roman" w:eastAsia="方正仿宋_GBK"/>
          <w:sz w:val="32"/>
          <w:szCs w:val="32"/>
          <w:shd w:val="clear" w:color="auto" w:fill="FFFFFF"/>
        </w:rPr>
        <w:t>2.支出情况。</w:t>
      </w:r>
      <w:r>
        <w:rPr>
          <w:rFonts w:hint="default" w:ascii="Times New Roman" w:hAnsi="Times New Roman" w:eastAsia="方正仿宋_GBK"/>
          <w:sz w:val="32"/>
          <w:szCs w:val="32"/>
          <w:shd w:val="clear" w:color="auto" w:fill="FFFFFF"/>
        </w:rPr>
        <w:t>2024年度一般公共预算财政拨款支出</w:t>
      </w:r>
      <w:r>
        <w:rPr>
          <w:rFonts w:hint="default" w:ascii="Times New Roman" w:hAnsi="Times New Roman" w:eastAsia="方正仿宋_GBK"/>
          <w:sz w:val="32"/>
          <w:szCs w:val="32"/>
        </w:rPr>
        <w:t>4068.43</w:t>
      </w:r>
      <w:r>
        <w:rPr>
          <w:rFonts w:hint="default" w:ascii="Times New Roman" w:hAnsi="Times New Roman" w:eastAsia="方正仿宋_GBK"/>
          <w:sz w:val="32"/>
          <w:szCs w:val="32"/>
          <w:shd w:val="clear" w:color="auto" w:fill="FFFFFF"/>
        </w:rPr>
        <w:t>万元，与2023年度相比，减少2696.95万元，下降39.9%。主要原因是基本支出减少173.72万元；项目资金减少2523.23万元，其中基本建设项目减少1651.00万元。较年初预算数减少46.31万元，下降1.1%。主要原因是基本支出较年初预算减少130.24万元，项目支出较年初预算增加83.93万元。</w:t>
      </w:r>
    </w:p>
    <w:p>
      <w:pPr>
        <w:pStyle w:val="5"/>
        <w:snapToGrid w:val="0"/>
        <w:spacing w:before="0" w:beforeAutospacing="0" w:after="0" w:afterAutospacing="0" w:line="600" w:lineRule="exact"/>
        <w:ind w:firstLine="643" w:firstLineChars="200"/>
        <w:jc w:val="both"/>
        <w:rPr>
          <w:rFonts w:hint="default" w:ascii="Times New Roman" w:hAnsi="Times New Roman" w:eastAsia="方正仿宋_GBK"/>
          <w:sz w:val="32"/>
          <w:szCs w:val="32"/>
        </w:rPr>
      </w:pPr>
      <w:r>
        <w:rPr>
          <w:rStyle w:val="8"/>
          <w:rFonts w:hint="default" w:ascii="Times New Roman" w:hAnsi="Times New Roman" w:eastAsia="方正仿宋_GBK"/>
          <w:sz w:val="32"/>
          <w:szCs w:val="32"/>
          <w:shd w:val="clear" w:color="auto" w:fill="FFFFFF"/>
        </w:rPr>
        <w:t>3.结转结余情况。</w:t>
      </w:r>
      <w:r>
        <w:rPr>
          <w:rFonts w:hint="default" w:ascii="Times New Roman" w:hAnsi="Times New Roman" w:eastAsia="方正仿宋_GBK"/>
          <w:sz w:val="32"/>
          <w:szCs w:val="32"/>
          <w:shd w:val="clear" w:color="auto" w:fill="FFFFFF"/>
        </w:rPr>
        <w:t>2024年度年末一般公共预算财政拨款结转和结余</w:t>
      </w:r>
      <w:r>
        <w:rPr>
          <w:rFonts w:hint="default" w:ascii="Times New Roman" w:hAnsi="Times New Roman" w:eastAsia="方正仿宋_GBK"/>
          <w:sz w:val="32"/>
          <w:szCs w:val="32"/>
        </w:rPr>
        <w:t>75.99</w:t>
      </w:r>
      <w:r>
        <w:rPr>
          <w:rFonts w:hint="default" w:ascii="Times New Roman" w:hAnsi="Times New Roman" w:eastAsia="方正仿宋_GBK"/>
          <w:sz w:val="32"/>
          <w:szCs w:val="32"/>
          <w:shd w:val="clear" w:color="auto" w:fill="FFFFFF"/>
        </w:rPr>
        <w:t>万元，与2023年度相比，无增减，主要原因是2019年抗洪救灾资金结余75.99万元。</w:t>
      </w:r>
    </w:p>
    <w:p>
      <w:pPr>
        <w:pStyle w:val="5"/>
        <w:snapToGrid w:val="0"/>
        <w:spacing w:before="0" w:beforeAutospacing="0" w:after="0" w:afterAutospacing="0" w:line="600" w:lineRule="exact"/>
        <w:ind w:firstLine="643" w:firstLineChars="200"/>
        <w:jc w:val="both"/>
        <w:rPr>
          <w:rFonts w:hint="default" w:ascii="Times New Roman" w:hAnsi="Times New Roman" w:eastAsia="方正仿宋_GBK"/>
          <w:color w:val="FF0000"/>
          <w:sz w:val="32"/>
          <w:szCs w:val="32"/>
          <w:highlight w:val="cyan"/>
          <w:shd w:val="clear" w:color="auto" w:fill="FFFFFF"/>
        </w:rPr>
      </w:pPr>
      <w:r>
        <w:rPr>
          <w:rStyle w:val="8"/>
          <w:rFonts w:hint="default" w:ascii="Times New Roman" w:hAnsi="Times New Roman" w:eastAsia="方正仿宋_GBK"/>
          <w:sz w:val="32"/>
          <w:szCs w:val="32"/>
          <w:shd w:val="clear" w:color="auto" w:fill="FFFFFF"/>
        </w:rPr>
        <w:t xml:space="preserve"> 4.比较情况。</w:t>
      </w:r>
      <w:r>
        <w:rPr>
          <w:rFonts w:hint="default" w:ascii="Times New Roman" w:hAnsi="Times New Roman" w:eastAsia="方正仿宋_GBK"/>
          <w:sz w:val="32"/>
          <w:szCs w:val="32"/>
          <w:shd w:val="clear" w:color="auto" w:fill="FFFFFF"/>
        </w:rPr>
        <w:t>本部门2024年度一般公共预算财政拨款支出主要用于以下几个方面：</w:t>
      </w:r>
    </w:p>
    <w:p>
      <w:pPr>
        <w:pStyle w:val="5"/>
        <w:snapToGrid w:val="0"/>
        <w:spacing w:before="0" w:beforeAutospacing="0" w:after="0" w:afterAutospacing="0" w:line="600" w:lineRule="exact"/>
        <w:ind w:firstLine="640" w:firstLineChars="200"/>
        <w:jc w:val="both"/>
        <w:rPr>
          <w:rFonts w:hint="default" w:ascii="Times New Roman" w:hAnsi="Times New Roman" w:eastAsia="方正仿宋_GBK"/>
          <w:sz w:val="32"/>
          <w:szCs w:val="32"/>
        </w:rPr>
      </w:pPr>
      <w:r>
        <w:rPr>
          <w:rFonts w:hint="default" w:ascii="Times New Roman" w:hAnsi="Times New Roman" w:eastAsia="方正仿宋_GBK"/>
          <w:sz w:val="32"/>
          <w:szCs w:val="32"/>
          <w:shd w:val="clear" w:color="auto" w:fill="FFFFFF"/>
        </w:rPr>
        <w:t>（1）一般公共服务支出</w:t>
      </w:r>
      <w:r>
        <w:rPr>
          <w:rFonts w:hint="default" w:ascii="Times New Roman" w:hAnsi="Times New Roman" w:eastAsia="方正仿宋_GBK"/>
          <w:sz w:val="32"/>
          <w:szCs w:val="32"/>
        </w:rPr>
        <w:t>1101.10</w:t>
      </w:r>
      <w:r>
        <w:rPr>
          <w:rFonts w:hint="default" w:ascii="Times New Roman" w:hAnsi="Times New Roman" w:eastAsia="方正仿宋_GBK"/>
          <w:sz w:val="32"/>
          <w:szCs w:val="32"/>
          <w:shd w:val="clear" w:color="auto" w:fill="FFFFFF"/>
        </w:rPr>
        <w:t>万元，占</w:t>
      </w:r>
      <w:r>
        <w:rPr>
          <w:rFonts w:hint="default" w:ascii="Times New Roman" w:hAnsi="Times New Roman" w:eastAsia="方正仿宋_GBK"/>
          <w:sz w:val="32"/>
          <w:szCs w:val="32"/>
        </w:rPr>
        <w:t>27.</w:t>
      </w:r>
      <w:r>
        <w:rPr>
          <w:rFonts w:ascii="Times New Roman" w:hAnsi="Times New Roman" w:eastAsia="方正仿宋_GBK"/>
          <w:sz w:val="32"/>
          <w:szCs w:val="32"/>
        </w:rPr>
        <w:t>1</w:t>
      </w:r>
      <w:r>
        <w:rPr>
          <w:rFonts w:hint="default" w:ascii="Times New Roman" w:hAnsi="Times New Roman" w:eastAsia="方正仿宋_GBK"/>
          <w:sz w:val="32"/>
          <w:szCs w:val="32"/>
          <w:shd w:val="clear" w:color="auto" w:fill="FFFFFF"/>
        </w:rPr>
        <w:t>%，较年初预算数减少89.63万元，下降7.5%，主要原因是政府办公厅（室）及相关机构事务支出减少82.51万元，群众团体事务支出减少10.56万元，人大事务支出减少5.00万元，统战事务支出减少0.95万元，纪检监察事务支出减少0.63万元；党委办公厅（室）及相关机构事务支出增加10.02万元。</w:t>
      </w:r>
    </w:p>
    <w:p>
      <w:pPr>
        <w:pStyle w:val="5"/>
        <w:snapToGrid w:val="0"/>
        <w:spacing w:before="0" w:beforeAutospacing="0" w:after="0" w:afterAutospacing="0" w:line="600" w:lineRule="exact"/>
        <w:ind w:firstLine="640" w:firstLineChars="200"/>
        <w:jc w:val="both"/>
        <w:rPr>
          <w:rFonts w:hint="default" w:ascii="Times New Roman" w:hAnsi="Times New Roman" w:eastAsia="方正仿宋_GBK"/>
          <w:sz w:val="32"/>
          <w:szCs w:val="32"/>
          <w:shd w:val="clear" w:color="auto" w:fill="FFFFFF"/>
        </w:rPr>
      </w:pPr>
      <w:r>
        <w:rPr>
          <w:rFonts w:hint="default" w:ascii="Times New Roman" w:hAnsi="Times New Roman" w:eastAsia="方正仿宋_GBK"/>
          <w:sz w:val="32"/>
          <w:szCs w:val="32"/>
          <w:shd w:val="clear" w:color="auto" w:fill="FFFFFF"/>
        </w:rPr>
        <w:t>（2）国防支出4.51万元，占0.1%，较年初预算数减少2.49万元，下降35.6%，主要原因是本年度较上年减少了秋季征兵相关费用支出。</w:t>
      </w:r>
    </w:p>
    <w:p>
      <w:pPr>
        <w:pStyle w:val="5"/>
        <w:snapToGrid w:val="0"/>
        <w:spacing w:before="0" w:beforeAutospacing="0" w:after="0" w:afterAutospacing="0" w:line="600" w:lineRule="exact"/>
        <w:ind w:firstLine="640" w:firstLineChars="200"/>
        <w:jc w:val="both"/>
        <w:rPr>
          <w:rFonts w:hint="default" w:ascii="Times New Roman" w:hAnsi="Times New Roman" w:eastAsia="方正仿宋_GBK"/>
          <w:sz w:val="32"/>
          <w:szCs w:val="32"/>
          <w:shd w:val="clear" w:color="auto" w:fill="FFFFFF"/>
        </w:rPr>
      </w:pPr>
      <w:r>
        <w:rPr>
          <w:rFonts w:hint="default" w:ascii="Times New Roman" w:hAnsi="Times New Roman" w:eastAsia="方正仿宋_GBK"/>
          <w:sz w:val="32"/>
          <w:szCs w:val="32"/>
          <w:shd w:val="clear" w:color="auto" w:fill="FFFFFF"/>
        </w:rPr>
        <w:t>（3）文化旅游体育与传媒支出</w:t>
      </w:r>
      <w:r>
        <w:rPr>
          <w:rFonts w:hint="default" w:ascii="Times New Roman" w:hAnsi="Times New Roman" w:eastAsia="方正仿宋_GBK"/>
          <w:sz w:val="32"/>
          <w:szCs w:val="32"/>
        </w:rPr>
        <w:t>61.89</w:t>
      </w:r>
      <w:r>
        <w:rPr>
          <w:rFonts w:hint="default" w:ascii="Times New Roman" w:hAnsi="Times New Roman" w:eastAsia="方正仿宋_GBK"/>
          <w:sz w:val="32"/>
          <w:szCs w:val="32"/>
          <w:shd w:val="clear" w:color="auto" w:fill="FFFFFF"/>
        </w:rPr>
        <w:t>万元，占</w:t>
      </w:r>
      <w:r>
        <w:rPr>
          <w:rFonts w:hint="default" w:ascii="Times New Roman" w:hAnsi="Times New Roman" w:eastAsia="方正仿宋_GBK"/>
          <w:sz w:val="32"/>
          <w:szCs w:val="32"/>
        </w:rPr>
        <w:t>1.5</w:t>
      </w:r>
      <w:r>
        <w:rPr>
          <w:rFonts w:hint="default" w:ascii="Times New Roman" w:hAnsi="Times New Roman" w:eastAsia="方正仿宋_GBK"/>
          <w:sz w:val="32"/>
          <w:szCs w:val="32"/>
          <w:shd w:val="clear" w:color="auto" w:fill="FFFFFF"/>
        </w:rPr>
        <w:t>%，较年初预算数减少9.77万元，下降13.6%，主要原因是贯彻中央八项规定精神，节约经费支出。</w:t>
      </w:r>
    </w:p>
    <w:p>
      <w:pPr>
        <w:pStyle w:val="5"/>
        <w:snapToGrid w:val="0"/>
        <w:spacing w:before="0" w:beforeAutospacing="0" w:after="0" w:afterAutospacing="0" w:line="600" w:lineRule="exact"/>
        <w:ind w:firstLine="640" w:firstLineChars="200"/>
        <w:jc w:val="both"/>
        <w:rPr>
          <w:rFonts w:hint="default" w:ascii="Times New Roman" w:hAnsi="Times New Roman" w:eastAsia="方正仿宋_GBK"/>
          <w:sz w:val="32"/>
          <w:szCs w:val="32"/>
          <w:shd w:val="clear" w:color="auto" w:fill="FFFFFF"/>
        </w:rPr>
      </w:pPr>
      <w:r>
        <w:rPr>
          <w:rFonts w:hint="default" w:ascii="Times New Roman" w:hAnsi="Times New Roman" w:eastAsia="方正仿宋_GBK"/>
          <w:sz w:val="32"/>
          <w:szCs w:val="32"/>
          <w:shd w:val="clear" w:color="auto" w:fill="FFFFFF"/>
        </w:rPr>
        <w:t>（4）社会保障与就业支出667.26万元，占16.4%，较年初预算数增加19.72万元，增长3.1%，主要原因是行政事业单位养老支出增加31.36万元，残疾人事业支出增加6.40万元；人力资源和社会保障管理事务支出减少11.38万元，其他社会保障和就业支出减少4.2万元，临时救助支出减少1.95万元，退役军人管理事务支出减少了0.52万元。</w:t>
      </w:r>
    </w:p>
    <w:p>
      <w:pPr>
        <w:pStyle w:val="5"/>
        <w:snapToGrid w:val="0"/>
        <w:spacing w:before="0" w:beforeAutospacing="0" w:after="0" w:afterAutospacing="0" w:line="600" w:lineRule="exact"/>
        <w:ind w:firstLine="640" w:firstLineChars="200"/>
        <w:jc w:val="both"/>
        <w:rPr>
          <w:rFonts w:hint="default" w:ascii="Times New Roman" w:hAnsi="Times New Roman" w:eastAsia="方正仿宋_GBK"/>
          <w:sz w:val="32"/>
          <w:szCs w:val="32"/>
          <w:shd w:val="clear" w:color="auto" w:fill="FFFFFF"/>
        </w:rPr>
      </w:pPr>
      <w:r>
        <w:rPr>
          <w:rFonts w:hint="default" w:ascii="Times New Roman" w:hAnsi="Times New Roman" w:eastAsia="方正仿宋_GBK"/>
          <w:sz w:val="32"/>
          <w:szCs w:val="32"/>
          <w:shd w:val="clear" w:color="auto" w:fill="FFFFFF"/>
        </w:rPr>
        <w:t>（5）卫生健康支出100.24万元，占2.</w:t>
      </w:r>
      <w:r>
        <w:rPr>
          <w:rFonts w:ascii="Times New Roman" w:hAnsi="Times New Roman" w:eastAsia="方正仿宋_GBK"/>
          <w:sz w:val="32"/>
          <w:szCs w:val="32"/>
          <w:shd w:val="clear" w:color="auto" w:fill="FFFFFF"/>
        </w:rPr>
        <w:t>5</w:t>
      </w:r>
      <w:r>
        <w:rPr>
          <w:rFonts w:hint="default" w:ascii="Times New Roman" w:hAnsi="Times New Roman" w:eastAsia="方正仿宋_GBK"/>
          <w:sz w:val="32"/>
          <w:szCs w:val="32"/>
          <w:shd w:val="clear" w:color="auto" w:fill="FFFFFF"/>
        </w:rPr>
        <w:t>%，较年初预算数减少21.54万元，下降17.7%，主要原因是行政事业单位医疗支出减少21.23万元，计划生育事务支出减少0.31万元。</w:t>
      </w:r>
    </w:p>
    <w:p>
      <w:pPr>
        <w:pStyle w:val="5"/>
        <w:snapToGrid w:val="0"/>
        <w:spacing w:before="0" w:beforeAutospacing="0" w:after="0" w:afterAutospacing="0" w:line="600" w:lineRule="exact"/>
        <w:ind w:firstLine="640" w:firstLineChars="200"/>
        <w:jc w:val="both"/>
        <w:rPr>
          <w:rFonts w:hint="default" w:ascii="Times New Roman" w:hAnsi="Times New Roman" w:eastAsia="方正仿宋_GBK"/>
          <w:sz w:val="32"/>
          <w:szCs w:val="32"/>
          <w:shd w:val="clear" w:color="auto" w:fill="FFFFFF"/>
        </w:rPr>
      </w:pPr>
      <w:r>
        <w:rPr>
          <w:rFonts w:hint="default" w:ascii="Times New Roman" w:hAnsi="Times New Roman" w:eastAsia="方正仿宋_GBK"/>
          <w:sz w:val="32"/>
          <w:szCs w:val="32"/>
          <w:shd w:val="clear" w:color="auto" w:fill="FFFFFF"/>
        </w:rPr>
        <w:t>（6）节能环保支出45.56万元，占1.1%，较年初预算数增加32.56万元，增长250.5%，主要原因是本年度将部分市政环卫人员工资纳入环保工作经费项目进行发放，故环保工作经费项目支出增加4</w:t>
      </w:r>
      <w:r>
        <w:rPr>
          <w:rFonts w:ascii="Times New Roman" w:hAnsi="Times New Roman" w:eastAsia="方正仿宋_GBK"/>
          <w:sz w:val="32"/>
          <w:szCs w:val="32"/>
          <w:shd w:val="clear" w:color="auto" w:fill="FFFFFF"/>
        </w:rPr>
        <w:t>2</w:t>
      </w:r>
      <w:r>
        <w:rPr>
          <w:rFonts w:hint="default" w:ascii="Times New Roman" w:hAnsi="Times New Roman" w:eastAsia="方正仿宋_GBK"/>
          <w:sz w:val="32"/>
          <w:szCs w:val="32"/>
          <w:shd w:val="clear" w:color="auto" w:fill="FFFFFF"/>
        </w:rPr>
        <w:t>.05万元，河长制工作经费较年初预算减少9.49万元。</w:t>
      </w:r>
    </w:p>
    <w:p>
      <w:pPr>
        <w:pStyle w:val="5"/>
        <w:snapToGrid w:val="0"/>
        <w:spacing w:before="0" w:beforeAutospacing="0" w:after="0" w:afterAutospacing="0" w:line="600" w:lineRule="exact"/>
        <w:ind w:firstLine="640" w:firstLineChars="200"/>
        <w:jc w:val="both"/>
        <w:rPr>
          <w:rFonts w:hint="default" w:ascii="Times New Roman" w:hAnsi="Times New Roman" w:eastAsia="方正仿宋_GBK"/>
          <w:sz w:val="32"/>
          <w:szCs w:val="32"/>
          <w:shd w:val="clear" w:color="auto" w:fill="FFFFFF"/>
        </w:rPr>
      </w:pPr>
      <w:r>
        <w:rPr>
          <w:rFonts w:hint="default" w:ascii="Times New Roman" w:hAnsi="Times New Roman" w:eastAsia="方正仿宋_GBK"/>
          <w:sz w:val="32"/>
          <w:szCs w:val="32"/>
          <w:shd w:val="clear" w:color="auto" w:fill="FFFFFF"/>
        </w:rPr>
        <w:t>（7）城乡社区支出374.21万元，占9.2%，较年初预算数增加31.92万元，增长9.3%，主要原因是城乡社区管理事务支出增加175.59万元，城乡社区环境卫生支出减少37.67万元，其他城乡社区支出减少106.00万元。</w:t>
      </w:r>
    </w:p>
    <w:p>
      <w:pPr>
        <w:pStyle w:val="5"/>
        <w:snapToGrid w:val="0"/>
        <w:spacing w:before="0" w:beforeAutospacing="0" w:after="0" w:afterAutospacing="0" w:line="600" w:lineRule="exact"/>
        <w:ind w:firstLine="640" w:firstLineChars="200"/>
        <w:jc w:val="both"/>
        <w:rPr>
          <w:rFonts w:hint="default" w:ascii="Times New Roman" w:hAnsi="Times New Roman" w:eastAsia="方正仿宋_GBK"/>
          <w:color w:val="FF0000"/>
          <w:sz w:val="32"/>
          <w:szCs w:val="32"/>
          <w:shd w:val="clear" w:color="auto" w:fill="FFFFFF"/>
        </w:rPr>
      </w:pPr>
      <w:r>
        <w:rPr>
          <w:rFonts w:hint="default" w:ascii="Times New Roman" w:hAnsi="Times New Roman" w:eastAsia="方正仿宋_GBK"/>
          <w:sz w:val="32"/>
          <w:szCs w:val="32"/>
          <w:shd w:val="clear" w:color="auto" w:fill="FFFFFF"/>
        </w:rPr>
        <w:t>（8）农林水支出</w:t>
      </w:r>
      <w:r>
        <w:rPr>
          <w:rFonts w:hint="default" w:ascii="Times New Roman" w:hAnsi="Times New Roman" w:eastAsia="方正仿宋_GBK"/>
          <w:sz w:val="32"/>
          <w:szCs w:val="32"/>
        </w:rPr>
        <w:t>1447.69</w:t>
      </w:r>
      <w:r>
        <w:rPr>
          <w:rFonts w:hint="default" w:ascii="Times New Roman" w:hAnsi="Times New Roman" w:eastAsia="方正仿宋_GBK"/>
          <w:sz w:val="32"/>
          <w:szCs w:val="32"/>
          <w:shd w:val="clear" w:color="auto" w:fill="FFFFFF"/>
        </w:rPr>
        <w:t>万元，占</w:t>
      </w:r>
      <w:r>
        <w:rPr>
          <w:rFonts w:hint="default" w:ascii="Times New Roman" w:hAnsi="Times New Roman" w:eastAsia="方正仿宋_GBK"/>
          <w:sz w:val="32"/>
          <w:szCs w:val="32"/>
        </w:rPr>
        <w:t>35.</w:t>
      </w:r>
      <w:r>
        <w:rPr>
          <w:rFonts w:ascii="Times New Roman" w:hAnsi="Times New Roman" w:eastAsia="方正仿宋_GBK"/>
          <w:sz w:val="32"/>
          <w:szCs w:val="32"/>
        </w:rPr>
        <w:t>6</w:t>
      </w:r>
      <w:r>
        <w:rPr>
          <w:rFonts w:hint="default" w:ascii="Times New Roman" w:hAnsi="Times New Roman" w:eastAsia="方正仿宋_GBK"/>
          <w:sz w:val="32"/>
          <w:szCs w:val="32"/>
          <w:shd w:val="clear" w:color="auto" w:fill="FFFFFF"/>
        </w:rPr>
        <w:t>%，较年初预算数减少28.14万元，下降1.9%，主要原因是脱贫攻坚成果衔接乡村振兴支出减少43.62万元，农业农村支出减少39.63万元；农村综合改革支出增加了43.85万元，林业和草原支出增加11.25万元。</w:t>
      </w:r>
    </w:p>
    <w:p>
      <w:pPr>
        <w:pStyle w:val="5"/>
        <w:snapToGrid w:val="0"/>
        <w:spacing w:before="0" w:beforeAutospacing="0" w:after="0" w:afterAutospacing="0" w:line="600" w:lineRule="exact"/>
        <w:ind w:firstLine="640" w:firstLineChars="200"/>
        <w:jc w:val="both"/>
        <w:rPr>
          <w:rFonts w:hint="default" w:ascii="Times New Roman" w:hAnsi="Times New Roman" w:eastAsia="方正仿宋_GBK"/>
          <w:sz w:val="32"/>
          <w:szCs w:val="32"/>
        </w:rPr>
      </w:pPr>
      <w:r>
        <w:rPr>
          <w:rFonts w:hint="default" w:ascii="Times New Roman" w:hAnsi="Times New Roman" w:eastAsia="方正仿宋_GBK"/>
          <w:sz w:val="32"/>
          <w:szCs w:val="32"/>
          <w:shd w:val="clear" w:color="auto" w:fill="FFFFFF"/>
        </w:rPr>
        <w:t>（9）交通运输支出</w:t>
      </w:r>
      <w:r>
        <w:rPr>
          <w:rFonts w:hint="default" w:ascii="Times New Roman" w:hAnsi="Times New Roman" w:eastAsia="方正仿宋_GBK"/>
          <w:sz w:val="32"/>
          <w:szCs w:val="32"/>
        </w:rPr>
        <w:t>98.33</w:t>
      </w:r>
      <w:r>
        <w:rPr>
          <w:rFonts w:hint="default" w:ascii="Times New Roman" w:hAnsi="Times New Roman" w:eastAsia="方正仿宋_GBK"/>
          <w:sz w:val="32"/>
          <w:szCs w:val="32"/>
          <w:shd w:val="clear" w:color="auto" w:fill="FFFFFF"/>
        </w:rPr>
        <w:t>万元，占</w:t>
      </w:r>
      <w:r>
        <w:rPr>
          <w:rFonts w:hint="default" w:ascii="Times New Roman" w:hAnsi="Times New Roman" w:eastAsia="方正仿宋_GBK"/>
          <w:sz w:val="32"/>
          <w:szCs w:val="32"/>
        </w:rPr>
        <w:t>2.4</w:t>
      </w:r>
      <w:r>
        <w:rPr>
          <w:rFonts w:hint="default" w:ascii="Times New Roman" w:hAnsi="Times New Roman" w:eastAsia="方正仿宋_GBK"/>
          <w:sz w:val="32"/>
          <w:szCs w:val="32"/>
          <w:shd w:val="clear" w:color="auto" w:fill="FFFFFF"/>
        </w:rPr>
        <w:t>%，较年初预算数增加18.23万元，增长22.8%，主要原因是“四好农村路”建设支出增加92.10万元，乡村道路养护支出减少73.87万元。</w:t>
      </w:r>
    </w:p>
    <w:p>
      <w:pPr>
        <w:spacing w:line="594" w:lineRule="exact"/>
        <w:ind w:firstLine="709"/>
        <w:rPr>
          <w:rFonts w:hint="default" w:ascii="Times New Roman" w:hAnsi="Times New Roman" w:eastAsia="方正仿宋_GBK"/>
          <w:sz w:val="32"/>
          <w:szCs w:val="32"/>
        </w:rPr>
      </w:pPr>
      <w:r>
        <w:rPr>
          <w:rFonts w:hint="default" w:ascii="Times New Roman" w:hAnsi="Times New Roman" w:eastAsia="方正仿宋_GBK"/>
          <w:sz w:val="32"/>
          <w:szCs w:val="32"/>
          <w:shd w:val="clear" w:color="auto" w:fill="FFFFFF"/>
        </w:rPr>
        <w:t>（10）</w:t>
      </w:r>
      <w:r>
        <w:rPr>
          <w:rFonts w:hint="default" w:ascii="Times New Roman" w:hAnsi="Times New Roman" w:eastAsia="方正仿宋_GBK"/>
          <w:sz w:val="32"/>
          <w:szCs w:val="32"/>
        </w:rPr>
        <w:t>住房保障支出106.70</w:t>
      </w:r>
      <w:r>
        <w:rPr>
          <w:rFonts w:hint="default" w:ascii="Times New Roman" w:hAnsi="Times New Roman" w:eastAsia="方正仿宋_GBK"/>
          <w:sz w:val="32"/>
          <w:szCs w:val="32"/>
          <w:shd w:val="clear" w:color="auto" w:fill="FFFFFF"/>
        </w:rPr>
        <w:t>万元，</w:t>
      </w:r>
      <w:r>
        <w:rPr>
          <w:rFonts w:hint="default" w:ascii="Times New Roman" w:hAnsi="Times New Roman" w:eastAsia="方正仿宋_GBK"/>
          <w:sz w:val="32"/>
          <w:szCs w:val="32"/>
        </w:rPr>
        <w:t>占2.6%，较年初预算数减少3.70万元，下降3.4%，主要原因是本年度事业单位人员变动，新进3人，退休5人。</w:t>
      </w:r>
    </w:p>
    <w:p>
      <w:pPr>
        <w:ind w:firstLine="640" w:firstLineChars="200"/>
        <w:rPr>
          <w:rFonts w:hint="default" w:ascii="Times New Roman" w:hAnsi="Times New Roman" w:eastAsia="方正仿宋_GBK"/>
          <w:sz w:val="32"/>
          <w:szCs w:val="32"/>
          <w:shd w:val="clear" w:color="auto" w:fill="FFFFFF"/>
        </w:rPr>
      </w:pPr>
      <w:r>
        <w:rPr>
          <w:rFonts w:hint="default" w:ascii="Times New Roman" w:hAnsi="Times New Roman" w:eastAsia="方正仿宋_GBK"/>
          <w:sz w:val="32"/>
          <w:szCs w:val="32"/>
          <w:shd w:val="clear" w:color="auto" w:fill="FFFFFF"/>
        </w:rPr>
        <w:t>（11）</w:t>
      </w:r>
      <w:r>
        <w:rPr>
          <w:rFonts w:hint="default" w:ascii="Times New Roman" w:hAnsi="Times New Roman" w:eastAsia="方正仿宋_GBK"/>
          <w:sz w:val="32"/>
          <w:szCs w:val="32"/>
        </w:rPr>
        <w:t>灾害防治及应急管理支出60.96</w:t>
      </w:r>
      <w:r>
        <w:rPr>
          <w:rFonts w:hint="default" w:ascii="Times New Roman" w:hAnsi="Times New Roman" w:eastAsia="方正仿宋_GBK"/>
          <w:sz w:val="32"/>
          <w:szCs w:val="32"/>
          <w:shd w:val="clear" w:color="auto" w:fill="FFFFFF"/>
        </w:rPr>
        <w:t>万元，占</w:t>
      </w:r>
      <w:r>
        <w:rPr>
          <w:rFonts w:hint="default" w:ascii="Times New Roman" w:hAnsi="Times New Roman" w:eastAsia="方正仿宋_GBK"/>
          <w:sz w:val="32"/>
          <w:szCs w:val="32"/>
        </w:rPr>
        <w:t>1.5</w:t>
      </w:r>
      <w:r>
        <w:rPr>
          <w:rFonts w:hint="default" w:ascii="Times New Roman" w:hAnsi="Times New Roman" w:eastAsia="方正仿宋_GBK"/>
          <w:sz w:val="32"/>
          <w:szCs w:val="32"/>
          <w:shd w:val="clear" w:color="auto" w:fill="FFFFFF"/>
        </w:rPr>
        <w:t>%，较年初预算数增加6.56万元，增长12.1%，主要原因是抗旱防汛专项资金支出增加49.99万元；应急工作经费减少32.50万元，森林防火经费支出减少10.00万元，临聘消防人员经费减少0.94万元。</w:t>
      </w:r>
    </w:p>
    <w:p>
      <w:pPr>
        <w:pStyle w:val="9"/>
        <w:autoSpaceDE w:val="0"/>
        <w:ind w:firstLine="643"/>
        <w:rPr>
          <w:rFonts w:ascii="Times New Roman" w:hAnsi="Times New Roman" w:eastAsia="楷体"/>
          <w:b/>
          <w:bCs/>
          <w:sz w:val="32"/>
          <w:szCs w:val="32"/>
          <w:shd w:val="clear" w:color="auto" w:fill="FFFFFF"/>
        </w:rPr>
      </w:pPr>
      <w:r>
        <w:rPr>
          <w:rFonts w:ascii="Times New Roman" w:hAnsi="Times New Roman" w:eastAsia="楷体"/>
          <w:b/>
          <w:bCs/>
          <w:sz w:val="32"/>
          <w:szCs w:val="32"/>
          <w:shd w:val="clear" w:color="auto" w:fill="FFFFFF"/>
        </w:rPr>
        <w:t>（四）一般公共预算财政拨款基本支出决算情况说明</w:t>
      </w:r>
    </w:p>
    <w:p>
      <w:pPr>
        <w:pStyle w:val="5"/>
        <w:snapToGrid w:val="0"/>
        <w:spacing w:before="0" w:beforeAutospacing="0" w:after="0" w:afterAutospacing="0" w:line="600" w:lineRule="exact"/>
        <w:ind w:firstLine="640" w:firstLineChars="200"/>
        <w:jc w:val="both"/>
        <w:rPr>
          <w:rFonts w:hint="default" w:ascii="Times New Roman" w:hAnsi="Times New Roman" w:eastAsia="方正仿宋_GBK"/>
          <w:sz w:val="32"/>
          <w:szCs w:val="32"/>
        </w:rPr>
      </w:pPr>
      <w:r>
        <w:rPr>
          <w:rFonts w:hint="default" w:ascii="Times New Roman" w:hAnsi="Times New Roman" w:eastAsia="方正仿宋_GBK"/>
          <w:sz w:val="32"/>
          <w:szCs w:val="32"/>
          <w:shd w:val="clear" w:color="auto" w:fill="FFFFFF"/>
        </w:rPr>
        <w:t> 2024年度一般公共财政拨款基本支出</w:t>
      </w:r>
      <w:r>
        <w:rPr>
          <w:rFonts w:hint="default" w:ascii="Times New Roman" w:hAnsi="Times New Roman" w:eastAsia="方正仿宋_GBK"/>
          <w:sz w:val="32"/>
          <w:szCs w:val="32"/>
        </w:rPr>
        <w:t>2272.72</w:t>
      </w:r>
      <w:r>
        <w:rPr>
          <w:rFonts w:hint="default" w:ascii="Times New Roman" w:hAnsi="Times New Roman" w:eastAsia="方正仿宋_GBK"/>
          <w:sz w:val="32"/>
          <w:szCs w:val="32"/>
          <w:shd w:val="clear" w:color="auto" w:fill="FFFFFF"/>
        </w:rPr>
        <w:t>万元。其中：人员经费</w:t>
      </w:r>
      <w:r>
        <w:rPr>
          <w:rFonts w:hint="default" w:ascii="Times New Roman" w:hAnsi="Times New Roman" w:eastAsia="方正仿宋_GBK"/>
          <w:sz w:val="32"/>
          <w:szCs w:val="32"/>
        </w:rPr>
        <w:t>1895.86</w:t>
      </w:r>
      <w:r>
        <w:rPr>
          <w:rFonts w:hint="default" w:ascii="Times New Roman" w:hAnsi="Times New Roman" w:eastAsia="方正仿宋_GBK"/>
          <w:sz w:val="32"/>
          <w:szCs w:val="32"/>
          <w:shd w:val="clear" w:color="auto" w:fill="FFFFFF"/>
        </w:rPr>
        <w:t>万元，与2023年度相比，减少85.22万元，下降4.3%，</w:t>
      </w:r>
      <w:r>
        <w:rPr>
          <w:rFonts w:hint="default" w:ascii="Times New Roman" w:hAnsi="Times New Roman" w:eastAsia="方正仿宋_GBK"/>
          <w:sz w:val="32"/>
          <w:szCs w:val="32"/>
        </w:rPr>
        <w:t>主要原因是工资福利支出较上年减少75.38万元，对家庭和个人补助较上年减少9.84万元。人员经费用途主要包括基本工资、津贴补贴、奖金、绩效工资、社会保障缴费及其他工资福利支出等。公用经费376.87万元，与2023年度相比，减少88.49万元，下降19.0%，主要原因是严格执行中央八项规定，减少公用经费支出。公用经费用途主要包括办公费、公务车运行维护费、委托业务费、邮电费、办公用房水电费、差旅费、劳务费、维修（维护）费、工会经费等。</w:t>
      </w:r>
    </w:p>
    <w:p>
      <w:pPr>
        <w:pStyle w:val="9"/>
        <w:autoSpaceDE w:val="0"/>
        <w:ind w:firstLine="643"/>
        <w:rPr>
          <w:rFonts w:ascii="Times New Roman" w:hAnsi="Times New Roman" w:eastAsia="楷体"/>
          <w:b/>
          <w:bCs/>
          <w:sz w:val="32"/>
          <w:szCs w:val="32"/>
          <w:shd w:val="clear" w:color="auto" w:fill="FFFFFF"/>
        </w:rPr>
      </w:pPr>
      <w:r>
        <w:rPr>
          <w:rFonts w:ascii="Times New Roman" w:hAnsi="Times New Roman" w:eastAsia="楷体"/>
          <w:b/>
          <w:bCs/>
          <w:sz w:val="32"/>
          <w:szCs w:val="32"/>
          <w:shd w:val="clear" w:color="auto" w:fill="FFFFFF"/>
        </w:rPr>
        <w:t>（五）政府性基金预算收支决算情况说明</w:t>
      </w:r>
    </w:p>
    <w:p>
      <w:pPr>
        <w:pStyle w:val="5"/>
        <w:snapToGrid w:val="0"/>
        <w:spacing w:before="0" w:beforeAutospacing="0" w:after="0" w:afterAutospacing="0" w:line="600" w:lineRule="exact"/>
        <w:ind w:firstLine="640" w:firstLineChars="200"/>
        <w:jc w:val="both"/>
        <w:rPr>
          <w:rFonts w:hint="default" w:ascii="Times New Roman" w:hAnsi="Times New Roman" w:eastAsia="方正仿宋_GBK"/>
          <w:sz w:val="32"/>
          <w:szCs w:val="32"/>
        </w:rPr>
      </w:pPr>
      <w:r>
        <w:rPr>
          <w:rFonts w:hint="default" w:ascii="Times New Roman" w:hAnsi="Times New Roman" w:eastAsia="方正仿宋_GBK"/>
          <w:sz w:val="32"/>
          <w:szCs w:val="32"/>
        </w:rPr>
        <w:t>本部门2024年度无政府性基金预算财政拨款收支。</w:t>
      </w:r>
    </w:p>
    <w:p>
      <w:pPr>
        <w:pStyle w:val="9"/>
        <w:autoSpaceDE w:val="0"/>
        <w:ind w:firstLine="643"/>
        <w:rPr>
          <w:rFonts w:ascii="Times New Roman" w:hAnsi="Times New Roman" w:eastAsia="楷体"/>
          <w:b/>
          <w:bCs/>
          <w:sz w:val="32"/>
          <w:szCs w:val="32"/>
          <w:shd w:val="clear" w:color="auto" w:fill="FFFFFF"/>
        </w:rPr>
      </w:pPr>
      <w:r>
        <w:rPr>
          <w:rFonts w:ascii="Times New Roman" w:hAnsi="Times New Roman" w:eastAsia="楷体"/>
          <w:b/>
          <w:bCs/>
          <w:sz w:val="32"/>
          <w:szCs w:val="32"/>
          <w:shd w:val="clear" w:color="auto" w:fill="FFFFFF"/>
        </w:rPr>
        <w:t>（六）国有资本经营预算财政拨款支出决算情况说明</w:t>
      </w:r>
    </w:p>
    <w:p>
      <w:pPr>
        <w:pStyle w:val="5"/>
        <w:snapToGrid w:val="0"/>
        <w:spacing w:before="0" w:beforeAutospacing="0" w:after="0" w:afterAutospacing="0" w:line="600" w:lineRule="exact"/>
        <w:ind w:firstLine="640" w:firstLineChars="200"/>
        <w:jc w:val="both"/>
        <w:rPr>
          <w:rFonts w:hint="default" w:ascii="Times New Roman" w:hAnsi="Times New Roman" w:eastAsia="方正仿宋_GBK"/>
          <w:sz w:val="32"/>
          <w:szCs w:val="32"/>
        </w:rPr>
      </w:pPr>
      <w:r>
        <w:rPr>
          <w:rFonts w:hint="default" w:ascii="Times New Roman" w:hAnsi="Times New Roman" w:eastAsia="方正仿宋_GBK"/>
          <w:sz w:val="32"/>
          <w:szCs w:val="32"/>
        </w:rPr>
        <w:t>本部门2024年度无国有资本经营预算财政拨款支出。</w:t>
      </w:r>
    </w:p>
    <w:p>
      <w:pPr>
        <w:pStyle w:val="5"/>
        <w:shd w:val="clear" w:color="auto" w:fill="FFFFFF"/>
        <w:spacing w:before="0" w:beforeAutospacing="0" w:after="0" w:afterAutospacing="0" w:line="596" w:lineRule="exact"/>
        <w:ind w:firstLine="643" w:firstLineChars="200"/>
        <w:rPr>
          <w:rStyle w:val="8"/>
          <w:rFonts w:hint="default" w:ascii="Times New Roman" w:hAnsi="Times New Roman" w:eastAsia="黑体"/>
          <w:sz w:val="32"/>
          <w:szCs w:val="32"/>
          <w:shd w:val="clear" w:color="auto" w:fill="FFFFFF"/>
        </w:rPr>
      </w:pPr>
      <w:r>
        <w:rPr>
          <w:rStyle w:val="8"/>
          <w:rFonts w:hint="default" w:ascii="Times New Roman" w:hAnsi="Times New Roman" w:eastAsia="黑体"/>
          <w:sz w:val="32"/>
          <w:szCs w:val="32"/>
          <w:shd w:val="clear" w:color="auto" w:fill="FFFFFF"/>
        </w:rPr>
        <w:t>三、财政拨款“三公”经费情况说明</w:t>
      </w:r>
    </w:p>
    <w:p>
      <w:pPr>
        <w:pStyle w:val="9"/>
        <w:autoSpaceDE w:val="0"/>
        <w:ind w:firstLine="643"/>
        <w:rPr>
          <w:rFonts w:ascii="Times New Roman" w:hAnsi="Times New Roman" w:eastAsia="楷体"/>
          <w:b/>
          <w:bCs/>
          <w:sz w:val="32"/>
          <w:szCs w:val="32"/>
          <w:shd w:val="clear" w:color="auto" w:fill="FFFFFF"/>
        </w:rPr>
      </w:pPr>
      <w:r>
        <w:rPr>
          <w:rFonts w:ascii="Times New Roman" w:hAnsi="Times New Roman" w:eastAsia="楷体"/>
          <w:b/>
          <w:bCs/>
          <w:sz w:val="32"/>
          <w:szCs w:val="32"/>
          <w:shd w:val="clear" w:color="auto" w:fill="FFFFFF"/>
        </w:rPr>
        <w:t>（一）“三公”经费支出总体情况说明</w:t>
      </w:r>
    </w:p>
    <w:p>
      <w:pPr>
        <w:pStyle w:val="5"/>
        <w:snapToGrid w:val="0"/>
        <w:spacing w:before="0" w:beforeAutospacing="0" w:after="0" w:afterAutospacing="0" w:line="600" w:lineRule="exact"/>
        <w:ind w:firstLine="640" w:firstLineChars="200"/>
        <w:jc w:val="both"/>
        <w:rPr>
          <w:rFonts w:hint="default" w:ascii="Times New Roman" w:hAnsi="Times New Roman" w:eastAsia="方正仿宋_GBK"/>
          <w:sz w:val="32"/>
          <w:szCs w:val="32"/>
          <w:shd w:val="clear" w:color="auto" w:fill="FFFFFF"/>
        </w:rPr>
      </w:pPr>
      <w:r>
        <w:rPr>
          <w:rFonts w:hint="default" w:ascii="Times New Roman" w:hAnsi="Times New Roman" w:eastAsia="方正仿宋_GBK"/>
          <w:sz w:val="32"/>
          <w:szCs w:val="32"/>
          <w:shd w:val="clear" w:color="auto" w:fill="FFFFFF"/>
        </w:rPr>
        <w:t>2024年度“三公”经费支出共计</w:t>
      </w:r>
      <w:r>
        <w:rPr>
          <w:rFonts w:hint="default" w:ascii="Times New Roman" w:hAnsi="Times New Roman" w:eastAsia="方正仿宋_GBK"/>
          <w:sz w:val="32"/>
          <w:szCs w:val="32"/>
        </w:rPr>
        <w:t>7.92</w:t>
      </w:r>
      <w:r>
        <w:rPr>
          <w:rFonts w:hint="default" w:ascii="Times New Roman" w:hAnsi="Times New Roman" w:eastAsia="方正仿宋_GBK"/>
          <w:sz w:val="32"/>
          <w:szCs w:val="32"/>
          <w:shd w:val="clear" w:color="auto" w:fill="FFFFFF"/>
        </w:rPr>
        <w:t>万元，较年初预算数减少11.68万元，下降59.6%，主要原因是认真贯彻落实中央八项规定精神，按照只减不增的要求从严控制“三公”经费预算。较上年支出数增加0.04万元，增长0.5%，主要原因是车辆老化，维修费用增加，故车辆运行维护费用总体增加0.04万元。其中主要是维修费用2.64万元比上年2.58万元增加0.06万元。</w:t>
      </w:r>
    </w:p>
    <w:p>
      <w:pPr>
        <w:pStyle w:val="9"/>
        <w:autoSpaceDE w:val="0"/>
        <w:ind w:firstLine="643"/>
        <w:rPr>
          <w:rFonts w:ascii="Times New Roman" w:hAnsi="Times New Roman" w:eastAsia="楷体"/>
          <w:b/>
          <w:bCs/>
          <w:sz w:val="32"/>
          <w:szCs w:val="32"/>
          <w:shd w:val="clear" w:color="auto" w:fill="FFFFFF"/>
        </w:rPr>
      </w:pPr>
      <w:r>
        <w:rPr>
          <w:rFonts w:ascii="Times New Roman" w:hAnsi="Times New Roman" w:eastAsia="楷体"/>
          <w:b/>
          <w:bCs/>
          <w:sz w:val="32"/>
          <w:szCs w:val="32"/>
          <w:shd w:val="clear" w:color="auto" w:fill="FFFFFF"/>
        </w:rPr>
        <w:t>（二）“三公”经费分项支出情况</w:t>
      </w:r>
    </w:p>
    <w:p>
      <w:pPr>
        <w:pStyle w:val="5"/>
        <w:snapToGrid w:val="0"/>
        <w:spacing w:before="0" w:beforeAutospacing="0" w:after="0" w:afterAutospacing="0" w:line="600" w:lineRule="exact"/>
        <w:ind w:firstLine="640" w:firstLineChars="200"/>
        <w:jc w:val="both"/>
        <w:rPr>
          <w:rFonts w:hint="default" w:ascii="Times New Roman" w:hAnsi="Times New Roman" w:eastAsia="方正仿宋_GBK"/>
          <w:sz w:val="32"/>
          <w:szCs w:val="32"/>
        </w:rPr>
      </w:pPr>
      <w:r>
        <w:rPr>
          <w:rFonts w:hint="default" w:ascii="Times New Roman" w:hAnsi="Times New Roman" w:eastAsia="方正仿宋_GBK"/>
          <w:sz w:val="32"/>
          <w:szCs w:val="32"/>
          <w:shd w:val="clear" w:color="auto" w:fill="FFFFFF"/>
        </w:rPr>
        <w:t>2024年度本部门因公出国（境）费用</w:t>
      </w:r>
      <w:r>
        <w:rPr>
          <w:rFonts w:hint="default" w:ascii="Times New Roman" w:hAnsi="Times New Roman" w:eastAsia="方正仿宋_GBK"/>
          <w:sz w:val="32"/>
          <w:szCs w:val="32"/>
        </w:rPr>
        <w:t>0.00</w:t>
      </w:r>
      <w:r>
        <w:rPr>
          <w:rFonts w:hint="default" w:ascii="Times New Roman" w:hAnsi="Times New Roman" w:eastAsia="方正仿宋_GBK"/>
          <w:sz w:val="32"/>
          <w:szCs w:val="32"/>
          <w:shd w:val="clear" w:color="auto" w:fill="FFFFFF"/>
        </w:rPr>
        <w:t>万元，主要是用于</w:t>
      </w:r>
      <w:r>
        <w:rPr>
          <w:rFonts w:ascii="方正仿宋_GBK" w:hAnsi="方正仿宋_GBK" w:eastAsia="方正仿宋_GBK" w:cs="方正仿宋_GBK"/>
          <w:sz w:val="32"/>
          <w:szCs w:val="32"/>
          <w:shd w:val="clear" w:color="auto" w:fill="FFFFFF"/>
        </w:rPr>
        <w:t>部门人员因公出国（境）开展工作。</w:t>
      </w:r>
      <w:r>
        <w:rPr>
          <w:rFonts w:hint="default" w:ascii="Times New Roman" w:hAnsi="Times New Roman" w:eastAsia="方正仿宋_GBK"/>
          <w:sz w:val="32"/>
          <w:szCs w:val="32"/>
          <w:shd w:val="clear" w:color="auto" w:fill="FFFFFF"/>
        </w:rPr>
        <w:t>费用支出较年初预算数无增减，主要原因是</w:t>
      </w:r>
      <w:r>
        <w:rPr>
          <w:rFonts w:hint="default" w:ascii="Times New Roman" w:hAnsi="Times New Roman" w:eastAsia="方正仿宋_GBK"/>
          <w:sz w:val="32"/>
          <w:szCs w:val="32"/>
        </w:rPr>
        <w:t>年初在预算经费时严格落实经费管理规定，未安排人员出国活动</w:t>
      </w:r>
      <w:r>
        <w:rPr>
          <w:rFonts w:hint="default" w:ascii="Times New Roman" w:hAnsi="Times New Roman" w:eastAsia="方正仿宋_GBK"/>
          <w:sz w:val="32"/>
        </w:rPr>
        <w:t>。</w:t>
      </w:r>
      <w:r>
        <w:rPr>
          <w:rFonts w:hint="default" w:ascii="Times New Roman" w:hAnsi="Times New Roman" w:eastAsia="方正仿宋_GBK"/>
          <w:sz w:val="32"/>
          <w:szCs w:val="32"/>
          <w:shd w:val="clear" w:color="auto" w:fill="FFFFFF"/>
        </w:rPr>
        <w:t>与2023年度相比，无增减，主要原因是</w:t>
      </w:r>
      <w:r>
        <w:rPr>
          <w:rFonts w:hint="default" w:ascii="Times New Roman" w:hAnsi="Times New Roman" w:eastAsia="方正仿宋_GBK"/>
          <w:sz w:val="32"/>
          <w:szCs w:val="32"/>
        </w:rPr>
        <w:t>本部门上年和本年均未安排人员出国</w:t>
      </w:r>
      <w:r>
        <w:rPr>
          <w:rFonts w:hint="default" w:ascii="Times New Roman" w:hAnsi="Times New Roman" w:eastAsia="方正仿宋_GBK"/>
          <w:sz w:val="32"/>
        </w:rPr>
        <w:t>。</w:t>
      </w:r>
    </w:p>
    <w:p>
      <w:pPr>
        <w:pStyle w:val="5"/>
        <w:snapToGrid w:val="0"/>
        <w:spacing w:before="0" w:beforeAutospacing="0" w:after="0" w:afterAutospacing="0" w:line="600" w:lineRule="exact"/>
        <w:ind w:firstLine="640" w:firstLineChars="200"/>
        <w:jc w:val="both"/>
        <w:rPr>
          <w:rFonts w:hint="default" w:ascii="Times New Roman" w:hAnsi="Times New Roman" w:eastAsia="方正仿宋_GBK"/>
          <w:sz w:val="32"/>
          <w:szCs w:val="32"/>
        </w:rPr>
      </w:pPr>
      <w:r>
        <w:rPr>
          <w:rFonts w:hint="default" w:ascii="Times New Roman" w:hAnsi="Times New Roman" w:eastAsia="方正仿宋_GBK"/>
          <w:sz w:val="32"/>
          <w:szCs w:val="32"/>
          <w:shd w:val="clear" w:color="auto" w:fill="FFFFFF"/>
        </w:rPr>
        <w:t> 公务车购置费</w:t>
      </w:r>
      <w:r>
        <w:rPr>
          <w:rFonts w:hint="default" w:ascii="Times New Roman" w:hAnsi="Times New Roman" w:eastAsia="方正仿宋_GBK"/>
          <w:sz w:val="32"/>
          <w:szCs w:val="32"/>
        </w:rPr>
        <w:t>0.00</w:t>
      </w:r>
      <w:r>
        <w:rPr>
          <w:rFonts w:hint="default" w:ascii="Times New Roman" w:hAnsi="Times New Roman" w:eastAsia="方正仿宋_GBK"/>
          <w:sz w:val="32"/>
          <w:szCs w:val="32"/>
          <w:shd w:val="clear" w:color="auto" w:fill="FFFFFF"/>
        </w:rPr>
        <w:t>万元，主要用于</w:t>
      </w:r>
      <w:r>
        <w:rPr>
          <w:rFonts w:hint="default" w:ascii="Times New Roman" w:hAnsi="Times New Roman" w:eastAsia="方正仿宋_GBK"/>
          <w:sz w:val="32"/>
          <w:szCs w:val="32"/>
        </w:rPr>
        <w:t>购买执法用车、监测车</w:t>
      </w:r>
      <w:r>
        <w:rPr>
          <w:rFonts w:hint="default" w:ascii="Times New Roman" w:hAnsi="Times New Roman" w:eastAsia="方正仿宋_GBK"/>
          <w:sz w:val="32"/>
          <w:szCs w:val="32"/>
          <w:shd w:val="clear" w:color="auto" w:fill="FFFFFF"/>
        </w:rPr>
        <w:t>。费用支出较年初预算数无增减，主要原因是本年度无公务车购置需求。与2023年度相比，无增减，主要原因是</w:t>
      </w:r>
      <w:r>
        <w:rPr>
          <w:rFonts w:hint="default" w:ascii="Times New Roman" w:hAnsi="Times New Roman" w:eastAsia="方正仿宋_GBK"/>
          <w:sz w:val="32"/>
          <w:szCs w:val="32"/>
        </w:rPr>
        <w:t>近两年均未购置公务车</w:t>
      </w:r>
      <w:r>
        <w:rPr>
          <w:rFonts w:hint="default" w:ascii="Times New Roman" w:hAnsi="Times New Roman" w:eastAsia="方正仿宋_GBK"/>
          <w:sz w:val="32"/>
          <w:szCs w:val="32"/>
          <w:shd w:val="clear" w:color="auto" w:fill="FFFFFF"/>
        </w:rPr>
        <w:t>。</w:t>
      </w:r>
    </w:p>
    <w:p>
      <w:pPr>
        <w:pStyle w:val="5"/>
        <w:snapToGrid w:val="0"/>
        <w:spacing w:before="0" w:beforeAutospacing="0" w:after="0" w:afterAutospacing="0" w:line="600" w:lineRule="exact"/>
        <w:ind w:firstLine="640" w:firstLineChars="200"/>
        <w:jc w:val="both"/>
        <w:rPr>
          <w:rFonts w:hint="default" w:ascii="Times New Roman" w:hAnsi="Times New Roman" w:eastAsia="方正仿宋_GBK"/>
          <w:sz w:val="32"/>
          <w:szCs w:val="32"/>
        </w:rPr>
      </w:pPr>
      <w:r>
        <w:rPr>
          <w:rFonts w:hint="default" w:ascii="Times New Roman" w:hAnsi="Times New Roman" w:eastAsia="方正仿宋_GBK"/>
          <w:sz w:val="32"/>
          <w:szCs w:val="32"/>
          <w:shd w:val="clear" w:color="auto" w:fill="FFFFFF"/>
        </w:rPr>
        <w:t> 公务车运行维护费</w:t>
      </w:r>
      <w:r>
        <w:rPr>
          <w:rFonts w:hint="default" w:ascii="Times New Roman" w:hAnsi="Times New Roman" w:eastAsia="方正仿宋_GBK"/>
          <w:sz w:val="32"/>
          <w:szCs w:val="32"/>
        </w:rPr>
        <w:t>7.92</w:t>
      </w:r>
      <w:r>
        <w:rPr>
          <w:rFonts w:hint="default" w:ascii="Times New Roman" w:hAnsi="Times New Roman" w:eastAsia="方正仿宋_GBK"/>
          <w:sz w:val="32"/>
          <w:szCs w:val="32"/>
          <w:shd w:val="clear" w:color="auto" w:fill="FFFFFF"/>
        </w:rPr>
        <w:t>万元，主要用于机要文件交换、市内因公出行、上级部门工作检查等工作所需车辆的燃料费、维修费、过桥过路费、保险费等。</w:t>
      </w:r>
      <w:r>
        <w:rPr>
          <w:rFonts w:hint="default" w:ascii="Times New Roman" w:hAnsi="Times New Roman" w:eastAsia="方正仿宋_GBK"/>
          <w:sz w:val="32"/>
          <w:szCs w:val="32"/>
        </w:rPr>
        <w:t>费用支出较年初预算数减少11.68万元，下降59.6%，主要原因是严格落实公车使用规定，严禁公车私用，合理调度，节约了费用。较上年支出数增加0.04万元，增长0.5%，主要原因是车辆老化，维修费用增加，故车辆运行维护费用总体增加0.04万元。其中主要是维修费用2.64万元比上年2.58万元增加0.06万元。</w:t>
      </w:r>
    </w:p>
    <w:p>
      <w:pPr>
        <w:pStyle w:val="5"/>
        <w:snapToGrid w:val="0"/>
        <w:spacing w:before="0" w:beforeAutospacing="0" w:after="0" w:afterAutospacing="0" w:line="600" w:lineRule="exact"/>
        <w:ind w:firstLine="640" w:firstLineChars="200"/>
        <w:jc w:val="both"/>
        <w:rPr>
          <w:rFonts w:hint="default" w:ascii="Times New Roman" w:hAnsi="Times New Roman" w:eastAsia="方正仿宋_GBK"/>
          <w:sz w:val="32"/>
          <w:szCs w:val="32"/>
        </w:rPr>
      </w:pPr>
      <w:r>
        <w:rPr>
          <w:rFonts w:hint="default" w:ascii="Times New Roman" w:hAnsi="Times New Roman"/>
          <w:sz w:val="32"/>
          <w:szCs w:val="32"/>
          <w:shd w:val="clear" w:color="auto" w:fill="FFFFFF"/>
        </w:rPr>
        <w:t> </w:t>
      </w:r>
      <w:r>
        <w:rPr>
          <w:rFonts w:hint="default" w:ascii="Times New Roman" w:hAnsi="Times New Roman" w:eastAsia="方正仿宋_GBK"/>
          <w:sz w:val="32"/>
          <w:szCs w:val="32"/>
          <w:shd w:val="clear" w:color="auto" w:fill="FFFFFF"/>
        </w:rPr>
        <w:t>公务接待费</w:t>
      </w:r>
      <w:r>
        <w:rPr>
          <w:rFonts w:hint="default" w:ascii="Times New Roman" w:hAnsi="Times New Roman" w:eastAsia="方正仿宋_GBK"/>
          <w:sz w:val="32"/>
          <w:szCs w:val="32"/>
        </w:rPr>
        <w:t>0.00</w:t>
      </w:r>
      <w:r>
        <w:rPr>
          <w:rFonts w:hint="default" w:ascii="Times New Roman" w:hAnsi="Times New Roman" w:eastAsia="方正仿宋_GBK"/>
          <w:sz w:val="32"/>
          <w:szCs w:val="32"/>
          <w:shd w:val="clear" w:color="auto" w:fill="FFFFFF"/>
        </w:rPr>
        <w:t>万元，主要用于接待</w:t>
      </w:r>
      <w:r>
        <w:rPr>
          <w:rFonts w:hint="default" w:ascii="Times New Roman" w:hAnsi="Times New Roman" w:eastAsia="方正仿宋_GBK"/>
          <w:sz w:val="32"/>
          <w:szCs w:val="32"/>
        </w:rPr>
        <w:t>相关部门检查指导工作发生的支出。</w:t>
      </w:r>
      <w:r>
        <w:rPr>
          <w:rFonts w:hint="default" w:ascii="Times New Roman" w:hAnsi="Times New Roman" w:eastAsia="方正仿宋_GBK"/>
          <w:sz w:val="32"/>
          <w:szCs w:val="32"/>
          <w:shd w:val="clear" w:color="auto" w:fill="FFFFFF"/>
        </w:rPr>
        <w:t>费用支出较年初预算数无增减，主要原因是认真贯彻落实中央八项规定精神，按照只减不增的要求从严控制“三公”经费。较上年支出数无增减，主要原因是认真贯彻落实中央八项规定精神，按照只减不增的要求从严控制“三公”经费。</w:t>
      </w:r>
    </w:p>
    <w:p>
      <w:pPr>
        <w:pStyle w:val="9"/>
        <w:autoSpaceDE w:val="0"/>
        <w:ind w:firstLine="643"/>
        <w:rPr>
          <w:rFonts w:ascii="Times New Roman" w:hAnsi="Times New Roman" w:eastAsia="楷体"/>
          <w:b/>
          <w:bCs/>
          <w:sz w:val="32"/>
          <w:szCs w:val="32"/>
          <w:shd w:val="clear" w:color="auto" w:fill="FFFFFF"/>
        </w:rPr>
      </w:pPr>
      <w:r>
        <w:rPr>
          <w:rFonts w:ascii="Times New Roman" w:hAnsi="Times New Roman" w:eastAsia="楷体"/>
          <w:b/>
          <w:bCs/>
          <w:sz w:val="32"/>
          <w:szCs w:val="32"/>
          <w:shd w:val="clear" w:color="auto" w:fill="FFFFFF"/>
        </w:rPr>
        <w:t>（三）“三公”经费实物量情况</w:t>
      </w:r>
    </w:p>
    <w:p>
      <w:pPr>
        <w:pStyle w:val="5"/>
        <w:snapToGrid w:val="0"/>
        <w:spacing w:before="0" w:beforeAutospacing="0" w:after="0" w:afterAutospacing="0" w:line="600" w:lineRule="exact"/>
        <w:ind w:firstLine="640" w:firstLineChars="200"/>
        <w:jc w:val="both"/>
        <w:rPr>
          <w:rFonts w:hint="default" w:ascii="Times New Roman" w:hAnsi="Times New Roman" w:eastAsia="方正仿宋_GBK"/>
          <w:sz w:val="32"/>
          <w:szCs w:val="32"/>
        </w:rPr>
      </w:pPr>
      <w:r>
        <w:rPr>
          <w:rFonts w:hint="default" w:ascii="Times New Roman" w:hAnsi="Times New Roman" w:eastAsia="方正仿宋_GBK"/>
          <w:sz w:val="32"/>
          <w:szCs w:val="32"/>
          <w:shd w:val="clear" w:color="auto" w:fill="FFFFFF"/>
        </w:rPr>
        <w:t>  2024年度本部门因公出国（境）共计</w:t>
      </w:r>
      <w:r>
        <w:rPr>
          <w:rFonts w:hint="default" w:ascii="Times New Roman" w:hAnsi="Times New Roman" w:eastAsia="方正仿宋_GBK"/>
          <w:sz w:val="32"/>
          <w:szCs w:val="32"/>
        </w:rPr>
        <w:t>0</w:t>
      </w:r>
      <w:r>
        <w:rPr>
          <w:rFonts w:hint="default" w:ascii="Times New Roman" w:hAnsi="Times New Roman" w:eastAsia="方正仿宋_GBK"/>
          <w:sz w:val="32"/>
          <w:szCs w:val="32"/>
          <w:shd w:val="clear" w:color="auto" w:fill="FFFFFF"/>
        </w:rPr>
        <w:t>个团组，</w:t>
      </w:r>
      <w:r>
        <w:rPr>
          <w:rFonts w:hint="default" w:ascii="Times New Roman" w:hAnsi="Times New Roman" w:eastAsia="方正仿宋_GBK"/>
          <w:sz w:val="32"/>
          <w:szCs w:val="32"/>
        </w:rPr>
        <w:t>0</w:t>
      </w:r>
      <w:r>
        <w:rPr>
          <w:rFonts w:hint="default" w:ascii="Times New Roman" w:hAnsi="Times New Roman" w:eastAsia="方正仿宋_GBK"/>
          <w:sz w:val="32"/>
          <w:szCs w:val="32"/>
          <w:shd w:val="clear" w:color="auto" w:fill="FFFFFF"/>
        </w:rPr>
        <w:t>人；公务用车购置</w:t>
      </w:r>
      <w:r>
        <w:rPr>
          <w:rFonts w:hint="default" w:ascii="Times New Roman" w:hAnsi="Times New Roman" w:eastAsia="方正仿宋_GBK"/>
          <w:sz w:val="32"/>
          <w:szCs w:val="32"/>
        </w:rPr>
        <w:t>0</w:t>
      </w:r>
      <w:r>
        <w:rPr>
          <w:rFonts w:hint="default" w:ascii="Times New Roman" w:hAnsi="Times New Roman" w:eastAsia="方正仿宋_GBK"/>
          <w:sz w:val="32"/>
          <w:szCs w:val="32"/>
          <w:shd w:val="clear" w:color="auto" w:fill="FFFFFF"/>
        </w:rPr>
        <w:t>辆，公务车保有量为</w:t>
      </w:r>
      <w:r>
        <w:rPr>
          <w:rFonts w:hint="default" w:ascii="Times New Roman" w:hAnsi="Times New Roman" w:eastAsia="方正仿宋_GBK"/>
          <w:sz w:val="32"/>
          <w:szCs w:val="32"/>
        </w:rPr>
        <w:t>12</w:t>
      </w:r>
      <w:r>
        <w:rPr>
          <w:rFonts w:hint="default" w:ascii="Times New Roman" w:hAnsi="Times New Roman" w:eastAsia="方正仿宋_GBK"/>
          <w:sz w:val="32"/>
          <w:szCs w:val="32"/>
          <w:shd w:val="clear" w:color="auto" w:fill="FFFFFF"/>
        </w:rPr>
        <w:t>辆；国内公务接待</w:t>
      </w:r>
      <w:r>
        <w:rPr>
          <w:rFonts w:hint="default" w:ascii="Times New Roman" w:hAnsi="Times New Roman" w:eastAsia="方正仿宋_GBK"/>
          <w:sz w:val="32"/>
          <w:szCs w:val="32"/>
        </w:rPr>
        <w:t>0</w:t>
      </w:r>
      <w:r>
        <w:rPr>
          <w:rFonts w:hint="default" w:ascii="Times New Roman" w:hAnsi="Times New Roman" w:eastAsia="方正仿宋_GBK"/>
          <w:sz w:val="32"/>
          <w:szCs w:val="32"/>
          <w:shd w:val="clear" w:color="auto" w:fill="FFFFFF"/>
        </w:rPr>
        <w:t>批次</w:t>
      </w:r>
      <w:r>
        <w:rPr>
          <w:rFonts w:hint="default" w:ascii="Times New Roman" w:hAnsi="Times New Roman" w:eastAsia="方正仿宋_GBK"/>
          <w:sz w:val="32"/>
          <w:szCs w:val="32"/>
        </w:rPr>
        <w:t>0</w:t>
      </w:r>
      <w:r>
        <w:rPr>
          <w:rFonts w:hint="default" w:ascii="Times New Roman" w:hAnsi="Times New Roman" w:eastAsia="方正仿宋_GBK"/>
          <w:sz w:val="32"/>
          <w:szCs w:val="32"/>
          <w:shd w:val="clear" w:color="auto" w:fill="FFFFFF"/>
        </w:rPr>
        <w:t>人，其中：国内外事接待</w:t>
      </w:r>
      <w:r>
        <w:rPr>
          <w:rFonts w:hint="default" w:ascii="Times New Roman" w:hAnsi="Times New Roman" w:eastAsia="方正仿宋_GBK"/>
          <w:sz w:val="32"/>
          <w:szCs w:val="32"/>
        </w:rPr>
        <w:t>0</w:t>
      </w:r>
      <w:r>
        <w:rPr>
          <w:rFonts w:hint="default" w:ascii="Times New Roman" w:hAnsi="Times New Roman" w:eastAsia="方正仿宋_GBK"/>
          <w:sz w:val="32"/>
          <w:szCs w:val="32"/>
          <w:shd w:val="clear" w:color="auto" w:fill="FFFFFF"/>
        </w:rPr>
        <w:t>批次，</w:t>
      </w:r>
      <w:r>
        <w:rPr>
          <w:rFonts w:hint="default" w:ascii="Times New Roman" w:hAnsi="Times New Roman" w:eastAsia="方正仿宋_GBK"/>
          <w:sz w:val="32"/>
          <w:szCs w:val="32"/>
        </w:rPr>
        <w:t>0</w:t>
      </w:r>
      <w:r>
        <w:rPr>
          <w:rFonts w:hint="default" w:ascii="Times New Roman" w:hAnsi="Times New Roman" w:eastAsia="方正仿宋_GBK"/>
          <w:sz w:val="32"/>
          <w:szCs w:val="32"/>
          <w:shd w:val="clear" w:color="auto" w:fill="FFFFFF"/>
        </w:rPr>
        <w:t>人；国（境）外公务接待</w:t>
      </w:r>
      <w:r>
        <w:rPr>
          <w:rFonts w:hint="default" w:ascii="Times New Roman" w:hAnsi="Times New Roman" w:eastAsia="方正仿宋_GBK"/>
          <w:sz w:val="32"/>
          <w:szCs w:val="32"/>
        </w:rPr>
        <w:t>0</w:t>
      </w:r>
      <w:r>
        <w:rPr>
          <w:rFonts w:hint="default" w:ascii="Times New Roman" w:hAnsi="Times New Roman" w:eastAsia="方正仿宋_GBK"/>
          <w:sz w:val="32"/>
          <w:szCs w:val="32"/>
          <w:shd w:val="clear" w:color="auto" w:fill="FFFFFF"/>
        </w:rPr>
        <w:t>批次，</w:t>
      </w:r>
      <w:r>
        <w:rPr>
          <w:rFonts w:hint="default" w:ascii="Times New Roman" w:hAnsi="Times New Roman" w:eastAsia="方正仿宋_GBK"/>
          <w:sz w:val="32"/>
          <w:szCs w:val="32"/>
        </w:rPr>
        <w:t>0</w:t>
      </w:r>
      <w:r>
        <w:rPr>
          <w:rFonts w:hint="default" w:ascii="Times New Roman" w:hAnsi="Times New Roman" w:eastAsia="方正仿宋_GBK"/>
          <w:sz w:val="32"/>
          <w:szCs w:val="32"/>
          <w:shd w:val="clear" w:color="auto" w:fill="FFFFFF"/>
        </w:rPr>
        <w:t>人。2024年本部门人均接待费</w:t>
      </w:r>
      <w:r>
        <w:rPr>
          <w:rFonts w:hint="default" w:ascii="Times New Roman" w:hAnsi="Times New Roman" w:eastAsia="方正仿宋_GBK"/>
          <w:sz w:val="32"/>
          <w:szCs w:val="32"/>
        </w:rPr>
        <w:t>0</w:t>
      </w:r>
      <w:r>
        <w:rPr>
          <w:rFonts w:hint="default" w:ascii="Times New Roman" w:hAnsi="Times New Roman" w:eastAsia="方正仿宋_GBK"/>
          <w:sz w:val="32"/>
          <w:szCs w:val="32"/>
          <w:shd w:val="clear" w:color="auto" w:fill="FFFFFF"/>
        </w:rPr>
        <w:t>元，车均购置费</w:t>
      </w:r>
      <w:r>
        <w:rPr>
          <w:rFonts w:hint="default" w:ascii="Times New Roman" w:hAnsi="Times New Roman" w:eastAsia="方正仿宋_GBK"/>
          <w:sz w:val="32"/>
          <w:szCs w:val="32"/>
        </w:rPr>
        <w:t>0</w:t>
      </w:r>
      <w:r>
        <w:rPr>
          <w:rFonts w:hint="default" w:ascii="Times New Roman" w:hAnsi="Times New Roman" w:eastAsia="方正仿宋_GBK"/>
          <w:sz w:val="32"/>
          <w:szCs w:val="32"/>
          <w:shd w:val="clear" w:color="auto" w:fill="FFFFFF"/>
        </w:rPr>
        <w:t>万元，车均维护费</w:t>
      </w:r>
      <w:r>
        <w:rPr>
          <w:rFonts w:hint="default" w:ascii="Times New Roman" w:hAnsi="Times New Roman" w:eastAsia="方正仿宋_GBK"/>
          <w:sz w:val="32"/>
          <w:szCs w:val="32"/>
        </w:rPr>
        <w:t>0.66</w:t>
      </w:r>
      <w:r>
        <w:rPr>
          <w:rFonts w:hint="default" w:ascii="Times New Roman" w:hAnsi="Times New Roman" w:eastAsia="方正仿宋_GBK"/>
          <w:sz w:val="32"/>
          <w:szCs w:val="32"/>
          <w:shd w:val="clear" w:color="auto" w:fill="FFFFFF"/>
        </w:rPr>
        <w:t>万元。</w:t>
      </w:r>
    </w:p>
    <w:p>
      <w:pPr>
        <w:pStyle w:val="5"/>
        <w:shd w:val="clear" w:color="auto" w:fill="FFFFFF"/>
        <w:spacing w:before="0" w:beforeAutospacing="0" w:after="0" w:afterAutospacing="0" w:line="596" w:lineRule="exact"/>
        <w:ind w:firstLine="643" w:firstLineChars="200"/>
        <w:rPr>
          <w:rStyle w:val="8"/>
          <w:rFonts w:hint="default" w:ascii="Times New Roman" w:hAnsi="Times New Roman" w:eastAsia="黑体"/>
          <w:sz w:val="32"/>
          <w:szCs w:val="32"/>
          <w:shd w:val="clear" w:color="auto" w:fill="FFFFFF"/>
        </w:rPr>
      </w:pPr>
      <w:r>
        <w:rPr>
          <w:rStyle w:val="8"/>
          <w:rFonts w:hint="default" w:ascii="Times New Roman" w:hAnsi="Times New Roman" w:eastAsia="黑体"/>
          <w:sz w:val="32"/>
          <w:szCs w:val="32"/>
          <w:shd w:val="clear" w:color="auto" w:fill="FFFFFF"/>
        </w:rPr>
        <w:t>四、其他需要说明的事项</w:t>
      </w:r>
    </w:p>
    <w:p>
      <w:pPr>
        <w:pStyle w:val="9"/>
        <w:autoSpaceDE w:val="0"/>
        <w:ind w:firstLine="643"/>
        <w:rPr>
          <w:rFonts w:ascii="Times New Roman" w:hAnsi="Times New Roman" w:eastAsia="楷体"/>
          <w:b/>
          <w:bCs/>
          <w:sz w:val="32"/>
          <w:szCs w:val="32"/>
          <w:shd w:val="clear" w:color="auto" w:fill="FFFFFF"/>
        </w:rPr>
      </w:pPr>
      <w:r>
        <w:rPr>
          <w:rFonts w:ascii="Times New Roman" w:hAnsi="Times New Roman" w:eastAsia="楷体"/>
          <w:b/>
          <w:bCs/>
          <w:sz w:val="32"/>
          <w:szCs w:val="32"/>
          <w:shd w:val="clear" w:color="auto" w:fill="FFFFFF"/>
        </w:rPr>
        <w:t>  （一）财政拨款会议费和培训费情况说明</w:t>
      </w:r>
    </w:p>
    <w:p>
      <w:pPr>
        <w:pStyle w:val="5"/>
        <w:snapToGrid w:val="0"/>
        <w:spacing w:before="0" w:beforeAutospacing="0" w:after="0" w:afterAutospacing="0" w:line="600" w:lineRule="exact"/>
        <w:ind w:firstLine="640" w:firstLineChars="200"/>
        <w:jc w:val="both"/>
        <w:rPr>
          <w:rFonts w:hint="default" w:ascii="Times New Roman" w:hAnsi="Times New Roman" w:eastAsia="方正仿宋_GBK"/>
          <w:sz w:val="32"/>
          <w:szCs w:val="32"/>
        </w:rPr>
      </w:pPr>
      <w:r>
        <w:rPr>
          <w:rFonts w:hint="default" w:ascii="Times New Roman" w:hAnsi="Times New Roman" w:eastAsia="方正仿宋_GBK"/>
          <w:sz w:val="32"/>
          <w:szCs w:val="32"/>
          <w:shd w:val="clear" w:color="auto" w:fill="FFFFFF"/>
        </w:rPr>
        <w:t>本年度会议费支出</w:t>
      </w:r>
      <w:r>
        <w:rPr>
          <w:rFonts w:hint="default" w:ascii="Times New Roman" w:hAnsi="Times New Roman" w:eastAsia="方正仿宋_GBK"/>
          <w:sz w:val="32"/>
          <w:szCs w:val="32"/>
        </w:rPr>
        <w:t>0.00</w:t>
      </w:r>
      <w:r>
        <w:rPr>
          <w:rFonts w:hint="default" w:ascii="Times New Roman" w:hAnsi="Times New Roman" w:eastAsia="方正仿宋_GBK"/>
          <w:sz w:val="32"/>
          <w:szCs w:val="32"/>
          <w:shd w:val="clear" w:color="auto" w:fill="FFFFFF"/>
        </w:rPr>
        <w:t>万元，与2023年度相比，无增减，主要原因是本年及上年均未产生会议费。本年度培训费支出</w:t>
      </w:r>
      <w:r>
        <w:rPr>
          <w:rFonts w:hint="default" w:ascii="Times New Roman" w:hAnsi="Times New Roman" w:eastAsia="方正仿宋_GBK"/>
          <w:sz w:val="32"/>
          <w:szCs w:val="32"/>
        </w:rPr>
        <w:t>1.10</w:t>
      </w:r>
      <w:r>
        <w:rPr>
          <w:rFonts w:hint="default" w:ascii="Times New Roman" w:hAnsi="Times New Roman" w:eastAsia="方正仿宋_GBK"/>
          <w:sz w:val="32"/>
          <w:szCs w:val="32"/>
          <w:shd w:val="clear" w:color="auto" w:fill="FFFFFF"/>
        </w:rPr>
        <w:t>万元，与2023年度相比，增加1.10万元，增长100.0%，主要原因是新增</w:t>
      </w:r>
      <w:r>
        <w:rPr>
          <w:rFonts w:hint="default" w:ascii="Times New Roman" w:hAnsi="Times New Roman" w:eastAsia="仿宋_GB2312"/>
          <w:color w:val="000000"/>
          <w:sz w:val="32"/>
          <w:szCs w:val="32"/>
        </w:rPr>
        <w:t>重庆市委党校培训学习培训费0.12万元，行政执法新增持证人员通用法律知识培训费0.44万元，会计继续教育培训费0.02万元，事业单位人员专业、公共、公需科目培训费0.50万元，专技职称岗前培训费0.02万元</w:t>
      </w:r>
      <w:r>
        <w:rPr>
          <w:rFonts w:hint="default" w:ascii="Times New Roman" w:hAnsi="Times New Roman" w:eastAsia="方正仿宋_GBK"/>
          <w:sz w:val="32"/>
          <w:szCs w:val="32"/>
          <w:shd w:val="clear" w:color="auto" w:fill="FFFFFF"/>
        </w:rPr>
        <w:t>。</w:t>
      </w:r>
    </w:p>
    <w:p>
      <w:pPr>
        <w:pStyle w:val="9"/>
        <w:autoSpaceDE w:val="0"/>
        <w:ind w:firstLine="643"/>
        <w:rPr>
          <w:rFonts w:ascii="Times New Roman" w:hAnsi="Times New Roman" w:eastAsia="楷体"/>
          <w:b/>
          <w:bCs/>
          <w:sz w:val="32"/>
          <w:szCs w:val="32"/>
          <w:shd w:val="clear" w:color="auto" w:fill="FFFFFF"/>
        </w:rPr>
      </w:pPr>
      <w:r>
        <w:rPr>
          <w:rFonts w:ascii="Times New Roman" w:hAnsi="Times New Roman" w:eastAsia="楷体"/>
          <w:b/>
          <w:bCs/>
          <w:sz w:val="32"/>
          <w:szCs w:val="32"/>
          <w:shd w:val="clear" w:color="auto" w:fill="FFFFFF"/>
        </w:rPr>
        <w:t>（二）机关运行经费情况说明</w:t>
      </w:r>
    </w:p>
    <w:p>
      <w:pPr>
        <w:pStyle w:val="5"/>
        <w:snapToGrid w:val="0"/>
        <w:spacing w:before="0" w:beforeAutospacing="0" w:after="0" w:afterAutospacing="0" w:line="600" w:lineRule="exact"/>
        <w:ind w:firstLine="640" w:firstLineChars="200"/>
        <w:jc w:val="both"/>
        <w:rPr>
          <w:rFonts w:hint="default" w:ascii="Times New Roman" w:hAnsi="Times New Roman" w:eastAsia="方正仿宋_GBK"/>
          <w:color w:val="FF0000"/>
          <w:sz w:val="32"/>
          <w:szCs w:val="32"/>
        </w:rPr>
      </w:pPr>
      <w:r>
        <w:rPr>
          <w:rFonts w:hint="default" w:ascii="Times New Roman" w:hAnsi="Times New Roman" w:eastAsia="方正仿宋_GBK"/>
          <w:sz w:val="32"/>
          <w:szCs w:val="32"/>
          <w:shd w:val="clear" w:color="auto" w:fill="FFFFFF"/>
        </w:rPr>
        <w:t>2024年度本部门机关运行经费支出</w:t>
      </w:r>
      <w:r>
        <w:rPr>
          <w:rFonts w:hint="default" w:ascii="Times New Roman" w:hAnsi="Times New Roman" w:eastAsia="方正仿宋_GBK"/>
          <w:sz w:val="32"/>
          <w:szCs w:val="32"/>
        </w:rPr>
        <w:t>228.89</w:t>
      </w:r>
      <w:r>
        <w:rPr>
          <w:rFonts w:hint="default" w:ascii="Times New Roman" w:hAnsi="Times New Roman" w:eastAsia="方正仿宋_GBK"/>
          <w:sz w:val="32"/>
          <w:szCs w:val="32"/>
          <w:shd w:val="clear" w:color="auto" w:fill="FFFFFF"/>
        </w:rPr>
        <w:t>万元，机关运行经费主要用于</w:t>
      </w:r>
      <w:r>
        <w:rPr>
          <w:rFonts w:hint="default" w:ascii="Times New Roman" w:hAnsi="Times New Roman" w:eastAsia="方正仿宋_GBK"/>
          <w:sz w:val="32"/>
          <w:szCs w:val="32"/>
        </w:rPr>
        <w:t>开支办公费</w:t>
      </w:r>
      <w:r>
        <w:rPr>
          <w:rFonts w:hint="default" w:ascii="Times New Roman" w:hAnsi="Times New Roman" w:eastAsia="方正仿宋_GBK"/>
          <w:sz w:val="32"/>
          <w:szCs w:val="32"/>
          <w:shd w:val="clear" w:color="auto" w:fill="FFFFFF"/>
        </w:rPr>
        <w:t>、水费、电费、邮电费、公务车运行维护费等。机关运行经费较上年支出数减少152.29万元，下降40.0%，主要原因是2024年度根据财政局要求，将本部门事业单位划分为重庆市铜梁区旧县街道产业培育中心、重庆市铜梁区旧县街道社区文化服务中心、重庆市铜梁区旧县街道劳动就业和社会保障服务所、重庆市铜梁区旧县街道综合行政执法大队、重庆市铜梁区旧县街道退役军人服务站、重庆市铜梁区旧县街道社区事务服务中心、重庆市铜梁区旧县街道城市提升服务中心共7个事业单位进行独立核算，</w:t>
      </w:r>
      <w:r>
        <w:rPr>
          <w:rFonts w:hint="default" w:ascii="Times New Roman" w:hAnsi="Times New Roman" w:eastAsia="方正仿宋_GBK"/>
          <w:sz w:val="32"/>
          <w:szCs w:val="32"/>
        </w:rPr>
        <w:t>按照部门决算列报口径，事业单位均不在机关运行经费统计范围之内。</w:t>
      </w:r>
    </w:p>
    <w:p>
      <w:pPr>
        <w:pStyle w:val="9"/>
        <w:autoSpaceDE w:val="0"/>
        <w:ind w:firstLine="643"/>
        <w:rPr>
          <w:rFonts w:ascii="Times New Roman" w:hAnsi="Times New Roman" w:eastAsia="楷体"/>
          <w:b/>
          <w:bCs/>
          <w:sz w:val="32"/>
          <w:szCs w:val="32"/>
          <w:shd w:val="clear" w:color="auto" w:fill="FFFFFF"/>
        </w:rPr>
      </w:pPr>
      <w:r>
        <w:rPr>
          <w:rFonts w:ascii="Times New Roman" w:hAnsi="Times New Roman" w:eastAsia="楷体"/>
          <w:b/>
          <w:bCs/>
          <w:sz w:val="32"/>
          <w:szCs w:val="32"/>
          <w:shd w:val="clear" w:color="auto" w:fill="FFFFFF"/>
        </w:rPr>
        <w:t>（三）国有资产占用情况说明</w:t>
      </w:r>
    </w:p>
    <w:p>
      <w:pPr>
        <w:pStyle w:val="5"/>
        <w:snapToGrid w:val="0"/>
        <w:spacing w:before="0" w:beforeAutospacing="0" w:after="0" w:afterAutospacing="0" w:line="600" w:lineRule="exact"/>
        <w:ind w:firstLine="640" w:firstLineChars="200"/>
        <w:jc w:val="both"/>
        <w:rPr>
          <w:rFonts w:hint="default" w:ascii="Times New Roman" w:hAnsi="Times New Roman" w:eastAsia="方正仿宋_GBK"/>
          <w:sz w:val="32"/>
          <w:szCs w:val="32"/>
        </w:rPr>
      </w:pPr>
      <w:r>
        <w:rPr>
          <w:rFonts w:hint="default" w:ascii="Times New Roman" w:hAnsi="Times New Roman" w:eastAsia="方正仿宋_GBK"/>
          <w:sz w:val="32"/>
          <w:szCs w:val="32"/>
          <w:shd w:val="clear" w:color="auto" w:fill="FFFFFF"/>
        </w:rPr>
        <w:t>截至2024年12月31日，本部门共有车辆</w:t>
      </w:r>
      <w:r>
        <w:rPr>
          <w:rFonts w:hint="default" w:ascii="Times New Roman" w:hAnsi="Times New Roman" w:eastAsia="方正仿宋_GBK"/>
          <w:sz w:val="32"/>
          <w:szCs w:val="32"/>
        </w:rPr>
        <w:t>12</w:t>
      </w:r>
      <w:r>
        <w:rPr>
          <w:rFonts w:hint="default" w:ascii="Times New Roman" w:hAnsi="Times New Roman" w:eastAsia="方正仿宋_GBK"/>
          <w:sz w:val="32"/>
          <w:szCs w:val="32"/>
          <w:shd w:val="clear" w:color="auto" w:fill="FFFFFF"/>
        </w:rPr>
        <w:t>辆，其中，副部（省）级及以上领导用车</w:t>
      </w:r>
      <w:r>
        <w:rPr>
          <w:rFonts w:hint="default" w:ascii="Times New Roman" w:hAnsi="Times New Roman" w:eastAsia="方正仿宋_GBK"/>
          <w:sz w:val="32"/>
          <w:szCs w:val="32"/>
        </w:rPr>
        <w:t>0</w:t>
      </w:r>
      <w:r>
        <w:rPr>
          <w:rFonts w:hint="default" w:ascii="Times New Roman" w:hAnsi="Times New Roman" w:eastAsia="方正仿宋_GBK"/>
          <w:sz w:val="32"/>
          <w:szCs w:val="32"/>
          <w:shd w:val="clear" w:color="auto" w:fill="FFFFFF"/>
        </w:rPr>
        <w:t>辆、主要负责人用车</w:t>
      </w:r>
      <w:r>
        <w:rPr>
          <w:rFonts w:hint="default" w:ascii="Times New Roman" w:hAnsi="Times New Roman" w:eastAsia="方正仿宋_GBK"/>
          <w:sz w:val="32"/>
          <w:szCs w:val="32"/>
        </w:rPr>
        <w:t>0</w:t>
      </w:r>
      <w:r>
        <w:rPr>
          <w:rFonts w:hint="default" w:ascii="Times New Roman" w:hAnsi="Times New Roman" w:eastAsia="方正仿宋_GBK"/>
          <w:sz w:val="32"/>
          <w:szCs w:val="32"/>
          <w:shd w:val="clear" w:color="auto" w:fill="FFFFFF"/>
        </w:rPr>
        <w:t>辆、机要通信用车</w:t>
      </w:r>
      <w:r>
        <w:rPr>
          <w:rFonts w:hint="default" w:ascii="Times New Roman" w:hAnsi="Times New Roman" w:eastAsia="方正仿宋_GBK"/>
          <w:sz w:val="32"/>
          <w:szCs w:val="32"/>
        </w:rPr>
        <w:t>1</w:t>
      </w:r>
      <w:r>
        <w:rPr>
          <w:rFonts w:hint="default" w:ascii="Times New Roman" w:hAnsi="Times New Roman" w:eastAsia="方正仿宋_GBK"/>
          <w:sz w:val="32"/>
          <w:szCs w:val="32"/>
          <w:shd w:val="clear" w:color="auto" w:fill="FFFFFF"/>
        </w:rPr>
        <w:t>辆、应急保障用车</w:t>
      </w:r>
      <w:r>
        <w:rPr>
          <w:rFonts w:hint="default" w:ascii="Times New Roman" w:hAnsi="Times New Roman" w:eastAsia="方正仿宋_GBK"/>
          <w:sz w:val="32"/>
          <w:szCs w:val="32"/>
        </w:rPr>
        <w:t>2</w:t>
      </w:r>
      <w:r>
        <w:rPr>
          <w:rFonts w:hint="default" w:ascii="Times New Roman" w:hAnsi="Times New Roman" w:eastAsia="方正仿宋_GBK"/>
          <w:sz w:val="32"/>
          <w:szCs w:val="32"/>
          <w:shd w:val="clear" w:color="auto" w:fill="FFFFFF"/>
        </w:rPr>
        <w:t>辆、执法执勤用车</w:t>
      </w:r>
      <w:r>
        <w:rPr>
          <w:rFonts w:hint="default" w:ascii="Times New Roman" w:hAnsi="Times New Roman" w:eastAsia="方正仿宋_GBK"/>
          <w:sz w:val="32"/>
          <w:szCs w:val="32"/>
        </w:rPr>
        <w:t>0</w:t>
      </w:r>
      <w:r>
        <w:rPr>
          <w:rFonts w:hint="default" w:ascii="Times New Roman" w:hAnsi="Times New Roman" w:eastAsia="方正仿宋_GBK"/>
          <w:sz w:val="32"/>
          <w:szCs w:val="32"/>
          <w:shd w:val="clear" w:color="auto" w:fill="FFFFFF"/>
        </w:rPr>
        <w:t>辆，特种专业技术用车</w:t>
      </w:r>
      <w:r>
        <w:rPr>
          <w:rFonts w:hint="default" w:ascii="Times New Roman" w:hAnsi="Times New Roman" w:eastAsia="方正仿宋_GBK"/>
          <w:sz w:val="32"/>
          <w:szCs w:val="32"/>
        </w:rPr>
        <w:t>9</w:t>
      </w:r>
      <w:r>
        <w:rPr>
          <w:rFonts w:hint="default" w:ascii="Times New Roman" w:hAnsi="Times New Roman" w:eastAsia="方正仿宋_GBK"/>
          <w:sz w:val="32"/>
          <w:szCs w:val="32"/>
          <w:shd w:val="clear" w:color="auto" w:fill="FFFFFF"/>
        </w:rPr>
        <w:t>辆，离退休干部用车</w:t>
      </w:r>
      <w:r>
        <w:rPr>
          <w:rFonts w:hint="default" w:ascii="Times New Roman" w:hAnsi="Times New Roman" w:eastAsia="方正仿宋_GBK"/>
          <w:sz w:val="32"/>
          <w:szCs w:val="32"/>
        </w:rPr>
        <w:t>0</w:t>
      </w:r>
      <w:r>
        <w:rPr>
          <w:rFonts w:hint="default" w:ascii="Times New Roman" w:hAnsi="Times New Roman" w:eastAsia="方正仿宋_GBK"/>
          <w:sz w:val="32"/>
          <w:szCs w:val="32"/>
          <w:shd w:val="clear" w:color="auto" w:fill="FFFFFF"/>
        </w:rPr>
        <w:t>辆。单价100万元（含）以上专用设备</w:t>
      </w:r>
      <w:r>
        <w:rPr>
          <w:rFonts w:hint="default" w:ascii="Times New Roman" w:hAnsi="Times New Roman" w:eastAsia="方正仿宋_GBK"/>
          <w:sz w:val="32"/>
          <w:szCs w:val="32"/>
        </w:rPr>
        <w:t>0</w:t>
      </w:r>
      <w:r>
        <w:rPr>
          <w:rFonts w:hint="default" w:ascii="Times New Roman" w:hAnsi="Times New Roman" w:eastAsia="方正仿宋_GBK"/>
          <w:sz w:val="32"/>
          <w:szCs w:val="32"/>
          <w:shd w:val="clear" w:color="auto" w:fill="FFFFFF"/>
        </w:rPr>
        <w:t>台（套）。</w:t>
      </w:r>
    </w:p>
    <w:p>
      <w:pPr>
        <w:pStyle w:val="9"/>
        <w:autoSpaceDE w:val="0"/>
        <w:ind w:firstLine="643"/>
        <w:rPr>
          <w:rFonts w:ascii="Times New Roman" w:hAnsi="Times New Roman" w:eastAsia="楷体"/>
          <w:b/>
          <w:bCs/>
          <w:sz w:val="32"/>
          <w:szCs w:val="32"/>
          <w:shd w:val="clear" w:color="auto" w:fill="FFFFFF"/>
        </w:rPr>
      </w:pPr>
      <w:r>
        <w:rPr>
          <w:rFonts w:ascii="Times New Roman" w:hAnsi="Times New Roman" w:eastAsia="楷体"/>
          <w:b/>
          <w:bCs/>
          <w:sz w:val="32"/>
          <w:szCs w:val="32"/>
          <w:shd w:val="clear" w:color="auto" w:fill="FFFFFF"/>
        </w:rPr>
        <w:t>（四）政府采购支出情况说明</w:t>
      </w:r>
    </w:p>
    <w:p>
      <w:pPr>
        <w:pStyle w:val="5"/>
        <w:snapToGrid w:val="0"/>
        <w:spacing w:before="0" w:beforeAutospacing="0" w:after="0" w:afterAutospacing="0" w:line="600" w:lineRule="exact"/>
        <w:ind w:firstLine="640" w:firstLineChars="200"/>
        <w:jc w:val="both"/>
        <w:rPr>
          <w:rFonts w:hint="default" w:ascii="Times New Roman" w:hAnsi="Times New Roman" w:eastAsia="方正仿宋_GBK"/>
          <w:color w:val="FF0000"/>
          <w:sz w:val="32"/>
          <w:szCs w:val="32"/>
          <w:shd w:val="clear" w:color="auto" w:fill="FFFFFF"/>
        </w:rPr>
      </w:pPr>
      <w:r>
        <w:rPr>
          <w:rFonts w:hint="default" w:ascii="Times New Roman" w:hAnsi="Times New Roman" w:eastAsia="方正仿宋_GBK"/>
          <w:sz w:val="32"/>
          <w:szCs w:val="32"/>
          <w:shd w:val="clear" w:color="auto" w:fill="FFFFFF"/>
        </w:rPr>
        <w:t>2024年度本部门政府采购支出总额</w:t>
      </w:r>
      <w:r>
        <w:rPr>
          <w:rFonts w:hint="default" w:ascii="Times New Roman" w:hAnsi="Times New Roman" w:eastAsia="方正仿宋_GBK"/>
          <w:sz w:val="32"/>
          <w:szCs w:val="32"/>
        </w:rPr>
        <w:t>105.57</w:t>
      </w:r>
      <w:r>
        <w:rPr>
          <w:rFonts w:hint="default" w:ascii="Times New Roman" w:hAnsi="Times New Roman" w:eastAsia="方正仿宋_GBK"/>
          <w:sz w:val="32"/>
          <w:szCs w:val="32"/>
          <w:shd w:val="clear" w:color="auto" w:fill="FFFFFF"/>
        </w:rPr>
        <w:t>万元，其中：政府采购货物支出</w:t>
      </w:r>
      <w:r>
        <w:rPr>
          <w:rFonts w:hint="default" w:ascii="Times New Roman" w:hAnsi="Times New Roman" w:eastAsia="方正仿宋_GBK"/>
          <w:sz w:val="32"/>
          <w:szCs w:val="32"/>
        </w:rPr>
        <w:t>0.57</w:t>
      </w:r>
      <w:r>
        <w:rPr>
          <w:rFonts w:hint="default" w:ascii="Times New Roman" w:hAnsi="Times New Roman" w:eastAsia="方正仿宋_GBK"/>
          <w:sz w:val="32"/>
          <w:szCs w:val="32"/>
          <w:shd w:val="clear" w:color="auto" w:fill="FFFFFF"/>
        </w:rPr>
        <w:t>万元、政府采购工程支出</w:t>
      </w:r>
      <w:r>
        <w:rPr>
          <w:rFonts w:hint="default" w:ascii="Times New Roman" w:hAnsi="Times New Roman" w:eastAsia="方正仿宋_GBK"/>
          <w:sz w:val="32"/>
          <w:szCs w:val="32"/>
        </w:rPr>
        <w:t>105.00</w:t>
      </w:r>
      <w:r>
        <w:rPr>
          <w:rFonts w:hint="default" w:ascii="Times New Roman" w:hAnsi="Times New Roman" w:eastAsia="方正仿宋_GBK"/>
          <w:sz w:val="32"/>
          <w:szCs w:val="32"/>
          <w:shd w:val="clear" w:color="auto" w:fill="FFFFFF"/>
        </w:rPr>
        <w:t>万元、政府采购服务支出</w:t>
      </w:r>
      <w:r>
        <w:rPr>
          <w:rFonts w:hint="default" w:ascii="Times New Roman" w:hAnsi="Times New Roman" w:eastAsia="方正仿宋_GBK"/>
          <w:sz w:val="32"/>
          <w:szCs w:val="32"/>
        </w:rPr>
        <w:t>0.00</w:t>
      </w:r>
      <w:r>
        <w:rPr>
          <w:rFonts w:hint="default" w:ascii="Times New Roman" w:hAnsi="Times New Roman" w:eastAsia="方正仿宋_GBK"/>
          <w:sz w:val="32"/>
          <w:szCs w:val="32"/>
          <w:shd w:val="clear" w:color="auto" w:fill="FFFFFF"/>
        </w:rPr>
        <w:t>万元。授予中小企业合同金额</w:t>
      </w:r>
      <w:r>
        <w:rPr>
          <w:rFonts w:hint="default" w:ascii="Times New Roman" w:hAnsi="Times New Roman" w:eastAsia="方正仿宋_GBK"/>
          <w:sz w:val="32"/>
          <w:szCs w:val="32"/>
        </w:rPr>
        <w:t>105.57万</w:t>
      </w:r>
      <w:r>
        <w:rPr>
          <w:rFonts w:hint="default" w:ascii="Times New Roman" w:hAnsi="Times New Roman" w:eastAsia="方正仿宋_GBK"/>
          <w:sz w:val="32"/>
          <w:szCs w:val="32"/>
          <w:shd w:val="clear" w:color="auto" w:fill="FFFFFF"/>
        </w:rPr>
        <w:t>元，占政府采购支出总额的</w:t>
      </w:r>
      <w:r>
        <w:rPr>
          <w:rFonts w:hint="default" w:ascii="Times New Roman" w:hAnsi="Times New Roman" w:eastAsia="方正仿宋_GBK"/>
          <w:sz w:val="32"/>
          <w:szCs w:val="32"/>
        </w:rPr>
        <w:t>100.0%</w:t>
      </w:r>
      <w:r>
        <w:rPr>
          <w:rFonts w:hint="default" w:ascii="Times New Roman" w:hAnsi="Times New Roman" w:eastAsia="方正仿宋_GBK"/>
          <w:sz w:val="32"/>
          <w:szCs w:val="32"/>
          <w:shd w:val="clear" w:color="auto" w:fill="FFFFFF"/>
        </w:rPr>
        <w:t>，其中：授予小微企业合同金额</w:t>
      </w:r>
      <w:r>
        <w:rPr>
          <w:rFonts w:hint="default" w:ascii="Times New Roman" w:hAnsi="Times New Roman" w:eastAsia="方正仿宋_GBK"/>
          <w:sz w:val="32"/>
          <w:szCs w:val="32"/>
        </w:rPr>
        <w:t>105.57</w:t>
      </w:r>
      <w:r>
        <w:rPr>
          <w:rFonts w:hint="default" w:ascii="Times New Roman" w:hAnsi="Times New Roman" w:eastAsia="方正仿宋_GBK"/>
          <w:sz w:val="32"/>
          <w:szCs w:val="32"/>
          <w:shd w:val="clear" w:color="auto" w:fill="FFFFFF"/>
        </w:rPr>
        <w:t>万元，占政府采购支出总额的</w:t>
      </w:r>
      <w:r>
        <w:rPr>
          <w:rFonts w:hint="default" w:ascii="Times New Roman" w:hAnsi="Times New Roman" w:eastAsia="方正仿宋_GBK"/>
          <w:sz w:val="32"/>
          <w:szCs w:val="32"/>
        </w:rPr>
        <w:t>100.0</w:t>
      </w:r>
      <w:r>
        <w:rPr>
          <w:rFonts w:hint="default" w:ascii="Times New Roman" w:hAnsi="Times New Roman" w:eastAsia="方正仿宋_GBK"/>
          <w:sz w:val="32"/>
          <w:szCs w:val="32"/>
          <w:shd w:val="clear" w:color="auto" w:fill="FFFFFF"/>
        </w:rPr>
        <w:t>%。主要用于采购货物和工程。</w:t>
      </w:r>
    </w:p>
    <w:p>
      <w:pPr>
        <w:pStyle w:val="10"/>
        <w:spacing w:before="0" w:beforeAutospacing="0" w:after="0" w:afterAutospacing="0" w:line="596" w:lineRule="exact"/>
        <w:ind w:firstLine="643" w:firstLineChars="200"/>
        <w:rPr>
          <w:rStyle w:val="8"/>
          <w:rFonts w:ascii="Times New Roman" w:hAnsi="Times New Roman" w:eastAsia="黑体"/>
          <w:sz w:val="32"/>
          <w:szCs w:val="32"/>
          <w:shd w:val="clear" w:color="auto" w:fill="FFFFFF"/>
        </w:rPr>
      </w:pPr>
      <w:r>
        <w:rPr>
          <w:rStyle w:val="8"/>
          <w:rFonts w:ascii="Times New Roman" w:hAnsi="Times New Roman" w:eastAsia="黑体"/>
          <w:sz w:val="32"/>
          <w:szCs w:val="32"/>
          <w:shd w:val="clear" w:color="auto" w:fill="FFFFFF"/>
        </w:rPr>
        <w:t>五、2024年度预算绩效管理情况说明</w:t>
      </w:r>
    </w:p>
    <w:p>
      <w:pPr>
        <w:pStyle w:val="10"/>
        <w:autoSpaceDE w:val="0"/>
        <w:spacing w:before="0" w:beforeAutospacing="0" w:after="0" w:afterAutospacing="0" w:line="596" w:lineRule="exact"/>
        <w:ind w:firstLine="643" w:firstLineChars="200"/>
        <w:rPr>
          <w:rFonts w:ascii="Times New Roman" w:hAnsi="Times New Roman" w:eastAsia="楷体"/>
          <w:b/>
          <w:bCs/>
          <w:sz w:val="32"/>
          <w:szCs w:val="32"/>
          <w:shd w:val="clear" w:color="auto" w:fill="FFFFFF"/>
        </w:rPr>
      </w:pPr>
      <w:r>
        <w:rPr>
          <w:rFonts w:ascii="Times New Roman" w:hAnsi="Times New Roman" w:eastAsia="楷体"/>
          <w:b/>
          <w:bCs/>
          <w:sz w:val="32"/>
          <w:szCs w:val="32"/>
          <w:shd w:val="clear" w:color="auto" w:fill="FFFFFF"/>
        </w:rPr>
        <w:t>（一）预算绩效管理工作开展情况</w:t>
      </w:r>
    </w:p>
    <w:p>
      <w:pPr>
        <w:pStyle w:val="10"/>
        <w:autoSpaceDE w:val="0"/>
        <w:spacing w:before="0" w:beforeAutospacing="0" w:after="0" w:afterAutospacing="0" w:line="596" w:lineRule="exact"/>
        <w:ind w:firstLine="640" w:firstLineChars="200"/>
        <w:rPr>
          <w:rFonts w:ascii="Times New Roman" w:hAnsi="Times New Roman" w:eastAsia="方正仿宋_GBK"/>
          <w:sz w:val="32"/>
          <w:szCs w:val="32"/>
          <w:shd w:val="clear" w:color="auto" w:fill="FFFFFF"/>
        </w:rPr>
      </w:pPr>
      <w:r>
        <w:rPr>
          <w:rFonts w:ascii="Times New Roman" w:hAnsi="Times New Roman" w:eastAsia="方正仿宋_GBK"/>
          <w:sz w:val="32"/>
          <w:szCs w:val="32"/>
          <w:shd w:val="clear" w:color="auto" w:fill="FFFFFF"/>
        </w:rPr>
        <w:t>根据预算绩效管理要求，我部门对部门整体和49个项目开展了绩效自评，其中，以填报自评表形式开展自评49项，涉及资金1795.71万元；以委托第三方出具报告的方式开展绩效评价0项，涉及资金0万元。</w:t>
      </w:r>
    </w:p>
    <w:p>
      <w:pPr>
        <w:pStyle w:val="10"/>
        <w:autoSpaceDE w:val="0"/>
        <w:spacing w:before="0" w:beforeAutospacing="0" w:after="0" w:afterAutospacing="0" w:line="596" w:lineRule="exact"/>
        <w:ind w:firstLine="643" w:firstLineChars="200"/>
        <w:rPr>
          <w:rFonts w:ascii="Times New Roman" w:hAnsi="Times New Roman" w:eastAsia="楷体"/>
          <w:b/>
          <w:bCs/>
          <w:sz w:val="32"/>
          <w:szCs w:val="32"/>
          <w:shd w:val="clear" w:color="auto" w:fill="FFFFFF"/>
        </w:rPr>
      </w:pPr>
      <w:r>
        <w:rPr>
          <w:rFonts w:ascii="Times New Roman" w:hAnsi="Times New Roman" w:eastAsia="楷体"/>
          <w:b/>
          <w:bCs/>
          <w:sz w:val="32"/>
          <w:szCs w:val="32"/>
          <w:shd w:val="clear" w:color="auto" w:fill="FFFFFF"/>
        </w:rPr>
        <w:t>（二）绩效自评结果</w:t>
      </w:r>
    </w:p>
    <w:p>
      <w:pPr>
        <w:pStyle w:val="12"/>
        <w:autoSpaceDE w:val="0"/>
        <w:spacing w:line="596" w:lineRule="exact"/>
        <w:ind w:firstLine="640"/>
        <w:rPr>
          <w:rFonts w:hint="default" w:ascii="Times New Roman" w:hAnsi="Times New Roman" w:eastAsia="方正仿宋_GBK"/>
          <w:sz w:val="32"/>
          <w:szCs w:val="32"/>
          <w:shd w:val="clear" w:color="auto" w:fill="FFFFFF"/>
        </w:rPr>
      </w:pPr>
      <w:r>
        <w:rPr>
          <w:rFonts w:hint="default" w:ascii="Times New Roman" w:hAnsi="Times New Roman" w:eastAsia="方正仿宋_GBK"/>
          <w:sz w:val="32"/>
          <w:szCs w:val="32"/>
          <w:shd w:val="clear" w:color="auto" w:fill="FFFFFF"/>
        </w:rPr>
        <w:t>1.项目绩效自评表。</w:t>
      </w:r>
    </w:p>
    <w:p>
      <w:pPr>
        <w:pStyle w:val="12"/>
        <w:autoSpaceDE w:val="0"/>
        <w:spacing w:line="596" w:lineRule="exact"/>
        <w:ind w:firstLine="640"/>
        <w:rPr>
          <w:rFonts w:hint="default" w:ascii="Times New Roman" w:hAnsi="Times New Roman" w:eastAsia="方正仿宋_GBK"/>
          <w:sz w:val="32"/>
          <w:szCs w:val="32"/>
          <w:shd w:val="clear" w:color="auto" w:fill="FFFFFF"/>
        </w:rPr>
      </w:pPr>
      <w:r>
        <w:rPr>
          <w:rFonts w:hint="default" w:ascii="Times New Roman" w:hAnsi="Times New Roman" w:eastAsia="方正仿宋_GBK"/>
          <w:sz w:val="32"/>
          <w:szCs w:val="32"/>
          <w:shd w:val="clear" w:color="auto" w:fill="FFFFFF"/>
        </w:rPr>
        <w:t>（1）部门整体绩效自评表。</w:t>
      </w:r>
    </w:p>
    <w:p>
      <w:pPr>
        <w:pStyle w:val="12"/>
        <w:autoSpaceDE w:val="0"/>
        <w:spacing w:line="596" w:lineRule="exact"/>
        <w:ind w:firstLine="640"/>
        <w:rPr>
          <w:rFonts w:hint="default" w:ascii="Times New Roman" w:hAnsi="Times New Roman" w:eastAsia="方正仿宋_GBK"/>
          <w:sz w:val="32"/>
          <w:szCs w:val="32"/>
          <w:shd w:val="clear" w:color="auto" w:fill="FFFFFF"/>
        </w:rPr>
      </w:pPr>
      <w:r>
        <w:rPr>
          <w:rFonts w:hint="default" w:ascii="Times New Roman" w:hAnsi="Times New Roman" w:eastAsia="方正仿宋_GBK"/>
          <w:sz w:val="32"/>
          <w:szCs w:val="32"/>
          <w:shd w:val="clear" w:color="auto" w:fill="FFFFFF"/>
        </w:rPr>
        <w:t>详见附件。</w:t>
      </w:r>
    </w:p>
    <w:p>
      <w:pPr>
        <w:pStyle w:val="12"/>
        <w:autoSpaceDE w:val="0"/>
        <w:spacing w:line="596" w:lineRule="exact"/>
        <w:ind w:firstLine="640"/>
        <w:rPr>
          <w:rFonts w:hint="default" w:ascii="Times New Roman" w:hAnsi="Times New Roman" w:eastAsia="方正仿宋_GBK"/>
          <w:sz w:val="32"/>
          <w:szCs w:val="32"/>
          <w:shd w:val="clear" w:color="auto" w:fill="FFFFFF"/>
        </w:rPr>
      </w:pPr>
      <w:r>
        <w:rPr>
          <w:rFonts w:hint="default" w:ascii="Times New Roman" w:hAnsi="Times New Roman" w:eastAsia="方正仿宋_GBK"/>
          <w:sz w:val="32"/>
          <w:szCs w:val="32"/>
          <w:shd w:val="clear" w:color="auto" w:fill="FFFFFF"/>
        </w:rPr>
        <w:t>（2）项目绩效自评表。</w:t>
      </w:r>
    </w:p>
    <w:p>
      <w:pPr>
        <w:pStyle w:val="12"/>
        <w:autoSpaceDE w:val="0"/>
        <w:spacing w:line="596" w:lineRule="exact"/>
        <w:ind w:firstLine="640"/>
        <w:rPr>
          <w:rFonts w:hint="default" w:ascii="Times New Roman" w:hAnsi="Times New Roman" w:eastAsia="方正仿宋_GBK"/>
          <w:sz w:val="32"/>
          <w:szCs w:val="32"/>
          <w:shd w:val="clear" w:color="auto" w:fill="FFFFFF"/>
        </w:rPr>
      </w:pPr>
      <w:r>
        <w:rPr>
          <w:rFonts w:hint="default" w:ascii="Times New Roman" w:hAnsi="Times New Roman" w:eastAsia="方正仿宋_GBK"/>
          <w:sz w:val="32"/>
          <w:szCs w:val="32"/>
          <w:shd w:val="clear" w:color="auto" w:fill="FFFFFF"/>
        </w:rPr>
        <w:t>详见各二级预算单位决算公开报告。</w:t>
      </w:r>
    </w:p>
    <w:p>
      <w:pPr>
        <w:pStyle w:val="12"/>
        <w:autoSpaceDE w:val="0"/>
        <w:spacing w:line="596" w:lineRule="exact"/>
        <w:ind w:firstLine="640"/>
        <w:rPr>
          <w:rFonts w:hint="default" w:ascii="Times New Roman" w:hAnsi="Times New Roman" w:eastAsia="方正仿宋_GBK"/>
          <w:sz w:val="32"/>
          <w:szCs w:val="32"/>
          <w:shd w:val="clear" w:color="auto" w:fill="FFFFFF"/>
        </w:rPr>
      </w:pPr>
      <w:r>
        <w:rPr>
          <w:rFonts w:hint="default" w:ascii="Times New Roman" w:hAnsi="Times New Roman" w:eastAsia="方正仿宋_GBK"/>
          <w:sz w:val="32"/>
          <w:szCs w:val="32"/>
          <w:shd w:val="clear" w:color="auto" w:fill="FFFFFF"/>
        </w:rPr>
        <w:t>2.绩效自评报告或案例。</w:t>
      </w:r>
    </w:p>
    <w:p>
      <w:pPr>
        <w:pStyle w:val="12"/>
        <w:autoSpaceDE w:val="0"/>
        <w:spacing w:line="596" w:lineRule="exact"/>
        <w:ind w:firstLine="640"/>
        <w:rPr>
          <w:rFonts w:hint="default" w:ascii="Times New Roman" w:hAnsi="Times New Roman" w:eastAsia="方正仿宋_GBK"/>
          <w:sz w:val="32"/>
          <w:szCs w:val="32"/>
          <w:shd w:val="clear" w:color="auto" w:fill="FFFFFF"/>
        </w:rPr>
      </w:pPr>
      <w:r>
        <w:rPr>
          <w:rFonts w:hint="default" w:ascii="Times New Roman" w:hAnsi="Times New Roman" w:eastAsia="方正仿宋_GBK"/>
          <w:sz w:val="32"/>
          <w:szCs w:val="32"/>
          <w:shd w:val="clear" w:color="auto" w:fill="FFFFFF"/>
        </w:rPr>
        <w:t>详见各二级预算单位决算公开报告。</w:t>
      </w:r>
    </w:p>
    <w:p>
      <w:pPr>
        <w:pStyle w:val="12"/>
        <w:autoSpaceDE w:val="0"/>
        <w:spacing w:line="596" w:lineRule="exact"/>
        <w:ind w:firstLine="640"/>
        <w:rPr>
          <w:rFonts w:hint="default" w:ascii="Times New Roman" w:hAnsi="Times New Roman" w:eastAsia="方正仿宋_GBK"/>
          <w:sz w:val="32"/>
          <w:szCs w:val="32"/>
          <w:shd w:val="clear" w:color="auto" w:fill="FFFFFF"/>
        </w:rPr>
      </w:pPr>
      <w:r>
        <w:rPr>
          <w:rFonts w:hint="default" w:ascii="Times New Roman" w:hAnsi="Times New Roman" w:eastAsia="方正仿宋_GBK"/>
          <w:sz w:val="32"/>
          <w:szCs w:val="32"/>
          <w:shd w:val="clear" w:color="auto" w:fill="FFFFFF"/>
        </w:rPr>
        <w:t>3.关于绩效自评结果的说明。</w:t>
      </w:r>
    </w:p>
    <w:p>
      <w:pPr>
        <w:pStyle w:val="12"/>
        <w:autoSpaceDE w:val="0"/>
        <w:spacing w:line="596" w:lineRule="exact"/>
        <w:ind w:firstLine="640"/>
        <w:rPr>
          <w:rFonts w:hint="default" w:ascii="Times New Roman" w:hAnsi="Times New Roman" w:eastAsia="方正仿宋_GBK"/>
          <w:sz w:val="32"/>
          <w:szCs w:val="32"/>
          <w:shd w:val="clear" w:color="auto" w:fill="FFFFFF"/>
        </w:rPr>
      </w:pPr>
      <w:r>
        <w:rPr>
          <w:rFonts w:hint="default" w:ascii="Times New Roman" w:hAnsi="Times New Roman" w:eastAsia="方正仿宋_GBK"/>
          <w:sz w:val="32"/>
          <w:szCs w:val="32"/>
          <w:shd w:val="clear" w:color="auto" w:fill="FFFFFF"/>
        </w:rPr>
        <w:t>我部门对49个项目进行绩效自评，其中49个已完成年度绩效目标，0个未完成年度绩效目标。</w:t>
      </w:r>
    </w:p>
    <w:p>
      <w:pPr>
        <w:pStyle w:val="12"/>
        <w:autoSpaceDE w:val="0"/>
        <w:spacing w:line="596" w:lineRule="exact"/>
        <w:ind w:firstLine="643"/>
        <w:rPr>
          <w:rFonts w:ascii="Times New Roman" w:hAnsi="Times New Roman" w:eastAsia="楷体"/>
          <w:b/>
          <w:bCs/>
          <w:sz w:val="32"/>
          <w:szCs w:val="32"/>
          <w:shd w:val="clear" w:color="auto" w:fill="FFFFFF"/>
        </w:rPr>
      </w:pPr>
      <w:r>
        <w:rPr>
          <w:rFonts w:hint="default" w:ascii="Times New Roman" w:hAnsi="Times New Roman" w:eastAsia="楷体"/>
          <w:b/>
          <w:bCs/>
          <w:sz w:val="32"/>
          <w:szCs w:val="32"/>
          <w:shd w:val="clear" w:color="auto" w:fill="FFFFFF"/>
        </w:rPr>
        <w:t>（三）财政重点绩效评价情况</w:t>
      </w:r>
    </w:p>
    <w:p>
      <w:pPr>
        <w:pStyle w:val="12"/>
        <w:autoSpaceDE w:val="0"/>
        <w:spacing w:line="596" w:lineRule="exact"/>
        <w:ind w:firstLine="640"/>
        <w:rPr>
          <w:rFonts w:ascii="Times New Roman" w:hAnsi="Times New Roman" w:eastAsia="楷体"/>
          <w:b/>
          <w:bCs/>
          <w:sz w:val="32"/>
          <w:szCs w:val="32"/>
          <w:shd w:val="clear" w:color="auto" w:fill="FFFFFF"/>
        </w:rPr>
      </w:pPr>
      <w:r>
        <w:rPr>
          <w:rFonts w:ascii="Times New Roman" w:hAnsi="Times New Roman" w:eastAsia="方正仿宋_GBK"/>
          <w:bCs/>
          <w:sz w:val="32"/>
          <w:szCs w:val="32"/>
          <w:shd w:val="clear" w:color="auto" w:fill="FFFFFF"/>
        </w:rPr>
        <w:t>我部门无财政重点绩效评价项目。</w:t>
      </w:r>
    </w:p>
    <w:p>
      <w:pPr>
        <w:pStyle w:val="10"/>
        <w:autoSpaceDE w:val="0"/>
        <w:spacing w:before="0" w:beforeAutospacing="0" w:after="0" w:afterAutospacing="0" w:line="596" w:lineRule="exact"/>
        <w:rPr>
          <w:rFonts w:ascii="Times New Roman" w:hAnsi="Times New Roman" w:eastAsia="方正仿宋_GBK"/>
          <w:sz w:val="32"/>
          <w:szCs w:val="32"/>
        </w:rPr>
      </w:pPr>
      <w:r>
        <w:rPr>
          <w:rStyle w:val="8"/>
          <w:rFonts w:ascii="Times New Roman" w:hAnsi="Times New Roman" w:eastAsia="黑体"/>
          <w:sz w:val="32"/>
          <w:szCs w:val="32"/>
          <w:shd w:val="clear" w:color="auto" w:fill="FFFFFF"/>
        </w:rPr>
        <w:t xml:space="preserve"> 六、专业名词解释</w:t>
      </w:r>
    </w:p>
    <w:p>
      <w:pPr>
        <w:pStyle w:val="10"/>
        <w:spacing w:before="0" w:beforeAutospacing="0" w:after="0" w:afterAutospacing="0" w:line="596" w:lineRule="exact"/>
        <w:ind w:firstLine="643" w:firstLineChars="200"/>
        <w:rPr>
          <w:rFonts w:ascii="Times New Roman" w:hAnsi="Times New Roman" w:eastAsia="方正仿宋_GBK"/>
          <w:sz w:val="32"/>
          <w:szCs w:val="32"/>
        </w:rPr>
      </w:pPr>
      <w:r>
        <w:rPr>
          <w:rStyle w:val="8"/>
          <w:rFonts w:ascii="Times New Roman" w:hAnsi="Times New Roman" w:eastAsia="楷体"/>
          <w:sz w:val="32"/>
          <w:szCs w:val="32"/>
          <w:shd w:val="clear" w:color="auto" w:fill="FFFFFF"/>
        </w:rPr>
        <w:t>（一）财政拨款收入：</w:t>
      </w:r>
      <w:r>
        <w:rPr>
          <w:rFonts w:ascii="Times New Roman" w:hAnsi="Times New Roman" w:eastAsia="方正仿宋_GBK"/>
          <w:sz w:val="32"/>
          <w:szCs w:val="32"/>
          <w:shd w:val="clear" w:color="auto" w:fill="FFFFFF"/>
        </w:rPr>
        <w:t>指本年度从本级财政部门取得的财政拨款，包括一般公共预算财政拨款和政府性基金预算财政拨款。</w:t>
      </w:r>
    </w:p>
    <w:p>
      <w:pPr>
        <w:pStyle w:val="10"/>
        <w:spacing w:before="0" w:beforeAutospacing="0" w:after="0" w:afterAutospacing="0" w:line="596" w:lineRule="exact"/>
        <w:ind w:firstLine="643" w:firstLineChars="200"/>
        <w:rPr>
          <w:rFonts w:ascii="Times New Roman" w:hAnsi="Times New Roman" w:eastAsia="方正仿宋_GBK"/>
          <w:sz w:val="32"/>
          <w:szCs w:val="32"/>
        </w:rPr>
      </w:pPr>
      <w:r>
        <w:rPr>
          <w:rStyle w:val="8"/>
          <w:rFonts w:ascii="Times New Roman" w:hAnsi="Times New Roman" w:eastAsia="楷体"/>
          <w:sz w:val="32"/>
          <w:szCs w:val="32"/>
          <w:shd w:val="clear" w:color="auto" w:fill="FFFFFF"/>
        </w:rPr>
        <w:t>（二）事业收入：</w:t>
      </w:r>
      <w:r>
        <w:rPr>
          <w:rFonts w:ascii="Times New Roman" w:hAnsi="Times New Roman" w:eastAsia="方正仿宋_GBK"/>
          <w:sz w:val="32"/>
          <w:szCs w:val="32"/>
          <w:shd w:val="clear" w:color="auto" w:fill="FFFFFF"/>
        </w:rPr>
        <w:t>指事业单位开展专业业务活动及其辅助活动取得的现金流入；事业单位收到的财政专户实际核拨的教育收费等资金在此反映。</w:t>
      </w:r>
    </w:p>
    <w:p>
      <w:pPr>
        <w:pStyle w:val="10"/>
        <w:spacing w:before="0" w:beforeAutospacing="0" w:after="0" w:afterAutospacing="0" w:line="596" w:lineRule="exact"/>
        <w:ind w:firstLine="643" w:firstLineChars="200"/>
        <w:rPr>
          <w:rFonts w:ascii="Times New Roman" w:hAnsi="Times New Roman" w:eastAsia="方正仿宋_GBK"/>
          <w:sz w:val="32"/>
          <w:szCs w:val="32"/>
        </w:rPr>
      </w:pPr>
      <w:r>
        <w:rPr>
          <w:rStyle w:val="8"/>
          <w:rFonts w:ascii="Times New Roman" w:hAnsi="Times New Roman" w:eastAsia="楷体"/>
          <w:sz w:val="32"/>
          <w:szCs w:val="32"/>
          <w:shd w:val="clear" w:color="auto" w:fill="FFFFFF"/>
        </w:rPr>
        <w:t>（三）经营收入：</w:t>
      </w:r>
      <w:r>
        <w:rPr>
          <w:rFonts w:ascii="Times New Roman" w:hAnsi="Times New Roman" w:eastAsia="方正仿宋_GBK"/>
          <w:sz w:val="32"/>
          <w:szCs w:val="32"/>
          <w:shd w:val="clear" w:color="auto" w:fill="FFFFFF"/>
        </w:rPr>
        <w:t>指事业单位在专业业务活动及其辅助活动之外开展非独立核算经营活动取得的现金流入。</w:t>
      </w:r>
    </w:p>
    <w:p>
      <w:pPr>
        <w:pStyle w:val="10"/>
        <w:spacing w:before="0" w:beforeAutospacing="0" w:after="0" w:afterAutospacing="0" w:line="596" w:lineRule="exact"/>
        <w:ind w:firstLine="643" w:firstLineChars="200"/>
        <w:rPr>
          <w:rFonts w:ascii="Times New Roman" w:hAnsi="Times New Roman" w:eastAsia="方正仿宋_GBK"/>
          <w:sz w:val="32"/>
          <w:szCs w:val="32"/>
        </w:rPr>
      </w:pPr>
      <w:r>
        <w:rPr>
          <w:rStyle w:val="8"/>
          <w:rFonts w:ascii="Times New Roman" w:hAnsi="Times New Roman" w:eastAsia="楷体"/>
          <w:sz w:val="32"/>
          <w:szCs w:val="32"/>
          <w:shd w:val="clear" w:color="auto" w:fill="FFFFFF"/>
        </w:rPr>
        <w:t>（四）其他收入：</w:t>
      </w:r>
      <w:r>
        <w:rPr>
          <w:rFonts w:ascii="Times New Roman" w:hAnsi="Times New Roman" w:eastAsia="方正仿宋_GBK"/>
          <w:sz w:val="32"/>
          <w:szCs w:val="32"/>
          <w:shd w:val="clear" w:color="auto" w:fill="FFFFFF"/>
        </w:rPr>
        <w:t>指单位取得的除“财政拨款收入”、“事业收入”、“经营收入”等以外的收入，包括未纳入财政预算或财政专户管理的投资收益、银行存款利息收入、租金收入、捐赠收入，现金盘盈收入、存货盘盈收入、收回已核销的应收及预付款项、无法偿付的应付及预收款项等。各单位从本级财政部门以外的同级单位取得的经费、从非本级财政部门取得的经费，以及行政单位收到的财政专户管理资金反映在本项内。</w:t>
      </w:r>
    </w:p>
    <w:p>
      <w:pPr>
        <w:pStyle w:val="10"/>
        <w:spacing w:before="0" w:beforeAutospacing="0" w:after="0" w:afterAutospacing="0" w:line="596" w:lineRule="exact"/>
        <w:ind w:firstLine="643" w:firstLineChars="200"/>
        <w:rPr>
          <w:rFonts w:ascii="Times New Roman" w:hAnsi="Times New Roman" w:eastAsia="方正仿宋_GBK"/>
          <w:sz w:val="32"/>
          <w:szCs w:val="32"/>
        </w:rPr>
      </w:pPr>
      <w:r>
        <w:rPr>
          <w:rStyle w:val="8"/>
          <w:rFonts w:ascii="Times New Roman" w:hAnsi="Times New Roman" w:eastAsia="楷体"/>
          <w:sz w:val="32"/>
          <w:szCs w:val="32"/>
          <w:shd w:val="clear" w:color="auto" w:fill="FFFFFF"/>
        </w:rPr>
        <w:t>（五）使用非财政拨款结余：</w:t>
      </w:r>
      <w:r>
        <w:rPr>
          <w:rFonts w:ascii="Times New Roman" w:hAnsi="Times New Roman" w:eastAsia="方正仿宋_GBK"/>
          <w:sz w:val="32"/>
          <w:szCs w:val="32"/>
          <w:shd w:val="clear" w:color="auto" w:fill="FFFFFF"/>
        </w:rPr>
        <w:t>指单位在当年的“财政拨款收入”、“事业收入”、“经营收入”、“其他收入”等不足以安排当年支出的情况下，使用以前年度积累的非财政拨款结余弥补本年度收支缺口的资金。</w:t>
      </w:r>
    </w:p>
    <w:p>
      <w:pPr>
        <w:pStyle w:val="10"/>
        <w:spacing w:before="0" w:beforeAutospacing="0" w:after="0" w:afterAutospacing="0" w:line="596" w:lineRule="exact"/>
        <w:ind w:firstLine="643" w:firstLineChars="200"/>
        <w:rPr>
          <w:rFonts w:ascii="Times New Roman" w:hAnsi="Times New Roman" w:eastAsia="方正仿宋_GBK"/>
          <w:sz w:val="32"/>
          <w:szCs w:val="32"/>
        </w:rPr>
      </w:pPr>
      <w:r>
        <w:rPr>
          <w:rStyle w:val="8"/>
          <w:rFonts w:ascii="Times New Roman" w:hAnsi="Times New Roman" w:eastAsia="楷体"/>
          <w:sz w:val="32"/>
          <w:szCs w:val="32"/>
          <w:shd w:val="clear" w:color="auto" w:fill="FFFFFF"/>
        </w:rPr>
        <w:t>（六）年初结转和结余：</w:t>
      </w:r>
      <w:r>
        <w:rPr>
          <w:rFonts w:ascii="Times New Roman" w:hAnsi="Times New Roman" w:eastAsia="方正仿宋_GBK"/>
          <w:sz w:val="32"/>
          <w:szCs w:val="32"/>
          <w:shd w:val="clear" w:color="auto" w:fill="FFFFFF"/>
        </w:rPr>
        <w:t>指单位上年结转本年使用的基本支出结转、项目支出结转和结余、经营结余。</w:t>
      </w:r>
    </w:p>
    <w:p>
      <w:pPr>
        <w:pStyle w:val="10"/>
        <w:spacing w:before="0" w:beforeAutospacing="0" w:after="0" w:afterAutospacing="0" w:line="596" w:lineRule="exact"/>
        <w:ind w:firstLine="643" w:firstLineChars="200"/>
        <w:rPr>
          <w:rFonts w:ascii="Times New Roman" w:hAnsi="Times New Roman" w:eastAsia="方正仿宋_GBK"/>
          <w:sz w:val="32"/>
          <w:szCs w:val="32"/>
        </w:rPr>
      </w:pPr>
      <w:r>
        <w:rPr>
          <w:rStyle w:val="8"/>
          <w:rFonts w:ascii="Times New Roman" w:hAnsi="Times New Roman" w:eastAsia="楷体"/>
          <w:sz w:val="32"/>
          <w:szCs w:val="32"/>
          <w:shd w:val="clear" w:color="auto" w:fill="FFFFFF"/>
        </w:rPr>
        <w:t>（七）结余分配：</w:t>
      </w:r>
      <w:r>
        <w:rPr>
          <w:rFonts w:ascii="Times New Roman" w:hAnsi="Times New Roman" w:eastAsia="方正仿宋_GBK"/>
          <w:sz w:val="32"/>
          <w:szCs w:val="32"/>
          <w:shd w:val="clear" w:color="auto" w:fill="FFFFFF"/>
        </w:rPr>
        <w:t>指单位按照国家有关规定，缴纳所得税、提取专用基金、转入非财政拨款结余等当年结余的分配情况。</w:t>
      </w:r>
    </w:p>
    <w:p>
      <w:pPr>
        <w:pStyle w:val="10"/>
        <w:spacing w:before="0" w:beforeAutospacing="0" w:after="0" w:afterAutospacing="0" w:line="596" w:lineRule="exact"/>
        <w:ind w:firstLine="643" w:firstLineChars="200"/>
        <w:rPr>
          <w:rFonts w:ascii="Times New Roman" w:hAnsi="Times New Roman" w:eastAsia="方正仿宋_GBK"/>
          <w:sz w:val="32"/>
          <w:szCs w:val="32"/>
        </w:rPr>
      </w:pPr>
      <w:r>
        <w:rPr>
          <w:rStyle w:val="8"/>
          <w:rFonts w:ascii="Times New Roman" w:hAnsi="Times New Roman" w:eastAsia="楷体"/>
          <w:sz w:val="32"/>
          <w:szCs w:val="32"/>
          <w:shd w:val="clear" w:color="auto" w:fill="FFFFFF"/>
        </w:rPr>
        <w:t>（八）年末结转和结余：</w:t>
      </w:r>
      <w:r>
        <w:rPr>
          <w:rFonts w:ascii="Times New Roman" w:hAnsi="Times New Roman" w:eastAsia="方正仿宋_GBK"/>
          <w:sz w:val="32"/>
          <w:szCs w:val="32"/>
          <w:shd w:val="clear" w:color="auto" w:fill="FFFFFF"/>
        </w:rPr>
        <w:t>指单位结转下年的基本支出结转、项目支出结转和结余、经营结余。</w:t>
      </w:r>
    </w:p>
    <w:p>
      <w:pPr>
        <w:pStyle w:val="10"/>
        <w:spacing w:before="0" w:beforeAutospacing="0" w:after="0" w:afterAutospacing="0" w:line="596" w:lineRule="exact"/>
        <w:ind w:firstLine="643" w:firstLineChars="200"/>
        <w:rPr>
          <w:rFonts w:ascii="Times New Roman" w:hAnsi="Times New Roman" w:eastAsia="方正仿宋_GBK"/>
          <w:sz w:val="32"/>
          <w:szCs w:val="32"/>
        </w:rPr>
      </w:pPr>
      <w:r>
        <w:rPr>
          <w:rStyle w:val="8"/>
          <w:rFonts w:ascii="Times New Roman" w:hAnsi="Times New Roman" w:eastAsia="楷体"/>
          <w:sz w:val="32"/>
          <w:szCs w:val="32"/>
          <w:shd w:val="clear" w:color="auto" w:fill="FFFFFF"/>
        </w:rPr>
        <w:t>（九）基本支出：</w:t>
      </w:r>
      <w:r>
        <w:rPr>
          <w:rFonts w:ascii="Times New Roman" w:hAnsi="Times New Roman" w:eastAsia="方正仿宋_GBK"/>
          <w:sz w:val="32"/>
          <w:szCs w:val="32"/>
          <w:shd w:val="clear" w:color="auto" w:fill="FFFFFF"/>
        </w:rPr>
        <w:t>指为保障机构正常运转、完成日常工作任务而发生的人员经费和公用经费。其中：人员经费指政府收支分类经济科目中的“工资福利支出”和“对个人和家庭的补助”；公用经费指政府收支分类经济科目中除“工资福利支出”和“对个人和家庭的补助”外的其他支出。</w:t>
      </w:r>
    </w:p>
    <w:p>
      <w:pPr>
        <w:pStyle w:val="10"/>
        <w:spacing w:before="0" w:beforeAutospacing="0" w:after="0" w:afterAutospacing="0" w:line="596" w:lineRule="exact"/>
        <w:ind w:firstLine="643" w:firstLineChars="200"/>
        <w:rPr>
          <w:rFonts w:ascii="Times New Roman" w:hAnsi="Times New Roman" w:eastAsia="方正仿宋_GBK"/>
          <w:sz w:val="32"/>
          <w:szCs w:val="32"/>
        </w:rPr>
      </w:pPr>
      <w:r>
        <w:rPr>
          <w:rStyle w:val="8"/>
          <w:rFonts w:ascii="Times New Roman" w:hAnsi="Times New Roman" w:eastAsia="楷体"/>
          <w:sz w:val="32"/>
          <w:szCs w:val="32"/>
          <w:shd w:val="clear" w:color="auto" w:fill="FFFFFF"/>
        </w:rPr>
        <w:t>（十）项目支出：</w:t>
      </w:r>
      <w:r>
        <w:rPr>
          <w:rFonts w:ascii="Times New Roman" w:hAnsi="Times New Roman" w:eastAsia="方正仿宋_GBK"/>
          <w:sz w:val="32"/>
          <w:szCs w:val="32"/>
          <w:shd w:val="clear" w:color="auto" w:fill="FFFFFF"/>
        </w:rPr>
        <w:t>指在基本支出之外为完成特定行政任务和事业发展目标所发生的支出。</w:t>
      </w:r>
    </w:p>
    <w:p>
      <w:pPr>
        <w:pStyle w:val="10"/>
        <w:spacing w:before="0" w:beforeAutospacing="0" w:after="0" w:afterAutospacing="0" w:line="596" w:lineRule="exact"/>
        <w:ind w:firstLine="643" w:firstLineChars="200"/>
        <w:rPr>
          <w:rFonts w:ascii="Times New Roman" w:hAnsi="Times New Roman" w:eastAsia="方正仿宋_GBK"/>
          <w:sz w:val="32"/>
          <w:szCs w:val="32"/>
        </w:rPr>
      </w:pPr>
      <w:r>
        <w:rPr>
          <w:rStyle w:val="8"/>
          <w:rFonts w:ascii="Times New Roman" w:hAnsi="Times New Roman" w:eastAsia="楷体"/>
          <w:sz w:val="32"/>
          <w:szCs w:val="32"/>
          <w:shd w:val="clear" w:color="auto" w:fill="FFFFFF"/>
        </w:rPr>
        <w:t>（十一）经营支出：</w:t>
      </w:r>
      <w:r>
        <w:rPr>
          <w:rFonts w:ascii="Times New Roman" w:hAnsi="Times New Roman" w:eastAsia="方正仿宋_GBK"/>
          <w:sz w:val="32"/>
          <w:szCs w:val="32"/>
          <w:shd w:val="clear" w:color="auto" w:fill="FFFFFF"/>
        </w:rPr>
        <w:t>指事业单位在专业业务活动及其辅助活动之外开展非独立核算经营活动发生的支出。</w:t>
      </w:r>
    </w:p>
    <w:p>
      <w:pPr>
        <w:pStyle w:val="10"/>
        <w:spacing w:before="0" w:beforeAutospacing="0" w:after="0" w:afterAutospacing="0" w:line="596" w:lineRule="exact"/>
        <w:ind w:firstLine="643" w:firstLineChars="200"/>
        <w:rPr>
          <w:rFonts w:ascii="Times New Roman" w:hAnsi="Times New Roman" w:eastAsia="方正仿宋_GBK"/>
          <w:sz w:val="32"/>
          <w:szCs w:val="32"/>
        </w:rPr>
      </w:pPr>
      <w:r>
        <w:rPr>
          <w:rStyle w:val="8"/>
          <w:rFonts w:ascii="Times New Roman" w:hAnsi="Times New Roman" w:eastAsia="楷体"/>
          <w:sz w:val="32"/>
          <w:szCs w:val="32"/>
          <w:shd w:val="clear" w:color="auto" w:fill="FFFFFF"/>
        </w:rPr>
        <w:t>（十二）“三公”经费：</w:t>
      </w:r>
      <w:r>
        <w:rPr>
          <w:rFonts w:ascii="Times New Roman" w:hAnsi="Times New Roman" w:eastAsia="方正仿宋_GBK"/>
          <w:sz w:val="32"/>
          <w:szCs w:val="32"/>
          <w:shd w:val="clear" w:color="auto" w:fill="FFFFFF"/>
        </w:rPr>
        <w:t>指用一般公共预算财政拨款安排的因公出国（境）费、公务用车购置及运行维护费、公务接待费。其中，因公出国（境）费反映单位公务出国（境）的国际旅费、国外城市间交通费、住宿费、伙食费、培训费、公杂费等支出；公务用车购置费反映单位公务用车购置支出（含车辆购置税）；公务用车运行维护费反映单位按规定保留的公务用车燃料费、维修费、过路过桥费、保险费、安全奖励费用等支出；公务接待费反映单位按规定开支的各类公务接待（含外宾接待）支出。</w:t>
      </w:r>
    </w:p>
    <w:p>
      <w:pPr>
        <w:pStyle w:val="10"/>
        <w:spacing w:before="0" w:beforeAutospacing="0" w:after="0" w:afterAutospacing="0" w:line="596" w:lineRule="exact"/>
        <w:ind w:firstLine="643" w:firstLineChars="200"/>
        <w:rPr>
          <w:rFonts w:ascii="Times New Roman" w:hAnsi="Times New Roman" w:eastAsia="方正仿宋_GBK"/>
          <w:sz w:val="32"/>
          <w:szCs w:val="32"/>
        </w:rPr>
      </w:pPr>
      <w:r>
        <w:rPr>
          <w:rStyle w:val="8"/>
          <w:rFonts w:ascii="Times New Roman" w:hAnsi="Times New Roman" w:eastAsia="楷体"/>
          <w:sz w:val="32"/>
          <w:szCs w:val="32"/>
          <w:shd w:val="clear" w:color="auto" w:fill="FFFFFF"/>
        </w:rPr>
        <w:t>（十三）机关运行经费：</w:t>
      </w:r>
      <w:r>
        <w:rPr>
          <w:rFonts w:ascii="Times New Roman" w:hAnsi="Times New Roman" w:eastAsia="方正仿宋_GBK"/>
          <w:sz w:val="32"/>
          <w:szCs w:val="32"/>
          <w:shd w:val="clear" w:color="auto" w:fill="FFFFFF"/>
        </w:rPr>
        <w:t>为保障行政单位（含参照公务员法管理的事业单位）运行用于购买货物和服务等的各项公用经费，包括办公及印刷费、邮电费、差旅费、会议费、福利费、日常维护费、专用材料及一般设备购置费、办公用房水电费、办公用房取暖费、办公用房物业管理费、公务用车运行维护费以及其他费用。</w:t>
      </w:r>
    </w:p>
    <w:p>
      <w:pPr>
        <w:pStyle w:val="10"/>
        <w:spacing w:before="0" w:beforeAutospacing="0" w:after="0" w:afterAutospacing="0" w:line="596" w:lineRule="exact"/>
        <w:ind w:firstLine="643" w:firstLineChars="200"/>
        <w:rPr>
          <w:rFonts w:ascii="Times New Roman" w:hAnsi="Times New Roman" w:eastAsia="方正仿宋_GBK"/>
          <w:sz w:val="32"/>
          <w:szCs w:val="32"/>
        </w:rPr>
      </w:pPr>
      <w:r>
        <w:rPr>
          <w:rStyle w:val="8"/>
          <w:rFonts w:ascii="Times New Roman" w:hAnsi="Times New Roman" w:eastAsia="楷体"/>
          <w:sz w:val="32"/>
          <w:szCs w:val="32"/>
          <w:shd w:val="clear" w:color="auto" w:fill="FFFFFF"/>
        </w:rPr>
        <w:t>（十四）工资福利支出（支出经济分类科目类级）：</w:t>
      </w:r>
      <w:r>
        <w:rPr>
          <w:rFonts w:ascii="Times New Roman" w:hAnsi="Times New Roman" w:eastAsia="方正仿宋_GBK"/>
          <w:sz w:val="32"/>
          <w:szCs w:val="32"/>
          <w:shd w:val="clear" w:color="auto" w:fill="FFFFFF"/>
        </w:rPr>
        <w:t>反映单位开支的在职职工和编制外长期聘用人员的各类劳动报酬，以及为上述人员缴纳的各项社会保险费等。</w:t>
      </w:r>
    </w:p>
    <w:p>
      <w:pPr>
        <w:pStyle w:val="10"/>
        <w:spacing w:before="0" w:beforeAutospacing="0" w:after="0" w:afterAutospacing="0" w:line="596" w:lineRule="exact"/>
        <w:ind w:firstLine="643" w:firstLineChars="200"/>
        <w:rPr>
          <w:rFonts w:ascii="Times New Roman" w:hAnsi="Times New Roman" w:eastAsia="方正仿宋_GBK"/>
          <w:sz w:val="32"/>
          <w:szCs w:val="32"/>
        </w:rPr>
      </w:pPr>
      <w:r>
        <w:rPr>
          <w:rStyle w:val="8"/>
          <w:rFonts w:ascii="Times New Roman" w:hAnsi="Times New Roman" w:eastAsia="楷体"/>
          <w:sz w:val="32"/>
          <w:szCs w:val="32"/>
          <w:shd w:val="clear" w:color="auto" w:fill="FFFFFF"/>
        </w:rPr>
        <w:t>（十五）商品和服务支出（支出经济分类科目类级）：</w:t>
      </w:r>
      <w:r>
        <w:rPr>
          <w:rFonts w:ascii="Times New Roman" w:hAnsi="Times New Roman" w:eastAsia="方正仿宋_GBK"/>
          <w:sz w:val="32"/>
          <w:szCs w:val="32"/>
          <w:shd w:val="clear" w:color="auto" w:fill="FFFFFF"/>
        </w:rPr>
        <w:t>反映单位购买商品和服务的支出（不包括用于购置固定资产的支出、战略性和应急储备支出）。</w:t>
      </w:r>
    </w:p>
    <w:p>
      <w:pPr>
        <w:pStyle w:val="10"/>
        <w:spacing w:before="0" w:beforeAutospacing="0" w:after="0" w:afterAutospacing="0" w:line="596" w:lineRule="exact"/>
        <w:ind w:firstLine="643" w:firstLineChars="200"/>
        <w:rPr>
          <w:rFonts w:ascii="Times New Roman" w:hAnsi="Times New Roman" w:eastAsia="方正仿宋_GBK"/>
          <w:sz w:val="32"/>
          <w:szCs w:val="32"/>
        </w:rPr>
      </w:pPr>
      <w:r>
        <w:rPr>
          <w:rStyle w:val="8"/>
          <w:rFonts w:ascii="Times New Roman" w:hAnsi="Times New Roman" w:eastAsia="楷体"/>
          <w:sz w:val="32"/>
          <w:szCs w:val="32"/>
          <w:shd w:val="clear" w:color="auto" w:fill="FFFFFF"/>
        </w:rPr>
        <w:t>（十六）对个人和家庭的补助（支出经济分类科目类级）：</w:t>
      </w:r>
      <w:r>
        <w:rPr>
          <w:rFonts w:ascii="Times New Roman" w:hAnsi="Times New Roman" w:eastAsia="方正仿宋_GBK"/>
          <w:sz w:val="32"/>
          <w:szCs w:val="32"/>
          <w:shd w:val="clear" w:color="auto" w:fill="FFFFFF"/>
        </w:rPr>
        <w:t>反映用于对个人和家庭的补助支出。</w:t>
      </w:r>
    </w:p>
    <w:p>
      <w:pPr>
        <w:pStyle w:val="10"/>
        <w:spacing w:before="0" w:beforeAutospacing="0" w:after="0" w:afterAutospacing="0" w:line="596" w:lineRule="exact"/>
        <w:ind w:firstLine="643" w:firstLineChars="200"/>
        <w:rPr>
          <w:rFonts w:ascii="Times New Roman" w:hAnsi="Times New Roman" w:eastAsia="方正仿宋_GBK"/>
          <w:sz w:val="32"/>
          <w:szCs w:val="32"/>
        </w:rPr>
      </w:pPr>
      <w:r>
        <w:rPr>
          <w:rStyle w:val="8"/>
          <w:rFonts w:ascii="Times New Roman" w:hAnsi="Times New Roman" w:eastAsia="楷体"/>
          <w:sz w:val="32"/>
          <w:szCs w:val="32"/>
          <w:shd w:val="clear" w:color="auto" w:fill="FFFFFF"/>
        </w:rPr>
        <w:t>（十七）其他资本性支出（支出经济分类科目类级）：</w:t>
      </w:r>
      <w:r>
        <w:rPr>
          <w:rFonts w:ascii="Times New Roman" w:hAnsi="Times New Roman" w:eastAsia="方正仿宋_GBK"/>
          <w:sz w:val="32"/>
          <w:szCs w:val="32"/>
          <w:shd w:val="clear" w:color="auto" w:fill="FFFFFF"/>
        </w:rPr>
        <w:t>反映非各级发展与改革部门集中安排的用于购置固定资产、战略性和应急性储备、土地和无形资产，以及构建基础设施、大型修缮和财政支持企业更新改造所发生的支出。</w:t>
      </w:r>
    </w:p>
    <w:p>
      <w:pPr>
        <w:pStyle w:val="10"/>
        <w:spacing w:before="0" w:beforeAutospacing="0" w:after="0" w:afterAutospacing="0" w:line="596" w:lineRule="exact"/>
        <w:ind w:firstLine="643" w:firstLineChars="200"/>
        <w:rPr>
          <w:rFonts w:ascii="Times New Roman" w:hAnsi="Times New Roman" w:eastAsia="方正仿宋_GBK"/>
          <w:sz w:val="32"/>
          <w:szCs w:val="32"/>
        </w:rPr>
      </w:pPr>
      <w:r>
        <w:rPr>
          <w:rStyle w:val="8"/>
          <w:rFonts w:ascii="Times New Roman" w:hAnsi="Times New Roman" w:eastAsia="黑体"/>
          <w:sz w:val="32"/>
          <w:szCs w:val="32"/>
          <w:shd w:val="clear" w:color="auto" w:fill="FFFFFF"/>
        </w:rPr>
        <w:t>七、决算公开联系方式及信息反馈渠道</w:t>
      </w:r>
    </w:p>
    <w:p>
      <w:pPr>
        <w:pStyle w:val="10"/>
        <w:spacing w:before="0" w:beforeAutospacing="0" w:after="0" w:afterAutospacing="0" w:line="596" w:lineRule="exact"/>
        <w:ind w:firstLine="640" w:firstLineChars="200"/>
        <w:rPr>
          <w:rFonts w:ascii="Times New Roman" w:hAnsi="Times New Roman" w:eastAsia="方正仿宋_GBK"/>
          <w:sz w:val="32"/>
          <w:szCs w:val="32"/>
        </w:rPr>
      </w:pPr>
      <w:r>
        <w:rPr>
          <w:rFonts w:ascii="Times New Roman" w:hAnsi="Times New Roman" w:eastAsia="方正仿宋_GBK"/>
          <w:sz w:val="32"/>
          <w:szCs w:val="32"/>
          <w:shd w:val="clear" w:color="auto" w:fill="FFFFFF"/>
        </w:rPr>
        <w:t>本</w:t>
      </w:r>
      <w:r>
        <w:rPr>
          <w:rFonts w:hint="eastAsia" w:ascii="Times New Roman" w:hAnsi="Times New Roman" w:eastAsia="方正仿宋_GBK"/>
          <w:sz w:val="32"/>
          <w:szCs w:val="32"/>
          <w:shd w:val="clear" w:color="auto" w:fill="FFFFFF"/>
        </w:rPr>
        <w:t>部门</w:t>
      </w:r>
      <w:r>
        <w:rPr>
          <w:rFonts w:ascii="Times New Roman" w:hAnsi="Times New Roman" w:eastAsia="方正仿宋_GBK"/>
          <w:sz w:val="32"/>
          <w:szCs w:val="32"/>
          <w:shd w:val="clear" w:color="auto" w:fill="FFFFFF"/>
        </w:rPr>
        <w:t>决算公开信息反馈和联系方式：</w:t>
      </w:r>
    </w:p>
    <w:p>
      <w:pPr>
        <w:pStyle w:val="10"/>
        <w:spacing w:before="0" w:beforeAutospacing="0" w:after="0" w:afterAutospacing="0" w:line="596" w:lineRule="exact"/>
        <w:ind w:firstLine="640" w:firstLineChars="200"/>
        <w:rPr>
          <w:rFonts w:ascii="Times New Roman" w:hAnsi="Times New Roman" w:eastAsia="方正仿宋_GBK"/>
          <w:sz w:val="32"/>
          <w:szCs w:val="32"/>
          <w:shd w:val="clear" w:color="auto" w:fill="FFFFFF"/>
        </w:rPr>
      </w:pPr>
      <w:r>
        <w:rPr>
          <w:rFonts w:ascii="Times New Roman" w:hAnsi="Times New Roman" w:eastAsia="方正仿宋_GBK"/>
          <w:sz w:val="32"/>
          <w:szCs w:val="32"/>
          <w:shd w:val="clear" w:color="auto" w:fill="FFFFFF"/>
        </w:rPr>
        <w:t>联系人：周俊宏 联系方式：023-45422597</w:t>
      </w:r>
    </w:p>
    <w:p>
      <w:pPr>
        <w:pStyle w:val="9"/>
        <w:autoSpaceDE w:val="0"/>
        <w:spacing w:line="596" w:lineRule="exact"/>
        <w:ind w:firstLine="0" w:firstLineChars="0"/>
        <w:jc w:val="both"/>
        <w:rPr>
          <w:rFonts w:ascii="Times New Roman" w:hAnsi="Times New Roman"/>
          <w:sz w:val="21"/>
          <w:szCs w:val="21"/>
        </w:rPr>
      </w:pPr>
    </w:p>
    <w:sectPr>
      <w:headerReference r:id="rId3" w:type="default"/>
      <w:footerReference r:id="rId4" w:type="default"/>
      <w:pgSz w:w="11850" w:h="16783"/>
      <w:pgMar w:top="1440" w:right="1803" w:bottom="1440" w:left="1803" w:header="0" w:footer="283" w:gutter="0"/>
      <w:pgNumType w:fmt="numberInDash"/>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86"/>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方正小标宋_GBK">
    <w:panose1 w:val="02000000000000000000"/>
    <w:charset w:val="86"/>
    <w:family w:val="script"/>
    <w:pitch w:val="default"/>
    <w:sig w:usb0="00000001" w:usb1="08000000" w:usb2="00000000" w:usb3="00000000" w:csb0="00040000" w:csb1="00000000"/>
  </w:font>
  <w:font w:name="方正仿宋_GBK">
    <w:panose1 w:val="02000000000000000000"/>
    <w:charset w:val="86"/>
    <w:family w:val="script"/>
    <w:pitch w:val="default"/>
    <w:sig w:usb0="00000001" w:usb1="08000000" w:usb2="00000000" w:usb3="00000000" w:csb0="00040000" w:csb1="00000000"/>
  </w:font>
  <w:font w:name="楷体">
    <w:altName w:val="方正楷体_GBK"/>
    <w:panose1 w:val="02010609060101010101"/>
    <w:charset w:val="86"/>
    <w:family w:val="modern"/>
    <w:pitch w:val="default"/>
    <w:sig w:usb0="00000000" w:usb1="00000000" w:usb2="00000016" w:usb3="00000000" w:csb0="00040001" w:csb1="00000000"/>
  </w:font>
  <w:font w:name="方正楷体_GBK">
    <w:panose1 w:val="02000000000000000000"/>
    <w:charset w:val="86"/>
    <w:family w:val="script"/>
    <w:pitch w:val="default"/>
    <w:sig w:usb0="00000001" w:usb1="0800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方正书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jc w:val="both"/>
      <w:rPr>
        <w:rFonts w:hint="default"/>
      </w:rPr>
    </w:pPr>
    <w:r>
      <w:rPr>
        <w:rFonts w:hint="default"/>
      </w:rPr>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allowoverlap="f">
          <v:path/>
          <v:fill on="f" focussize="0,0"/>
          <v:stroke on="f" weight="0.5pt" joinstyle="miter"/>
          <v:imagedata o:title=""/>
          <o:lock v:ext="edit"/>
          <v:textbox inset="0mm,0mm,0mm,0mm" style="mso-fit-shape-to-text:t;">
            <w:txbxContent>
              <w:p>
                <w:pPr>
                  <w:pStyle w:val="2"/>
                  <w:rPr>
                    <w:rFonts w:hint="default"/>
                  </w:rPr>
                </w:pPr>
                <w:r>
                  <w:fldChar w:fldCharType="begin"/>
                </w:r>
                <w:r>
                  <w:instrText xml:space="preserve">PAGE   \* MERGEFORMAT</w:instrText>
                </w:r>
                <w:r>
                  <w:fldChar w:fldCharType="separate"/>
                </w:r>
                <w:r>
                  <w:rPr>
                    <w:rFonts w:hint="default"/>
                    <w:lang w:val="zh-CN"/>
                  </w:rPr>
                  <w:t>-</w:t>
                </w:r>
                <w:r>
                  <w:rPr>
                    <w:rFonts w:hint="default"/>
                  </w:rPr>
                  <w:t xml:space="preserve"> 1 -</w:t>
                </w:r>
                <w:r>
                  <w:fldChar w:fldCharType="end"/>
                </w:r>
              </w:p>
            </w:txbxContent>
          </v:textbox>
        </v:shape>
      </w:pict>
    </w:r>
    <w:r>
      <w:rPr>
        <w:rFonts w:hint="default"/>
      </w:rPr>
      <w:pict>
        <v:shape id="_x0000_s1027" o:spid="_x0000_s1027" o:spt="202" type="#_x0000_t202" style="position:absolute;left:0pt;margin-top:1160.4pt;height:17.4pt;width:144pt;mso-position-horizontal:center;mso-position-horizontal-relative:margin;mso-position-vertical-relative:page;mso-wrap-style:none;z-index:251659264;mso-width-relative:page;mso-height-relative:page;" filled="f" stroked="f" coordsize="21600,21600" o:allowoverlap="f">
          <v:path/>
          <v:fill on="f" focussize="0,0"/>
          <v:stroke on="f" weight="0.5pt" joinstyle="miter"/>
          <v:imagedata o:title=""/>
          <o:lock v:ext="edit"/>
          <v:textbox inset="0mm,0mm,0mm,0mm">
            <w:txbxContent>
              <w:p>
                <w:pPr>
                  <w:pStyle w:val="2"/>
                  <w:jc w:val="both"/>
                  <w:rPr>
                    <w:rFonts w:hint="default" w:cs="宋体"/>
                  </w:rPr>
                </w:pPr>
                <w:r>
                  <w:rPr>
                    <w:rFonts w:cs="宋体"/>
                  </w:rPr>
                  <w:t>— 27.1 —</w:t>
                </w:r>
              </w:p>
            </w:txbxContent>
          </v:textbox>
        </v:shape>
      </w:pic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tabs>
        <w:tab w:val="left" w:pos="1758"/>
        <w:tab w:val="clear" w:pos="4153"/>
        <w:tab w:val="clear" w:pos="8306"/>
      </w:tabs>
      <w:rPr>
        <w:rFonts w:hint="default"/>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B7C9CF0"/>
    <w:multiLevelType w:val="singleLevel"/>
    <w:tmpl w:val="1B7C9CF0"/>
    <w:lvl w:ilvl="0" w:tentative="0">
      <w:start w:val="3"/>
      <w:numFmt w:val="chineseCounting"/>
      <w:suff w:val="nothing"/>
      <w:lvlText w:val="（%1）"/>
      <w:lvlJc w:val="left"/>
      <w:pPr>
        <w:ind w:left="640" w:firstLine="0"/>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true"/>
  <w:embedSystemFonts/>
  <w:bordersDoNotSurroundHeader w:val="true"/>
  <w:bordersDoNotSurroundFooter w:val="true"/>
  <w:documentProtection w:enforcement="0"/>
  <w:defaultTabStop w:val="420"/>
  <w:drawingGridVerticalSpacing w:val="156"/>
  <w:noPunctuationKerning w:val="true"/>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docVars>
    <w:docVar w:name="commondata" w:val="eyJoZGlkIjoiMjRiYmFkZjU3ZWZjZDY5NmU5MDlkMGRjZTY2MTQ4NTgifQ=="/>
  </w:docVars>
  <w:rsids>
    <w:rsidRoot w:val="00B03CCD"/>
    <w:rsid w:val="00017C87"/>
    <w:rsid w:val="000635E1"/>
    <w:rsid w:val="00064AAF"/>
    <w:rsid w:val="0007317A"/>
    <w:rsid w:val="000C4DDA"/>
    <w:rsid w:val="000D7BCC"/>
    <w:rsid w:val="000F20E2"/>
    <w:rsid w:val="001107C8"/>
    <w:rsid w:val="001B2437"/>
    <w:rsid w:val="001E554A"/>
    <w:rsid w:val="00205010"/>
    <w:rsid w:val="0025032C"/>
    <w:rsid w:val="00285684"/>
    <w:rsid w:val="00294820"/>
    <w:rsid w:val="002A47F1"/>
    <w:rsid w:val="002F791C"/>
    <w:rsid w:val="00334B55"/>
    <w:rsid w:val="00383287"/>
    <w:rsid w:val="003D5AD6"/>
    <w:rsid w:val="003F2F17"/>
    <w:rsid w:val="00407291"/>
    <w:rsid w:val="00447A91"/>
    <w:rsid w:val="00463286"/>
    <w:rsid w:val="00467A32"/>
    <w:rsid w:val="00472976"/>
    <w:rsid w:val="00474663"/>
    <w:rsid w:val="004D4BD3"/>
    <w:rsid w:val="004D6118"/>
    <w:rsid w:val="00533DF6"/>
    <w:rsid w:val="00550ABE"/>
    <w:rsid w:val="005655A7"/>
    <w:rsid w:val="00565A28"/>
    <w:rsid w:val="005D2D7A"/>
    <w:rsid w:val="005E0D2F"/>
    <w:rsid w:val="00694A15"/>
    <w:rsid w:val="006A6C72"/>
    <w:rsid w:val="006D56CA"/>
    <w:rsid w:val="006F743D"/>
    <w:rsid w:val="007A403A"/>
    <w:rsid w:val="007B419D"/>
    <w:rsid w:val="007C7D66"/>
    <w:rsid w:val="008272CD"/>
    <w:rsid w:val="00830B3E"/>
    <w:rsid w:val="00870059"/>
    <w:rsid w:val="00886A34"/>
    <w:rsid w:val="00891149"/>
    <w:rsid w:val="008F1FCB"/>
    <w:rsid w:val="009042D5"/>
    <w:rsid w:val="00910AAD"/>
    <w:rsid w:val="00915725"/>
    <w:rsid w:val="009474D3"/>
    <w:rsid w:val="00955E33"/>
    <w:rsid w:val="009757F4"/>
    <w:rsid w:val="00995D07"/>
    <w:rsid w:val="0099734C"/>
    <w:rsid w:val="009B67B8"/>
    <w:rsid w:val="009B7EFC"/>
    <w:rsid w:val="009F2E6D"/>
    <w:rsid w:val="009F4B21"/>
    <w:rsid w:val="00A13EAD"/>
    <w:rsid w:val="00A3500A"/>
    <w:rsid w:val="00A5545C"/>
    <w:rsid w:val="00AB36DC"/>
    <w:rsid w:val="00AB719B"/>
    <w:rsid w:val="00AE2BEA"/>
    <w:rsid w:val="00AE2C54"/>
    <w:rsid w:val="00AF7315"/>
    <w:rsid w:val="00B03CCD"/>
    <w:rsid w:val="00B32474"/>
    <w:rsid w:val="00B53DF6"/>
    <w:rsid w:val="00B71815"/>
    <w:rsid w:val="00B93C5A"/>
    <w:rsid w:val="00BB4A35"/>
    <w:rsid w:val="00BC0127"/>
    <w:rsid w:val="00BD669D"/>
    <w:rsid w:val="00BE18DA"/>
    <w:rsid w:val="00BF7307"/>
    <w:rsid w:val="00C21DDD"/>
    <w:rsid w:val="00C2357E"/>
    <w:rsid w:val="00C738DB"/>
    <w:rsid w:val="00CA3711"/>
    <w:rsid w:val="00CC14FE"/>
    <w:rsid w:val="00CE2B0C"/>
    <w:rsid w:val="00CE782A"/>
    <w:rsid w:val="00D342F0"/>
    <w:rsid w:val="00D632CF"/>
    <w:rsid w:val="00E007D7"/>
    <w:rsid w:val="00E36B80"/>
    <w:rsid w:val="00E36BA1"/>
    <w:rsid w:val="00E427A4"/>
    <w:rsid w:val="00E60C52"/>
    <w:rsid w:val="00E975B4"/>
    <w:rsid w:val="00EA4BD6"/>
    <w:rsid w:val="00EE55D8"/>
    <w:rsid w:val="00F06216"/>
    <w:rsid w:val="00F24136"/>
    <w:rsid w:val="00F37B46"/>
    <w:rsid w:val="00F85196"/>
    <w:rsid w:val="00FE6943"/>
    <w:rsid w:val="01474EBF"/>
    <w:rsid w:val="01CD7566"/>
    <w:rsid w:val="01F3521E"/>
    <w:rsid w:val="038A1BB2"/>
    <w:rsid w:val="03DD7F34"/>
    <w:rsid w:val="03E3214F"/>
    <w:rsid w:val="04446191"/>
    <w:rsid w:val="044C50BA"/>
    <w:rsid w:val="0536621F"/>
    <w:rsid w:val="05E71467"/>
    <w:rsid w:val="05FE4192"/>
    <w:rsid w:val="06247E33"/>
    <w:rsid w:val="063D4CBA"/>
    <w:rsid w:val="06475B39"/>
    <w:rsid w:val="06A2550B"/>
    <w:rsid w:val="06F80EE2"/>
    <w:rsid w:val="07001CCA"/>
    <w:rsid w:val="075321D2"/>
    <w:rsid w:val="075678DB"/>
    <w:rsid w:val="078608E3"/>
    <w:rsid w:val="07932335"/>
    <w:rsid w:val="08051BCA"/>
    <w:rsid w:val="080A21BB"/>
    <w:rsid w:val="08BA052C"/>
    <w:rsid w:val="08DB07BA"/>
    <w:rsid w:val="098305D0"/>
    <w:rsid w:val="09A514F4"/>
    <w:rsid w:val="09B72B6E"/>
    <w:rsid w:val="0A0C7F04"/>
    <w:rsid w:val="0A227275"/>
    <w:rsid w:val="0A5C4B69"/>
    <w:rsid w:val="0B2C354F"/>
    <w:rsid w:val="0B9335CE"/>
    <w:rsid w:val="0BA10C97"/>
    <w:rsid w:val="0BB43C70"/>
    <w:rsid w:val="0C152235"/>
    <w:rsid w:val="0C4F3999"/>
    <w:rsid w:val="0C554661"/>
    <w:rsid w:val="0C7927C4"/>
    <w:rsid w:val="0C9B098C"/>
    <w:rsid w:val="0CAC4948"/>
    <w:rsid w:val="0CE80A8F"/>
    <w:rsid w:val="0D472B48"/>
    <w:rsid w:val="0D673E11"/>
    <w:rsid w:val="0DB50EFE"/>
    <w:rsid w:val="0DDA54E4"/>
    <w:rsid w:val="0E26072A"/>
    <w:rsid w:val="0E3A5F83"/>
    <w:rsid w:val="0E9478E1"/>
    <w:rsid w:val="0F836721"/>
    <w:rsid w:val="102313C5"/>
    <w:rsid w:val="103645A3"/>
    <w:rsid w:val="107B59E5"/>
    <w:rsid w:val="10AA219D"/>
    <w:rsid w:val="11003CB0"/>
    <w:rsid w:val="11124E18"/>
    <w:rsid w:val="111445C7"/>
    <w:rsid w:val="1158083A"/>
    <w:rsid w:val="11F03528"/>
    <w:rsid w:val="12413D84"/>
    <w:rsid w:val="129C545E"/>
    <w:rsid w:val="12C921C4"/>
    <w:rsid w:val="12DA353E"/>
    <w:rsid w:val="12FD4233"/>
    <w:rsid w:val="13850DCB"/>
    <w:rsid w:val="13871C70"/>
    <w:rsid w:val="13A71CB4"/>
    <w:rsid w:val="13AF1D43"/>
    <w:rsid w:val="13CE1647"/>
    <w:rsid w:val="14200702"/>
    <w:rsid w:val="144F3F11"/>
    <w:rsid w:val="149D101A"/>
    <w:rsid w:val="14AA3E63"/>
    <w:rsid w:val="152139F9"/>
    <w:rsid w:val="154D2A40"/>
    <w:rsid w:val="15673B02"/>
    <w:rsid w:val="1580711B"/>
    <w:rsid w:val="158A77F0"/>
    <w:rsid w:val="16810BF3"/>
    <w:rsid w:val="16D80EBF"/>
    <w:rsid w:val="17E53404"/>
    <w:rsid w:val="189B0D0B"/>
    <w:rsid w:val="18E03A42"/>
    <w:rsid w:val="18FF04F5"/>
    <w:rsid w:val="19313430"/>
    <w:rsid w:val="194A1770"/>
    <w:rsid w:val="19B906A4"/>
    <w:rsid w:val="19BC4734"/>
    <w:rsid w:val="1A1F744B"/>
    <w:rsid w:val="1AB10093"/>
    <w:rsid w:val="1AE87493"/>
    <w:rsid w:val="1B501DE7"/>
    <w:rsid w:val="1B522B5E"/>
    <w:rsid w:val="1B6F15B6"/>
    <w:rsid w:val="1BAA2EDC"/>
    <w:rsid w:val="1BC027C5"/>
    <w:rsid w:val="1BF65BDF"/>
    <w:rsid w:val="1C346708"/>
    <w:rsid w:val="1C6963B1"/>
    <w:rsid w:val="1CE157EE"/>
    <w:rsid w:val="1D014A01"/>
    <w:rsid w:val="1D022362"/>
    <w:rsid w:val="1D091B60"/>
    <w:rsid w:val="1D4A222A"/>
    <w:rsid w:val="1D6D1692"/>
    <w:rsid w:val="1D794AE5"/>
    <w:rsid w:val="1DC72496"/>
    <w:rsid w:val="1DD26311"/>
    <w:rsid w:val="1DE57DAF"/>
    <w:rsid w:val="1EF67CA4"/>
    <w:rsid w:val="1F213FD9"/>
    <w:rsid w:val="1F4E188E"/>
    <w:rsid w:val="1F66307C"/>
    <w:rsid w:val="1FCD26AF"/>
    <w:rsid w:val="1FD75D28"/>
    <w:rsid w:val="20642787"/>
    <w:rsid w:val="20931C4F"/>
    <w:rsid w:val="20C83310"/>
    <w:rsid w:val="20EC77A3"/>
    <w:rsid w:val="21556F04"/>
    <w:rsid w:val="216838F8"/>
    <w:rsid w:val="22403BD3"/>
    <w:rsid w:val="2492221D"/>
    <w:rsid w:val="24B92327"/>
    <w:rsid w:val="25021151"/>
    <w:rsid w:val="2533755C"/>
    <w:rsid w:val="25583467"/>
    <w:rsid w:val="26396DF4"/>
    <w:rsid w:val="266B763B"/>
    <w:rsid w:val="26F251F5"/>
    <w:rsid w:val="27167136"/>
    <w:rsid w:val="27223D2C"/>
    <w:rsid w:val="27624129"/>
    <w:rsid w:val="27B23302"/>
    <w:rsid w:val="27D424D7"/>
    <w:rsid w:val="28123DA1"/>
    <w:rsid w:val="285722C3"/>
    <w:rsid w:val="28DC1FF8"/>
    <w:rsid w:val="28EC45F2"/>
    <w:rsid w:val="29310A5F"/>
    <w:rsid w:val="29C37A35"/>
    <w:rsid w:val="2A076083"/>
    <w:rsid w:val="2A306CA5"/>
    <w:rsid w:val="2A73162E"/>
    <w:rsid w:val="2AFA2E94"/>
    <w:rsid w:val="2B167953"/>
    <w:rsid w:val="2B200583"/>
    <w:rsid w:val="2B7E174D"/>
    <w:rsid w:val="2B8209DE"/>
    <w:rsid w:val="2B8C79C6"/>
    <w:rsid w:val="2B8F74B6"/>
    <w:rsid w:val="2BDB26FC"/>
    <w:rsid w:val="2C6762A3"/>
    <w:rsid w:val="2D5F4C37"/>
    <w:rsid w:val="2DC7118A"/>
    <w:rsid w:val="2EA43279"/>
    <w:rsid w:val="2F7C41F6"/>
    <w:rsid w:val="2FE029D7"/>
    <w:rsid w:val="2FF06E00"/>
    <w:rsid w:val="315F0B22"/>
    <w:rsid w:val="31BE24D6"/>
    <w:rsid w:val="31D84415"/>
    <w:rsid w:val="31F97D80"/>
    <w:rsid w:val="32285F6F"/>
    <w:rsid w:val="32384404"/>
    <w:rsid w:val="32770556"/>
    <w:rsid w:val="329C0913"/>
    <w:rsid w:val="32FD564D"/>
    <w:rsid w:val="3337290D"/>
    <w:rsid w:val="33DB598F"/>
    <w:rsid w:val="342C7F98"/>
    <w:rsid w:val="34F52A80"/>
    <w:rsid w:val="352930DB"/>
    <w:rsid w:val="35573069"/>
    <w:rsid w:val="355A28E3"/>
    <w:rsid w:val="358C217E"/>
    <w:rsid w:val="359E7284"/>
    <w:rsid w:val="359F188C"/>
    <w:rsid w:val="361231BE"/>
    <w:rsid w:val="366A2FFA"/>
    <w:rsid w:val="36C9128A"/>
    <w:rsid w:val="378400EB"/>
    <w:rsid w:val="37841E99"/>
    <w:rsid w:val="379C594F"/>
    <w:rsid w:val="37BF1123"/>
    <w:rsid w:val="37C85E36"/>
    <w:rsid w:val="38082ACA"/>
    <w:rsid w:val="38BC1135"/>
    <w:rsid w:val="38BE4696"/>
    <w:rsid w:val="39B82A39"/>
    <w:rsid w:val="39F33306"/>
    <w:rsid w:val="3A080B60"/>
    <w:rsid w:val="3A571AE7"/>
    <w:rsid w:val="3B1705E5"/>
    <w:rsid w:val="3B18334B"/>
    <w:rsid w:val="3B36794F"/>
    <w:rsid w:val="3B544954"/>
    <w:rsid w:val="3B793FF0"/>
    <w:rsid w:val="3B97076E"/>
    <w:rsid w:val="3C2D0D52"/>
    <w:rsid w:val="3C461E13"/>
    <w:rsid w:val="3C5A5928"/>
    <w:rsid w:val="3C6A5B02"/>
    <w:rsid w:val="3D2757A1"/>
    <w:rsid w:val="3D3D4FC4"/>
    <w:rsid w:val="3DDF3AB1"/>
    <w:rsid w:val="3DE60B7E"/>
    <w:rsid w:val="3E1D0952"/>
    <w:rsid w:val="3E42660A"/>
    <w:rsid w:val="3E7555B1"/>
    <w:rsid w:val="3EA72472"/>
    <w:rsid w:val="3EDE1208"/>
    <w:rsid w:val="3EEA4CD8"/>
    <w:rsid w:val="3F0527E5"/>
    <w:rsid w:val="3F16459E"/>
    <w:rsid w:val="3F3348D1"/>
    <w:rsid w:val="3F4A6687"/>
    <w:rsid w:val="3FA33390"/>
    <w:rsid w:val="4004000C"/>
    <w:rsid w:val="407056B1"/>
    <w:rsid w:val="40844CB8"/>
    <w:rsid w:val="410A340F"/>
    <w:rsid w:val="411B6CE5"/>
    <w:rsid w:val="412070D7"/>
    <w:rsid w:val="41314E40"/>
    <w:rsid w:val="415C674B"/>
    <w:rsid w:val="41614FF9"/>
    <w:rsid w:val="418A27A2"/>
    <w:rsid w:val="41D023D3"/>
    <w:rsid w:val="41E2438C"/>
    <w:rsid w:val="41E719A3"/>
    <w:rsid w:val="426C1EA8"/>
    <w:rsid w:val="42A47894"/>
    <w:rsid w:val="42E86A87"/>
    <w:rsid w:val="43136432"/>
    <w:rsid w:val="43195B8C"/>
    <w:rsid w:val="43282273"/>
    <w:rsid w:val="439E42E3"/>
    <w:rsid w:val="43C27FD1"/>
    <w:rsid w:val="443A3B12"/>
    <w:rsid w:val="44487B36"/>
    <w:rsid w:val="4473751E"/>
    <w:rsid w:val="44E16B7D"/>
    <w:rsid w:val="44EF6BE8"/>
    <w:rsid w:val="45327635"/>
    <w:rsid w:val="457C68A6"/>
    <w:rsid w:val="45A30364"/>
    <w:rsid w:val="4645313C"/>
    <w:rsid w:val="465B470D"/>
    <w:rsid w:val="469D6AD4"/>
    <w:rsid w:val="46A71700"/>
    <w:rsid w:val="47573126"/>
    <w:rsid w:val="47674801"/>
    <w:rsid w:val="48225EF7"/>
    <w:rsid w:val="484F02A2"/>
    <w:rsid w:val="48A36D47"/>
    <w:rsid w:val="490270C2"/>
    <w:rsid w:val="495C4A24"/>
    <w:rsid w:val="49A21DF3"/>
    <w:rsid w:val="49C811E4"/>
    <w:rsid w:val="4A216E30"/>
    <w:rsid w:val="4B7951CB"/>
    <w:rsid w:val="4B7C315C"/>
    <w:rsid w:val="4B9300D7"/>
    <w:rsid w:val="4BAB7F90"/>
    <w:rsid w:val="4BD53EDA"/>
    <w:rsid w:val="4BE11807"/>
    <w:rsid w:val="4C484CE5"/>
    <w:rsid w:val="4CBD1C7E"/>
    <w:rsid w:val="4CBF59F6"/>
    <w:rsid w:val="4D4E6D7A"/>
    <w:rsid w:val="4DAC4ACA"/>
    <w:rsid w:val="4DBE5CAD"/>
    <w:rsid w:val="4DD06F63"/>
    <w:rsid w:val="4E043596"/>
    <w:rsid w:val="4E5B174E"/>
    <w:rsid w:val="4E824F2D"/>
    <w:rsid w:val="4E9B0C57"/>
    <w:rsid w:val="4EA8523F"/>
    <w:rsid w:val="4EC372F3"/>
    <w:rsid w:val="4EEC05F8"/>
    <w:rsid w:val="4EF63225"/>
    <w:rsid w:val="4F186D58"/>
    <w:rsid w:val="4F224836"/>
    <w:rsid w:val="4F343D4D"/>
    <w:rsid w:val="4F4E3061"/>
    <w:rsid w:val="50D21A70"/>
    <w:rsid w:val="51760217"/>
    <w:rsid w:val="51E36677"/>
    <w:rsid w:val="51F01F7D"/>
    <w:rsid w:val="521F0CE5"/>
    <w:rsid w:val="522F6E0C"/>
    <w:rsid w:val="52463BA1"/>
    <w:rsid w:val="529F078E"/>
    <w:rsid w:val="53C0244D"/>
    <w:rsid w:val="53C9715A"/>
    <w:rsid w:val="53DD4D4E"/>
    <w:rsid w:val="53E578CE"/>
    <w:rsid w:val="53EA10F5"/>
    <w:rsid w:val="541768A0"/>
    <w:rsid w:val="54224ABC"/>
    <w:rsid w:val="543B029D"/>
    <w:rsid w:val="54662BFB"/>
    <w:rsid w:val="54977029"/>
    <w:rsid w:val="54D758A7"/>
    <w:rsid w:val="55286102"/>
    <w:rsid w:val="554E5773"/>
    <w:rsid w:val="555A3CBC"/>
    <w:rsid w:val="556A04C9"/>
    <w:rsid w:val="55EF4EA6"/>
    <w:rsid w:val="561A5A4B"/>
    <w:rsid w:val="56530F5D"/>
    <w:rsid w:val="56EE372E"/>
    <w:rsid w:val="57087F99"/>
    <w:rsid w:val="573945F7"/>
    <w:rsid w:val="57572CCF"/>
    <w:rsid w:val="5842572D"/>
    <w:rsid w:val="58F5279F"/>
    <w:rsid w:val="598A28E2"/>
    <w:rsid w:val="59F111B9"/>
    <w:rsid w:val="5ADA7E9F"/>
    <w:rsid w:val="5B24736C"/>
    <w:rsid w:val="5BB97AB4"/>
    <w:rsid w:val="5C1336B7"/>
    <w:rsid w:val="5C263CE4"/>
    <w:rsid w:val="5C5D2777"/>
    <w:rsid w:val="5C722D7F"/>
    <w:rsid w:val="5D290C69"/>
    <w:rsid w:val="5DB6074F"/>
    <w:rsid w:val="5DC17CC6"/>
    <w:rsid w:val="5ED846F5"/>
    <w:rsid w:val="5EFA176D"/>
    <w:rsid w:val="5F0247F9"/>
    <w:rsid w:val="5F2D4A41"/>
    <w:rsid w:val="5F3A715E"/>
    <w:rsid w:val="5FBC7B73"/>
    <w:rsid w:val="5FCF78A6"/>
    <w:rsid w:val="601C34ED"/>
    <w:rsid w:val="606326E4"/>
    <w:rsid w:val="60A511FB"/>
    <w:rsid w:val="61025A59"/>
    <w:rsid w:val="613D5BBC"/>
    <w:rsid w:val="61536C39"/>
    <w:rsid w:val="616D60F9"/>
    <w:rsid w:val="61A84853"/>
    <w:rsid w:val="62944DD7"/>
    <w:rsid w:val="63497036"/>
    <w:rsid w:val="63C1619B"/>
    <w:rsid w:val="63C25DC5"/>
    <w:rsid w:val="63C62057"/>
    <w:rsid w:val="63C73832"/>
    <w:rsid w:val="63FA6EBC"/>
    <w:rsid w:val="64192A39"/>
    <w:rsid w:val="64FB113D"/>
    <w:rsid w:val="6544377C"/>
    <w:rsid w:val="655F5939"/>
    <w:rsid w:val="656152C6"/>
    <w:rsid w:val="6587477F"/>
    <w:rsid w:val="658C3A08"/>
    <w:rsid w:val="65C031CA"/>
    <w:rsid w:val="65CE6852"/>
    <w:rsid w:val="65F004F9"/>
    <w:rsid w:val="66267C04"/>
    <w:rsid w:val="663F505A"/>
    <w:rsid w:val="667F2393"/>
    <w:rsid w:val="669D689E"/>
    <w:rsid w:val="66EE5541"/>
    <w:rsid w:val="66F45E44"/>
    <w:rsid w:val="67086152"/>
    <w:rsid w:val="68212C69"/>
    <w:rsid w:val="687E45FE"/>
    <w:rsid w:val="692172FD"/>
    <w:rsid w:val="69B8584F"/>
    <w:rsid w:val="69DD52B6"/>
    <w:rsid w:val="6A3829EE"/>
    <w:rsid w:val="6A924CB7"/>
    <w:rsid w:val="6AE0292E"/>
    <w:rsid w:val="6B474EF5"/>
    <w:rsid w:val="6BC27679"/>
    <w:rsid w:val="6BC54EFE"/>
    <w:rsid w:val="6C427652"/>
    <w:rsid w:val="6C560CAE"/>
    <w:rsid w:val="6CD15296"/>
    <w:rsid w:val="6D5C4743"/>
    <w:rsid w:val="6D903FF5"/>
    <w:rsid w:val="6DA955B8"/>
    <w:rsid w:val="6DE346AB"/>
    <w:rsid w:val="6E7D2BC3"/>
    <w:rsid w:val="6EB74327"/>
    <w:rsid w:val="6FDEC250"/>
    <w:rsid w:val="6FFB2E76"/>
    <w:rsid w:val="70AB70D6"/>
    <w:rsid w:val="70DE5507"/>
    <w:rsid w:val="715E4F2E"/>
    <w:rsid w:val="71C34D91"/>
    <w:rsid w:val="71ED38AA"/>
    <w:rsid w:val="72062ED0"/>
    <w:rsid w:val="723F3B65"/>
    <w:rsid w:val="72907369"/>
    <w:rsid w:val="72C708B1"/>
    <w:rsid w:val="72DB435C"/>
    <w:rsid w:val="74ED1B1B"/>
    <w:rsid w:val="750837F0"/>
    <w:rsid w:val="762A73EF"/>
    <w:rsid w:val="7631412E"/>
    <w:rsid w:val="764F62AB"/>
    <w:rsid w:val="765C45EC"/>
    <w:rsid w:val="768A7619"/>
    <w:rsid w:val="7714640F"/>
    <w:rsid w:val="776B5CAF"/>
    <w:rsid w:val="77EA362A"/>
    <w:rsid w:val="7875383E"/>
    <w:rsid w:val="78B43685"/>
    <w:rsid w:val="796D60A4"/>
    <w:rsid w:val="79A031D5"/>
    <w:rsid w:val="79A52681"/>
    <w:rsid w:val="79B25E17"/>
    <w:rsid w:val="7A1525F7"/>
    <w:rsid w:val="7A3E6CB6"/>
    <w:rsid w:val="7A592736"/>
    <w:rsid w:val="7A99799F"/>
    <w:rsid w:val="7B420052"/>
    <w:rsid w:val="7B7D43A1"/>
    <w:rsid w:val="7BD06A28"/>
    <w:rsid w:val="7C1E4CD7"/>
    <w:rsid w:val="7C3A7C0B"/>
    <w:rsid w:val="7C5248E4"/>
    <w:rsid w:val="7C566698"/>
    <w:rsid w:val="7CE56AF6"/>
    <w:rsid w:val="7CF02E5B"/>
    <w:rsid w:val="7D213FB2"/>
    <w:rsid w:val="7E221091"/>
    <w:rsid w:val="7FF723E4"/>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99"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99"/>
    <w:rPr>
      <w:rFonts w:hint="eastAsia" w:ascii="宋体" w:hAnsi="宋体" w:eastAsia="宋体" w:cs="Times New Roman"/>
      <w:sz w:val="24"/>
      <w:szCs w:val="24"/>
      <w:lang w:val="en-US" w:eastAsia="zh-CN" w:bidi="ar-SA"/>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pPr>
    <w:rPr>
      <w:sz w:val="18"/>
      <w:szCs w:val="18"/>
    </w:rPr>
  </w:style>
  <w:style w:type="paragraph" w:styleId="3">
    <w:name w:val="header"/>
    <w:basedOn w:val="1"/>
    <w:qFormat/>
    <w:uiPriority w:val="0"/>
    <w:pPr>
      <w:tabs>
        <w:tab w:val="center" w:pos="4153"/>
        <w:tab w:val="right" w:pos="8306"/>
      </w:tabs>
      <w:snapToGrid w:val="0"/>
      <w:jc w:val="center"/>
    </w:pPr>
    <w:rPr>
      <w:sz w:val="18"/>
      <w:szCs w:val="18"/>
    </w:rPr>
  </w:style>
  <w:style w:type="paragraph" w:styleId="4">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style>
  <w:style w:type="paragraph" w:styleId="5">
    <w:name w:val="Normal (Web)"/>
    <w:basedOn w:val="1"/>
    <w:unhideWhenUsed/>
    <w:qFormat/>
    <w:uiPriority w:val="0"/>
    <w:pPr>
      <w:spacing w:before="100" w:beforeAutospacing="1" w:after="100" w:afterAutospacing="1"/>
    </w:pPr>
  </w:style>
  <w:style w:type="character" w:styleId="8">
    <w:name w:val="Strong"/>
    <w:qFormat/>
    <w:uiPriority w:val="0"/>
    <w:rPr>
      <w:b/>
    </w:rPr>
  </w:style>
  <w:style w:type="paragraph" w:customStyle="1" w:styleId="9">
    <w:name w:val="列出段落1"/>
    <w:basedOn w:val="1"/>
    <w:qFormat/>
    <w:uiPriority w:val="99"/>
    <w:pPr>
      <w:ind w:firstLine="420" w:firstLineChars="200"/>
    </w:pPr>
    <w:rPr>
      <w:rFonts w:hint="default"/>
    </w:rPr>
  </w:style>
  <w:style w:type="paragraph" w:customStyle="1" w:styleId="10">
    <w:name w:val="普通(网站) Char"/>
    <w:qFormat/>
    <w:uiPriority w:val="0"/>
    <w:pPr>
      <w:spacing w:before="100" w:beforeAutospacing="1" w:after="100" w:afterAutospacing="1"/>
    </w:pPr>
    <w:rPr>
      <w:rFonts w:ascii="宋体" w:hAnsi="宋体" w:eastAsia="宋体" w:cs="Times New Roman"/>
      <w:sz w:val="24"/>
      <w:szCs w:val="24"/>
      <w:lang w:val="en-US" w:eastAsia="zh-CN" w:bidi="ar-SA"/>
    </w:rPr>
  </w:style>
  <w:style w:type="character" w:customStyle="1" w:styleId="11">
    <w:name w:val="21"/>
    <w:qFormat/>
    <w:uiPriority w:val="0"/>
    <w:rPr>
      <w:rFonts w:hint="default" w:ascii="Wingdings" w:hAnsi="Wingdings" w:cs="Wingdings"/>
      <w:b/>
      <w:bCs/>
    </w:rPr>
  </w:style>
  <w:style w:type="paragraph" w:customStyle="1" w:styleId="12">
    <w:name w:val="列出段落2"/>
    <w:basedOn w:val="1"/>
    <w:qFormat/>
    <w:uiPriority w:val="99"/>
    <w:pPr>
      <w:ind w:firstLine="420" w:firstLineChars="200"/>
    </w:pPr>
  </w:style>
  <w:style w:type="paragraph" w:styleId="13">
    <w:name w:val="List Paragraph"/>
    <w:basedOn w:val="1"/>
    <w:qFormat/>
    <w:uiPriority w:val="34"/>
    <w:pPr>
      <w:widowControl w:val="0"/>
      <w:ind w:firstLine="420" w:firstLineChars="200"/>
      <w:jc w:val="both"/>
    </w:pPr>
    <w:rPr>
      <w:rFonts w:hint="default" w:ascii="Calibri" w:hAnsi="Calibri"/>
      <w:kern w:val="2"/>
      <w:sz w:val="21"/>
      <w:szCs w:val="22"/>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false"/>
        </a:gradFill>
        <a:gradFill>
          <a:gsLst>
            <a:gs pos="0">
              <a:schemeClr val="phClr">
                <a:hueOff val="-2520000"/>
              </a:schemeClr>
            </a:gs>
            <a:gs pos="100000">
              <a:schemeClr val="phClr"/>
            </a:gs>
          </a:gsLst>
          <a:lin ang="2700000" scaled="false"/>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true"/>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Info spid="_x0000_s102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15</Pages>
  <Words>1144</Words>
  <Characters>6525</Characters>
  <Lines>54</Lines>
  <Paragraphs>15</Paragraphs>
  <TotalTime>577</TotalTime>
  <ScaleCrop>false</ScaleCrop>
  <LinksUpToDate>false</LinksUpToDate>
  <CharactersWithSpaces>7654</CharactersWithSpaces>
  <Application>WPS Office_11.8.2.10183_F1E327BC-269C-435d-A152-05C5408002CA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2025-10-14T14:39:00Z</dcterms:created>
  <dc:creator>Administrator</dc:creator>
  <cp:lastModifiedBy>tlww</cp:lastModifiedBy>
  <dcterms:modified xsi:type="dcterms:W3CDTF">2025-10-27T17:00:30Z</dcterms:modified>
  <cp:revision>595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2052-11.8.2.10183</vt:lpwstr>
  </property>
  <property fmtid="{D5CDD505-2E9C-101B-9397-08002B2CF9AE}" pid="3" name="ICV">
    <vt:lpwstr>BB46EABDBB2749749395447164B066B3_12</vt:lpwstr>
  </property>
  <property fmtid="{D5CDD505-2E9C-101B-9397-08002B2CF9AE}" pid="4" name="KSOTemplateDocerSaveRecord">
    <vt:lpwstr>eyJoZGlkIjoiZmQ4MzdkM2FmMGQyMTMxNGVlYWI2YjRhNzhjODU2ZGMiLCJ1c2VySWQiOiI4MDcyMzU4MTcifQ==</vt:lpwstr>
  </property>
</Properties>
</file>