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重庆市铜梁区南城街道社区文化服务中心</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360" w:lineRule="auto"/>
        <w:jc w:val="center"/>
        <w:textAlignment w:val="auto"/>
        <w:rPr>
          <w:rFonts w:hint="default" w:ascii="Times New Roman" w:hAnsi="Times New Roman" w:eastAsia="方正小标宋_GBK" w:cs="Times New Roman"/>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社区文化服务中心主要职责：1、负责组织辖区内群众文化活动，繁荣群众文化事业；2、承担文化、宣传、广播电视、体育、科技培训等方面服务工作；3、管理文艺演出活动和文化市场，非物质文化遗产搜集、整理等工作；4、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42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重庆市铜梁区南城街道社区文化服务中心为重庆市铜梁区人民政府南城街道办事处管理的正科级公益一类事业单位，共有事业编制5名，编制内所需经费纳入财政全额保障。</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2024年度收入总计115.48万元，支出总计</w:t>
      </w:r>
      <w:r>
        <w:rPr>
          <w:rFonts w:hint="default" w:ascii="Times New Roman" w:hAnsi="Times New Roman" w:eastAsia="方正仿宋_GBK" w:cs="Times New Roman"/>
          <w:sz w:val="32"/>
          <w:szCs w:val="32"/>
        </w:rPr>
        <w:t>115.48</w:t>
      </w:r>
      <w:r>
        <w:rPr>
          <w:rFonts w:hint="default" w:ascii="Times New Roman" w:hAnsi="Times New Roman" w:eastAsia="方正仿宋_GBK" w:cs="Times New Roman"/>
          <w:sz w:val="32"/>
          <w:szCs w:val="32"/>
          <w:shd w:val="clear" w:color="auto" w:fill="FFFFFF"/>
        </w:rPr>
        <w:t>万元。收、支与2023年度相比，增加115.48万元，增长100.0%，主要原因是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2024年度收入合计115.48万元，与2023年度相比，增加115.48万元，增长100.0%，主要原因是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115.48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115.48</w:t>
      </w:r>
      <w:r>
        <w:rPr>
          <w:rFonts w:hint="default" w:ascii="Times New Roman" w:hAnsi="Times New Roman" w:eastAsia="方正仿宋_GBK" w:cs="Times New Roman"/>
          <w:sz w:val="32"/>
          <w:szCs w:val="32"/>
          <w:shd w:val="clear" w:color="auto" w:fill="FFFFFF"/>
        </w:rPr>
        <w:t>万元，与2023年度相比，增加115.48万元，增长100.0%，主要原因是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114.62</w:t>
      </w:r>
      <w:r>
        <w:rPr>
          <w:rFonts w:hint="default" w:ascii="Times New Roman" w:hAnsi="Times New Roman" w:eastAsia="方正仿宋_GBK" w:cs="Times New Roman"/>
          <w:sz w:val="32"/>
          <w:szCs w:val="32"/>
          <w:shd w:val="clear" w:color="auto" w:fill="FFFFFF"/>
        </w:rPr>
        <w:t>万元，占99.26%；项目支出</w:t>
      </w:r>
      <w:r>
        <w:rPr>
          <w:rFonts w:hint="default" w:ascii="Times New Roman" w:hAnsi="Times New Roman" w:eastAsia="方正仿宋_GBK" w:cs="Times New Roman"/>
          <w:sz w:val="32"/>
          <w:szCs w:val="32"/>
        </w:rPr>
        <w:t>0.86</w:t>
      </w:r>
      <w:r>
        <w:rPr>
          <w:rFonts w:hint="default" w:ascii="Times New Roman" w:hAnsi="Times New Roman" w:eastAsia="方正仿宋_GBK" w:cs="Times New Roman"/>
          <w:sz w:val="32"/>
          <w:szCs w:val="32"/>
          <w:shd w:val="clear" w:color="auto" w:fill="FFFFFF"/>
        </w:rPr>
        <w:t>万元，占0.74%；经营支出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万元，与2023年度相比，无增减，主要原因是无结余结转。</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2024年度财政拨款收、支总计115.48万元。与2023年相比，财政拨款收、支总计各增加115.48万元，增长100.0%。主要原因是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115.48</w:t>
      </w:r>
      <w:r>
        <w:rPr>
          <w:rFonts w:hint="default" w:ascii="Times New Roman" w:hAnsi="Times New Roman" w:eastAsia="方正仿宋_GBK" w:cs="Times New Roman"/>
          <w:sz w:val="32"/>
          <w:szCs w:val="32"/>
          <w:shd w:val="clear" w:color="auto" w:fill="FFFFFF"/>
        </w:rPr>
        <w:t>万元，与2023年度相比，增加115.48万元，增长100.0%。主要原因是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较年初预算数减少15.61万元，下降11.9%。主要原因是厉行节约，过紧日子，严格管理支出。此外，年初财政拨款结转和结余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115.48</w:t>
      </w:r>
      <w:r>
        <w:rPr>
          <w:rFonts w:hint="default" w:ascii="Times New Roman" w:hAnsi="Times New Roman" w:eastAsia="方正仿宋_GBK" w:cs="Times New Roman"/>
          <w:sz w:val="32"/>
          <w:szCs w:val="32"/>
          <w:shd w:val="clear" w:color="auto" w:fill="FFFFFF"/>
        </w:rPr>
        <w:t>万元，与2023年度相比，增加115.48万元，增长100.0%。主要原因是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较年初预算数减少15.61万元，下降11.9%。主要原因是厉行节约，过紧日子，严格管理支出。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万元，与2023年度相比，无增减，主要原因是无结余结转。</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（1）文化旅游体育与传媒支出</w:t>
      </w:r>
      <w:r>
        <w:rPr>
          <w:rFonts w:hint="default" w:ascii="Times New Roman" w:hAnsi="Times New Roman" w:eastAsia="方正仿宋_GBK" w:cs="Times New Roman"/>
          <w:sz w:val="32"/>
          <w:szCs w:val="32"/>
        </w:rPr>
        <w:t>93.82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81.24</w:t>
      </w:r>
      <w:r>
        <w:rPr>
          <w:rFonts w:hint="default" w:ascii="Times New Roman" w:hAnsi="Times New Roman" w:eastAsia="方正仿宋_GBK" w:cs="Times New Roman"/>
          <w:sz w:val="32"/>
          <w:szCs w:val="32"/>
          <w:shd w:val="clear" w:color="auto" w:fill="FFFFFF"/>
        </w:rPr>
        <w:t>%，较年初预算数减少14.54万元，下降13.4%，主要原因是厉行节约，过紧日子，严格管理支出。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12.53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10.85</w:t>
      </w:r>
      <w:r>
        <w:rPr>
          <w:rFonts w:hint="default" w:ascii="Times New Roman" w:hAnsi="Times New Roman" w:eastAsia="方正仿宋_GBK" w:cs="Times New Roman"/>
          <w:sz w:val="32"/>
          <w:szCs w:val="32"/>
          <w:shd w:val="clear" w:color="auto" w:fill="FFFFFF"/>
        </w:rPr>
        <w:t>%，较年初预算数减少0.08万元，下降0.6%，主要原因是厉行节约，过紧日子，严格管理支出。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3.98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3.44</w:t>
      </w:r>
      <w:r>
        <w:rPr>
          <w:rFonts w:hint="default" w:ascii="Times New Roman" w:hAnsi="Times New Roman" w:eastAsia="方正仿宋_GBK" w:cs="Times New Roman"/>
          <w:sz w:val="32"/>
          <w:szCs w:val="32"/>
          <w:shd w:val="clear" w:color="auto" w:fill="FFFFFF"/>
        </w:rPr>
        <w:t>%，较年初预算数减少1.40万元，下降26.0%，主要原因是厉行节约，过紧日子，严格管理支出。</w:t>
      </w:r>
    </w:p>
    <w:p>
      <w:pPr>
        <w:keepNext w:val="0"/>
        <w:keepLines w:val="0"/>
        <w:pageBreakBefore w:val="0"/>
        <w:widowControl/>
        <w:kinsoku/>
        <w:wordWrap/>
        <w:overflowPunct/>
        <w:topLinePunct w:val="0"/>
        <w:autoSpaceDN/>
        <w:bidi w:val="0"/>
        <w:adjustRightInd/>
        <w:spacing w:beforeAutospacing="0" w:afterAutospacing="0" w:line="360" w:lineRule="auto"/>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住房保障支出5.15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4.46</w:t>
      </w:r>
      <w:r>
        <w:rPr>
          <w:rFonts w:hint="default" w:ascii="Times New Roman" w:hAnsi="Times New Roman" w:eastAsia="方正仿宋_GBK" w:cs="Times New Roman"/>
          <w:sz w:val="32"/>
          <w:szCs w:val="32"/>
          <w:shd w:val="clear" w:color="auto" w:fill="FFFFFF"/>
        </w:rPr>
        <w:t>%，较年初预算数增加0.40万元，增长8.4%，主要原因是2024年公积金调整基数，部分职工基数上涨，因此支出增加。</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114.62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97.61</w:t>
      </w:r>
      <w:r>
        <w:rPr>
          <w:rFonts w:hint="default" w:ascii="Times New Roman" w:hAnsi="Times New Roman" w:eastAsia="方正仿宋_GBK" w:cs="Times New Roman"/>
          <w:sz w:val="32"/>
          <w:szCs w:val="32"/>
          <w:shd w:val="clear" w:color="auto" w:fill="FFFFFF"/>
        </w:rPr>
        <w:t>万元，与2023年度相比，增加97.61万元，增长100.0%，主要原因是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人员经费用途主要包括在职人员的工资、保险、公积金单位部分以及退休人员的健康休养费等相关经费。公用经费</w:t>
      </w:r>
      <w:r>
        <w:rPr>
          <w:rFonts w:hint="default" w:ascii="Times New Roman" w:hAnsi="Times New Roman" w:eastAsia="方正仿宋_GBK" w:cs="Times New Roman"/>
          <w:sz w:val="32"/>
          <w:szCs w:val="32"/>
        </w:rPr>
        <w:t>17.01</w:t>
      </w:r>
      <w:r>
        <w:rPr>
          <w:rFonts w:hint="default" w:ascii="Times New Roman" w:hAnsi="Times New Roman" w:eastAsia="方正仿宋_GBK" w:cs="Times New Roman"/>
          <w:sz w:val="32"/>
          <w:szCs w:val="32"/>
          <w:shd w:val="clear" w:color="auto" w:fill="FFFFFF"/>
        </w:rPr>
        <w:t>万元，与2023年度相比，增加17.01万元，增长100.0%，主要原因是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万元，较年初预算数无增减，主要原因是2024年无</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rPr>
        <w:t>预算及支出。较上年支出数无增减，主要原因是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bookmarkStart w:id="0" w:name="_GoBack"/>
      <w:bookmarkEnd w:id="0"/>
      <w:r>
        <w:rPr>
          <w:rFonts w:hint="default" w:ascii="Times New Roman" w:hAnsi="Times New Roman" w:eastAsia="楷体" w:cs="Times New Roman"/>
          <w:b/>
          <w:bCs/>
          <w:sz w:val="32"/>
          <w:szCs w:val="32"/>
          <w:shd w:val="clear" w:color="auto" w:fill="FFFFFF"/>
        </w:rPr>
        <w:t>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万元，主要是用于因执行公务、科技文化交流等活动。费用支出较年初预算数无增减，主要原因是2024年无预算与支出。与2023年度相比，无增减，主要原因是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万元，主要用于购买公务用车。费用支出较年初预算数无增减，主要原因是2024年未安排购置公务车。与2023年度相比，无增减，主要原因是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无增减，主要原因是本单位无公务用车。与2023年度相比，无增减，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万元，主要用于接待因公务活动需要而产生的接待用餐、住宿、交通等费用。费用支出较年初预算数无增减，主要原因是2024年本单位未有公务接待的安排和发生。较上年支出数无增减，主要原因是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万元，与2023年度相比，无增减，主要原因是2024年未发生会议支出</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rPr>
        <w:t>2023年重庆市铜梁区南城街道社区文化服务中心预算纳入了重庆市铜梁区人民政府南城街道办事处本级预算，未独立进行核算。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360" w:lineRule="auto"/>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根据预算绩效管理要求，我单位对1个项目开展了绩效自评，其中，以填报自评表形式开展自评1项，涉及资金0.86万元。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我单位对1项目进行绩效自评，其中1个已完成年度绩效目标。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360" w:lineRule="auto"/>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ind w:firstLine="880" w:firstLineChars="275"/>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360" w:lineRule="auto"/>
        <w:textAlignment w:val="auto"/>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 xml:space="preserve">罗渝闽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p>
      <w:pPr>
        <w:pStyle w:val="9"/>
        <w:keepNext w:val="0"/>
        <w:keepLines w:val="0"/>
        <w:pageBreakBefore w:val="0"/>
        <w:widowControl/>
        <w:kinsoku/>
        <w:wordWrap/>
        <w:overflowPunct/>
        <w:topLinePunct w:val="0"/>
        <w:autoSpaceDE w:val="0"/>
        <w:autoSpaceDN/>
        <w:bidi w:val="0"/>
        <w:adjustRightInd/>
        <w:spacing w:beforeAutospacing="0" w:afterAutospacing="0" w:line="360" w:lineRule="auto"/>
        <w:ind w:firstLine="643"/>
        <w:jc w:val="both"/>
        <w:textAlignment w:val="auto"/>
        <w:rPr>
          <w:rStyle w:val="11"/>
          <w:rFonts w:hint="default" w:ascii="Times New Roman" w:hAnsi="Times New Roman" w:eastAsia="方正仿宋_GBK" w:cs="Times New Roman"/>
          <w:sz w:val="32"/>
          <w:szCs w:val="32"/>
          <w:shd w:val="clear" w:color="auto" w:fill="FFFF00"/>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550ABE"/>
    <w:rsid w:val="00655502"/>
    <w:rsid w:val="006C09A2"/>
    <w:rsid w:val="007B419D"/>
    <w:rsid w:val="00947B79"/>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31A0EE"/>
    <w:rsid w:val="13850DCB"/>
    <w:rsid w:val="13871C70"/>
    <w:rsid w:val="13A71CB4"/>
    <w:rsid w:val="13AF1D43"/>
    <w:rsid w:val="13C643C6"/>
    <w:rsid w:val="13CE1647"/>
    <w:rsid w:val="141A11EA"/>
    <w:rsid w:val="14200702"/>
    <w:rsid w:val="148E377E"/>
    <w:rsid w:val="14D92A59"/>
    <w:rsid w:val="1580711B"/>
    <w:rsid w:val="189B0D0B"/>
    <w:rsid w:val="194A1770"/>
    <w:rsid w:val="19917D9C"/>
    <w:rsid w:val="19B906A4"/>
    <w:rsid w:val="1A1F744B"/>
    <w:rsid w:val="1A4854EC"/>
    <w:rsid w:val="1B6F15B6"/>
    <w:rsid w:val="1BAA2EDC"/>
    <w:rsid w:val="1CE157EE"/>
    <w:rsid w:val="1D014A01"/>
    <w:rsid w:val="1D022362"/>
    <w:rsid w:val="1DD26311"/>
    <w:rsid w:val="1E476509"/>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556053"/>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3F52D9"/>
    <w:rsid w:val="4B7951CB"/>
    <w:rsid w:val="4B7C315C"/>
    <w:rsid w:val="4BAB7F90"/>
    <w:rsid w:val="4DAC4ACA"/>
    <w:rsid w:val="4F186D58"/>
    <w:rsid w:val="50EC262C"/>
    <w:rsid w:val="522F6E0C"/>
    <w:rsid w:val="52463BA1"/>
    <w:rsid w:val="533F3CA4"/>
    <w:rsid w:val="53C0244D"/>
    <w:rsid w:val="53DD4D4E"/>
    <w:rsid w:val="53E578CE"/>
    <w:rsid w:val="543B029D"/>
    <w:rsid w:val="545D0246"/>
    <w:rsid w:val="554E5773"/>
    <w:rsid w:val="555A3CBC"/>
    <w:rsid w:val="56530F5D"/>
    <w:rsid w:val="565F9F02"/>
    <w:rsid w:val="5842572D"/>
    <w:rsid w:val="5AE75037"/>
    <w:rsid w:val="5B58571C"/>
    <w:rsid w:val="5B8376C2"/>
    <w:rsid w:val="5B96133A"/>
    <w:rsid w:val="5C1336B7"/>
    <w:rsid w:val="5C263CE4"/>
    <w:rsid w:val="5C5D2777"/>
    <w:rsid w:val="5D290C69"/>
    <w:rsid w:val="5D537F41"/>
    <w:rsid w:val="5EFA176D"/>
    <w:rsid w:val="5F0247F9"/>
    <w:rsid w:val="5F2D4A41"/>
    <w:rsid w:val="5F8413EF"/>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B4F2ED6"/>
    <w:rsid w:val="6C560CAE"/>
    <w:rsid w:val="6D0615E4"/>
    <w:rsid w:val="6D903FF5"/>
    <w:rsid w:val="6DA955B8"/>
    <w:rsid w:val="6DE346AB"/>
    <w:rsid w:val="6F26FC56"/>
    <w:rsid w:val="6F7F6A2D"/>
    <w:rsid w:val="6FB442D1"/>
    <w:rsid w:val="6FB7F45C"/>
    <w:rsid w:val="6FFB2E76"/>
    <w:rsid w:val="71C34D91"/>
    <w:rsid w:val="71ED38AA"/>
    <w:rsid w:val="720229AA"/>
    <w:rsid w:val="72DB435C"/>
    <w:rsid w:val="750837F0"/>
    <w:rsid w:val="764F62AB"/>
    <w:rsid w:val="765C45EC"/>
    <w:rsid w:val="768A7619"/>
    <w:rsid w:val="76E14979"/>
    <w:rsid w:val="772A352D"/>
    <w:rsid w:val="77EA362A"/>
    <w:rsid w:val="77FD9FA0"/>
    <w:rsid w:val="7875383E"/>
    <w:rsid w:val="796D60A4"/>
    <w:rsid w:val="79A031D5"/>
    <w:rsid w:val="7A1525F7"/>
    <w:rsid w:val="7A3E6CB6"/>
    <w:rsid w:val="7A680D2D"/>
    <w:rsid w:val="7B260559"/>
    <w:rsid w:val="7B420052"/>
    <w:rsid w:val="7BD06A28"/>
    <w:rsid w:val="7C1E4CD7"/>
    <w:rsid w:val="7C3A7C0B"/>
    <w:rsid w:val="7C5248E4"/>
    <w:rsid w:val="7C566698"/>
    <w:rsid w:val="7CBA84A6"/>
    <w:rsid w:val="7FA960B8"/>
    <w:rsid w:val="A37F8720"/>
    <w:rsid w:val="B7CFD577"/>
    <w:rsid w:val="DBF38A20"/>
    <w:rsid w:val="DD68C76C"/>
    <w:rsid w:val="E3BDFBB8"/>
    <w:rsid w:val="EFDE1CD5"/>
    <w:rsid w:val="F37BB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823</Words>
  <Characters>4696</Characters>
  <Lines>39</Lines>
  <Paragraphs>11</Paragraphs>
  <TotalTime>13</TotalTime>
  <ScaleCrop>false</ScaleCrop>
  <LinksUpToDate>false</LinksUpToDate>
  <CharactersWithSpaces>5508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lenovo</cp:lastModifiedBy>
  <dcterms:modified xsi:type="dcterms:W3CDTF">2025-10-30T01:32:55Z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