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96"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重庆市铜梁区南城街道城市提升服务中心</w:t>
      </w:r>
    </w:p>
    <w:p>
      <w:pPr>
        <w:pStyle w:val="5"/>
        <w:spacing w:before="0" w:beforeAutospacing="0" w:after="0" w:afterAutospacing="0" w:line="596"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pPr>
        <w:pStyle w:val="5"/>
        <w:spacing w:before="0" w:beforeAutospacing="0" w:after="0" w:afterAutospacing="0" w:line="596" w:lineRule="exact"/>
        <w:jc w:val="center"/>
        <w:rPr>
          <w:rFonts w:hint="default" w:ascii="Times New Roman" w:hAnsi="Times New Roman" w:eastAsia="方正小标宋_GBK" w:cs="Times New Roman"/>
          <w:sz w:val="44"/>
          <w:szCs w:val="44"/>
          <w:shd w:val="clear" w:color="auto" w:fill="FFFFFF"/>
        </w:rPr>
      </w:pPr>
    </w:p>
    <w:p>
      <w:pPr>
        <w:pStyle w:val="5"/>
        <w:shd w:val="clear" w:color="auto" w:fill="FFFFFF"/>
        <w:spacing w:before="0" w:beforeAutospacing="0" w:after="0" w:afterAutospacing="0" w:line="596" w:lineRule="exact"/>
        <w:ind w:firstLine="643" w:firstLineChars="200"/>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一、单位基本情况</w:t>
      </w:r>
    </w:p>
    <w:p>
      <w:pPr>
        <w:pStyle w:val="5"/>
        <w:shd w:val="clear" w:color="auto" w:fill="FFFFFF"/>
        <w:ind w:firstLine="42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pPr>
        <w:widowControl w:val="0"/>
        <w:spacing w:line="594"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主要职责任务是承担街区城市管理日常事务性工作，承担社区风貌、环境卫生、园林绿化管理，完成主管部门交办的其他任务。</w:t>
      </w:r>
    </w:p>
    <w:p>
      <w:pPr>
        <w:pStyle w:val="5"/>
        <w:shd w:val="clear" w:color="auto" w:fill="FFFFFF"/>
        <w:ind w:firstLine="420"/>
        <w:rPr>
          <w:rFonts w:hint="default" w:ascii="Times New Roman" w:hAnsi="Times New Roman" w:eastAsia="楷体" w:cs="Times New Roman"/>
          <w:sz w:val="32"/>
          <w:szCs w:val="32"/>
        </w:rPr>
      </w:pPr>
      <w:r>
        <w:rPr>
          <w:rStyle w:val="8"/>
          <w:rFonts w:hint="default" w:ascii="Times New Roman" w:hAnsi="Times New Roman" w:eastAsia="楷体" w:cs="Times New Roman"/>
          <w:sz w:val="32"/>
          <w:szCs w:val="32"/>
          <w:shd w:val="clear" w:color="auto" w:fill="FFFFFF"/>
        </w:rPr>
        <w:t>（二）机构设置</w:t>
      </w:r>
    </w:p>
    <w:p>
      <w:pPr>
        <w:widowControl w:val="0"/>
        <w:spacing w:line="594"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重庆市铜梁区南城街道城市提升服务中心隶属于重庆市铜梁区人民政府南城街道办事处管理的正科级公益一类事业单位,核定事业编制6名,设主任1名、副主任1名。编制内所需经费纳入财政全额保障。</w:t>
      </w:r>
    </w:p>
    <w:p>
      <w:pPr>
        <w:pStyle w:val="5"/>
        <w:shd w:val="clear" w:color="auto" w:fill="FFFFFF"/>
        <w:spacing w:before="0" w:beforeAutospacing="0" w:after="0" w:afterAutospacing="0" w:line="596" w:lineRule="exact"/>
        <w:ind w:firstLine="643" w:firstLineChars="200"/>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二、单位决算收支情况说明</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5"/>
        <w:shd w:val="clear" w:color="auto" w:fill="FFFFFF"/>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2024年度收入总计109.14万元，支出总计</w:t>
      </w:r>
      <w:r>
        <w:rPr>
          <w:rFonts w:hint="default" w:ascii="Times New Roman" w:hAnsi="Times New Roman" w:eastAsia="方正仿宋_GBK" w:cs="Times New Roman"/>
          <w:sz w:val="32"/>
          <w:szCs w:val="32"/>
        </w:rPr>
        <w:t>109.14</w:t>
      </w:r>
      <w:r>
        <w:rPr>
          <w:rFonts w:hint="default" w:ascii="Times New Roman" w:hAnsi="Times New Roman" w:eastAsia="方正仿宋_GBK" w:cs="Times New Roman"/>
          <w:sz w:val="32"/>
          <w:szCs w:val="32"/>
          <w:shd w:val="clear" w:color="auto" w:fill="FFFFFF"/>
        </w:rPr>
        <w:t>万元。收、支与2023年度相比，增加109.14万元，增长100.0%，主要原因是</w:t>
      </w:r>
      <w:r>
        <w:rPr>
          <w:rFonts w:hint="default" w:ascii="Times New Roman" w:hAnsi="Times New Roman" w:eastAsia="方正仿宋_GBK" w:cs="Times New Roman"/>
          <w:sz w:val="32"/>
        </w:rPr>
        <w:t>2023年重庆市铜梁区南城街道城市提升服务中心预算纳入了重庆市铜梁区人民政府南城街道办事处（本级）预算，未独立进行核算。</w:t>
      </w:r>
    </w:p>
    <w:p>
      <w:pPr>
        <w:pStyle w:val="5"/>
        <w:shd w:val="clear" w:color="auto" w:fill="FFFFFF"/>
        <w:ind w:firstLine="643" w:firstLineChars="200"/>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2024年度收入合计109.14万元，与2023年度相比，增加109.14万元，增长100.0%，主要原因是</w:t>
      </w:r>
      <w:r>
        <w:rPr>
          <w:rFonts w:hint="default" w:ascii="Times New Roman" w:hAnsi="Times New Roman" w:eastAsia="方正仿宋_GBK" w:cs="Times New Roman"/>
          <w:sz w:val="32"/>
        </w:rPr>
        <w:t>2023年重庆市铜梁区南城街道城市提升服务中心预算纳入了重庆市铜梁区人民政府南城街道办事处（本级）预算，未独立进行核算。</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109.14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shd w:val="clear" w:color="auto" w:fill="FFFFFF"/>
        <w:ind w:firstLine="643" w:firstLineChars="200"/>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109.14</w:t>
      </w:r>
      <w:r>
        <w:rPr>
          <w:rFonts w:hint="default" w:ascii="Times New Roman" w:hAnsi="Times New Roman" w:eastAsia="方正仿宋_GBK" w:cs="Times New Roman"/>
          <w:sz w:val="32"/>
          <w:szCs w:val="32"/>
          <w:shd w:val="clear" w:color="auto" w:fill="FFFFFF"/>
        </w:rPr>
        <w:t>万元，与2023年度相比，增加109.14万元，增长100.0%，主要原因是</w:t>
      </w:r>
      <w:r>
        <w:rPr>
          <w:rFonts w:hint="default" w:ascii="Times New Roman" w:hAnsi="Times New Roman" w:eastAsia="方正仿宋_GBK" w:cs="Times New Roman"/>
          <w:sz w:val="32"/>
        </w:rPr>
        <w:t>2023年重庆市铜梁区南城街道城市提升服务中心预算纳入了重庆市铜梁区人民政府南城街道办事处（本级）预算，未独立进行核算。</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98.60</w:t>
      </w:r>
      <w:r>
        <w:rPr>
          <w:rFonts w:hint="default" w:ascii="Times New Roman" w:hAnsi="Times New Roman" w:eastAsia="方正仿宋_GBK" w:cs="Times New Roman"/>
          <w:sz w:val="32"/>
          <w:szCs w:val="32"/>
          <w:shd w:val="clear" w:color="auto" w:fill="FFFFFF"/>
        </w:rPr>
        <w:t>万元，占90.34%；项目支出</w:t>
      </w:r>
      <w:r>
        <w:rPr>
          <w:rFonts w:hint="default" w:ascii="Times New Roman" w:hAnsi="Times New Roman" w:eastAsia="方正仿宋_GBK" w:cs="Times New Roman"/>
          <w:sz w:val="32"/>
          <w:szCs w:val="32"/>
        </w:rPr>
        <w:t>10.55</w:t>
      </w:r>
      <w:r>
        <w:rPr>
          <w:rFonts w:hint="default" w:ascii="Times New Roman" w:hAnsi="Times New Roman" w:eastAsia="方正仿宋_GBK" w:cs="Times New Roman"/>
          <w:sz w:val="32"/>
          <w:szCs w:val="32"/>
          <w:shd w:val="clear" w:color="auto" w:fill="FFFFFF"/>
        </w:rPr>
        <w:t>万元，占9.66%；经营支出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万元，与2023年度相比，无增减，主要原因是2023、2024均无结余结转。</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5"/>
        <w:shd w:val="clear" w:color="auto" w:fill="FFFFFF"/>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2024年度财政拨款收、支总计109.14万元。与2023年相比，财政拨款收、支总计各增加109.14万元，增长100.0%。主要原因是</w:t>
      </w:r>
      <w:r>
        <w:rPr>
          <w:rFonts w:hint="default" w:ascii="Times New Roman" w:hAnsi="Times New Roman" w:eastAsia="方正仿宋_GBK" w:cs="Times New Roman"/>
          <w:sz w:val="32"/>
        </w:rPr>
        <w:t>2023年重庆市铜梁区南城街道城市提升服务中心预算纳入了重庆市铜梁区人民政府南城街道办事处（本级）预算，未独立进行核算。</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5"/>
        <w:shd w:val="clear" w:color="auto" w:fill="FFFFFF"/>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109.14</w:t>
      </w:r>
      <w:r>
        <w:rPr>
          <w:rFonts w:hint="default" w:ascii="Times New Roman" w:hAnsi="Times New Roman" w:eastAsia="方正仿宋_GBK" w:cs="Times New Roman"/>
          <w:sz w:val="32"/>
          <w:szCs w:val="32"/>
          <w:shd w:val="clear" w:color="auto" w:fill="FFFFFF"/>
        </w:rPr>
        <w:t>万元，与2023年度相比，增加109.14万元，增长100.0%。主要原因是</w:t>
      </w:r>
      <w:r>
        <w:rPr>
          <w:rFonts w:hint="default" w:ascii="Times New Roman" w:hAnsi="Times New Roman" w:eastAsia="方正仿宋_GBK" w:cs="Times New Roman"/>
          <w:sz w:val="32"/>
        </w:rPr>
        <w:t>2023年重庆市铜梁区南城街道城市提升服务中心预算纳入了重庆市铜梁区人民政府南城街道办事处（本级）预算，未独立进行核算。</w:t>
      </w:r>
      <w:r>
        <w:rPr>
          <w:rFonts w:hint="default" w:ascii="Times New Roman" w:hAnsi="Times New Roman" w:eastAsia="方正仿宋_GBK" w:cs="Times New Roman"/>
          <w:sz w:val="32"/>
          <w:szCs w:val="32"/>
          <w:shd w:val="clear" w:color="auto" w:fill="FFFFFF"/>
        </w:rPr>
        <w:t>较年初预算数减少66.67万元，下降37.9%。主要原因是厉行节约，过紧日子，严格控制支出。此外，年初财政拨款结转和结余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shd w:val="clear" w:color="auto" w:fill="FFFFFF"/>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109.14</w:t>
      </w:r>
      <w:r>
        <w:rPr>
          <w:rFonts w:hint="default" w:ascii="Times New Roman" w:hAnsi="Times New Roman" w:eastAsia="方正仿宋_GBK" w:cs="Times New Roman"/>
          <w:sz w:val="32"/>
          <w:szCs w:val="32"/>
          <w:shd w:val="clear" w:color="auto" w:fill="FFFFFF"/>
        </w:rPr>
        <w:t>万元，与2023年度相比，增加109.14万元，增长100.0%。主要原因是</w:t>
      </w:r>
      <w:r>
        <w:rPr>
          <w:rFonts w:hint="default" w:ascii="Times New Roman" w:hAnsi="Times New Roman" w:eastAsia="方正仿宋_GBK" w:cs="Times New Roman"/>
          <w:sz w:val="32"/>
        </w:rPr>
        <w:t>2023年重庆市铜梁区南城街道城市提升服务中心预算纳入了重庆市铜梁区人民政府南城街道办事处（本级）预算，未独立进行核算。</w:t>
      </w:r>
      <w:r>
        <w:rPr>
          <w:rFonts w:hint="default" w:ascii="Times New Roman" w:hAnsi="Times New Roman" w:eastAsia="方正仿宋_GBK" w:cs="Times New Roman"/>
          <w:sz w:val="32"/>
          <w:szCs w:val="32"/>
          <w:shd w:val="clear" w:color="auto" w:fill="FFFFFF"/>
        </w:rPr>
        <w:t>较年初预算数减少66.67万元，下降37.9%。主要原因是厉行节约，过紧日子，严格控制支出。</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万元，与2023年度相比，无增减，主要原因是2023、2024年本单位均无结余结转。</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（1）社会保障与就业支出</w:t>
      </w:r>
      <w:r>
        <w:rPr>
          <w:rFonts w:hint="default" w:ascii="Times New Roman" w:hAnsi="Times New Roman" w:eastAsia="方正仿宋_GBK" w:cs="Times New Roman"/>
          <w:sz w:val="32"/>
          <w:szCs w:val="32"/>
        </w:rPr>
        <w:t>7.45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6.82</w:t>
      </w:r>
      <w:r>
        <w:rPr>
          <w:rFonts w:hint="default" w:ascii="Times New Roman" w:hAnsi="Times New Roman" w:eastAsia="方正仿宋_GBK" w:cs="Times New Roman"/>
          <w:sz w:val="32"/>
          <w:szCs w:val="32"/>
          <w:shd w:val="clear" w:color="auto" w:fill="FFFFFF"/>
        </w:rPr>
        <w:t>%，较年初预算数减少1.29万元，下降14.8%，主要原因是厉行节约，过紧日子，严格控制支出。</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（2）卫生健康支出</w:t>
      </w:r>
      <w:r>
        <w:rPr>
          <w:rFonts w:hint="default" w:ascii="Times New Roman" w:hAnsi="Times New Roman" w:eastAsia="方正仿宋_GBK" w:cs="Times New Roman"/>
          <w:sz w:val="32"/>
          <w:szCs w:val="32"/>
        </w:rPr>
        <w:t>3.10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2.84</w:t>
      </w:r>
      <w:r>
        <w:rPr>
          <w:rFonts w:hint="default" w:ascii="Times New Roman" w:hAnsi="Times New Roman" w:eastAsia="方正仿宋_GBK" w:cs="Times New Roman"/>
          <w:sz w:val="32"/>
          <w:szCs w:val="32"/>
          <w:shd w:val="clear" w:color="auto" w:fill="FFFFFF"/>
        </w:rPr>
        <w:t>%，较年初预算数减少1.63万元，下降34.5%，主要原因是厉行节约，过紧日子，严格控制支出。</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（3）城乡社区支出</w:t>
      </w:r>
      <w:r>
        <w:rPr>
          <w:rFonts w:hint="default" w:ascii="Times New Roman" w:hAnsi="Times New Roman" w:eastAsia="方正仿宋_GBK" w:cs="Times New Roman"/>
          <w:sz w:val="32"/>
          <w:szCs w:val="32"/>
        </w:rPr>
        <w:t>94.38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86.48</w:t>
      </w:r>
      <w:r>
        <w:rPr>
          <w:rFonts w:hint="default" w:ascii="Times New Roman" w:hAnsi="Times New Roman" w:eastAsia="方正仿宋_GBK" w:cs="Times New Roman"/>
          <w:sz w:val="32"/>
          <w:szCs w:val="32"/>
          <w:shd w:val="clear" w:color="auto" w:fill="FFFFFF"/>
        </w:rPr>
        <w:t>%，较年初预算数减少43.59万元，下降31.6%，主要原因是厉行节约，过紧日子，严格控制支出。</w:t>
      </w:r>
    </w:p>
    <w:p>
      <w:pPr>
        <w:ind w:firstLine="640" w:firstLineChars="200"/>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rPr>
        <w:t>住房保障支出4.21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3.86</w:t>
      </w:r>
      <w:r>
        <w:rPr>
          <w:rFonts w:hint="default" w:ascii="Times New Roman" w:hAnsi="Times New Roman" w:eastAsia="方正仿宋_GBK" w:cs="Times New Roman"/>
          <w:sz w:val="32"/>
          <w:szCs w:val="32"/>
          <w:shd w:val="clear" w:color="auto" w:fill="FFFFFF"/>
        </w:rPr>
        <w:t>%，较年初预算数减少0.16万元，下降3.7%，主要原因是厉行节约，过紧日子，严格控制支出。</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98.60</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79.25</w:t>
      </w:r>
      <w:r>
        <w:rPr>
          <w:rFonts w:hint="default" w:ascii="Times New Roman" w:hAnsi="Times New Roman" w:eastAsia="方正仿宋_GBK" w:cs="Times New Roman"/>
          <w:sz w:val="32"/>
          <w:szCs w:val="32"/>
          <w:shd w:val="clear" w:color="auto" w:fill="FFFFFF"/>
        </w:rPr>
        <w:t>万元，与2023年度相比，增加79.25万元，增长100.0%，主要原因是</w:t>
      </w:r>
      <w:r>
        <w:rPr>
          <w:rFonts w:hint="default" w:ascii="Times New Roman" w:hAnsi="Times New Roman" w:eastAsia="方正仿宋_GBK" w:cs="Times New Roman"/>
          <w:sz w:val="32"/>
        </w:rPr>
        <w:t>2023年重庆市铜梁区南城街道城市提升服务中心预算纳入了重庆市铜梁区人民政府南城街道办事处（本级）预算，未独立进行核算。</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rPr>
        <w:t>在职人员工资福利及社会保险缴费，退休人员补助等。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19.35</w:t>
      </w:r>
      <w:r>
        <w:rPr>
          <w:rFonts w:hint="default" w:ascii="Times New Roman" w:hAnsi="Times New Roman" w:eastAsia="方正仿宋_GBK" w:cs="Times New Roman"/>
          <w:sz w:val="32"/>
          <w:szCs w:val="32"/>
          <w:shd w:val="clear" w:color="auto" w:fill="FFFFFF"/>
        </w:rPr>
        <w:t>万元，与2023年度相比，增加19.35万元，增长100.0%，主要原因是</w:t>
      </w:r>
      <w:r>
        <w:rPr>
          <w:rFonts w:hint="default" w:ascii="Times New Roman" w:hAnsi="Times New Roman" w:eastAsia="方正仿宋_GBK" w:cs="Times New Roman"/>
          <w:sz w:val="32"/>
        </w:rPr>
        <w:t>2023年重庆市铜梁区南城街道城市提升服务中心预算纳入了重庆市铜梁区人民政府南城街道办事处（本级）预算，未独立进行核算。</w:t>
      </w:r>
      <w:r>
        <w:rPr>
          <w:rFonts w:hint="default" w:ascii="Times New Roman" w:hAnsi="Times New Roman" w:eastAsia="方正仿宋_GBK" w:cs="Times New Roman"/>
          <w:sz w:val="32"/>
          <w:szCs w:val="32"/>
          <w:shd w:val="clear" w:color="auto" w:fill="FFFFFF"/>
        </w:rPr>
        <w:t>公用经费用途主要包括办公费、劳务费等</w:t>
      </w:r>
      <w:r>
        <w:rPr>
          <w:rFonts w:hint="default" w:ascii="Times New Roman" w:hAnsi="Times New Roman" w:eastAsia="方正仿宋_GBK" w:cs="Times New Roman"/>
          <w:sz w:val="32"/>
        </w:rPr>
        <w:t>保障单位正常运转的各项商品服务支出。</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本单位2024年度无政府性基金预算财政拨款收支。</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本单位2024年度无国有资本经营预算财政拨款支出。</w:t>
      </w:r>
    </w:p>
    <w:p>
      <w:pPr>
        <w:pStyle w:val="5"/>
        <w:shd w:val="clear" w:color="auto" w:fill="FFFFFF"/>
        <w:spacing w:before="0" w:beforeAutospacing="0" w:after="0" w:afterAutospacing="0" w:line="596" w:lineRule="exact"/>
        <w:ind w:firstLine="643" w:firstLineChars="200"/>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三、财政拨款“三公”经费情况说明</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万元，较年初预算数无增减，主要原因是2024年无</w:t>
      </w:r>
      <w:r>
        <w:rPr>
          <w:rFonts w:hint="eastAsia" w:ascii="Times New Roman" w:hAnsi="Times New Roman" w:eastAsia="方正仿宋_GBK" w:cs="Times New Roman"/>
          <w:sz w:val="32"/>
          <w:szCs w:val="32"/>
          <w:shd w:val="clear" w:color="auto" w:fill="FFFFFF"/>
          <w:lang w:eastAsia="zh-CN"/>
        </w:rPr>
        <w:t>“三公”经费</w:t>
      </w:r>
      <w:bookmarkStart w:id="0" w:name="_GoBack"/>
      <w:bookmarkEnd w:id="0"/>
      <w:r>
        <w:rPr>
          <w:rFonts w:hint="default" w:ascii="Times New Roman" w:hAnsi="Times New Roman" w:eastAsia="方正仿宋_GBK" w:cs="Times New Roman"/>
          <w:sz w:val="32"/>
          <w:szCs w:val="32"/>
          <w:shd w:val="clear" w:color="auto" w:fill="FFFFFF"/>
        </w:rPr>
        <w:t>预算及支出。较上年支出数无增减，主要原因是</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纳入本级单位统一管理。</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shd w:val="clear" w:color="auto" w:fill="FFFFFF"/>
        </w:rPr>
        <w:t>2024年度本单位因公出国（境）费用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万元，主要是用于因执行公务、科技文化交流等活动。费用支出较年初预算数无增减，主要原因是2024年无预算与支出。与2023年度相比，无增减，主要原因是</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纳入本级单位统一管理。</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万元，主要用于购买公务用车。费用支出较年初预算数无增减，主要原因是2024年未安排购置公务车。与2023年度相比，无增减，主要原因是</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纳入本级单位统一管理。</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机要文件交换、市内因公出行、业务检查等工作所需车辆的燃料费、维修费、过桥过路费、保险费等。费用支出较年初预算数无增减，主要原因是本单位无公务用车。与2023年度相比，无增减，主要原因是</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纳入本级单位统一管理。</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万元，主要用于接待因公务活动需要而产生的接待用餐、住宿、交通等费用。费用支出较年初预算数无增减，主要原因是2024年本单位未有公务接待的安排和发生。较上年支出数无增减，主要原因是</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纳入本级单位统一管理。</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5"/>
        <w:shd w:val="clear" w:color="auto" w:fill="FFFFFF"/>
        <w:spacing w:before="0" w:beforeAutospacing="0" w:after="0" w:afterAutospacing="0" w:line="596" w:lineRule="exact"/>
        <w:ind w:firstLine="643" w:firstLineChars="200"/>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万元，与2023年度相比，无增减，主要原因是两年均未发生会议相关费用。本年度培训费支出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万元，与2023年度相比，无变化，主要原因是两年均未发生培训相关费用。</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rPr>
      </w:pPr>
      <w:r>
        <w:rPr>
          <w:rFonts w:hint="default" w:ascii="Times New Roman" w:hAnsi="Times New Roman" w:eastAsia="方正仿宋_GBK" w:cs="Times New Roman"/>
          <w:sz w:val="32"/>
        </w:rPr>
        <w:t>按照部门决算列报口径，我单位不在机关运行经费统计范围之内。</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2024年度我单位未发生政府采购事项，无相关经费支出。</w:t>
      </w:r>
    </w:p>
    <w:p>
      <w:pPr>
        <w:pStyle w:val="10"/>
        <w:spacing w:before="0" w:beforeAutospacing="0" w:after="0" w:afterAutospacing="0" w:line="596" w:lineRule="exact"/>
        <w:ind w:firstLine="643" w:firstLineChars="200"/>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五、2024年度预算绩效管理情况说明</w:t>
      </w:r>
    </w:p>
    <w:p>
      <w:pPr>
        <w:pStyle w:val="10"/>
        <w:autoSpaceDE w:val="0"/>
        <w:spacing w:before="0" w:beforeAutospacing="0" w:after="0" w:afterAutospacing="0" w:line="596"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（一）预算绩效管理工作开展情况</w:t>
      </w:r>
    </w:p>
    <w:p>
      <w:pPr>
        <w:pStyle w:val="10"/>
        <w:autoSpaceDE w:val="0"/>
        <w:spacing w:before="0" w:beforeAutospacing="0" w:after="0" w:afterAutospacing="0" w:line="596"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根据预算绩效管理要求，我单位对2个项目开展了绩效自评，其中，以填报自评表形式开展自评2项，涉及资金10.55万元。</w:t>
      </w:r>
    </w:p>
    <w:p>
      <w:pPr>
        <w:pStyle w:val="10"/>
        <w:autoSpaceDE w:val="0"/>
        <w:spacing w:before="0" w:beforeAutospacing="0" w:after="0" w:afterAutospacing="0" w:line="596"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（二）绩效自评结果</w:t>
      </w:r>
    </w:p>
    <w:p>
      <w:pPr>
        <w:pStyle w:val="12"/>
        <w:autoSpaceDE w:val="0"/>
        <w:spacing w:line="596"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1.项目绩效自评表。</w:t>
      </w:r>
    </w:p>
    <w:p>
      <w:pPr>
        <w:pStyle w:val="12"/>
        <w:autoSpaceDE w:val="0"/>
        <w:spacing w:line="596"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详见附件。</w:t>
      </w:r>
    </w:p>
    <w:p>
      <w:pPr>
        <w:pStyle w:val="12"/>
        <w:autoSpaceDE w:val="0"/>
        <w:spacing w:line="596"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2.项目绩效自评报告或案例。</w:t>
      </w:r>
    </w:p>
    <w:p>
      <w:pPr>
        <w:pStyle w:val="12"/>
        <w:autoSpaceDE w:val="0"/>
        <w:spacing w:line="596"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我单位未委托第三方开展绩效评价。</w:t>
      </w:r>
    </w:p>
    <w:p>
      <w:pPr>
        <w:pStyle w:val="12"/>
        <w:autoSpaceDE w:val="0"/>
        <w:spacing w:line="596"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3.关于绩效自评结果的说明。</w:t>
      </w:r>
    </w:p>
    <w:p>
      <w:pPr>
        <w:pStyle w:val="12"/>
        <w:autoSpaceDE w:val="0"/>
        <w:spacing w:line="596"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我单位对2项目进行绩效自评，其中2个已完成年度绩效目标，0个未完成年度绩效目标。</w:t>
      </w:r>
    </w:p>
    <w:p>
      <w:pPr>
        <w:pStyle w:val="12"/>
        <w:autoSpaceDE w:val="0"/>
        <w:spacing w:line="596"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（三）财政重点绩效评价情况 </w:t>
      </w:r>
    </w:p>
    <w:p>
      <w:pPr>
        <w:pStyle w:val="10"/>
        <w:autoSpaceDE w:val="0"/>
        <w:spacing w:before="0" w:beforeAutospacing="0" w:after="0" w:afterAutospacing="0" w:line="596" w:lineRule="exact"/>
        <w:ind w:firstLine="880" w:firstLineChars="275"/>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我单位无财政重点绩效评价项目。</w:t>
      </w:r>
    </w:p>
    <w:p>
      <w:pPr>
        <w:pStyle w:val="10"/>
        <w:autoSpaceDE w:val="0"/>
        <w:spacing w:before="0" w:beforeAutospacing="0" w:after="0" w:afterAutospacing="0" w:line="596" w:lineRule="exact"/>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xml:space="preserve">   </w:t>
      </w:r>
      <w:r>
        <w:rPr>
          <w:rStyle w:val="8"/>
          <w:rFonts w:hint="default" w:ascii="Times New Roman" w:hAnsi="Times New Roman" w:eastAsia="黑体" w:cs="Times New Roman"/>
          <w:sz w:val="32"/>
          <w:szCs w:val="32"/>
          <w:shd w:val="clear" w:color="auto" w:fill="FFFFFF"/>
        </w:rPr>
        <w:t xml:space="preserve"> 六、专业名词解释</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黑体" w:cs="Times New Roman"/>
          <w:sz w:val="32"/>
          <w:szCs w:val="32"/>
          <w:shd w:val="clear" w:color="auto" w:fill="FFFFFF"/>
        </w:rPr>
        <w:t>七、决算公开联系方式及信息反馈渠道</w:t>
      </w:r>
    </w:p>
    <w:p>
      <w:pPr>
        <w:pStyle w:val="10"/>
        <w:spacing w:before="0" w:beforeAutospacing="0" w:after="0" w:afterAutospacing="0" w:line="596"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p>
    <w:p>
      <w:pPr>
        <w:pStyle w:val="10"/>
        <w:spacing w:before="0" w:beforeAutospacing="0" w:after="0" w:afterAutospacing="0" w:line="596" w:lineRule="exact"/>
        <w:rPr>
          <w:rFonts w:hint="default" w:ascii="Times New Roman" w:hAnsi="Times New Roman" w:cs="Times New Roman"/>
        </w:rPr>
      </w:pPr>
      <w:r>
        <w:rPr>
          <w:rFonts w:hint="default" w:ascii="Times New Roman" w:hAnsi="Times New Roman" w:eastAsia="方正仿宋_GBK" w:cs="Times New Roman"/>
          <w:sz w:val="32"/>
          <w:szCs w:val="32"/>
          <w:shd w:val="clear" w:color="auto" w:fill="FFFFFF"/>
        </w:rPr>
        <w:t>罗渝闽</w:t>
      </w:r>
      <w:r>
        <w:rPr>
          <w:rFonts w:hint="default" w:ascii="Times New Roman" w:hAnsi="Times New Roman" w:eastAsia="方正仿宋_GBK" w:cs="Times New Roman"/>
          <w:color w:val="FF0000"/>
          <w:sz w:val="32"/>
          <w:szCs w:val="32"/>
          <w:shd w:val="clear" w:color="auto" w:fill="FFFFFF"/>
        </w:rPr>
        <w:t xml:space="preserve">  </w:t>
      </w:r>
      <w:r>
        <w:rPr>
          <w:rFonts w:hint="default" w:ascii="Times New Roman" w:hAnsi="Times New Roman" w:cs="Times New Roman"/>
          <w:color w:val="333333"/>
          <w:sz w:val="31"/>
          <w:szCs w:val="31"/>
          <w:shd w:val="clear" w:color="auto" w:fill="FFFFFF"/>
        </w:rPr>
        <w:t>023-</w:t>
      </w:r>
      <w:r>
        <w:rPr>
          <w:rFonts w:hint="default" w:ascii="Times New Roman" w:hAnsi="Times New Roman" w:eastAsia="方正仿宋_GBK" w:cs="Times New Roman"/>
          <w:color w:val="333333"/>
          <w:sz w:val="31"/>
          <w:szCs w:val="31"/>
          <w:shd w:val="clear" w:color="auto" w:fill="FFFFFF"/>
        </w:rPr>
        <w:t>45689509</w:t>
      </w:r>
    </w:p>
    <w:p>
      <w:pPr>
        <w:pStyle w:val="9"/>
        <w:autoSpaceDE w:val="0"/>
        <w:spacing w:line="596" w:lineRule="exact"/>
        <w:ind w:left="0" w:leftChars="0" w:firstLine="0" w:firstLineChars="0"/>
        <w:jc w:val="both"/>
        <w:rPr>
          <w:rStyle w:val="11"/>
          <w:rFonts w:hint="default" w:ascii="Times New Roman" w:hAnsi="Times New Roman" w:eastAsia="方正仿宋_GBK" w:cs="Times New Roman"/>
          <w:sz w:val="32"/>
          <w:szCs w:val="32"/>
          <w:shd w:val="clear" w:color="auto" w:fill="FFFF00"/>
        </w:rPr>
      </w:pPr>
    </w:p>
    <w:sectPr>
      <w:headerReference r:id="rId3" w:type="default"/>
      <w:footerReference r:id="rId4" w:type="default"/>
      <w:pgSz w:w="11850" w:h="16783"/>
      <w:pgMar w:top="1440" w:right="1803" w:bottom="1440" w:left="1803"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path/>
          <v:fill on="f" focussize="0,0"/>
          <v:stroke on="f" weight="0.5pt" joinstyle="miter"/>
          <v:imagedata o:title=""/>
          <o:lock v:ext="edit"/>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8 -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path/>
          <v:fill on="f" focussize="0,0"/>
          <v:stroke on="f" weight="0.5pt" joinstyle="miter"/>
          <v:imagedata o:title=""/>
          <o:lock v:ext="edit"/>
          <v:textbox inset="0mm,0mm,0mm,0mm">
            <w:txbxContent>
              <w:p>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RiYmFkZjU3ZWZjZDY5NmU5MDlkMGRjZTY2MTQ4NTgifQ=="/>
  </w:docVars>
  <w:rsids>
    <w:rsidRoot w:val="00B03CCD"/>
    <w:rsid w:val="00055448"/>
    <w:rsid w:val="00550ABE"/>
    <w:rsid w:val="007B419D"/>
    <w:rsid w:val="009B58D4"/>
    <w:rsid w:val="009B67B8"/>
    <w:rsid w:val="00B03CCD"/>
    <w:rsid w:val="00D74DF5"/>
    <w:rsid w:val="00FE7556"/>
    <w:rsid w:val="01474EBF"/>
    <w:rsid w:val="01F3521E"/>
    <w:rsid w:val="03E3214F"/>
    <w:rsid w:val="04446191"/>
    <w:rsid w:val="044C50BA"/>
    <w:rsid w:val="04E17523"/>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0FBE3B8A"/>
    <w:rsid w:val="0FFDB952"/>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9D7D28"/>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38E1DDC"/>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EB2AE99"/>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DC42F56"/>
    <w:rsid w:val="5DE74107"/>
    <w:rsid w:val="5DFBB5EB"/>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2E6726"/>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E3E60A9"/>
    <w:rsid w:val="6F5D8C52"/>
    <w:rsid w:val="6F75D223"/>
    <w:rsid w:val="6F7F6A2D"/>
    <w:rsid w:val="6FB442D1"/>
    <w:rsid w:val="6FFB2E76"/>
    <w:rsid w:val="71C34D91"/>
    <w:rsid w:val="71ED38AA"/>
    <w:rsid w:val="720229AA"/>
    <w:rsid w:val="72DB435C"/>
    <w:rsid w:val="750837F0"/>
    <w:rsid w:val="764F62AB"/>
    <w:rsid w:val="765C45EC"/>
    <w:rsid w:val="768A7619"/>
    <w:rsid w:val="76E14979"/>
    <w:rsid w:val="77CF32DF"/>
    <w:rsid w:val="77EA362A"/>
    <w:rsid w:val="7875383E"/>
    <w:rsid w:val="796D60A4"/>
    <w:rsid w:val="79A031D5"/>
    <w:rsid w:val="7A1525F7"/>
    <w:rsid w:val="7A3E6CB6"/>
    <w:rsid w:val="7A680D2D"/>
    <w:rsid w:val="7B260559"/>
    <w:rsid w:val="7B420052"/>
    <w:rsid w:val="7BD06A28"/>
    <w:rsid w:val="7C1E4CD7"/>
    <w:rsid w:val="7C3A7C0B"/>
    <w:rsid w:val="7C5248E4"/>
    <w:rsid w:val="7C566698"/>
    <w:rsid w:val="7EF5C28F"/>
    <w:rsid w:val="7F972C10"/>
    <w:rsid w:val="7FA960B8"/>
    <w:rsid w:val="7FFC762B"/>
    <w:rsid w:val="9FEF0918"/>
    <w:rsid w:val="BF7DB9BE"/>
    <w:rsid w:val="BFF6E8AA"/>
    <w:rsid w:val="EFC7887A"/>
    <w:rsid w:val="F7B7E0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777</Words>
  <Characters>4435</Characters>
  <Lines>36</Lines>
  <Paragraphs>10</Paragraphs>
  <TotalTime>0</TotalTime>
  <ScaleCrop>false</ScaleCrop>
  <LinksUpToDate>false</LinksUpToDate>
  <CharactersWithSpaces>5202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lenovo</cp:lastModifiedBy>
  <dcterms:modified xsi:type="dcterms:W3CDTF">2025-10-30T01:51:14Z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9EDAFD8FD9424A54844071572B3E9A06_13</vt:lpwstr>
  </property>
</Properties>
</file>