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96"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重庆市铜梁区南城街道产业培育中心</w:t>
      </w:r>
    </w:p>
    <w:p>
      <w:pPr>
        <w:pStyle w:val="5"/>
        <w:spacing w:before="0" w:beforeAutospacing="0" w:after="0" w:afterAutospacing="0" w:line="596" w:lineRule="exact"/>
        <w:jc w:val="center"/>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一、单位基本情况</w:t>
      </w:r>
    </w:p>
    <w:p>
      <w:pPr>
        <w:pStyle w:val="5"/>
        <w:shd w:val="clear" w:color="auto" w:fill="FFFFFF"/>
        <w:ind w:firstLine="420"/>
        <w:rPr>
          <w:rStyle w:val="8"/>
          <w:rFonts w:hint="default" w:ascii="Times New Roman" w:hAnsi="Times New Roman" w:eastAsia="楷体" w:cs="Times New Roman"/>
          <w:sz w:val="32"/>
          <w:szCs w:val="32"/>
          <w:shd w:val="clear" w:color="auto" w:fill="FFFFFF"/>
        </w:rPr>
      </w:pPr>
      <w:r>
        <w:rPr>
          <w:rStyle w:val="8"/>
          <w:rFonts w:hint="default" w:ascii="Times New Roman" w:hAnsi="Times New Roman" w:eastAsia="楷体" w:cs="Times New Roman"/>
          <w:sz w:val="32"/>
          <w:szCs w:val="32"/>
          <w:shd w:val="clear" w:color="auto" w:fill="FFFFFF"/>
        </w:rPr>
        <w:t>（一）职能职责</w:t>
      </w:r>
    </w:p>
    <w:p>
      <w:pPr>
        <w:spacing w:line="594" w:lineRule="exact"/>
        <w:ind w:firstLine="640" w:firstLineChars="200"/>
        <w:rPr>
          <w:rStyle w:val="8"/>
          <w:rFonts w:hint="default" w:ascii="Times New Roman" w:hAnsi="Times New Roman" w:eastAsia="楷体" w:cs="Times New Roman"/>
          <w:sz w:val="32"/>
          <w:szCs w:val="32"/>
          <w:shd w:val="clear" w:color="auto" w:fill="FFFFFF"/>
        </w:rPr>
      </w:pPr>
      <w:r>
        <w:rPr>
          <w:rFonts w:hint="default" w:ascii="Times New Roman" w:hAnsi="Times New Roman" w:eastAsia="方正仿宋_GBK" w:cs="Times New Roman"/>
          <w:sz w:val="32"/>
        </w:rPr>
        <w:t>重庆市铜梁区南城街道产业培育中心主要职责：1、为辖区经济发展提供产业和技术保障；2、承担产业规划、引进培育等工作；3、推动电子商务发展，承担各类招商项目洽谈、推介活动等投资促进工作；4、承担农村经营管理、经济社会社会统计、扶贫开发等工作；5、承担农技、农机、林业、畜牧、水利水保、水产等方面的重大技术推广、信息服务、资源保护、灾害防治等工作；6、承担农产品质量安全检测和监测等工作；7、完成主管部门交办的其他任务。</w:t>
      </w:r>
    </w:p>
    <w:p>
      <w:pPr>
        <w:pStyle w:val="5"/>
        <w:shd w:val="clear" w:color="auto" w:fill="FFFFFF"/>
        <w:ind w:firstLine="420"/>
        <w:rPr>
          <w:rFonts w:hint="default" w:ascii="Times New Roman" w:hAnsi="Times New Roman" w:eastAsia="楷体" w:cs="Times New Roman"/>
          <w:sz w:val="32"/>
          <w:szCs w:val="32"/>
        </w:rPr>
      </w:pPr>
      <w:r>
        <w:rPr>
          <w:rStyle w:val="8"/>
          <w:rFonts w:hint="default" w:ascii="Times New Roman" w:hAnsi="Times New Roman" w:eastAsia="楷体" w:cs="Times New Roman"/>
          <w:sz w:val="32"/>
          <w:szCs w:val="32"/>
          <w:shd w:val="clear" w:color="auto" w:fill="FFFFFF"/>
        </w:rPr>
        <w:t>（二）机构设置</w:t>
      </w:r>
    </w:p>
    <w:p>
      <w:pPr>
        <w:spacing w:line="594"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重庆市铜梁区南城街道产业培育中心为重庆市铜梁区人民政府南城街道办事处管理的正科级公益一类事业单位，共有事业编制27名，编制内所需经费纳入财政全额保障。</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二、单位决算收支情况说明</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spacing w:line="594"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2024年度收入总计582.96万元，支出总计</w:t>
      </w:r>
      <w:r>
        <w:rPr>
          <w:rFonts w:hint="default" w:ascii="Times New Roman" w:hAnsi="Times New Roman" w:eastAsia="方正仿宋_GBK" w:cs="Times New Roman"/>
          <w:sz w:val="32"/>
          <w:szCs w:val="32"/>
        </w:rPr>
        <w:t>582.96</w:t>
      </w:r>
      <w:r>
        <w:rPr>
          <w:rFonts w:hint="default" w:ascii="Times New Roman" w:hAnsi="Times New Roman" w:eastAsia="方正仿宋_GBK" w:cs="Times New Roman"/>
          <w:sz w:val="32"/>
          <w:szCs w:val="32"/>
          <w:shd w:val="clear" w:color="auto" w:fill="FFFFFF"/>
        </w:rPr>
        <w:t>万元。收、支与2023年度相比，增加582.96万元，增长100.0%，主要原因是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spacing w:line="594"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2024年度收入合计582.96万元，与2023年度相比，增加582.96万元，增长100.0%，主要原因是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582.96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spacing w:line="594"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582.96</w:t>
      </w:r>
      <w:r>
        <w:rPr>
          <w:rFonts w:hint="default" w:ascii="Times New Roman" w:hAnsi="Times New Roman" w:eastAsia="方正仿宋_GBK" w:cs="Times New Roman"/>
          <w:sz w:val="32"/>
          <w:szCs w:val="32"/>
          <w:shd w:val="clear" w:color="auto" w:fill="FFFFFF"/>
        </w:rPr>
        <w:t>万元，与2023年度相比，增加582.96万元，增长100.0%，主要原因是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578.76</w:t>
      </w:r>
      <w:r>
        <w:rPr>
          <w:rFonts w:hint="default" w:ascii="Times New Roman" w:hAnsi="Times New Roman" w:eastAsia="方正仿宋_GBK" w:cs="Times New Roman"/>
          <w:sz w:val="32"/>
          <w:szCs w:val="32"/>
          <w:shd w:val="clear" w:color="auto" w:fill="FFFFFF"/>
        </w:rPr>
        <w:t>万元，占99.28%；项目支出</w:t>
      </w:r>
      <w:r>
        <w:rPr>
          <w:rFonts w:hint="default" w:ascii="Times New Roman" w:hAnsi="Times New Roman" w:eastAsia="方正仿宋_GBK" w:cs="Times New Roman"/>
          <w:sz w:val="32"/>
          <w:szCs w:val="32"/>
        </w:rPr>
        <w:t>4.21</w:t>
      </w:r>
      <w:r>
        <w:rPr>
          <w:rFonts w:hint="default" w:ascii="Times New Roman" w:hAnsi="Times New Roman" w:eastAsia="方正仿宋_GBK" w:cs="Times New Roman"/>
          <w:sz w:val="32"/>
          <w:szCs w:val="32"/>
          <w:shd w:val="clear" w:color="auto" w:fill="FFFFFF"/>
        </w:rPr>
        <w:t>万元，占0.72%；经营支出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2024年度财政拨款收、支总计582.96万元。与2023年相比，财政拨款收、支总计各增加582.96万元，增长100.0%。主要原因是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spacing w:line="594"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582.96</w:t>
      </w:r>
      <w:r>
        <w:rPr>
          <w:rFonts w:hint="default" w:ascii="Times New Roman" w:hAnsi="Times New Roman" w:eastAsia="方正仿宋_GBK" w:cs="Times New Roman"/>
          <w:sz w:val="32"/>
          <w:szCs w:val="32"/>
          <w:shd w:val="clear" w:color="auto" w:fill="FFFFFF"/>
        </w:rPr>
        <w:t>万元，与2023年度相比，增加582.96万元，增长100.0%。主要原因是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较年初预算数减少87.74万元，下降13.1%。主要原因是厉行节约，过紧日子，严格管理支出。此外，年初财政拨款结转和结余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spacing w:line="594"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582.96</w:t>
      </w:r>
      <w:r>
        <w:rPr>
          <w:rFonts w:hint="default" w:ascii="Times New Roman" w:hAnsi="Times New Roman" w:eastAsia="方正仿宋_GBK" w:cs="Times New Roman"/>
          <w:sz w:val="32"/>
          <w:szCs w:val="32"/>
          <w:shd w:val="clear" w:color="auto" w:fill="FFFFFF"/>
        </w:rPr>
        <w:t>万元，与2023年度相比，增加582.96万元，增长100.0%。主要原因是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较年初预算数减少87.74万元，下降13.1%。主要原因是厉行节约，过紧日子，严格管理支出。</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万元，与2023年度相比，无增减，主要原因是未结余。</w:t>
      </w:r>
    </w:p>
    <w:p>
      <w:pPr>
        <w:pStyle w:val="5"/>
        <w:snapToGrid w:val="0"/>
        <w:spacing w:before="0" w:beforeAutospacing="0" w:after="0" w:afterAutospacing="0" w:line="600"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102.07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17.51</w:t>
      </w:r>
      <w:r>
        <w:rPr>
          <w:rFonts w:hint="default" w:ascii="Times New Roman" w:hAnsi="Times New Roman" w:eastAsia="方正仿宋_GBK" w:cs="Times New Roman"/>
          <w:sz w:val="32"/>
          <w:szCs w:val="32"/>
          <w:shd w:val="clear" w:color="auto" w:fill="FFFFFF"/>
        </w:rPr>
        <w:t>%，较年初预算数增加0.42万元，增长0.4%，主要原因是2024年预算后新增退休职工，因此支出大于预算数。</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（2）卫生健康支出</w:t>
      </w:r>
      <w:r>
        <w:rPr>
          <w:rFonts w:hint="default" w:ascii="Times New Roman" w:hAnsi="Times New Roman" w:eastAsia="方正仿宋_GBK" w:cs="Times New Roman"/>
          <w:sz w:val="32"/>
          <w:szCs w:val="32"/>
        </w:rPr>
        <w:t>19.12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3.28</w:t>
      </w:r>
      <w:r>
        <w:rPr>
          <w:rFonts w:hint="default" w:ascii="Times New Roman" w:hAnsi="Times New Roman" w:eastAsia="方正仿宋_GBK" w:cs="Times New Roman"/>
          <w:sz w:val="32"/>
          <w:szCs w:val="32"/>
          <w:shd w:val="clear" w:color="auto" w:fill="FFFFFF"/>
        </w:rPr>
        <w:t>%，较年初预算数减少11.78万元，下降38.1%，主要原因是2024年预算后有在职职工退休，因此保险支出减少。</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（3）农林水支出</w:t>
      </w:r>
      <w:r>
        <w:rPr>
          <w:rFonts w:hint="default" w:ascii="Times New Roman" w:hAnsi="Times New Roman" w:eastAsia="方正仿宋_GBK" w:cs="Times New Roman"/>
          <w:sz w:val="32"/>
          <w:szCs w:val="32"/>
        </w:rPr>
        <w:t>437.41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75.03</w:t>
      </w:r>
      <w:r>
        <w:rPr>
          <w:rFonts w:hint="default" w:ascii="Times New Roman" w:hAnsi="Times New Roman" w:eastAsia="方正仿宋_GBK" w:cs="Times New Roman"/>
          <w:sz w:val="32"/>
          <w:szCs w:val="32"/>
          <w:shd w:val="clear" w:color="auto" w:fill="FFFFFF"/>
        </w:rPr>
        <w:t>%，较年初预算数减少76.39万元，下降14.9%，主要原因是厉行节约，过紧日子，严格控制支出。</w:t>
      </w:r>
    </w:p>
    <w:p>
      <w:pPr>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rPr>
        <w:t>住房保障支出24.36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4.18</w:t>
      </w:r>
      <w:r>
        <w:rPr>
          <w:rFonts w:hint="default" w:ascii="Times New Roman" w:hAnsi="Times New Roman" w:eastAsia="方正仿宋_GBK" w:cs="Times New Roman"/>
          <w:sz w:val="32"/>
          <w:szCs w:val="32"/>
          <w:shd w:val="clear" w:color="auto" w:fill="FFFFFF"/>
        </w:rPr>
        <w:t>%，较年初预算数无增减，主要原因是全年预算准确。</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578.76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502.47</w:t>
      </w:r>
      <w:r>
        <w:rPr>
          <w:rFonts w:hint="default" w:ascii="Times New Roman" w:hAnsi="Times New Roman" w:eastAsia="方正仿宋_GBK" w:cs="Times New Roman"/>
          <w:sz w:val="32"/>
          <w:szCs w:val="32"/>
          <w:shd w:val="clear" w:color="auto" w:fill="FFFFFF"/>
        </w:rPr>
        <w:t>万元，与2023年度相比，增加502.47万元，增长100.0%，主要原因是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人员经费用途主要包括在职人员的工资、保险、公积金单位部分以及退休人员的健康休养费等相关经费。公用经费</w:t>
      </w:r>
      <w:r>
        <w:rPr>
          <w:rFonts w:hint="default" w:ascii="Times New Roman" w:hAnsi="Times New Roman" w:eastAsia="方正仿宋_GBK" w:cs="Times New Roman"/>
          <w:sz w:val="32"/>
          <w:szCs w:val="32"/>
        </w:rPr>
        <w:t>76.28</w:t>
      </w:r>
      <w:r>
        <w:rPr>
          <w:rFonts w:hint="default" w:ascii="Times New Roman" w:hAnsi="Times New Roman" w:eastAsia="方正仿宋_GBK" w:cs="Times New Roman"/>
          <w:sz w:val="32"/>
          <w:szCs w:val="32"/>
          <w:shd w:val="clear" w:color="auto" w:fill="FFFFFF"/>
        </w:rPr>
        <w:t>万元，与2023年度相比，增加76.28万元，增长100.0%，主要原因是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r>
        <w:rPr>
          <w:rFonts w:hint="default" w:ascii="Times New Roman" w:hAnsi="Times New Roman" w:eastAsia="方正仿宋_GBK" w:cs="Times New Roman"/>
          <w:sz w:val="32"/>
          <w:szCs w:val="32"/>
          <w:shd w:val="clear" w:color="auto" w:fill="FFFFFF"/>
        </w:rPr>
        <w:t>公用经费用途主要包括办公费、劳务费等</w:t>
      </w:r>
      <w:r>
        <w:rPr>
          <w:rFonts w:hint="default" w:ascii="Times New Roman" w:hAnsi="Times New Roman" w:eastAsia="方正仿宋_GBK" w:cs="Times New Roman"/>
          <w:sz w:val="32"/>
        </w:rPr>
        <w:t>保障单位正常运转的各项商品服务支出。</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本单位2024年度无政府性基金预算财政拨款收支。</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本单位2024年度无国有资本经营预算财政拨款支出。</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三、财政拨款“三公”经费情况说明</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2024年度“三公”经费支出共计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万元，较年初预算数无增减，主要原因是2024年无</w:t>
      </w:r>
      <w:r>
        <w:rPr>
          <w:rFonts w:hint="default" w:ascii="Times New Roman" w:hAnsi="Times New Roman" w:eastAsia="宋体" w:cs="Times New Roman"/>
          <w:i w:val="0"/>
          <w:caps w:val="0"/>
          <w:color w:val="000000"/>
          <w:spacing w:val="0"/>
          <w:sz w:val="32"/>
          <w:szCs w:val="32"/>
          <w:shd w:val="clear" w:fill="FFFFFF"/>
        </w:rPr>
        <w:t>“</w:t>
      </w:r>
      <w:r>
        <w:rPr>
          <w:rFonts w:ascii="方正仿宋_GBK" w:hAnsi="方正仿宋_GBK" w:eastAsia="方正仿宋_GBK" w:cs="方正仿宋_GBK"/>
          <w:i w:val="0"/>
          <w:caps w:val="0"/>
          <w:color w:val="000000"/>
          <w:spacing w:val="0"/>
          <w:sz w:val="32"/>
          <w:szCs w:val="32"/>
          <w:shd w:val="clear" w:fill="FFFFFF"/>
        </w:rPr>
        <w:t>三公</w:t>
      </w:r>
      <w:r>
        <w:rPr>
          <w:rFonts w:hint="default" w:ascii="Times New Roman" w:hAnsi="Times New Roman" w:eastAsia="宋体" w:cs="Times New Roman"/>
          <w:i w:val="0"/>
          <w:caps w:val="0"/>
          <w:color w:val="000000"/>
          <w:spacing w:val="0"/>
          <w:sz w:val="32"/>
          <w:szCs w:val="32"/>
          <w:shd w:val="clear" w:fill="FFFFFF"/>
        </w:rPr>
        <w:t>”</w:t>
      </w:r>
      <w:r>
        <w:rPr>
          <w:rFonts w:hint="eastAsia" w:ascii="方正仿宋_GBK" w:hAnsi="方正仿宋_GBK" w:eastAsia="方正仿宋_GBK" w:cs="方正仿宋_GBK"/>
          <w:i w:val="0"/>
          <w:caps w:val="0"/>
          <w:color w:val="000000"/>
          <w:spacing w:val="0"/>
          <w:sz w:val="32"/>
          <w:szCs w:val="32"/>
          <w:shd w:val="clear" w:fill="FFFFFF"/>
        </w:rPr>
        <w:t>经费</w:t>
      </w:r>
      <w:r>
        <w:rPr>
          <w:rFonts w:hint="default" w:ascii="Times New Roman" w:hAnsi="Times New Roman" w:eastAsia="方正仿宋_GBK" w:cs="Times New Roman"/>
          <w:sz w:val="32"/>
          <w:szCs w:val="32"/>
          <w:shd w:val="clear" w:color="auto" w:fill="FFFFFF"/>
        </w:rPr>
        <w:t>预算及支出。较上年支出数无增减，主要原因是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bookmarkStart w:id="0" w:name="_GoBack"/>
      <w:bookmarkEnd w:id="0"/>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spacing w:line="594"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万元，主要是用于因执行公务、科技文化交流等活动。费用支出较年初预算数无增减，主要原因是2024年无预算与支出。与2023年度相比，无增减，主要原因是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万元，主要用于购买公务用车。费用支出较年初预算数无增减，主要原因是2024年未安排购置公务车。与2023年度相比，无增减，主要原因是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机要文件交换、市内因公出行、业务检查等工作所需车辆的燃料费、维修费、过桥过路费、保险费等。费用支出较年初预算数无增减，主要原因是本单位无公务用车。与2023年度相比，无增减，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万元，主要用于因公务活动需要而产生的接待用餐、住宿、交通等费用。费用支出较年初预算数无增减，主要原因是2024年本单位未有公务接待的安排和发生。较上年支出数无增减，主要原因是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5"/>
        <w:shd w:val="clear" w:color="auto" w:fill="FFFFFF"/>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四、其他需要说明的事项</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万元，与2023年度相比，无增减，主要原因是2024年未发生会议支出</w:t>
      </w:r>
      <w:r>
        <w:rPr>
          <w:rFonts w:hint="default" w:ascii="Times New Roman" w:hAnsi="Times New Roman" w:eastAsia="方正仿宋_GBK" w:cs="Times New Roman"/>
          <w:sz w:val="32"/>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0.08</w:t>
      </w:r>
      <w:r>
        <w:rPr>
          <w:rFonts w:hint="default" w:ascii="Times New Roman" w:hAnsi="Times New Roman" w:eastAsia="方正仿宋_GBK" w:cs="Times New Roman"/>
          <w:sz w:val="32"/>
          <w:szCs w:val="32"/>
          <w:shd w:val="clear" w:color="auto" w:fill="FFFFFF"/>
        </w:rPr>
        <w:t>万元，与2023年度相比，增加0.08万元，增长100.0%，主要原因是</w:t>
      </w:r>
      <w:r>
        <w:rPr>
          <w:rFonts w:hint="default" w:ascii="Times New Roman" w:hAnsi="Times New Roman" w:eastAsia="方正仿宋_GBK" w:cs="Times New Roman"/>
          <w:sz w:val="32"/>
        </w:rPr>
        <w:t>2023年重庆市铜梁区南城街道产业培育中心预算纳入了重庆市铜梁区人民政府南城街道办事处本级预算，未独立进行核算。</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（二）机关运行经费情况说明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rPr>
      </w:pPr>
      <w:r>
        <w:rPr>
          <w:rFonts w:hint="default" w:ascii="Times New Roman" w:hAnsi="Times New Roman" w:eastAsia="方正仿宋_GBK" w:cs="Times New Roman"/>
          <w:sz w:val="32"/>
        </w:rPr>
        <w:t>按照部门决算列报口径，我单位不在机关运行经费统计范围之内。</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9"/>
        <w:autoSpaceDE w:val="0"/>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2024年度我单位未发生政府采购事项，无相关经费支出。</w:t>
      </w:r>
    </w:p>
    <w:p>
      <w:pPr>
        <w:pStyle w:val="10"/>
        <w:spacing w:before="0" w:beforeAutospacing="0" w:after="0" w:afterAutospacing="0" w:line="596" w:lineRule="exact"/>
        <w:ind w:firstLine="643" w:firstLineChars="200"/>
        <w:rPr>
          <w:rStyle w:val="8"/>
          <w:rFonts w:hint="default" w:ascii="Times New Roman" w:hAnsi="Times New Roman" w:eastAsia="黑体" w:cs="Times New Roman"/>
          <w:sz w:val="32"/>
          <w:szCs w:val="32"/>
          <w:shd w:val="clear" w:color="auto" w:fill="FFFFFF"/>
        </w:rPr>
      </w:pPr>
      <w:r>
        <w:rPr>
          <w:rStyle w:val="8"/>
          <w:rFonts w:hint="default" w:ascii="Times New Roman" w:hAnsi="Times New Roman" w:eastAsia="黑体" w:cs="Times New Roman"/>
          <w:sz w:val="32"/>
          <w:szCs w:val="32"/>
          <w:shd w:val="clear" w:color="auto" w:fill="FFFFFF"/>
        </w:rPr>
        <w:t>五、2024年度预算绩效管理情况说明</w:t>
      </w:r>
    </w:p>
    <w:p>
      <w:pPr>
        <w:pStyle w:val="10"/>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（一）预算绩效管理工作开展情况</w:t>
      </w:r>
    </w:p>
    <w:p>
      <w:pPr>
        <w:pStyle w:val="10"/>
        <w:autoSpaceDE w:val="0"/>
        <w:spacing w:before="0" w:beforeAutospacing="0" w:after="0" w:afterAutospacing="0" w:line="596"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根据预算绩效管理要求，我单位对1个项目开展了绩效自评，其中，以填报自评表形式开展自评1项，涉及资金0.43万元。</w:t>
      </w:r>
    </w:p>
    <w:p>
      <w:pPr>
        <w:pStyle w:val="10"/>
        <w:autoSpaceDE w:val="0"/>
        <w:spacing w:before="0" w:beforeAutospacing="0" w:after="0" w:afterAutospacing="0" w:line="596"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（二）绩效自评结果</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1.项目绩效自评表。</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详见附件。</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2.项目绩效自评报告或案例。</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我单位未委托第三方开展绩效评价。</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3.关于绩效自评结果的说明。</w:t>
      </w:r>
    </w:p>
    <w:p>
      <w:pPr>
        <w:pStyle w:val="12"/>
        <w:autoSpaceDE w:val="0"/>
        <w:spacing w:line="596" w:lineRule="exact"/>
        <w:ind w:firstLine="64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我单位对1个项目进行绩效自评，其中1个已完成年度绩效目标。</w:t>
      </w:r>
    </w:p>
    <w:p>
      <w:pPr>
        <w:pStyle w:val="12"/>
        <w:autoSpaceDE w:val="0"/>
        <w:spacing w:line="596" w:lineRule="exact"/>
        <w:ind w:firstLine="643"/>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（三）财政重点绩效评价情况 </w:t>
      </w:r>
    </w:p>
    <w:p>
      <w:pPr>
        <w:pStyle w:val="10"/>
        <w:autoSpaceDE w:val="0"/>
        <w:spacing w:before="0" w:beforeAutospacing="0" w:after="0" w:afterAutospacing="0" w:line="596" w:lineRule="exact"/>
        <w:ind w:firstLine="880" w:firstLineChars="275"/>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我单位无财政重点绩效评价项目。</w:t>
      </w:r>
    </w:p>
    <w:p>
      <w:pPr>
        <w:pStyle w:val="10"/>
        <w:autoSpaceDE w:val="0"/>
        <w:spacing w:before="0" w:beforeAutospacing="0" w:after="0" w:afterAutospacing="0" w:line="596" w:lineRule="exact"/>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 xml:space="preserve">   </w:t>
      </w:r>
      <w:r>
        <w:rPr>
          <w:rStyle w:val="8"/>
          <w:rFonts w:hint="default" w:ascii="Times New Roman" w:hAnsi="Times New Roman" w:eastAsia="黑体" w:cs="Times New Roman"/>
          <w:sz w:val="32"/>
          <w:szCs w:val="32"/>
          <w:shd w:val="clear" w:color="auto" w:fill="FFFFFF"/>
        </w:rPr>
        <w:t xml:space="preserve"> 六、专业名词解释</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0"/>
        <w:spacing w:before="0" w:beforeAutospacing="0" w:after="0" w:afterAutospacing="0" w:line="596" w:lineRule="exact"/>
        <w:ind w:firstLine="643" w:firstLineChars="200"/>
        <w:rPr>
          <w:rFonts w:hint="default" w:ascii="Times New Roman" w:hAnsi="Times New Roman" w:eastAsia="方正仿宋_GBK" w:cs="Times New Roman"/>
          <w:sz w:val="32"/>
          <w:szCs w:val="32"/>
        </w:rPr>
      </w:pPr>
      <w:r>
        <w:rPr>
          <w:rStyle w:val="8"/>
          <w:rFonts w:hint="default" w:ascii="Times New Roman" w:hAnsi="Times New Roman" w:eastAsia="黑体" w:cs="Times New Roman"/>
          <w:sz w:val="32"/>
          <w:szCs w:val="32"/>
          <w:shd w:val="clear" w:color="auto" w:fill="FFFFFF"/>
        </w:rPr>
        <w:t>七、决算公开联系方式及信息反馈渠道</w:t>
      </w:r>
    </w:p>
    <w:p>
      <w:pPr>
        <w:pStyle w:val="10"/>
        <w:spacing w:before="0" w:beforeAutospacing="0" w:after="0" w:afterAutospacing="0" w:line="596" w:lineRule="exact"/>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pStyle w:val="10"/>
        <w:spacing w:before="0" w:beforeAutospacing="0" w:after="0" w:afterAutospacing="0" w:line="596" w:lineRule="exact"/>
        <w:rPr>
          <w:rFonts w:hint="default" w:ascii="Times New Roman" w:hAnsi="Times New Roman" w:cs="Times New Roman"/>
        </w:rPr>
      </w:pPr>
      <w:r>
        <w:rPr>
          <w:rFonts w:hint="default" w:ascii="Times New Roman" w:hAnsi="Times New Roman" w:eastAsia="方正仿宋_GBK" w:cs="Times New Roman"/>
          <w:sz w:val="32"/>
          <w:szCs w:val="32"/>
          <w:shd w:val="clear" w:color="auto" w:fill="FFFFFF"/>
        </w:rPr>
        <w:t xml:space="preserve">罗渝闽  </w:t>
      </w:r>
      <w:r>
        <w:rPr>
          <w:rFonts w:hint="default" w:ascii="Times New Roman" w:hAnsi="Times New Roman" w:cs="Times New Roman"/>
          <w:color w:val="333333"/>
          <w:sz w:val="31"/>
          <w:szCs w:val="31"/>
          <w:shd w:val="clear" w:color="auto" w:fill="FFFFFF"/>
        </w:rPr>
        <w:t>023-</w:t>
      </w:r>
      <w:r>
        <w:rPr>
          <w:rFonts w:hint="default" w:ascii="Times New Roman" w:hAnsi="Times New Roman" w:eastAsia="方正仿宋_GBK" w:cs="Times New Roman"/>
          <w:color w:val="333333"/>
          <w:sz w:val="31"/>
          <w:szCs w:val="31"/>
          <w:shd w:val="clear" w:color="auto" w:fill="FFFFFF"/>
        </w:rPr>
        <w:t>45689509</w:t>
      </w:r>
    </w:p>
    <w:sectPr>
      <w:headerReference r:id="rId3" w:type="default"/>
      <w:footerReference r:id="rId4" w:type="default"/>
      <w:pgSz w:w="11850" w:h="16783"/>
      <w:pgMar w:top="1440" w:right="1803" w:bottom="1440" w:left="1803"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path/>
          <v:fill on="f" focussize="0,0"/>
          <v:stroke on="f" weight="0.5pt" joinstyle="miter"/>
          <v:imagedata o:title=""/>
          <o:lock v:ext="edit"/>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RiYmFkZjU3ZWZjZDY5NmU5MDlkMGRjZTY2MTQ4NTgifQ=="/>
  </w:docVars>
  <w:rsids>
    <w:rsidRoot w:val="00B03CCD"/>
    <w:rsid w:val="000A39CA"/>
    <w:rsid w:val="001B429E"/>
    <w:rsid w:val="00550ABE"/>
    <w:rsid w:val="007B419D"/>
    <w:rsid w:val="009B67B8"/>
    <w:rsid w:val="00A04EBD"/>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7F36A80"/>
    <w:rsid w:val="189B0D0B"/>
    <w:rsid w:val="194A1770"/>
    <w:rsid w:val="19917D9C"/>
    <w:rsid w:val="19B906A4"/>
    <w:rsid w:val="1A1F744B"/>
    <w:rsid w:val="1A4854EC"/>
    <w:rsid w:val="1B6F15B6"/>
    <w:rsid w:val="1BAA2EDC"/>
    <w:rsid w:val="1CE157EE"/>
    <w:rsid w:val="1D014A01"/>
    <w:rsid w:val="1D022362"/>
    <w:rsid w:val="1DD26311"/>
    <w:rsid w:val="1EF67CA4"/>
    <w:rsid w:val="1F3D34F6"/>
    <w:rsid w:val="1F9EFE10"/>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9C4C0E"/>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7E1A05"/>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28E54B2"/>
    <w:rsid w:val="53C0244D"/>
    <w:rsid w:val="53DD4D4E"/>
    <w:rsid w:val="53E578CE"/>
    <w:rsid w:val="543B029D"/>
    <w:rsid w:val="545D0246"/>
    <w:rsid w:val="554E5773"/>
    <w:rsid w:val="555A3CBC"/>
    <w:rsid w:val="55BA463D"/>
    <w:rsid w:val="56530F5D"/>
    <w:rsid w:val="5842572D"/>
    <w:rsid w:val="5AE75037"/>
    <w:rsid w:val="5B58571C"/>
    <w:rsid w:val="5B8376C2"/>
    <w:rsid w:val="5B96133A"/>
    <w:rsid w:val="5C1336B7"/>
    <w:rsid w:val="5C263CE4"/>
    <w:rsid w:val="5C5D2777"/>
    <w:rsid w:val="5D290C69"/>
    <w:rsid w:val="5D537F41"/>
    <w:rsid w:val="5D77CB8E"/>
    <w:rsid w:val="5DEF7493"/>
    <w:rsid w:val="5EFA176D"/>
    <w:rsid w:val="5F0247F9"/>
    <w:rsid w:val="5F2D4A41"/>
    <w:rsid w:val="601C34ED"/>
    <w:rsid w:val="60A958A9"/>
    <w:rsid w:val="60D22ADB"/>
    <w:rsid w:val="61025A59"/>
    <w:rsid w:val="613D5BBC"/>
    <w:rsid w:val="61536C39"/>
    <w:rsid w:val="628230A6"/>
    <w:rsid w:val="62944DD7"/>
    <w:rsid w:val="62AB52B7"/>
    <w:rsid w:val="634D1435"/>
    <w:rsid w:val="63C25DC5"/>
    <w:rsid w:val="63C62057"/>
    <w:rsid w:val="63C73832"/>
    <w:rsid w:val="644217F2"/>
    <w:rsid w:val="64FB113D"/>
    <w:rsid w:val="654E4D38"/>
    <w:rsid w:val="656152C6"/>
    <w:rsid w:val="6587477F"/>
    <w:rsid w:val="658C3A08"/>
    <w:rsid w:val="65C031CA"/>
    <w:rsid w:val="65CE6852"/>
    <w:rsid w:val="66267C04"/>
    <w:rsid w:val="663F505A"/>
    <w:rsid w:val="665C1999"/>
    <w:rsid w:val="667F2393"/>
    <w:rsid w:val="66EE5541"/>
    <w:rsid w:val="67FFD667"/>
    <w:rsid w:val="692172FD"/>
    <w:rsid w:val="6A3829EE"/>
    <w:rsid w:val="6B474EF5"/>
    <w:rsid w:val="6C560CAE"/>
    <w:rsid w:val="6D0615E4"/>
    <w:rsid w:val="6D903FF5"/>
    <w:rsid w:val="6DA955B8"/>
    <w:rsid w:val="6DE346AB"/>
    <w:rsid w:val="6F7F6A2D"/>
    <w:rsid w:val="6FB442D1"/>
    <w:rsid w:val="6FD6B975"/>
    <w:rsid w:val="6FFB2E76"/>
    <w:rsid w:val="70180F53"/>
    <w:rsid w:val="71C34D91"/>
    <w:rsid w:val="71ED38AA"/>
    <w:rsid w:val="720229AA"/>
    <w:rsid w:val="72DB435C"/>
    <w:rsid w:val="750837F0"/>
    <w:rsid w:val="764F62AB"/>
    <w:rsid w:val="765C45EC"/>
    <w:rsid w:val="768A7619"/>
    <w:rsid w:val="76E14979"/>
    <w:rsid w:val="77EA362A"/>
    <w:rsid w:val="7875383E"/>
    <w:rsid w:val="796D60A4"/>
    <w:rsid w:val="79A031D5"/>
    <w:rsid w:val="79EFEF20"/>
    <w:rsid w:val="7A1525F7"/>
    <w:rsid w:val="7A3E6CB6"/>
    <w:rsid w:val="7A680D2D"/>
    <w:rsid w:val="7AFF508E"/>
    <w:rsid w:val="7B260559"/>
    <w:rsid w:val="7B420052"/>
    <w:rsid w:val="7BD06A28"/>
    <w:rsid w:val="7BFEE9D5"/>
    <w:rsid w:val="7C1E4CD7"/>
    <w:rsid w:val="7C3A7C0B"/>
    <w:rsid w:val="7C5248E4"/>
    <w:rsid w:val="7C566698"/>
    <w:rsid w:val="7FA960B8"/>
    <w:rsid w:val="7FC98B3F"/>
    <w:rsid w:val="7FD72C0C"/>
    <w:rsid w:val="7FFFDBFB"/>
    <w:rsid w:val="97BF6ACD"/>
    <w:rsid w:val="CDEFF3FA"/>
    <w:rsid w:val="CFEFF1CE"/>
    <w:rsid w:val="CFFF9701"/>
    <w:rsid w:val="D17F5794"/>
    <w:rsid w:val="EFA8531F"/>
    <w:rsid w:val="F7FA47D3"/>
    <w:rsid w:val="F94B99E4"/>
    <w:rsid w:val="FBF789DA"/>
    <w:rsid w:val="FEF96A5C"/>
    <w:rsid w:val="FF3D251B"/>
    <w:rsid w:val="FF9D8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825</Words>
  <Characters>4707</Characters>
  <Lines>39</Lines>
  <Paragraphs>11</Paragraphs>
  <TotalTime>27</TotalTime>
  <ScaleCrop>false</ScaleCrop>
  <LinksUpToDate>false</LinksUpToDate>
  <CharactersWithSpaces>5521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lenovo</cp:lastModifiedBy>
  <dcterms:modified xsi:type="dcterms:W3CDTF">2025-10-30T01:57:07Z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9EDAFD8FD9424A54844071572B3E9A06_13</vt:lpwstr>
  </property>
</Properties>
</file>