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重庆市铜梁区人民政府南城街道办事处</w:t>
      </w:r>
    </w:p>
    <w:p>
      <w:pPr>
        <w:pStyle w:val="5"/>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一、部门基本情况</w:t>
      </w:r>
    </w:p>
    <w:p>
      <w:pPr>
        <w:pStyle w:val="5"/>
        <w:shd w:val="clear" w:color="auto" w:fill="FFFFFF"/>
        <w:ind w:firstLine="42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重庆市铜梁区人民政府南城街道办事处是区政府派出机构，财政预算一级单位。重庆市铜梁区人民政府南城街道办事处</w:t>
      </w:r>
      <w:r>
        <w:rPr>
          <w:rFonts w:hint="default" w:ascii="Times New Roman" w:hAnsi="Times New Roman" w:eastAsia="仿宋_GB2312" w:cs="Times New Roman"/>
          <w:sz w:val="32"/>
          <w:szCs w:val="32"/>
        </w:rPr>
        <w:t>主要职责：1、负责辖区内的地方性、群众性、公益性、社会性工作，负责辖区精神文明建设；2、负责城市建设和综合管理、环境卫生、环境保护等工作；3、负责辖区内的平安稳定和社会综合治理工作；4、负责辖区内民事调解、法律服务工作；5、负责村、社区建设和管理，指导村、社区开展社会服务工作；6、负责辖区内民兵管理、兵役登记、拥军优属、退役军人服务等工作；7、负责辖区内社会救济、社会福利、社会文化、科普、体育、教育、旅游等工作；8、负责辖区经济发展、村（社区）集体经济发展，负责街道国有资产及村、社区集体资产的管理；9、负责辖区内的应急救援工作，配合有关职能部门做好辖区的防汛、防风、防火、防震等自然灾害防治工作；10、负责向区人民政府反映辖区内的群众意见，办理群众来信来访工作；10、承办区委、区政府交办的其他工作。</w:t>
      </w:r>
    </w:p>
    <w:p>
      <w:pPr>
        <w:pStyle w:val="5"/>
        <w:shd w:val="clear" w:color="auto" w:fill="FFFFFF"/>
        <w:ind w:firstLine="420"/>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pStyle w:val="12"/>
        <w:tabs>
          <w:tab w:val="center" w:pos="4153"/>
          <w:tab w:val="left" w:pos="7275"/>
        </w:tabs>
        <w:spacing w:line="560" w:lineRule="exact"/>
        <w:ind w:firstLine="640"/>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重庆市铜梁区人民政府南城街道办事处内设机构9个，分别是：党政办公室、党群工作办公室、经济发展办公室、民政和社区事务办公室、平安建设办公室、规划建设管理环保办公室、财政办公室、应急管理办公室、综合行政执法办公室。重庆市铜梁区人民政府南城街道办事处</w:t>
      </w:r>
      <w:r>
        <w:rPr>
          <w:rFonts w:hint="default" w:ascii="Times New Roman" w:hAnsi="Times New Roman" w:eastAsia="方正仿宋_GBK" w:cs="Times New Roman"/>
          <w:sz w:val="32"/>
        </w:rPr>
        <w:t>下属7个二级预算单位，分别是：产业培育中心、社区文化服务中心、劳动就业和社会保障服务所、综合行政执法大队、退役军人服务站、社区事务服务中心、城市提升服务中心。</w:t>
      </w:r>
    </w:p>
    <w:p>
      <w:pPr>
        <w:pStyle w:val="5"/>
        <w:numPr>
          <w:ilvl w:val="0"/>
          <w:numId w:val="1"/>
        </w:numPr>
        <w:shd w:val="clear" w:color="auto" w:fill="FFFFFF"/>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单位构成</w:t>
      </w:r>
    </w:p>
    <w:p>
      <w:pPr>
        <w:pStyle w:val="5"/>
        <w:shd w:val="clear" w:color="auto" w:fill="FFFFFF"/>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从预算单位构成看，纳入本部门2024年度决算编制的二级预算单位主要包括</w:t>
      </w:r>
      <w:r>
        <w:rPr>
          <w:rFonts w:hint="default" w:ascii="Times New Roman" w:hAnsi="Times New Roman" w:eastAsia="方正仿宋_GBK" w:cs="Times New Roman"/>
          <w:sz w:val="32"/>
        </w:rPr>
        <w:t>产业培育中心、社区文化服务中心、劳动就业和社会保障服务所、综合行政执法大队、退役军人服务站、社区事务服务中心、城市提升服务中心。</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二、部门决算收支情况说明</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shd w:val="clear" w:color="auto" w:fill="FFFFFF"/>
        <w:spacing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2024年度收入总计5156.24万元，支出总计</w:t>
      </w:r>
      <w:r>
        <w:rPr>
          <w:rFonts w:hint="default" w:ascii="Times New Roman" w:hAnsi="Times New Roman" w:eastAsia="方正仿宋_GBK" w:cs="Times New Roman"/>
          <w:sz w:val="32"/>
          <w:szCs w:val="32"/>
        </w:rPr>
        <w:t>5156.24</w:t>
      </w:r>
      <w:r>
        <w:rPr>
          <w:rFonts w:hint="default" w:ascii="Times New Roman" w:hAnsi="Times New Roman" w:eastAsia="方正仿宋_GBK" w:cs="Times New Roman"/>
          <w:sz w:val="32"/>
          <w:szCs w:val="32"/>
          <w:shd w:val="clear" w:color="auto" w:fill="FFFFFF"/>
        </w:rPr>
        <w:t>万元。收、支与2023年度相比，减少1257.02万元，下降19.6%，主要原因是厉行节约，过紧日子，严格控制支出。</w:t>
      </w:r>
    </w:p>
    <w:p>
      <w:pPr>
        <w:pStyle w:val="5"/>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2024年度收入合计5089.28万元，与2023年度相比，减少1257.02万元，下降19.8%，主要原因是厉行节约，过紧日子。其中：财政拨款收入</w:t>
      </w:r>
      <w:r>
        <w:rPr>
          <w:rFonts w:hint="default" w:ascii="Times New Roman" w:hAnsi="Times New Roman" w:eastAsia="方正仿宋_GBK" w:cs="Times New Roman"/>
          <w:sz w:val="32"/>
          <w:szCs w:val="32"/>
        </w:rPr>
        <w:t>5089.28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66.96</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5089.28</w:t>
      </w:r>
      <w:r>
        <w:rPr>
          <w:rFonts w:hint="default" w:ascii="Times New Roman" w:hAnsi="Times New Roman" w:eastAsia="方正仿宋_GBK" w:cs="Times New Roman"/>
          <w:sz w:val="32"/>
          <w:szCs w:val="32"/>
          <w:shd w:val="clear" w:color="auto" w:fill="FFFFFF"/>
        </w:rPr>
        <w:t>万元，与2023年度相比，减少1257.02万元，下降19.8%，主要原因是厉行节约，过紧日子，严格控制支出。其中：基本支出</w:t>
      </w:r>
      <w:r>
        <w:rPr>
          <w:rFonts w:hint="default" w:ascii="Times New Roman" w:hAnsi="Times New Roman" w:eastAsia="方正仿宋_GBK" w:cs="Times New Roman"/>
          <w:sz w:val="32"/>
          <w:szCs w:val="32"/>
        </w:rPr>
        <w:t>2555.85</w:t>
      </w:r>
      <w:r>
        <w:rPr>
          <w:rFonts w:hint="default" w:ascii="Times New Roman" w:hAnsi="Times New Roman" w:eastAsia="方正仿宋_GBK" w:cs="Times New Roman"/>
          <w:sz w:val="32"/>
          <w:szCs w:val="32"/>
          <w:shd w:val="clear" w:color="auto" w:fill="FFFFFF"/>
        </w:rPr>
        <w:t>万元，占50.22%；项目支出</w:t>
      </w:r>
      <w:r>
        <w:rPr>
          <w:rFonts w:hint="default" w:ascii="Times New Roman" w:hAnsi="Times New Roman" w:eastAsia="方正仿宋_GBK" w:cs="Times New Roman"/>
          <w:sz w:val="32"/>
          <w:szCs w:val="32"/>
        </w:rPr>
        <w:t>2533.43</w:t>
      </w:r>
      <w:r>
        <w:rPr>
          <w:rFonts w:hint="default" w:ascii="Times New Roman" w:hAnsi="Times New Roman" w:eastAsia="方正仿宋_GBK" w:cs="Times New Roman"/>
          <w:sz w:val="32"/>
          <w:szCs w:val="32"/>
          <w:shd w:val="clear" w:color="auto" w:fill="FFFFFF"/>
        </w:rPr>
        <w:t>万元，占49.78%；经营支出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66.96</w:t>
      </w:r>
      <w:r>
        <w:rPr>
          <w:rFonts w:hint="default" w:ascii="Times New Roman" w:hAnsi="Times New Roman" w:eastAsia="方正仿宋_GBK" w:cs="Times New Roman"/>
          <w:sz w:val="32"/>
          <w:szCs w:val="32"/>
          <w:shd w:val="clear" w:color="auto" w:fill="FFFFFF"/>
        </w:rPr>
        <w:t>万元，与2023年度相比，无增减，主要原因是2023、2024年均未动用结余结转。</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2024年度财政拨款收、支总计5156.24万元。与2023年相比，财政拨款收、支总计各减少1257.02万元，下降19.6%。主要原因是厉行节约，过紧日子，严格控制支出。</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5089.28</w:t>
      </w:r>
      <w:r>
        <w:rPr>
          <w:rFonts w:hint="default" w:ascii="Times New Roman" w:hAnsi="Times New Roman" w:eastAsia="方正仿宋_GBK" w:cs="Times New Roman"/>
          <w:sz w:val="32"/>
          <w:szCs w:val="32"/>
          <w:shd w:val="clear" w:color="auto" w:fill="FFFFFF"/>
        </w:rPr>
        <w:t>万元，与2023年度相比，减少1257.02万元，下降19.8%。主要原因是厉行节约，过紧日子，严格控制支出。较年初预算数减少396.08万元，下降7.2%。主要原因是厉行节约，过紧日子，严格控制支出。此外，年初财政拨款结转和结余</w:t>
      </w:r>
      <w:r>
        <w:rPr>
          <w:rFonts w:hint="default" w:ascii="Times New Roman" w:hAnsi="Times New Roman" w:eastAsia="方正仿宋_GBK" w:cs="Times New Roman"/>
          <w:sz w:val="32"/>
          <w:szCs w:val="32"/>
        </w:rPr>
        <w:t>56.96</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5089.28</w:t>
      </w:r>
      <w:r>
        <w:rPr>
          <w:rFonts w:hint="default" w:ascii="Times New Roman" w:hAnsi="Times New Roman" w:eastAsia="方正仿宋_GBK" w:cs="Times New Roman"/>
          <w:sz w:val="32"/>
          <w:szCs w:val="32"/>
          <w:shd w:val="clear" w:color="auto" w:fill="FFFFFF"/>
        </w:rPr>
        <w:t>万元，与2023年度相比，减少1257.02万元，下降19.8%。主要原因是厉行节约，过紧日子，严格控制支出。较年初预算数减少396.08万元，下降7.2%。主要原因是厉行节约，过紧日子，严格控制支出。</w:t>
      </w:r>
    </w:p>
    <w:p>
      <w:pPr>
        <w:pStyle w:val="5"/>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56.96</w:t>
      </w:r>
      <w:r>
        <w:rPr>
          <w:rFonts w:hint="default" w:ascii="Times New Roman" w:hAnsi="Times New Roman" w:eastAsia="方正仿宋_GBK" w:cs="Times New Roman"/>
          <w:sz w:val="32"/>
          <w:szCs w:val="32"/>
          <w:shd w:val="clear" w:color="auto" w:fill="FFFFFF"/>
        </w:rPr>
        <w:t>万元，与2023年度相比，无增减，主要原因是2023、2024年均未动用结余结转。</w:t>
      </w:r>
    </w:p>
    <w:p>
      <w:pPr>
        <w:pStyle w:val="5"/>
        <w:snapToGrid w:val="0"/>
        <w:spacing w:before="0" w:beforeAutospacing="0" w:after="0" w:afterAutospacing="0" w:line="560" w:lineRule="exact"/>
        <w:ind w:firstLine="643" w:firstLineChars="200"/>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1222.63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24.02</w:t>
      </w:r>
      <w:r>
        <w:rPr>
          <w:rFonts w:hint="default" w:ascii="Times New Roman" w:hAnsi="Times New Roman" w:eastAsia="方正仿宋_GBK" w:cs="Times New Roman"/>
          <w:sz w:val="32"/>
          <w:szCs w:val="32"/>
          <w:shd w:val="clear" w:color="auto" w:fill="FFFFFF"/>
        </w:rPr>
        <w:t>%，较年初预算数增加14.73万元，增长1.2%，主要原因是2024年存在新进人员，人员经费及公用经费增加。</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（2）国防支出</w:t>
      </w:r>
      <w:r>
        <w:rPr>
          <w:rFonts w:hint="default" w:ascii="Times New Roman" w:hAnsi="Times New Roman" w:eastAsia="方正仿宋_GBK" w:cs="Times New Roman"/>
          <w:sz w:val="32"/>
          <w:szCs w:val="32"/>
        </w:rPr>
        <w:t>11.81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shd w:val="clear" w:color="auto" w:fill="FFFFFF"/>
        </w:rPr>
        <w:t>%，较年初预算数减少3.19万元，下降21.3%，主要原因是厉行节约，过紧日子，严格控制支出。</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（3）公共安全支出</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%，较年初预算数增加10.00万元，增长100.0%，主要原因是年初未预算。</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（4）文化旅游体育与传媒支出</w:t>
      </w:r>
      <w:r>
        <w:rPr>
          <w:rFonts w:hint="default" w:ascii="Times New Roman" w:hAnsi="Times New Roman" w:eastAsia="方正仿宋_GBK" w:cs="Times New Roman"/>
          <w:sz w:val="32"/>
          <w:szCs w:val="32"/>
        </w:rPr>
        <w:t>93.82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1.84</w:t>
      </w:r>
      <w:r>
        <w:rPr>
          <w:rFonts w:hint="default" w:ascii="Times New Roman" w:hAnsi="Times New Roman" w:eastAsia="方正仿宋_GBK" w:cs="Times New Roman"/>
          <w:sz w:val="32"/>
          <w:szCs w:val="32"/>
          <w:shd w:val="clear" w:color="auto" w:fill="FFFFFF"/>
        </w:rPr>
        <w:t>%，较年初预算数减少14.54万元，下降13.4%，主要原因是厉行节约，过紧日子，严格控制支出。</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（5）社会保障与就业支出</w:t>
      </w:r>
      <w:r>
        <w:rPr>
          <w:rFonts w:hint="default" w:ascii="Times New Roman" w:hAnsi="Times New Roman" w:eastAsia="方正仿宋_GBK" w:cs="Times New Roman"/>
          <w:sz w:val="32"/>
          <w:szCs w:val="32"/>
        </w:rPr>
        <w:t>692.33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13.60</w:t>
      </w:r>
      <w:r>
        <w:rPr>
          <w:rFonts w:hint="default" w:ascii="Times New Roman" w:hAnsi="Times New Roman" w:eastAsia="方正仿宋_GBK" w:cs="Times New Roman"/>
          <w:sz w:val="32"/>
          <w:szCs w:val="32"/>
          <w:shd w:val="clear" w:color="auto" w:fill="FFFFFF"/>
        </w:rPr>
        <w:t>%，较年初预算数增加51.63万元，增长8.1%，主要原因是存在新进人员，社保相关支出增加。</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（6）卫生健康支出</w:t>
      </w:r>
      <w:r>
        <w:rPr>
          <w:rFonts w:hint="default" w:ascii="Times New Roman" w:hAnsi="Times New Roman" w:eastAsia="方正仿宋_GBK" w:cs="Times New Roman"/>
          <w:sz w:val="32"/>
          <w:szCs w:val="32"/>
        </w:rPr>
        <w:t>102.01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2.00</w:t>
      </w:r>
      <w:r>
        <w:rPr>
          <w:rFonts w:hint="default" w:ascii="Times New Roman" w:hAnsi="Times New Roman" w:eastAsia="方正仿宋_GBK" w:cs="Times New Roman"/>
          <w:sz w:val="32"/>
          <w:szCs w:val="32"/>
          <w:shd w:val="clear" w:color="auto" w:fill="FFFFFF"/>
        </w:rPr>
        <w:t>%，较年初预算数减少63.24万元，下降38.3%，主要原因是厉行节约，过紧日子，严格控制支出。</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（7）节能环保支出</w:t>
      </w:r>
      <w:r>
        <w:rPr>
          <w:rFonts w:hint="default" w:ascii="Times New Roman" w:hAnsi="Times New Roman" w:eastAsia="方正仿宋_GBK" w:cs="Times New Roman"/>
          <w:sz w:val="32"/>
          <w:szCs w:val="32"/>
        </w:rPr>
        <w:t>959.14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18.85</w:t>
      </w:r>
      <w:r>
        <w:rPr>
          <w:rFonts w:hint="default" w:ascii="Times New Roman" w:hAnsi="Times New Roman" w:eastAsia="方正仿宋_GBK" w:cs="Times New Roman"/>
          <w:sz w:val="32"/>
          <w:szCs w:val="32"/>
          <w:shd w:val="clear" w:color="auto" w:fill="FFFFFF"/>
        </w:rPr>
        <w:t>%，较年初预算数增加929.14万元，增长3097.1%，主要原因是年末支付更正，将环卫工人相关支出列入该项中，因此较年初数上涨。</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（8）城乡社区支出</w:t>
      </w:r>
      <w:r>
        <w:rPr>
          <w:rFonts w:hint="default" w:ascii="Times New Roman" w:hAnsi="Times New Roman" w:eastAsia="方正仿宋_GBK" w:cs="Times New Roman"/>
          <w:sz w:val="32"/>
          <w:szCs w:val="32"/>
        </w:rPr>
        <w:t>439.18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8.63</w:t>
      </w:r>
      <w:r>
        <w:rPr>
          <w:rFonts w:hint="default" w:ascii="Times New Roman" w:hAnsi="Times New Roman" w:eastAsia="方正仿宋_GBK" w:cs="Times New Roman"/>
          <w:sz w:val="32"/>
          <w:szCs w:val="32"/>
          <w:shd w:val="clear" w:color="auto" w:fill="FFFFFF"/>
        </w:rPr>
        <w:t>%，较年初预算数减少1258.55万元，下降74.1%，主要原因是年末支付更正，将环卫工人相关支出从城乡社区支出列出，列入节能环保支出中，因此较年初数下降。</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（9）农林水支出</w:t>
      </w:r>
      <w:r>
        <w:rPr>
          <w:rFonts w:hint="default" w:ascii="Times New Roman" w:hAnsi="Times New Roman" w:eastAsia="方正仿宋_GBK" w:cs="Times New Roman"/>
          <w:sz w:val="32"/>
          <w:szCs w:val="32"/>
        </w:rPr>
        <w:t>1265.33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24.86</w:t>
      </w:r>
      <w:r>
        <w:rPr>
          <w:rFonts w:hint="default" w:ascii="Times New Roman" w:hAnsi="Times New Roman" w:eastAsia="方正仿宋_GBK" w:cs="Times New Roman"/>
          <w:sz w:val="32"/>
          <w:szCs w:val="32"/>
          <w:shd w:val="clear" w:color="auto" w:fill="FFFFFF"/>
        </w:rPr>
        <w:t>%，较年初预算数减少134.09万元，下降9.6%，主要原因是厉行节约，过紧日子，严格控制支出。</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（10）交通运输支出</w:t>
      </w:r>
      <w:r>
        <w:rPr>
          <w:rFonts w:hint="default" w:ascii="Times New Roman" w:hAnsi="Times New Roman" w:eastAsia="方正仿宋_GBK" w:cs="Times New Roman"/>
          <w:sz w:val="32"/>
          <w:szCs w:val="32"/>
        </w:rPr>
        <w:t>83.43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1.64</w:t>
      </w:r>
      <w:r>
        <w:rPr>
          <w:rFonts w:hint="default" w:ascii="Times New Roman" w:hAnsi="Times New Roman" w:eastAsia="方正仿宋_GBK" w:cs="Times New Roman"/>
          <w:sz w:val="32"/>
          <w:szCs w:val="32"/>
          <w:shd w:val="clear" w:color="auto" w:fill="FFFFFF"/>
        </w:rPr>
        <w:t>%，较年初预算数增加53.43万元，增长178.1%，主要原因是支付了往年公路工程剩余款项。</w:t>
      </w:r>
    </w:p>
    <w:p>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（11）</w:t>
      </w:r>
      <w:r>
        <w:rPr>
          <w:rFonts w:hint="default" w:ascii="Times New Roman" w:hAnsi="Times New Roman" w:eastAsia="方正仿宋_GBK" w:cs="Times New Roman"/>
          <w:sz w:val="32"/>
          <w:szCs w:val="32"/>
        </w:rPr>
        <w:t>住房保障支出138.72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2.73</w:t>
      </w:r>
      <w:r>
        <w:rPr>
          <w:rFonts w:hint="default" w:ascii="Times New Roman" w:hAnsi="Times New Roman" w:eastAsia="方正仿宋_GBK" w:cs="Times New Roman"/>
          <w:sz w:val="32"/>
          <w:szCs w:val="32"/>
          <w:shd w:val="clear" w:color="auto" w:fill="FFFFFF"/>
        </w:rPr>
        <w:t>%，较年初预算数增加12.10万元，增长9.6%，主要原因是存在新进人员4名，因此住房保障支出增加。</w:t>
      </w:r>
    </w:p>
    <w:p>
      <w:pPr>
        <w:spacing w:line="560"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rPr>
        <w:t>灾害防治及应急管理支出70.89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1.39</w:t>
      </w:r>
      <w:r>
        <w:rPr>
          <w:rFonts w:hint="default" w:ascii="Times New Roman" w:hAnsi="Times New Roman" w:eastAsia="方正仿宋_GBK" w:cs="Times New Roman"/>
          <w:sz w:val="32"/>
          <w:szCs w:val="32"/>
          <w:shd w:val="clear" w:color="auto" w:fill="FFFFFF"/>
        </w:rPr>
        <w:t>%，较年初预算数增加6.49万元，增长10.1%，主要原因是2024年辖区遭遇特大暴雨，灾害防治及应急管理支出增加。</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2555.85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2140.82</w:t>
      </w:r>
      <w:r>
        <w:rPr>
          <w:rFonts w:hint="default" w:ascii="Times New Roman" w:hAnsi="Times New Roman" w:eastAsia="方正仿宋_GBK" w:cs="Times New Roman"/>
          <w:sz w:val="32"/>
          <w:szCs w:val="32"/>
          <w:shd w:val="clear" w:color="auto" w:fill="FFFFFF"/>
        </w:rPr>
        <w:t>万元，与2023年度相比，减少38.14万元，下降1.8%，主要原因是虽然存在新进人员，但2024年退休人员的基数高于新进人员，因此人员经费下降。人员经费用途主要包括</w:t>
      </w:r>
      <w:r>
        <w:rPr>
          <w:rFonts w:hint="default" w:ascii="Times New Roman" w:hAnsi="Times New Roman" w:eastAsia="方正仿宋_GBK" w:cs="Times New Roman"/>
          <w:sz w:val="32"/>
        </w:rPr>
        <w:t>在职人员工资福利及社会保险缴费，退休人员补助等。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415.02</w:t>
      </w:r>
      <w:r>
        <w:rPr>
          <w:rFonts w:hint="default" w:ascii="Times New Roman" w:hAnsi="Times New Roman" w:eastAsia="方正仿宋_GBK" w:cs="Times New Roman"/>
          <w:sz w:val="32"/>
          <w:szCs w:val="32"/>
          <w:shd w:val="clear" w:color="auto" w:fill="FFFFFF"/>
        </w:rPr>
        <w:t>万元，与2023年度相比，减少119.81万元，下降22.4%，主要原因是厉行节约，过紧日子，严格控制支出。公用经费用途主要包括办公费、劳务费等</w:t>
      </w:r>
      <w:r>
        <w:rPr>
          <w:rFonts w:hint="default" w:ascii="Times New Roman" w:hAnsi="Times New Roman" w:eastAsia="方正仿宋_GBK" w:cs="Times New Roman"/>
          <w:sz w:val="32"/>
        </w:rPr>
        <w:t>保障单位正常运转的各项商品服务支出。</w:t>
      </w:r>
    </w:p>
    <w:p>
      <w:pPr>
        <w:pStyle w:val="9"/>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万元，与2023年度相比，无增减，主要原因是2023、2024年均未发生政府性基金预算财政拨款结转结余。本年支出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万元，与2023年度相比，无增减，主要原因是2023、2024年均未动用政府性基金预算财政拨款结转结余。</w:t>
      </w:r>
    </w:p>
    <w:p>
      <w:pPr>
        <w:pStyle w:val="9"/>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shd w:val="clear" w:color="auto" w:fill="FFFFFF"/>
        <w:spacing w:before="0" w:beforeAutospacing="0" w:after="0" w:afterAutospacing="0" w:line="560" w:lineRule="exact"/>
        <w:ind w:firstLine="640" w:firstLineChars="200"/>
        <w:rPr>
          <w:rStyle w:val="8"/>
          <w:rFonts w:hint="default" w:ascii="Times New Roman" w:hAnsi="Times New Roman" w:eastAsia="黑体"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r>
        <w:rPr>
          <w:rStyle w:val="8"/>
          <w:rFonts w:hint="default" w:ascii="Times New Roman" w:hAnsi="Times New Roman" w:eastAsia="黑体" w:cs="Times New Roman"/>
          <w:sz w:val="32"/>
          <w:szCs w:val="32"/>
          <w:shd w:val="clear" w:color="auto" w:fill="FFFFFF"/>
        </w:rPr>
        <w:t>三、财政拨款“三公”经费情况说明</w:t>
      </w:r>
    </w:p>
    <w:p>
      <w:pPr>
        <w:pStyle w:val="9"/>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40.55</w:t>
      </w:r>
      <w:r>
        <w:rPr>
          <w:rFonts w:hint="default" w:ascii="Times New Roman" w:hAnsi="Times New Roman" w:eastAsia="方正仿宋_GBK" w:cs="Times New Roman"/>
          <w:sz w:val="32"/>
          <w:szCs w:val="32"/>
          <w:shd w:val="clear" w:color="auto" w:fill="FFFFFF"/>
        </w:rPr>
        <w:t>万元，较年初预算数减少101.15万元，下降71.4%，主要原因一是认真贯彻落实中央八项规定精神和厉行节约要求，按照只减不增的要求从严控制</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。强化公务接待支出管理，严格遵守公务接待开支范围和开支标准，严格控制陪餐人数；二是进一步规范因公出国（境）活动，今年未安排单位人员出国（境）。</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较上年支出数减少93.37万元，下降69.7%，主要原因是一是认真贯彻落实中央八项规定精神和厉行节约要求，按照只减不增的要求从严控制</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。强化公务接待支出管理，严格遵守公务接待开支范围和开支标准，严格控制陪餐人数；二是进一步规范因公出国（境）活动，今年未安排单位人员出国（境）。</w:t>
      </w:r>
    </w:p>
    <w:p>
      <w:pPr>
        <w:pStyle w:val="9"/>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因执行公务、科技文化交流等活动。费用支出较年初预算数无增减，主要原因是2024年未发生因公出国（境）等活动。与2023年度相比，无增减，主要原因是2023、2024年均未发生因公出国（境）相关活动支出。</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万元，主要用于购买公务用车。费用支出较年初预算数无增减，主要原因是2024年本单位未安排公务车采购计划。与2023年度相比，无增减，主要原因是2023、2024年均无公务车采购计划。</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40.55</w:t>
      </w:r>
      <w:r>
        <w:rPr>
          <w:rFonts w:hint="default" w:ascii="Times New Roman" w:hAnsi="Times New Roman" w:eastAsia="方正仿宋_GBK" w:cs="Times New Roman"/>
          <w:sz w:val="32"/>
          <w:szCs w:val="32"/>
          <w:shd w:val="clear" w:color="auto" w:fill="FFFFFF"/>
        </w:rPr>
        <w:t>万元，主要用于机要文件交换、市内因公出行、业务检查等工作所需车辆的燃料费、维修费、过桥过路费、保险费等。费用支出较年初预算数减少100.15万元，下降71.2%，主要原因是厉行节约，过紧日子，严格控制“三公”支出。较上年支出数减少93.33万元，下降69.7%，主要原因是厉</w:t>
      </w:r>
      <w:bookmarkStart w:id="0" w:name="_GoBack"/>
      <w:bookmarkEnd w:id="0"/>
      <w:r>
        <w:rPr>
          <w:rFonts w:hint="default" w:ascii="Times New Roman" w:hAnsi="Times New Roman" w:eastAsia="方正仿宋_GBK" w:cs="Times New Roman"/>
          <w:sz w:val="32"/>
          <w:szCs w:val="32"/>
          <w:shd w:val="clear" w:color="auto" w:fill="FFFFFF"/>
        </w:rPr>
        <w:t>行节约，过紧日子，严格控制“三公”支出。</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因公务活动需要而产生的接待用餐、住宿、交通等费用。费用支出较年初预算数减少1.00万元，下降100.0%，主要原因是2024年未发生公务接待的支出。较上年支出数减少0.04万元，下降100.0%，主要原因是2024年未发生公务接待的支出。</w:t>
      </w:r>
    </w:p>
    <w:p>
      <w:pPr>
        <w:pStyle w:val="9"/>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3.12</w:t>
      </w:r>
      <w:r>
        <w:rPr>
          <w:rFonts w:hint="default" w:ascii="Times New Roman" w:hAnsi="Times New Roman" w:eastAsia="方正仿宋_GBK" w:cs="Times New Roman"/>
          <w:sz w:val="32"/>
          <w:szCs w:val="32"/>
          <w:shd w:val="clear" w:color="auto" w:fill="FFFFFF"/>
        </w:rPr>
        <w:t>万元。</w:t>
      </w:r>
    </w:p>
    <w:p>
      <w:pPr>
        <w:pStyle w:val="5"/>
        <w:shd w:val="clear" w:color="auto" w:fill="FFFFFF"/>
        <w:spacing w:before="0" w:beforeAutospacing="0" w:after="0" w:afterAutospacing="0" w:line="560"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0.15</w:t>
      </w:r>
      <w:r>
        <w:rPr>
          <w:rFonts w:hint="default" w:ascii="Times New Roman" w:hAnsi="Times New Roman" w:eastAsia="方正仿宋_GBK" w:cs="Times New Roman"/>
          <w:sz w:val="32"/>
          <w:szCs w:val="32"/>
          <w:shd w:val="clear" w:color="auto" w:fill="FFFFFF"/>
        </w:rPr>
        <w:t>万元，与2023年度相比，减少5.49万元，下降97.3%，主要原因是2024年会议减少，因此相关支出减少。本年度培训费支出</w:t>
      </w:r>
      <w:r>
        <w:rPr>
          <w:rFonts w:hint="default" w:ascii="Times New Roman" w:hAnsi="Times New Roman" w:eastAsia="方正仿宋_GBK" w:cs="Times New Roman"/>
          <w:sz w:val="32"/>
          <w:szCs w:val="32"/>
        </w:rPr>
        <w:t>0.75</w:t>
      </w:r>
      <w:r>
        <w:rPr>
          <w:rFonts w:hint="default" w:ascii="Times New Roman" w:hAnsi="Times New Roman" w:eastAsia="方正仿宋_GBK" w:cs="Times New Roman"/>
          <w:sz w:val="32"/>
          <w:szCs w:val="32"/>
          <w:shd w:val="clear" w:color="auto" w:fill="FFFFFF"/>
        </w:rPr>
        <w:t>万元，与2023年度相比，减少0.19万元，下降20.2%，主要原因是培训减少。</w:t>
      </w:r>
    </w:p>
    <w:p>
      <w:pPr>
        <w:pStyle w:val="9"/>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218.55</w:t>
      </w:r>
      <w:r>
        <w:rPr>
          <w:rFonts w:hint="default" w:ascii="Times New Roman" w:hAnsi="Times New Roman" w:eastAsia="方正仿宋_GBK" w:cs="Times New Roman"/>
          <w:sz w:val="32"/>
          <w:szCs w:val="32"/>
          <w:shd w:val="clear" w:color="auto" w:fill="FFFFFF"/>
        </w:rPr>
        <w:t>万元，机关运行经费主要用于开支办公费、手续费、水费、电费、物业管理费、差旅费、维修（护）费、会议费、培训费、劳务费、公务接待、公车运行等。机关运行经费较上年支出数减少182.23万元，下降45.5%，主要原因是厉行节约，过紧日子，严格控制支出。</w:t>
      </w:r>
    </w:p>
    <w:p>
      <w:pPr>
        <w:pStyle w:val="9"/>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snapToGrid w:val="0"/>
        <w:spacing w:before="0" w:beforeAutospacing="0" w:after="0" w:afterAutospacing="0" w:line="560"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25.38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25.38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24.70万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97.33</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24.70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97.33</w:t>
      </w:r>
      <w:r>
        <w:rPr>
          <w:rFonts w:hint="default" w:ascii="Times New Roman" w:hAnsi="Times New Roman" w:eastAsia="方正仿宋_GBK" w:cs="Times New Roman"/>
          <w:sz w:val="32"/>
          <w:szCs w:val="32"/>
          <w:shd w:val="clear" w:color="auto" w:fill="FFFFFF"/>
        </w:rPr>
        <w:t xml:space="preserve"> %。主要用于采购办公设备，如电脑、打印机等；及应急装备，如救援划艇、应急服装等。</w:t>
      </w:r>
    </w:p>
    <w:p>
      <w:pPr>
        <w:pStyle w:val="10"/>
        <w:spacing w:before="0" w:beforeAutospacing="0" w:after="0" w:afterAutospacing="0" w:line="560"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五、2024年度预算绩效管理情况说明</w:t>
      </w:r>
    </w:p>
    <w:p>
      <w:pPr>
        <w:pStyle w:val="10"/>
        <w:autoSpaceDE w:val="0"/>
        <w:spacing w:before="0" w:beforeAutospacing="0" w:after="0" w:afterAutospacing="0" w:line="560"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（一）预算绩效管理工作开展情况</w:t>
      </w:r>
    </w:p>
    <w:p>
      <w:pPr>
        <w:pStyle w:val="10"/>
        <w:autoSpaceDE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根据预算绩效管理要求，我部门对部门整体和49个(所有二级预算单位的项目个数之和)项目开展了绩效自评，其中，以填报自评表形式开展自评49项，涉及资金2533.43万元。</w:t>
      </w:r>
    </w:p>
    <w:p>
      <w:pPr>
        <w:pStyle w:val="10"/>
        <w:autoSpaceDE w:val="0"/>
        <w:spacing w:before="0" w:beforeAutospacing="0" w:after="0" w:afterAutospacing="0" w:line="560"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（二）绩效自评结果</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1.项目绩效自评表。</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（1）部门整体绩效自评表。</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详见附件。</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（2）项目绩效自评表。</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详见各二级预算单位决算公开报告。</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2.绩效自评报告或案例。</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详见各二级预算单位决算公开报告。</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我部门对49个(所有二级预算单位的项目个数之和)项目进行绩效自评，其中49个已完成年度绩效目标，0个未完成年度绩效目标。</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autoSpaceDE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我部门对49个(所有二级预算单位的项目个数之和)项目进行绩效自评，其中49个已完成年度绩效目标，0个未完成年度绩效目标。</w:t>
      </w:r>
    </w:p>
    <w:p>
      <w:pPr>
        <w:pStyle w:val="12"/>
        <w:autoSpaceDE w:val="0"/>
        <w:spacing w:line="56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（三）财政重点绩效评价情况</w:t>
      </w:r>
    </w:p>
    <w:p>
      <w:pPr>
        <w:pStyle w:val="10"/>
        <w:autoSpaceDE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我单位无财政重点绩效评价项目。</w:t>
      </w:r>
    </w:p>
    <w:p>
      <w:pPr>
        <w:pStyle w:val="10"/>
        <w:autoSpaceDE w:val="0"/>
        <w:spacing w:before="0" w:beforeAutospacing="0" w:after="0" w:afterAutospacing="0" w:line="560" w:lineRule="exact"/>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rPr>
        <w:t xml:space="preserve"> 六、专业名词解释</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spacing w:before="0" w:beforeAutospacing="0" w:after="0" w:afterAutospacing="0" w:line="56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七、决算公开联系方式及信息反馈渠道</w:t>
      </w:r>
    </w:p>
    <w:p>
      <w:pPr>
        <w:pStyle w:val="10"/>
        <w:spacing w:before="0" w:beforeAutospacing="0" w:after="0" w:afterAutospacing="0"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0"/>
        <w:spacing w:before="0" w:beforeAutospacing="0" w:after="0" w:afterAutospacing="0" w:line="596" w:lineRule="exact"/>
        <w:rPr>
          <w:rFonts w:hint="default" w:ascii="Times New Roman" w:hAnsi="Times New Roman" w:cs="Times New Roman"/>
        </w:rPr>
      </w:pP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罗渝闽</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cs="Times New Roman"/>
          <w:color w:val="333333"/>
          <w:sz w:val="31"/>
          <w:szCs w:val="31"/>
          <w:shd w:val="clear" w:color="auto" w:fill="FFFFFF"/>
        </w:rPr>
        <w:t>023-</w:t>
      </w:r>
      <w:r>
        <w:rPr>
          <w:rFonts w:hint="default" w:ascii="Times New Roman" w:hAnsi="Times New Roman" w:eastAsia="方正仿宋_GBK" w:cs="Times New Roman"/>
          <w:color w:val="333333"/>
          <w:sz w:val="31"/>
          <w:szCs w:val="31"/>
          <w:shd w:val="clear" w:color="auto" w:fill="FFFFFF"/>
        </w:rPr>
        <w:t>45689509</w:t>
      </w:r>
    </w:p>
    <w:p>
      <w:pPr>
        <w:pStyle w:val="9"/>
        <w:autoSpaceDE w:val="0"/>
        <w:spacing w:line="596" w:lineRule="exact"/>
        <w:ind w:firstLine="0" w:firstLineChars="0"/>
        <w:jc w:val="both"/>
        <w:rPr>
          <w:rStyle w:val="11"/>
          <w:rFonts w:hint="default" w:ascii="Times New Roman" w:hAnsi="Times New Roman" w:eastAsia="方正仿宋_GBK" w:cs="Times New Roman"/>
          <w:sz w:val="32"/>
          <w:szCs w:val="32"/>
          <w:shd w:val="clear" w:color="auto" w:fill="FFFF00"/>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8 -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C9CF0"/>
    <w:multiLevelType w:val="singleLevel"/>
    <w:tmpl w:val="1B7C9CF0"/>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0D7BCC"/>
    <w:rsid w:val="00427AED"/>
    <w:rsid w:val="00550ABE"/>
    <w:rsid w:val="0060465E"/>
    <w:rsid w:val="007B419D"/>
    <w:rsid w:val="00937659"/>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ADD34E7"/>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BF678F"/>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CDB1ECE"/>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987A46"/>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EBE8BE0"/>
    <w:rsid w:val="4F186D58"/>
    <w:rsid w:val="4F224836"/>
    <w:rsid w:val="51760217"/>
    <w:rsid w:val="51E36677"/>
    <w:rsid w:val="522F6E0C"/>
    <w:rsid w:val="52463BA1"/>
    <w:rsid w:val="529F078E"/>
    <w:rsid w:val="53C0244D"/>
    <w:rsid w:val="53DD4D4E"/>
    <w:rsid w:val="53E578CE"/>
    <w:rsid w:val="53EA10F5"/>
    <w:rsid w:val="541768A0"/>
    <w:rsid w:val="543B029D"/>
    <w:rsid w:val="54977029"/>
    <w:rsid w:val="554E5773"/>
    <w:rsid w:val="555A3CBC"/>
    <w:rsid w:val="55BED855"/>
    <w:rsid w:val="55EF4EA6"/>
    <w:rsid w:val="56530F5D"/>
    <w:rsid w:val="56EE372E"/>
    <w:rsid w:val="57E4758C"/>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DFBEAEC"/>
    <w:rsid w:val="6E77D882"/>
    <w:rsid w:val="6FC77240"/>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7DB279"/>
    <w:rsid w:val="7A99799F"/>
    <w:rsid w:val="7B420052"/>
    <w:rsid w:val="7B7D43A1"/>
    <w:rsid w:val="7BD06A28"/>
    <w:rsid w:val="7C1E4CD7"/>
    <w:rsid w:val="7C3A7C0B"/>
    <w:rsid w:val="7C5248E4"/>
    <w:rsid w:val="7C566698"/>
    <w:rsid w:val="7CE56AF6"/>
    <w:rsid w:val="7CF02E5B"/>
    <w:rsid w:val="7D213FB2"/>
    <w:rsid w:val="7DBF16DF"/>
    <w:rsid w:val="7FBFBD56"/>
    <w:rsid w:val="7FF723E4"/>
    <w:rsid w:val="A27CC6BD"/>
    <w:rsid w:val="AE2E5674"/>
    <w:rsid w:val="B97F52D0"/>
    <w:rsid w:val="BB5C689E"/>
    <w:rsid w:val="BBFF7D51"/>
    <w:rsid w:val="BF73FEE6"/>
    <w:rsid w:val="BF930F33"/>
    <w:rsid w:val="D4EBF288"/>
    <w:rsid w:val="DF7876C5"/>
    <w:rsid w:val="EDD92ABB"/>
    <w:rsid w:val="EFFDE936"/>
    <w:rsid w:val="F57EA640"/>
    <w:rsid w:val="F7E70C37"/>
    <w:rsid w:val="FDFFA3C4"/>
    <w:rsid w:val="FF7ACB51"/>
    <w:rsid w:val="FF7F2193"/>
    <w:rsid w:val="FFF37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1047</Words>
  <Characters>5971</Characters>
  <Lines>49</Lines>
  <Paragraphs>14</Paragraphs>
  <TotalTime>23</TotalTime>
  <ScaleCrop>false</ScaleCrop>
  <LinksUpToDate>false</LinksUpToDate>
  <CharactersWithSpaces>7004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lenovo</cp:lastModifiedBy>
  <dcterms:modified xsi:type="dcterms:W3CDTF">2025-10-30T02:01:09Z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