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360" w:lineRule="auto"/>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重庆市铜梁区人民政府南城街道办事处（本级）</w:t>
      </w:r>
    </w:p>
    <w:p>
      <w:pPr>
        <w:pStyle w:val="5"/>
        <w:keepNext w:val="0"/>
        <w:keepLines w:val="0"/>
        <w:pageBreakBefore w:val="0"/>
        <w:widowControl/>
        <w:kinsoku/>
        <w:wordWrap/>
        <w:overflowPunct/>
        <w:topLinePunct w:val="0"/>
        <w:autoSpaceDN/>
        <w:bidi w:val="0"/>
        <w:adjustRightInd/>
        <w:spacing w:before="0" w:beforeAutospacing="0" w:after="0" w:afterAutospacing="0" w:line="360" w:lineRule="auto"/>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hint="default" w:ascii="Times New Roman" w:hAnsi="Times New Roman" w:eastAsia="方正小标宋_GBK" w:cs="Times New Roman"/>
          <w:sz w:val="44"/>
          <w:szCs w:val="44"/>
          <w:shd w:val="clear" w:color="auto" w:fill="FFFFFF"/>
        </w:rPr>
        <w:t>年度决算公开说明</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360" w:lineRule="auto"/>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一、单位基本情况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360" w:lineRule="auto"/>
        <w:ind w:firstLine="42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pPr>
        <w:pStyle w:val="12"/>
        <w:keepNext w:val="0"/>
        <w:keepLines w:val="0"/>
        <w:pageBreakBefore w:val="0"/>
        <w:widowControl/>
        <w:tabs>
          <w:tab w:val="center" w:pos="4153"/>
          <w:tab w:val="left" w:pos="7275"/>
        </w:tabs>
        <w:kinsoku/>
        <w:wordWrap/>
        <w:overflowPunct/>
        <w:topLinePunct w:val="0"/>
        <w:autoSpaceDN/>
        <w:bidi w:val="0"/>
        <w:adjustRightInd/>
        <w:spacing w:beforeAutospacing="0" w:afterAutospacing="0" w:line="360" w:lineRule="auto"/>
        <w:ind w:firstLine="640"/>
        <w:textAlignment w:val="auto"/>
        <w:rPr>
          <w:rFonts w:hint="default" w:ascii="Times New Roman" w:hAnsi="Times New Roman" w:cs="Times New Roman"/>
        </w:rPr>
      </w:pPr>
      <w:r>
        <w:rPr>
          <w:rFonts w:hint="default" w:ascii="Times New Roman" w:hAnsi="Times New Roman" w:eastAsia="方正仿宋_GBK" w:cs="Times New Roman"/>
          <w:sz w:val="32"/>
          <w:szCs w:val="32"/>
        </w:rPr>
        <w:t>在区委、区政府的领导下，贯彻执行党和国家各项方针、政策、法律、法规；负责辖区内的地区性、群众性、公益性、社会性工作；负责精神文明建设工作，积极组织以提高市民素质为目的的活动，树立文明新风；做好辖区范围内的城市建设和管理、市容环境卫生、园林绿化、环境保护、市政、规划、房地产等监督、管理、服务工作；负责辖区内的稳定工作及社会治安综合治理工作，依照有关政策规定做好出租屋和外来人口的管理工作；负责民事调解，法律服务工作，维护居民的合法权益，负责社区建设和管理，指导开展社区服务工作，大力兴办社会福利事业，发动和组织社区成员开展各类社区公益活动；负责民兵、兵役、拥军优属、优抚安置、社会救济、社会福利、社区文化、科普、体育、教育、旅游工作；发展街道和村集体经济，管理街道国有资产和集体资产，为街道、行政村经济组织提供人才、科技、信息和其他服务，以经济、法律和必要的行政手段推动街道、村级经济发展和维护市场秩序；负责计划生育、劳动就业、安全生产监督、初级卫生保健、侨务、调解等工作；指导和帮助居（村）民委员会搞好组织建设和制度建设，发挥村（居）民委员会的群众自治作用；配合有关部门做好防汛、防风、防火、防震、抢险和救灾工作。向区人民政府反映群众的意见和要求，办理人民群众的来信来访事项，承办区政府交办的其他工作。</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360" w:lineRule="auto"/>
        <w:ind w:firstLine="420"/>
        <w:textAlignment w:val="auto"/>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pPr>
        <w:pStyle w:val="12"/>
        <w:keepNext w:val="0"/>
        <w:keepLines w:val="0"/>
        <w:pageBreakBefore w:val="0"/>
        <w:widowControl/>
        <w:tabs>
          <w:tab w:val="center" w:pos="4153"/>
          <w:tab w:val="left" w:pos="7275"/>
        </w:tabs>
        <w:kinsoku/>
        <w:wordWrap/>
        <w:overflowPunct/>
        <w:topLinePunct w:val="0"/>
        <w:autoSpaceDN/>
        <w:bidi w:val="0"/>
        <w:adjustRightInd/>
        <w:spacing w:beforeAutospacing="0" w:afterAutospacing="0" w:line="36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铜梁区人民政府南城街道办事处内设机构9个，分别是：党政办公室、党群工作办公室、经济发展办公室、民政和社区事务办公室、平安建设办公室、规划建设管理环保办公室、财政办公室、应急管理办公室、综合行政执法办公室。重庆市铜梁区人民政府南城街道办事处</w:t>
      </w:r>
      <w:r>
        <w:rPr>
          <w:rFonts w:hint="default" w:ascii="Times New Roman" w:hAnsi="Times New Roman" w:eastAsia="方正仿宋_GBK" w:cs="Times New Roman"/>
          <w:sz w:val="32"/>
        </w:rPr>
        <w:t>下属7个二级预算单位，分别是：产业培育中心、社区文化服务中心、办事处（本级）、综合行政执法大队、退役军人服务站、社区事务服务中心、城市提升服务中心。</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360" w:lineRule="auto"/>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二、单位决算收支情况说明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keepNext w:val="0"/>
        <w:keepLines w:val="0"/>
        <w:pageBreakBefore w:val="0"/>
        <w:widowControl/>
        <w:kinsoku/>
        <w:wordWrap/>
        <w:overflowPunct/>
        <w:topLinePunct w:val="0"/>
        <w:autoSpaceDN/>
        <w:bidi w:val="0"/>
        <w:adjustRightInd/>
        <w:spacing w:beforeAutospacing="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2024年度收入总计3789.11万元，支出总计</w:t>
      </w:r>
      <w:r>
        <w:rPr>
          <w:rFonts w:hint="default" w:ascii="Times New Roman" w:hAnsi="Times New Roman" w:eastAsia="方正仿宋_GBK" w:cs="Times New Roman"/>
          <w:sz w:val="32"/>
          <w:szCs w:val="32"/>
        </w:rPr>
        <w:t>3789.11</w:t>
      </w:r>
      <w:r>
        <w:rPr>
          <w:rFonts w:hint="default" w:ascii="Times New Roman" w:hAnsi="Times New Roman" w:eastAsia="方正仿宋_GBK" w:cs="Times New Roman"/>
          <w:sz w:val="32"/>
          <w:szCs w:val="32"/>
          <w:shd w:val="clear" w:color="auto" w:fill="FFFFFF"/>
        </w:rPr>
        <w:t>万元。收、支与2023年度相比，减少2624.15万元，下降40.9%，主要原因是</w:t>
      </w:r>
      <w:r>
        <w:rPr>
          <w:rFonts w:hint="default" w:ascii="Times New Roman" w:hAnsi="Times New Roman" w:eastAsia="方正仿宋_GBK" w:cs="Times New Roman"/>
          <w:sz w:val="32"/>
        </w:rPr>
        <w:t>2024年重庆市铜梁区人民政府南城街道办事处下属的7个二级单位进行了独立核算，未纳入街道办事处本级。</w:t>
      </w:r>
    </w:p>
    <w:p>
      <w:pPr>
        <w:keepNext w:val="0"/>
        <w:keepLines w:val="0"/>
        <w:pageBreakBefore w:val="0"/>
        <w:widowControl/>
        <w:kinsoku/>
        <w:wordWrap/>
        <w:overflowPunct/>
        <w:topLinePunct w:val="0"/>
        <w:autoSpaceDN/>
        <w:bidi w:val="0"/>
        <w:adjustRightInd/>
        <w:spacing w:beforeAutospacing="0" w:afterAutospacing="0" w:line="360" w:lineRule="auto"/>
        <w:ind w:firstLine="643" w:firstLineChars="200"/>
        <w:textAlignment w:val="auto"/>
        <w:rPr>
          <w:rFonts w:hint="default" w:ascii="Times New Roman" w:hAnsi="Times New Roman" w:eastAsia="方正仿宋_GBK" w:cs="Times New Roman"/>
          <w:sz w:val="32"/>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2024年度收入合计3722.15万元，与2023年度相比，减少2624.15万元，下降41.4%，主要原因是</w:t>
      </w:r>
      <w:r>
        <w:rPr>
          <w:rFonts w:hint="default" w:ascii="Times New Roman" w:hAnsi="Times New Roman" w:eastAsia="方正仿宋_GBK" w:cs="Times New Roman"/>
          <w:sz w:val="32"/>
        </w:rPr>
        <w:t>2024年重庆市铜梁区人民政府南城街道办事处下属的7个二级单位进行了独立核算，未纳入街道办事处本级。</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3722.15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66.96</w:t>
      </w:r>
      <w:r>
        <w:rPr>
          <w:rFonts w:hint="default" w:ascii="Times New Roman" w:hAnsi="Times New Roman" w:eastAsia="方正仿宋_GBK" w:cs="Times New Roman"/>
          <w:sz w:val="32"/>
          <w:szCs w:val="32"/>
          <w:shd w:val="clear" w:color="auto" w:fill="FFFFFF"/>
        </w:rPr>
        <w:t>万元。</w:t>
      </w:r>
    </w:p>
    <w:p>
      <w:pPr>
        <w:keepNext w:val="0"/>
        <w:keepLines w:val="0"/>
        <w:pageBreakBefore w:val="0"/>
        <w:widowControl/>
        <w:kinsoku/>
        <w:wordWrap/>
        <w:overflowPunct/>
        <w:topLinePunct w:val="0"/>
        <w:autoSpaceDN/>
        <w:bidi w:val="0"/>
        <w:adjustRightInd/>
        <w:spacing w:beforeAutospacing="0" w:afterAutospacing="0" w:line="360" w:lineRule="auto"/>
        <w:ind w:firstLine="643" w:firstLineChars="200"/>
        <w:textAlignment w:val="auto"/>
        <w:rPr>
          <w:rFonts w:hint="default" w:ascii="Times New Roman" w:hAnsi="Times New Roman" w:eastAsia="方正仿宋_GBK" w:cs="Times New Roman"/>
          <w:sz w:val="32"/>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3722.15</w:t>
      </w:r>
      <w:r>
        <w:rPr>
          <w:rFonts w:hint="default" w:ascii="Times New Roman" w:hAnsi="Times New Roman" w:eastAsia="方正仿宋_GBK" w:cs="Times New Roman"/>
          <w:sz w:val="32"/>
          <w:szCs w:val="32"/>
          <w:shd w:val="clear" w:color="auto" w:fill="FFFFFF"/>
        </w:rPr>
        <w:t>万元，与2023年度相比，减少2624.15万元，下降41.4%，主要原因是</w:t>
      </w:r>
      <w:r>
        <w:rPr>
          <w:rFonts w:hint="default" w:ascii="Times New Roman" w:hAnsi="Times New Roman" w:eastAsia="方正仿宋_GBK" w:cs="Times New Roman"/>
          <w:sz w:val="32"/>
        </w:rPr>
        <w:t>2024年重庆市铜梁区人民政府南城街道办事处下属的7个二级单位进行了独立核算，未纳入街道办事处本级。</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1225.09</w:t>
      </w:r>
      <w:r>
        <w:rPr>
          <w:rFonts w:hint="default" w:ascii="Times New Roman" w:hAnsi="Times New Roman" w:eastAsia="方正仿宋_GBK" w:cs="Times New Roman"/>
          <w:sz w:val="32"/>
          <w:szCs w:val="32"/>
          <w:shd w:val="clear" w:color="auto" w:fill="FFFFFF"/>
        </w:rPr>
        <w:t>万元，占32.91%；项目支出</w:t>
      </w:r>
      <w:r>
        <w:rPr>
          <w:rFonts w:hint="default" w:ascii="Times New Roman" w:hAnsi="Times New Roman" w:eastAsia="方正仿宋_GBK" w:cs="Times New Roman"/>
          <w:sz w:val="32"/>
          <w:szCs w:val="32"/>
        </w:rPr>
        <w:t>2497.06</w:t>
      </w:r>
      <w:r>
        <w:rPr>
          <w:rFonts w:hint="default" w:ascii="Times New Roman" w:hAnsi="Times New Roman" w:eastAsia="方正仿宋_GBK" w:cs="Times New Roman"/>
          <w:sz w:val="32"/>
          <w:szCs w:val="32"/>
          <w:shd w:val="clear" w:color="auto" w:fill="FFFFFF"/>
        </w:rPr>
        <w:t>万元，占67.09%；经营支出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66.96</w:t>
      </w:r>
      <w:r>
        <w:rPr>
          <w:rFonts w:hint="default" w:ascii="Times New Roman" w:hAnsi="Times New Roman" w:eastAsia="方正仿宋_GBK" w:cs="Times New Roman"/>
          <w:sz w:val="32"/>
          <w:szCs w:val="32"/>
          <w:shd w:val="clear" w:color="auto" w:fill="FFFFFF"/>
        </w:rPr>
        <w:t>万元，与2023年度相比，无增减，主要原因是2024年未使用结余结转。</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keepNext w:val="0"/>
        <w:keepLines w:val="0"/>
        <w:pageBreakBefore w:val="0"/>
        <w:widowControl/>
        <w:kinsoku/>
        <w:wordWrap/>
        <w:overflowPunct/>
        <w:topLinePunct w:val="0"/>
        <w:autoSpaceDN/>
        <w:bidi w:val="0"/>
        <w:adjustRightInd/>
        <w:spacing w:beforeAutospacing="0" w:afterAutospacing="0"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2024年度财政拨款收、支总计3789.11万元。与2023年相比，财政拨款收、支总计各减少2624.15万元，下降40.9%。主要原因是</w:t>
      </w:r>
      <w:r>
        <w:rPr>
          <w:rFonts w:hint="default" w:ascii="Times New Roman" w:hAnsi="Times New Roman" w:eastAsia="方正仿宋_GBK" w:cs="Times New Roman"/>
          <w:sz w:val="32"/>
        </w:rPr>
        <w:t>2024年重庆市铜梁区人民政府南城街道办事处下属的7个二级单位进行了独立核算，未纳入街道办事处本级。</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keepNext w:val="0"/>
        <w:keepLines w:val="0"/>
        <w:pageBreakBefore w:val="0"/>
        <w:widowControl/>
        <w:kinsoku/>
        <w:wordWrap/>
        <w:overflowPunct/>
        <w:topLinePunct w:val="0"/>
        <w:autoSpaceDN/>
        <w:bidi w:val="0"/>
        <w:adjustRightInd/>
        <w:spacing w:beforeAutospacing="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3722.15</w:t>
      </w:r>
      <w:r>
        <w:rPr>
          <w:rFonts w:hint="default" w:ascii="Times New Roman" w:hAnsi="Times New Roman" w:eastAsia="方正仿宋_GBK" w:cs="Times New Roman"/>
          <w:sz w:val="32"/>
          <w:szCs w:val="32"/>
          <w:shd w:val="clear" w:color="auto" w:fill="FFFFFF"/>
        </w:rPr>
        <w:t>万元，与2023年度相比，减少2624.15万元，下降41.4%。主要原因是</w:t>
      </w:r>
      <w:r>
        <w:rPr>
          <w:rFonts w:hint="default" w:ascii="Times New Roman" w:hAnsi="Times New Roman" w:eastAsia="方正仿宋_GBK" w:cs="Times New Roman"/>
          <w:sz w:val="32"/>
        </w:rPr>
        <w:t>2024年重庆市铜梁区人民政府南城街道办事处下属的7个二级单位进行了独立核算，未纳入街道办事处本级。</w:t>
      </w:r>
      <w:r>
        <w:rPr>
          <w:rFonts w:hint="default" w:ascii="Times New Roman" w:hAnsi="Times New Roman" w:eastAsia="方正仿宋_GBK" w:cs="Times New Roman"/>
          <w:sz w:val="32"/>
          <w:szCs w:val="32"/>
          <w:shd w:val="clear" w:color="auto" w:fill="FFFFFF"/>
        </w:rPr>
        <w:t>较年初预算数减少201.69万元，下降5.1%。主要原因是厉行节约，过紧日子，严格控制支出。此外，年初财政拨款结转和结余</w:t>
      </w:r>
      <w:r>
        <w:rPr>
          <w:rFonts w:hint="default" w:ascii="Times New Roman" w:hAnsi="Times New Roman" w:eastAsia="方正仿宋_GBK" w:cs="Times New Roman"/>
          <w:sz w:val="32"/>
          <w:szCs w:val="32"/>
        </w:rPr>
        <w:t>56.96</w:t>
      </w:r>
      <w:r>
        <w:rPr>
          <w:rFonts w:hint="default" w:ascii="Times New Roman" w:hAnsi="Times New Roman" w:eastAsia="方正仿宋_GBK" w:cs="Times New Roman"/>
          <w:sz w:val="32"/>
          <w:szCs w:val="32"/>
          <w:shd w:val="clear" w:color="auto" w:fill="FFFFFF"/>
        </w:rPr>
        <w:t>万元。</w:t>
      </w:r>
    </w:p>
    <w:p>
      <w:pPr>
        <w:keepNext w:val="0"/>
        <w:keepLines w:val="0"/>
        <w:pageBreakBefore w:val="0"/>
        <w:widowControl/>
        <w:kinsoku/>
        <w:wordWrap/>
        <w:overflowPunct/>
        <w:topLinePunct w:val="0"/>
        <w:autoSpaceDN/>
        <w:bidi w:val="0"/>
        <w:adjustRightInd/>
        <w:spacing w:beforeAutospacing="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3722.15</w:t>
      </w:r>
      <w:r>
        <w:rPr>
          <w:rFonts w:hint="default" w:ascii="Times New Roman" w:hAnsi="Times New Roman" w:eastAsia="方正仿宋_GBK" w:cs="Times New Roman"/>
          <w:sz w:val="32"/>
          <w:szCs w:val="32"/>
          <w:shd w:val="clear" w:color="auto" w:fill="FFFFFF"/>
        </w:rPr>
        <w:t>万元，与2023年度相比，减少2624.15万元，下降41.4%。主要原因是</w:t>
      </w:r>
      <w:r>
        <w:rPr>
          <w:rFonts w:hint="default" w:ascii="Times New Roman" w:hAnsi="Times New Roman" w:eastAsia="方正仿宋_GBK" w:cs="Times New Roman"/>
          <w:sz w:val="32"/>
        </w:rPr>
        <w:t>2024年重庆市铜梁区人民政府南城街道办事处下属的7个二级单位进行了独立核算，未纳入街道办事处本级。</w:t>
      </w:r>
      <w:r>
        <w:rPr>
          <w:rFonts w:hint="default" w:ascii="Times New Roman" w:hAnsi="Times New Roman" w:eastAsia="方正仿宋_GBK" w:cs="Times New Roman"/>
          <w:sz w:val="32"/>
          <w:szCs w:val="32"/>
          <w:shd w:val="clear" w:color="auto" w:fill="FFFFFF"/>
        </w:rPr>
        <w:t>较年初预算数减少201.69万元，下降5.1%。主要原因是厉行节约，过紧日子，严格控制支出。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56.96</w:t>
      </w:r>
      <w:r>
        <w:rPr>
          <w:rFonts w:hint="default" w:ascii="Times New Roman" w:hAnsi="Times New Roman" w:eastAsia="方正仿宋_GBK" w:cs="Times New Roman"/>
          <w:sz w:val="32"/>
          <w:szCs w:val="32"/>
          <w:shd w:val="clear" w:color="auto" w:fill="FFFFFF"/>
        </w:rPr>
        <w:t>万元，与2023年度相比，无增减，主要原因是2023、2024均未使用结余结转。</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3" w:firstLineChars="200"/>
        <w:textAlignment w:val="auto"/>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1111.84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29.87</w:t>
      </w:r>
      <w:r>
        <w:rPr>
          <w:rFonts w:hint="default" w:ascii="Times New Roman" w:hAnsi="Times New Roman" w:eastAsia="方正仿宋_GBK" w:cs="Times New Roman"/>
          <w:sz w:val="32"/>
          <w:szCs w:val="32"/>
          <w:shd w:val="clear" w:color="auto" w:fill="FFFFFF"/>
        </w:rPr>
        <w:t>%，较年初预算数增加29.05万元，增长2.7%，主要原因是新进4名人员，人员经费及公用经费上涨。</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（2）国防支出</w:t>
      </w:r>
      <w:r>
        <w:rPr>
          <w:rFonts w:hint="default" w:ascii="Times New Roman" w:hAnsi="Times New Roman" w:eastAsia="方正仿宋_GBK" w:cs="Times New Roman"/>
          <w:sz w:val="32"/>
          <w:szCs w:val="32"/>
        </w:rPr>
        <w:t>11.81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0.32</w:t>
      </w:r>
      <w:r>
        <w:rPr>
          <w:rFonts w:hint="default" w:ascii="Times New Roman" w:hAnsi="Times New Roman" w:eastAsia="方正仿宋_GBK" w:cs="Times New Roman"/>
          <w:sz w:val="32"/>
          <w:szCs w:val="32"/>
          <w:shd w:val="clear" w:color="auto" w:fill="FFFFFF"/>
        </w:rPr>
        <w:t>%，较年初预算数减少3.19万元，下降21.3%，主要原因是厉行节约，过紧日子，严格控制支出。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（3）公共安全支出</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0.27</w:t>
      </w:r>
      <w:r>
        <w:rPr>
          <w:rFonts w:hint="default" w:ascii="Times New Roman" w:hAnsi="Times New Roman" w:eastAsia="方正仿宋_GBK" w:cs="Times New Roman"/>
          <w:sz w:val="32"/>
          <w:szCs w:val="32"/>
          <w:shd w:val="clear" w:color="auto" w:fill="FFFFFF"/>
        </w:rPr>
        <w:t>%，较年初预算数增加10.00万元，增长100.0%，主要原因是年初未预算。</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（4）社会保障与就业支出</w:t>
      </w:r>
      <w:r>
        <w:rPr>
          <w:rFonts w:hint="default" w:ascii="Times New Roman" w:hAnsi="Times New Roman" w:eastAsia="方正仿宋_GBK" w:cs="Times New Roman"/>
          <w:sz w:val="32"/>
          <w:szCs w:val="32"/>
        </w:rPr>
        <w:t>267.66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7.19</w:t>
      </w:r>
      <w:r>
        <w:rPr>
          <w:rFonts w:hint="default" w:ascii="Times New Roman" w:hAnsi="Times New Roman" w:eastAsia="方正仿宋_GBK" w:cs="Times New Roman"/>
          <w:sz w:val="32"/>
          <w:szCs w:val="32"/>
          <w:shd w:val="clear" w:color="auto" w:fill="FFFFFF"/>
        </w:rPr>
        <w:t>%，较年初预算数增加41.10万元，增长18.1%，主要原因是存在新进人员4名，社保支出上涨。</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（5）卫生健康支出</w:t>
      </w:r>
      <w:r>
        <w:rPr>
          <w:rFonts w:hint="default" w:ascii="Times New Roman" w:hAnsi="Times New Roman" w:eastAsia="方正仿宋_GBK" w:cs="Times New Roman"/>
          <w:sz w:val="32"/>
          <w:szCs w:val="32"/>
        </w:rPr>
        <w:t>58.13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1.56</w:t>
      </w:r>
      <w:r>
        <w:rPr>
          <w:rFonts w:hint="default" w:ascii="Times New Roman" w:hAnsi="Times New Roman" w:eastAsia="方正仿宋_GBK" w:cs="Times New Roman"/>
          <w:sz w:val="32"/>
          <w:szCs w:val="32"/>
          <w:shd w:val="clear" w:color="auto" w:fill="FFFFFF"/>
        </w:rPr>
        <w:t>%，较年初预算数减少43.57万元，下降42.8%，主要原因是厉行节约，过紧日子，严格控制支出。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（6）节能环保支出</w:t>
      </w:r>
      <w:r>
        <w:rPr>
          <w:rFonts w:hint="default" w:ascii="Times New Roman" w:hAnsi="Times New Roman" w:eastAsia="方正仿宋_GBK" w:cs="Times New Roman"/>
          <w:sz w:val="32"/>
          <w:szCs w:val="32"/>
        </w:rPr>
        <w:t>959.14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25.77</w:t>
      </w:r>
      <w:r>
        <w:rPr>
          <w:rFonts w:hint="default" w:ascii="Times New Roman" w:hAnsi="Times New Roman" w:eastAsia="方正仿宋_GBK" w:cs="Times New Roman"/>
          <w:sz w:val="32"/>
          <w:szCs w:val="32"/>
          <w:shd w:val="clear" w:color="auto" w:fill="FFFFFF"/>
        </w:rPr>
        <w:t>%，较年初预算数增加929.14万元，增长3097.1%，主要原因是年末支付更正，将环卫工人相关支出列入该项中，因此较年初数上涨。</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（7）城乡社区支出</w:t>
      </w:r>
      <w:r>
        <w:rPr>
          <w:rFonts w:hint="default" w:ascii="Times New Roman" w:hAnsi="Times New Roman" w:eastAsia="方正仿宋_GBK" w:cs="Times New Roman"/>
          <w:sz w:val="32"/>
          <w:szCs w:val="32"/>
        </w:rPr>
        <w:t>237.99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6.39</w:t>
      </w:r>
      <w:r>
        <w:rPr>
          <w:rFonts w:hint="default" w:ascii="Times New Roman" w:hAnsi="Times New Roman" w:eastAsia="方正仿宋_GBK" w:cs="Times New Roman"/>
          <w:sz w:val="32"/>
          <w:szCs w:val="32"/>
          <w:shd w:val="clear" w:color="auto" w:fill="FFFFFF"/>
        </w:rPr>
        <w:t>%，较年初预算数减少1196.29万元，下降83.4%，主要原因是年末支付更正，将环卫工人相关支出从城乡社区支出列出，列入节能环保支出中，因此较年初数下降。</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（8）农林水支出</w:t>
      </w:r>
      <w:r>
        <w:rPr>
          <w:rFonts w:hint="default" w:ascii="Times New Roman" w:hAnsi="Times New Roman" w:eastAsia="方正仿宋_GBK" w:cs="Times New Roman"/>
          <w:sz w:val="32"/>
          <w:szCs w:val="32"/>
        </w:rPr>
        <w:t>827.92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22.24</w:t>
      </w:r>
      <w:r>
        <w:rPr>
          <w:rFonts w:hint="default" w:ascii="Times New Roman" w:hAnsi="Times New Roman" w:eastAsia="方正仿宋_GBK" w:cs="Times New Roman"/>
          <w:sz w:val="32"/>
          <w:szCs w:val="32"/>
          <w:shd w:val="clear" w:color="auto" w:fill="FFFFFF"/>
        </w:rPr>
        <w:t>%，较年初预算数减少37.70万元，下降4.4%，主要原因是厉行节约，过紧日子，严格控制支出。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（9）交通运输支出</w:t>
      </w:r>
      <w:r>
        <w:rPr>
          <w:rFonts w:hint="default" w:ascii="Times New Roman" w:hAnsi="Times New Roman" w:eastAsia="方正仿宋_GBK" w:cs="Times New Roman"/>
          <w:sz w:val="32"/>
          <w:szCs w:val="32"/>
        </w:rPr>
        <w:t>83.43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2.24</w:t>
      </w:r>
      <w:r>
        <w:rPr>
          <w:rFonts w:hint="default" w:ascii="Times New Roman" w:hAnsi="Times New Roman" w:eastAsia="方正仿宋_GBK" w:cs="Times New Roman"/>
          <w:sz w:val="32"/>
          <w:szCs w:val="32"/>
          <w:shd w:val="clear" w:color="auto" w:fill="FFFFFF"/>
        </w:rPr>
        <w:t>%，较年初预算数增加53.43万元，增长178.1%，主要原因是支付了往年公路工程剩余款项。</w:t>
      </w:r>
    </w:p>
    <w:p>
      <w:pPr>
        <w:keepNext w:val="0"/>
        <w:keepLines w:val="0"/>
        <w:pageBreakBefore w:val="0"/>
        <w:widowControl/>
        <w:kinsoku/>
        <w:wordWrap/>
        <w:overflowPunct/>
        <w:topLinePunct w:val="0"/>
        <w:autoSpaceDN/>
        <w:bidi w:val="0"/>
        <w:adjustRightInd/>
        <w:spacing w:beforeAutospacing="0" w:afterAutospacing="0" w:line="36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（10）</w:t>
      </w:r>
      <w:r>
        <w:rPr>
          <w:rFonts w:hint="default" w:ascii="Times New Roman" w:hAnsi="Times New Roman" w:eastAsia="方正仿宋_GBK" w:cs="Times New Roman"/>
          <w:sz w:val="32"/>
          <w:szCs w:val="32"/>
        </w:rPr>
        <w:t>住房保障支出83.35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2.24</w:t>
      </w:r>
      <w:r>
        <w:rPr>
          <w:rFonts w:hint="default" w:ascii="Times New Roman" w:hAnsi="Times New Roman" w:eastAsia="方正仿宋_GBK" w:cs="Times New Roman"/>
          <w:sz w:val="32"/>
          <w:szCs w:val="32"/>
          <w:shd w:val="clear" w:color="auto" w:fill="FFFFFF"/>
        </w:rPr>
        <w:t>%，较年初预算数增加9.85万元，增长13.4%，主要原因是存在新进人员4名，因此住房保障支出增加。</w:t>
      </w:r>
    </w:p>
    <w:p>
      <w:pPr>
        <w:keepNext w:val="0"/>
        <w:keepLines w:val="0"/>
        <w:pageBreakBefore w:val="0"/>
        <w:widowControl/>
        <w:kinsoku/>
        <w:wordWrap/>
        <w:overflowPunct/>
        <w:topLinePunct w:val="0"/>
        <w:autoSpaceDN/>
        <w:bidi w:val="0"/>
        <w:adjustRightInd/>
        <w:spacing w:beforeAutospacing="0" w:afterAutospacing="0" w:line="360" w:lineRule="auto"/>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（11）</w:t>
      </w:r>
      <w:r>
        <w:rPr>
          <w:rFonts w:hint="default" w:ascii="Times New Roman" w:hAnsi="Times New Roman" w:eastAsia="方正仿宋_GBK" w:cs="Times New Roman"/>
          <w:sz w:val="32"/>
          <w:szCs w:val="32"/>
        </w:rPr>
        <w:t>灾害防治及应急管理支出70.89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1.90</w:t>
      </w:r>
      <w:r>
        <w:rPr>
          <w:rFonts w:hint="default" w:ascii="Times New Roman" w:hAnsi="Times New Roman" w:eastAsia="方正仿宋_GBK" w:cs="Times New Roman"/>
          <w:sz w:val="32"/>
          <w:szCs w:val="32"/>
          <w:shd w:val="clear" w:color="auto" w:fill="FFFFFF"/>
        </w:rPr>
        <w:t>%，较年初预算数增加6.49万元，增长10.1%，主要原因是2024年辖区遭遇特大暴雨，灾害防治及应急管理支出增加。</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1225.09</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1006.55</w:t>
      </w:r>
      <w:r>
        <w:rPr>
          <w:rFonts w:hint="default" w:ascii="Times New Roman" w:hAnsi="Times New Roman" w:eastAsia="方正仿宋_GBK" w:cs="Times New Roman"/>
          <w:sz w:val="32"/>
          <w:szCs w:val="32"/>
          <w:shd w:val="clear" w:color="auto" w:fill="FFFFFF"/>
        </w:rPr>
        <w:t>万元，与2023年度相比，减少1172.41万元，下降53.8%，主要原因是</w:t>
      </w:r>
      <w:r>
        <w:rPr>
          <w:rFonts w:hint="default" w:ascii="Times New Roman" w:hAnsi="Times New Roman" w:eastAsia="方正仿宋_GBK" w:cs="Times New Roman"/>
          <w:sz w:val="32"/>
        </w:rPr>
        <w:t>2024年重庆市铜梁区人民政府南城街道办事处下属的7个二级单位进行了独立核算，未纳入街道办事处本级。</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rPr>
        <w:t>在职人员工资福利及社会保险缴费，退休人员补助等。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218.55</w:t>
      </w:r>
      <w:r>
        <w:rPr>
          <w:rFonts w:hint="default" w:ascii="Times New Roman" w:hAnsi="Times New Roman" w:eastAsia="方正仿宋_GBK" w:cs="Times New Roman"/>
          <w:sz w:val="32"/>
          <w:szCs w:val="32"/>
          <w:shd w:val="clear" w:color="auto" w:fill="FFFFFF"/>
        </w:rPr>
        <w:t>万元，与2023年度相比，减少316.28万元，下降59.1%，主要原因是</w:t>
      </w:r>
      <w:r>
        <w:rPr>
          <w:rFonts w:hint="default" w:ascii="Times New Roman" w:hAnsi="Times New Roman" w:eastAsia="方正仿宋_GBK" w:cs="Times New Roman"/>
          <w:sz w:val="32"/>
        </w:rPr>
        <w:t>2024年重庆市铜梁区人民政府南城街道办事处下属的7个二级单位进行了独立核算，未纳入街道办事处本级。</w:t>
      </w:r>
      <w:r>
        <w:rPr>
          <w:rFonts w:hint="default" w:ascii="Times New Roman" w:hAnsi="Times New Roman" w:eastAsia="方正仿宋_GBK" w:cs="Times New Roman"/>
          <w:sz w:val="32"/>
          <w:szCs w:val="32"/>
          <w:shd w:val="clear" w:color="auto" w:fill="FFFFFF"/>
        </w:rPr>
        <w:t>公用经费用途主要包括办公费、劳务费等</w:t>
      </w:r>
      <w:r>
        <w:rPr>
          <w:rFonts w:hint="default" w:ascii="Times New Roman" w:hAnsi="Times New Roman" w:eastAsia="方正仿宋_GBK" w:cs="Times New Roman"/>
          <w:sz w:val="32"/>
        </w:rPr>
        <w:t>保障单位正常运转的各项商品服务支出。</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万元，与2023年度相比，无增减，主要原因是2023、2024年均未发生政府性基金预算财政拨款结转结余。本年支出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万元，与2023年度相比，无增减，主要原因是2023、2024年均未动用政府性基金预算财政拨款结转结余。</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本单位2024年度无国有资本经营预算财政拨款支出。</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360" w:lineRule="auto"/>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三、财政拨款“三公”经费情况说明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keepNext w:val="0"/>
        <w:keepLines w:val="0"/>
        <w:pageBreakBefore w:val="0"/>
        <w:widowControl/>
        <w:kinsoku/>
        <w:wordWrap/>
        <w:overflowPunct/>
        <w:topLinePunct w:val="0"/>
        <w:autoSpaceDN/>
        <w:bidi w:val="0"/>
        <w:adjustRightInd/>
        <w:spacing w:beforeAutospacing="0" w:afterAutospacing="0"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40.55</w:t>
      </w:r>
      <w:r>
        <w:rPr>
          <w:rFonts w:hint="default" w:ascii="Times New Roman" w:hAnsi="Times New Roman" w:eastAsia="方正仿宋_GBK" w:cs="Times New Roman"/>
          <w:sz w:val="32"/>
          <w:szCs w:val="32"/>
          <w:shd w:val="clear" w:color="auto" w:fill="FFFFFF"/>
        </w:rPr>
        <w:t>万元，较年初预算数减少101.15万元，下降71.4%，主要原因是厉行节约，过紧日子，严格控制</w:t>
      </w:r>
      <w:r>
        <w:rPr>
          <w:rFonts w:hint="default" w:ascii="Times New Roman" w:hAnsi="Times New Roman" w:eastAsia="宋体" w:cs="Times New Roman"/>
          <w:i w:val="0"/>
          <w:caps w:val="0"/>
          <w:color w:val="000000"/>
          <w:spacing w:val="0"/>
          <w:sz w:val="32"/>
          <w:szCs w:val="32"/>
          <w:shd w:val="clear" w:fill="FFFFFF"/>
        </w:rPr>
        <w:t>“</w:t>
      </w:r>
      <w:r>
        <w:rPr>
          <w:rFonts w:ascii="方正仿宋_GBK" w:hAnsi="方正仿宋_GBK" w:eastAsia="方正仿宋_GBK" w:cs="方正仿宋_GBK"/>
          <w:i w:val="0"/>
          <w:caps w:val="0"/>
          <w:color w:val="000000"/>
          <w:spacing w:val="0"/>
          <w:sz w:val="32"/>
          <w:szCs w:val="32"/>
          <w:shd w:val="clear" w:fill="FFFFFF"/>
        </w:rPr>
        <w:t>三公</w:t>
      </w:r>
      <w:r>
        <w:rPr>
          <w:rFonts w:hint="default" w:ascii="Times New Roman" w:hAnsi="Times New Roman" w:eastAsia="宋体" w:cs="Times New Roman"/>
          <w:i w:val="0"/>
          <w:caps w:val="0"/>
          <w:color w:val="000000"/>
          <w:spacing w:val="0"/>
          <w:sz w:val="32"/>
          <w:szCs w:val="32"/>
          <w:shd w:val="clear" w:fill="FFFFFF"/>
        </w:rPr>
        <w:t>”</w:t>
      </w:r>
      <w:r>
        <w:rPr>
          <w:rFonts w:hint="default" w:ascii="Times New Roman" w:hAnsi="Times New Roman" w:eastAsia="方正仿宋_GBK" w:cs="Times New Roman"/>
          <w:sz w:val="32"/>
          <w:szCs w:val="32"/>
          <w:shd w:val="clear" w:color="auto" w:fill="FFFFFF"/>
        </w:rPr>
        <w:t>支出。较上年支出数减少93.37万元，下降69.7%，主要原因一是认真贯彻落实中央八项规定精神和厉行节约要求，按照只减不增的要求从严控制</w:t>
      </w:r>
      <w:r>
        <w:rPr>
          <w:rFonts w:hint="default" w:ascii="Times New Roman" w:hAnsi="Times New Roman" w:eastAsia="宋体" w:cs="Times New Roman"/>
          <w:i w:val="0"/>
          <w:caps w:val="0"/>
          <w:color w:val="000000"/>
          <w:spacing w:val="0"/>
          <w:sz w:val="32"/>
          <w:szCs w:val="32"/>
          <w:shd w:val="clear" w:fill="FFFFFF"/>
        </w:rPr>
        <w:t>“</w:t>
      </w:r>
      <w:r>
        <w:rPr>
          <w:rFonts w:ascii="方正仿宋_GBK" w:hAnsi="方正仿宋_GBK" w:eastAsia="方正仿宋_GBK" w:cs="方正仿宋_GBK"/>
          <w:i w:val="0"/>
          <w:caps w:val="0"/>
          <w:color w:val="000000"/>
          <w:spacing w:val="0"/>
          <w:sz w:val="32"/>
          <w:szCs w:val="32"/>
          <w:shd w:val="clear" w:fill="FFFFFF"/>
        </w:rPr>
        <w:t>三公</w:t>
      </w:r>
      <w:r>
        <w:rPr>
          <w:rFonts w:hint="default" w:ascii="Times New Roman" w:hAnsi="Times New Roman" w:eastAsia="宋体" w:cs="Times New Roman"/>
          <w:i w:val="0"/>
          <w:caps w:val="0"/>
          <w:color w:val="000000"/>
          <w:spacing w:val="0"/>
          <w:sz w:val="32"/>
          <w:szCs w:val="32"/>
          <w:shd w:val="clear" w:fill="FFFFFF"/>
        </w:rPr>
        <w:t>”</w:t>
      </w:r>
      <w:r>
        <w:rPr>
          <w:rFonts w:hint="default" w:ascii="Times New Roman" w:hAnsi="Times New Roman" w:eastAsia="方正仿宋_GBK" w:cs="Times New Roman"/>
          <w:sz w:val="32"/>
          <w:szCs w:val="32"/>
          <w:shd w:val="clear" w:color="auto" w:fill="FFFFFF"/>
        </w:rPr>
        <w:t>经费。强化公务接待支出管理，严格遵守公务接待开支范围和开支标准，严格控制陪餐人数；二是进一步规范因公出国（境）活动，今年未安排单位人员出国（境）。</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用于因执行公务、科技文化交流等活动。费用支出较年初预算数无增减，主要原因是2024年未发生因公出国（境）等活动。较上年支出数无增减，主要原因是2023、2024年均未发生因公出国（境）相关活动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万元，主要用于购买公务用车。费用支出较年初预算数无增减，主要原因是2024年本单位未安排公务车采购计划。较上年支出数无增减，主要原因是2023、2024年均无公务车采购计划。</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40.55</w:t>
      </w:r>
      <w:r>
        <w:rPr>
          <w:rFonts w:hint="default" w:ascii="Times New Roman" w:hAnsi="Times New Roman" w:eastAsia="方正仿宋_GBK" w:cs="Times New Roman"/>
          <w:sz w:val="32"/>
          <w:szCs w:val="32"/>
          <w:shd w:val="clear" w:color="auto" w:fill="FFFFFF"/>
        </w:rPr>
        <w:t>万元，主要用于机要文件交换、市内因公出行、业务检查等工作所需车辆的燃料费、维修费、过桥过路费、保险费等。费用支出较年初预算数减少100.15万元，下降71.2%，主要原因是厉行节约，过紧日子，严格控制“三公”支出。较上年支出数减少93.33万元，下降69.7%，主要原因是厉行节约，过紧日子，严格控制“三公”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接待因公务活动需要而产生的接待用餐、住宿、交通等费用。费用支出较年初预算数减少1.00万元，下降100.0%，主要原因是2024年未发生公务接待的支出。较上年支出数减少0.04万元，下降100.0%，主要原因是2024年未发生公务接待的支出。</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13</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3.12</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360" w:lineRule="auto"/>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0.14</w:t>
      </w:r>
      <w:r>
        <w:rPr>
          <w:rFonts w:hint="default" w:ascii="Times New Roman" w:hAnsi="Times New Roman" w:eastAsia="方正仿宋_GBK" w:cs="Times New Roman"/>
          <w:sz w:val="32"/>
          <w:szCs w:val="32"/>
          <w:shd w:val="clear" w:color="auto" w:fill="FFFFFF"/>
        </w:rPr>
        <w:t>万元，与2023年度相比，减少5.50万元，下降97.5%，主要原因是2024年会议减少，因此相关支出减少。本年度培训费支出</w:t>
      </w:r>
      <w:r>
        <w:rPr>
          <w:rFonts w:hint="default" w:ascii="Times New Roman" w:hAnsi="Times New Roman" w:eastAsia="方正仿宋_GBK" w:cs="Times New Roman"/>
          <w:sz w:val="32"/>
          <w:szCs w:val="32"/>
        </w:rPr>
        <w:t>0.01</w:t>
      </w:r>
      <w:r>
        <w:rPr>
          <w:rFonts w:hint="default" w:ascii="Times New Roman" w:hAnsi="Times New Roman" w:eastAsia="方正仿宋_GBK" w:cs="Times New Roman"/>
          <w:sz w:val="32"/>
          <w:szCs w:val="32"/>
          <w:shd w:val="clear" w:color="auto" w:fill="FFFFFF"/>
        </w:rPr>
        <w:t>万元，与2023年度相比，减少0.93万元，下降98.9%，主要原因是培训减少。</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218.55</w:t>
      </w:r>
      <w:r>
        <w:rPr>
          <w:rFonts w:hint="default" w:ascii="Times New Roman" w:hAnsi="Times New Roman" w:eastAsia="方正仿宋_GBK" w:cs="Times New Roman"/>
          <w:sz w:val="32"/>
          <w:szCs w:val="32"/>
          <w:shd w:val="clear" w:color="auto" w:fill="FFFFFF"/>
        </w:rPr>
        <w:t>万元，机关运行经费主要用于开支办公费、手续费、水费、电费、物业管理费、差旅费、维修（护）费、会议费、培训费、劳务费、公务接待、公车运行等。机关运行经费较上年支出数减少182.23万元，下降45.5%，主要原因是厉行节约，过紧日子，严格控制支出。</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13</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13</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23.01</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23.01</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22.33万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97.05</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22.33</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97.05</w:t>
      </w:r>
      <w:r>
        <w:rPr>
          <w:rFonts w:hint="default" w:ascii="Times New Roman" w:hAnsi="Times New Roman" w:eastAsia="方正仿宋_GBK" w:cs="Times New Roman"/>
          <w:sz w:val="32"/>
          <w:szCs w:val="32"/>
          <w:shd w:val="clear" w:color="auto" w:fill="FFFFFF"/>
        </w:rPr>
        <w:t xml:space="preserve"> %。主要用于采购办公设备，如电脑、打印机等；及应急装备，如救援划艇、应急服装等。</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五、2024年度预算绩效管理情况说明</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360" w:lineRule="auto"/>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（一）预算绩效管理工作开展情况</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根据预算绩效管理要求，我单位对43个项目开展了绩效自评，其中，以填报自评表形式开展自评43项，涉及资金2497.06万元。</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360" w:lineRule="auto"/>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（二）绩效自评结果</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1.项目绩效自评表。</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详见附件。</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2.项目绩效自评报告或案例。</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3.关于绩效自评结果的说明。</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我单位对43项目进行绩效自评，其中43个已完成年度绩效目标，0个未完成年度绩效目标。</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（三）财政重点绩效评价情况 </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我单位无财政重点绩效评价项目。</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360" w:lineRule="auto"/>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xml:space="preserve">   </w:t>
      </w:r>
      <w:r>
        <w:rPr>
          <w:rStyle w:val="8"/>
          <w:rFonts w:hint="default" w:ascii="Times New Roman" w:hAnsi="Times New Roman" w:eastAsia="黑体" w:cs="Times New Roman"/>
          <w:sz w:val="32"/>
          <w:szCs w:val="32"/>
          <w:shd w:val="clear" w:color="auto" w:fill="FFFFFF"/>
        </w:rPr>
        <w:t xml:space="preserve"> 六、专业名词解释</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黑体" w:cs="Times New Roman"/>
          <w:sz w:val="32"/>
          <w:szCs w:val="32"/>
          <w:shd w:val="clear" w:color="auto" w:fill="FFFFFF"/>
        </w:rPr>
        <w:t>七、决算公开联系方式及信息反馈渠道</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textAlignment w:val="auto"/>
        <w:rPr>
          <w:rFonts w:hint="default" w:ascii="Times New Roman" w:hAnsi="Times New Roman" w:cs="Times New Roman"/>
        </w:rPr>
      </w:pPr>
      <w:r>
        <w:rPr>
          <w:rFonts w:hint="default" w:ascii="Times New Roman" w:hAnsi="Times New Roman" w:eastAsia="方正仿宋_GBK" w:cs="Times New Roman"/>
          <w:sz w:val="32"/>
          <w:szCs w:val="32"/>
          <w:shd w:val="clear" w:color="auto" w:fill="FFFFFF"/>
        </w:rPr>
        <w:t>罗渝闽</w:t>
      </w:r>
      <w:r>
        <w:rPr>
          <w:rFonts w:hint="default" w:ascii="Times New Roman" w:hAnsi="Times New Roman" w:eastAsia="方正仿宋_GBK" w:cs="Times New Roman"/>
          <w:color w:val="FF0000"/>
          <w:sz w:val="32"/>
          <w:szCs w:val="32"/>
          <w:shd w:val="clear" w:color="auto" w:fill="FFFFFF"/>
        </w:rPr>
        <w:t xml:space="preserve">  </w:t>
      </w:r>
      <w:r>
        <w:rPr>
          <w:rFonts w:hint="default" w:ascii="Times New Roman" w:hAnsi="Times New Roman" w:cs="Times New Roman"/>
          <w:color w:val="333333"/>
          <w:sz w:val="31"/>
          <w:szCs w:val="31"/>
          <w:shd w:val="clear" w:color="auto" w:fill="FFFFFF"/>
        </w:rPr>
        <w:t>023-</w:t>
      </w:r>
      <w:r>
        <w:rPr>
          <w:rFonts w:hint="default" w:ascii="Times New Roman" w:hAnsi="Times New Roman" w:eastAsia="方正仿宋_GBK" w:cs="Times New Roman"/>
          <w:color w:val="333333"/>
          <w:sz w:val="31"/>
          <w:szCs w:val="31"/>
          <w:shd w:val="clear" w:color="auto" w:fill="FFFFFF"/>
        </w:rPr>
        <w:t>45689509</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0" w:firstLineChars="0"/>
        <w:jc w:val="both"/>
        <w:textAlignment w:val="auto"/>
        <w:rPr>
          <w:rStyle w:val="11"/>
          <w:rFonts w:hint="default" w:ascii="Times New Roman" w:hAnsi="Times New Roman" w:eastAsia="方正仿宋_GBK" w:cs="Times New Roman"/>
          <w:sz w:val="32"/>
          <w:szCs w:val="32"/>
          <w:shd w:val="clear" w:color="auto" w:fill="FFFF00"/>
        </w:rPr>
      </w:pP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jc w:val="both"/>
        <w:textAlignment w:val="auto"/>
        <w:rPr>
          <w:rStyle w:val="11"/>
          <w:rFonts w:hint="default" w:ascii="Times New Roman" w:hAnsi="Times New Roman" w:eastAsia="方正仿宋_GBK" w:cs="Times New Roman"/>
          <w:sz w:val="32"/>
          <w:szCs w:val="32"/>
          <w:shd w:val="clear" w:color="auto" w:fill="FFFF00"/>
        </w:rPr>
      </w:pPr>
      <w:bookmarkStart w:id="0" w:name="_GoBack"/>
      <w:bookmarkEnd w:id="0"/>
    </w:p>
    <w:sectPr>
      <w:headerReference r:id="rId3" w:type="default"/>
      <w:footerReference r:id="rId4" w:type="default"/>
      <w:pgSz w:w="11850" w:h="16783"/>
      <w:pgMar w:top="1440" w:right="1803" w:bottom="1440" w:left="1803"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path/>
          <v:fill on="f" focussize="0,0"/>
          <v:stroke on="f" weight="0.5pt" joinstyle="miter"/>
          <v:imagedata o:title=""/>
          <o:lock v:ext="edit"/>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path/>
          <v:fill on="f" focussize="0,0"/>
          <v:stroke on="f" weight="0.5pt" joinstyle="miter"/>
          <v:imagedata o:title=""/>
          <o:lock v:ext="edit"/>
          <v:textbox inset="0mm,0mm,0mm,0mm">
            <w:txbxContent>
              <w:p>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RiYmFkZjU3ZWZjZDY5NmU5MDlkMGRjZTY2MTQ4NTgifQ=="/>
  </w:docVars>
  <w:rsids>
    <w:rsidRoot w:val="00B03CCD"/>
    <w:rsid w:val="00550ABE"/>
    <w:rsid w:val="005666D8"/>
    <w:rsid w:val="007B419D"/>
    <w:rsid w:val="009B67B8"/>
    <w:rsid w:val="00B03CCD"/>
    <w:rsid w:val="00C270C7"/>
    <w:rsid w:val="00D935B0"/>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8EF8ABE"/>
    <w:rsid w:val="098305D0"/>
    <w:rsid w:val="09B72B6E"/>
    <w:rsid w:val="0A3851D8"/>
    <w:rsid w:val="0A5C4B69"/>
    <w:rsid w:val="0AEC3BC7"/>
    <w:rsid w:val="0B9335CE"/>
    <w:rsid w:val="0C7927C4"/>
    <w:rsid w:val="0C9B098C"/>
    <w:rsid w:val="0D11728C"/>
    <w:rsid w:val="0D673E11"/>
    <w:rsid w:val="0DB50EFE"/>
    <w:rsid w:val="0DDA54E4"/>
    <w:rsid w:val="0E3A5F83"/>
    <w:rsid w:val="0F836721"/>
    <w:rsid w:val="0FF503CA"/>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6BF6E93"/>
    <w:rsid w:val="189B0D0B"/>
    <w:rsid w:val="194A1770"/>
    <w:rsid w:val="19917D9C"/>
    <w:rsid w:val="19B906A4"/>
    <w:rsid w:val="1A1F744B"/>
    <w:rsid w:val="1A4854EC"/>
    <w:rsid w:val="1B6F15B6"/>
    <w:rsid w:val="1BAA2EDC"/>
    <w:rsid w:val="1CDF5A16"/>
    <w:rsid w:val="1CE157EE"/>
    <w:rsid w:val="1D014A01"/>
    <w:rsid w:val="1D022362"/>
    <w:rsid w:val="1DD26311"/>
    <w:rsid w:val="1EBE2BDE"/>
    <w:rsid w:val="1EF67CA4"/>
    <w:rsid w:val="1FCD26AF"/>
    <w:rsid w:val="1FEE23D2"/>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391551"/>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3FFEFAAA"/>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79304E3"/>
    <w:rsid w:val="48225EF7"/>
    <w:rsid w:val="48AF9E80"/>
    <w:rsid w:val="495C4A24"/>
    <w:rsid w:val="4AD70EE7"/>
    <w:rsid w:val="4B7951CB"/>
    <w:rsid w:val="4B7C315C"/>
    <w:rsid w:val="4BAB7F90"/>
    <w:rsid w:val="4DAC4ACA"/>
    <w:rsid w:val="4F186D58"/>
    <w:rsid w:val="50EC262C"/>
    <w:rsid w:val="522F6E0C"/>
    <w:rsid w:val="52463BA1"/>
    <w:rsid w:val="53B4390C"/>
    <w:rsid w:val="53C0244D"/>
    <w:rsid w:val="53DB53AC"/>
    <w:rsid w:val="53DD4D4E"/>
    <w:rsid w:val="53E578CE"/>
    <w:rsid w:val="543B029D"/>
    <w:rsid w:val="545D0246"/>
    <w:rsid w:val="554E5773"/>
    <w:rsid w:val="555A3CBC"/>
    <w:rsid w:val="55F7FA6D"/>
    <w:rsid w:val="56530F5D"/>
    <w:rsid w:val="56F32845"/>
    <w:rsid w:val="5842572D"/>
    <w:rsid w:val="5AE75037"/>
    <w:rsid w:val="5AEA7ACB"/>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7FCD19"/>
    <w:rsid w:val="64FB113D"/>
    <w:rsid w:val="654E4D38"/>
    <w:rsid w:val="656152C6"/>
    <w:rsid w:val="6587477F"/>
    <w:rsid w:val="658C3A08"/>
    <w:rsid w:val="65C031CA"/>
    <w:rsid w:val="65CE6852"/>
    <w:rsid w:val="66267C04"/>
    <w:rsid w:val="663F505A"/>
    <w:rsid w:val="665C1999"/>
    <w:rsid w:val="667F2393"/>
    <w:rsid w:val="66EE5541"/>
    <w:rsid w:val="67FFB78A"/>
    <w:rsid w:val="692172FD"/>
    <w:rsid w:val="6A3829EE"/>
    <w:rsid w:val="6B474EF5"/>
    <w:rsid w:val="6C560CAE"/>
    <w:rsid w:val="6D0615E4"/>
    <w:rsid w:val="6D903FF5"/>
    <w:rsid w:val="6D9E65B7"/>
    <w:rsid w:val="6DA955B8"/>
    <w:rsid w:val="6DE346AB"/>
    <w:rsid w:val="6DFF3112"/>
    <w:rsid w:val="6EEC75CE"/>
    <w:rsid w:val="6EF396E8"/>
    <w:rsid w:val="6F7F6A2D"/>
    <w:rsid w:val="6FB442D1"/>
    <w:rsid w:val="6FFB2E76"/>
    <w:rsid w:val="6FFF1146"/>
    <w:rsid w:val="70DDA3D3"/>
    <w:rsid w:val="71C34D91"/>
    <w:rsid w:val="71ED38AA"/>
    <w:rsid w:val="720229AA"/>
    <w:rsid w:val="72DB435C"/>
    <w:rsid w:val="72F746B0"/>
    <w:rsid w:val="72F76C28"/>
    <w:rsid w:val="750837F0"/>
    <w:rsid w:val="753F50B0"/>
    <w:rsid w:val="764F62AB"/>
    <w:rsid w:val="765C45EC"/>
    <w:rsid w:val="768A7619"/>
    <w:rsid w:val="76E14979"/>
    <w:rsid w:val="77EA362A"/>
    <w:rsid w:val="7875383E"/>
    <w:rsid w:val="796D60A4"/>
    <w:rsid w:val="79A031D5"/>
    <w:rsid w:val="7A1525F7"/>
    <w:rsid w:val="7A3E6CB6"/>
    <w:rsid w:val="7A680D2D"/>
    <w:rsid w:val="7B260559"/>
    <w:rsid w:val="7B420052"/>
    <w:rsid w:val="7B763B37"/>
    <w:rsid w:val="7BD06A28"/>
    <w:rsid w:val="7C1E4CD7"/>
    <w:rsid w:val="7C3A7C0B"/>
    <w:rsid w:val="7C5248E4"/>
    <w:rsid w:val="7C566698"/>
    <w:rsid w:val="7D5B1B78"/>
    <w:rsid w:val="7D6DD4C1"/>
    <w:rsid w:val="7F751DD4"/>
    <w:rsid w:val="7FA960B8"/>
    <w:rsid w:val="7FBF0231"/>
    <w:rsid w:val="7FBF2298"/>
    <w:rsid w:val="7FEB8233"/>
    <w:rsid w:val="7FEC5605"/>
    <w:rsid w:val="7FEECDB1"/>
    <w:rsid w:val="9EFD909E"/>
    <w:rsid w:val="B3DF0663"/>
    <w:rsid w:val="B9DF4F45"/>
    <w:rsid w:val="BF7FCD11"/>
    <w:rsid w:val="BFEF694E"/>
    <w:rsid w:val="CEDEB607"/>
    <w:rsid w:val="DE5D6873"/>
    <w:rsid w:val="EFDB1F57"/>
    <w:rsid w:val="EFED0D1E"/>
    <w:rsid w:val="F5FC2609"/>
    <w:rsid w:val="F6776E08"/>
    <w:rsid w:val="F6FC7107"/>
    <w:rsid w:val="FCDFEA34"/>
    <w:rsid w:val="FE77475E"/>
    <w:rsid w:val="FF3FD1E2"/>
    <w:rsid w:val="FF6F3A30"/>
    <w:rsid w:val="FFBDFA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1040</Words>
  <Characters>5934</Characters>
  <Lines>49</Lines>
  <Paragraphs>13</Paragraphs>
  <TotalTime>14</TotalTime>
  <ScaleCrop>false</ScaleCrop>
  <LinksUpToDate>false</LinksUpToDate>
  <CharactersWithSpaces>6961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lenovo</cp:lastModifiedBy>
  <dcterms:modified xsi:type="dcterms:W3CDTF">2025-10-30T02:07:29Z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9EDAFD8FD9424A54844071572B3E9A06_13</vt:lpwstr>
  </property>
</Properties>
</file>