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FB27B8">
      <w:pPr>
        <w:keepNext w:val="0"/>
        <w:keepLines w:val="0"/>
        <w:pageBreakBefore w:val="0"/>
        <w:widowControl/>
        <w:kinsoku/>
        <w:wordWrap/>
        <w:overflowPunct/>
        <w:topLinePunct w:val="0"/>
        <w:autoSpaceDE/>
        <w:autoSpaceDN/>
        <w:bidi w:val="0"/>
        <w:adjustRightInd/>
        <w:snapToGrid/>
        <w:spacing w:line="594" w:lineRule="exact"/>
        <w:ind w:firstLine="0" w:firstLineChars="0"/>
        <w:jc w:val="center"/>
        <w:textAlignment w:val="auto"/>
        <w:rPr>
          <w:rFonts w:hint="eastAsia" w:ascii="方正小标宋_GBK" w:hAnsi="方正小标宋_GBK" w:eastAsia="方正小标宋_GBK" w:cs="方正小标宋_GBK"/>
          <w:sz w:val="44"/>
          <w:szCs w:val="44"/>
        </w:rPr>
      </w:pPr>
      <w:bookmarkStart w:id="0" w:name="_GoBack"/>
      <w:r>
        <w:rPr>
          <w:rFonts w:hint="eastAsia" w:ascii="方正小标宋_GBK" w:hAnsi="方正小标宋_GBK" w:eastAsia="方正小标宋_GBK" w:cs="方正小标宋_GBK"/>
          <w:sz w:val="44"/>
          <w:szCs w:val="44"/>
        </w:rPr>
        <w:t>重庆市铜梁区平滩镇劳动就业和社会保障</w:t>
      </w:r>
    </w:p>
    <w:p w14:paraId="449592E6">
      <w:pPr>
        <w:keepNext w:val="0"/>
        <w:keepLines w:val="0"/>
        <w:pageBreakBefore w:val="0"/>
        <w:widowControl/>
        <w:kinsoku/>
        <w:wordWrap/>
        <w:overflowPunct/>
        <w:topLinePunct w:val="0"/>
        <w:autoSpaceDE/>
        <w:autoSpaceDN/>
        <w:bidi w:val="0"/>
        <w:adjustRightInd/>
        <w:snapToGrid/>
        <w:spacing w:line="594" w:lineRule="exact"/>
        <w:ind w:firstLine="0" w:firstLine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服务所2024年度决算公开说明</w:t>
      </w:r>
    </w:p>
    <w:p w14:paraId="72DB18DF">
      <w:pPr>
        <w:keepNext w:val="0"/>
        <w:keepLines w:val="0"/>
        <w:pageBreakBefore w:val="0"/>
        <w:widowControl/>
        <w:kinsoku/>
        <w:wordWrap/>
        <w:overflowPunct/>
        <w:topLinePunct w:val="0"/>
        <w:autoSpaceDE/>
        <w:autoSpaceDN/>
        <w:bidi w:val="0"/>
        <w:adjustRightInd/>
        <w:snapToGrid/>
        <w:spacing w:line="594" w:lineRule="exact"/>
        <w:ind w:firstLine="640" w:firstLineChars="200"/>
        <w:jc w:val="center"/>
        <w:textAlignment w:val="auto"/>
        <w:rPr>
          <w:rFonts w:hint="default" w:ascii="Times New Roman" w:hAnsi="Times New Roman" w:eastAsia="方正仿宋_GBK" w:cs="Times New Roman"/>
          <w:sz w:val="32"/>
          <w:szCs w:val="32"/>
        </w:rPr>
      </w:pPr>
    </w:p>
    <w:p w14:paraId="7C6B69C1">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w:t>
      </w:r>
      <w:r>
        <w:rPr>
          <w:rFonts w:hint="eastAsia" w:ascii="方正黑体_GBK" w:hAnsi="方正黑体_GBK" w:eastAsia="方正黑体_GBK" w:cs="方正黑体_GBK"/>
          <w:sz w:val="32"/>
          <w:szCs w:val="32"/>
          <w:lang w:eastAsia="zh-CN"/>
        </w:rPr>
        <w:t>单位</w:t>
      </w:r>
      <w:r>
        <w:rPr>
          <w:rFonts w:hint="eastAsia" w:ascii="方正黑体_GBK" w:hAnsi="方正黑体_GBK" w:eastAsia="方正黑体_GBK" w:cs="方正黑体_GBK"/>
          <w:sz w:val="32"/>
          <w:szCs w:val="32"/>
        </w:rPr>
        <w:t>基本情况</w:t>
      </w:r>
    </w:p>
    <w:p w14:paraId="02CC530C">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（一）职能职责</w:t>
      </w:r>
    </w:p>
    <w:p w14:paraId="156747C6">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重庆市铜梁区平滩镇劳动就业和社会保障服务所</w:t>
      </w:r>
      <w:r>
        <w:rPr>
          <w:rFonts w:hint="default" w:ascii="Times New Roman" w:hAnsi="Times New Roman" w:eastAsia="方正仿宋_GBK" w:cs="Times New Roman"/>
          <w:sz w:val="32"/>
          <w:szCs w:val="32"/>
          <w:lang w:eastAsia="zh-CN"/>
        </w:rPr>
        <w:t>是基层政府机构，主要负责劳动就业、职业培训、社会保险经办、医疗保障、劳动维权等公共服务工作，旨在促进就业和完善社会保障体系。</w:t>
      </w:r>
    </w:p>
    <w:p w14:paraId="2DECB1FA">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（二）机构设置</w:t>
      </w:r>
    </w:p>
    <w:p w14:paraId="091E2107">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本单位为重庆市铜梁区平滩镇人民政府所属二级预算单位，单位类型为公益一类事业单位，</w:t>
      </w:r>
      <w:r>
        <w:rPr>
          <w:rFonts w:hint="default" w:ascii="Times New Roman" w:hAnsi="Times New Roman" w:eastAsia="方正仿宋_GBK" w:cs="Times New Roman"/>
          <w:sz w:val="32"/>
          <w:szCs w:val="32"/>
          <w:lang w:eastAsia="zh-CN"/>
        </w:rPr>
        <w:t>无下级单位</w:t>
      </w:r>
      <w:r>
        <w:rPr>
          <w:rFonts w:hint="default" w:ascii="Times New Roman" w:hAnsi="Times New Roman" w:eastAsia="方正仿宋_GBK" w:cs="Times New Roman"/>
          <w:sz w:val="32"/>
          <w:szCs w:val="32"/>
        </w:rPr>
        <w:t>。</w:t>
      </w:r>
    </w:p>
    <w:p w14:paraId="53D12880">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w:t>
      </w:r>
      <w:r>
        <w:rPr>
          <w:rFonts w:hint="eastAsia" w:ascii="方正黑体_GBK" w:hAnsi="方正黑体_GBK" w:eastAsia="方正黑体_GBK" w:cs="方正黑体_GBK"/>
          <w:sz w:val="32"/>
          <w:szCs w:val="32"/>
          <w:lang w:eastAsia="zh-CN"/>
        </w:rPr>
        <w:t>单位</w:t>
      </w:r>
      <w:r>
        <w:rPr>
          <w:rFonts w:hint="eastAsia" w:ascii="方正黑体_GBK" w:hAnsi="方正黑体_GBK" w:eastAsia="方正黑体_GBK" w:cs="方正黑体_GBK"/>
          <w:sz w:val="32"/>
          <w:szCs w:val="32"/>
        </w:rPr>
        <w:t>决算</w:t>
      </w:r>
      <w:r>
        <w:rPr>
          <w:rFonts w:hint="eastAsia" w:ascii="方正黑体_GBK" w:hAnsi="方正黑体_GBK" w:eastAsia="方正黑体_GBK" w:cs="方正黑体_GBK"/>
          <w:sz w:val="32"/>
          <w:szCs w:val="32"/>
          <w:lang w:eastAsia="zh-CN"/>
        </w:rPr>
        <w:t>收支</w:t>
      </w:r>
      <w:r>
        <w:rPr>
          <w:rFonts w:hint="eastAsia" w:ascii="方正黑体_GBK" w:hAnsi="方正黑体_GBK" w:eastAsia="方正黑体_GBK" w:cs="方正黑体_GBK"/>
          <w:sz w:val="32"/>
          <w:szCs w:val="32"/>
        </w:rPr>
        <w:t>情况说明</w:t>
      </w:r>
    </w:p>
    <w:p w14:paraId="64635D04">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（一）收入支出决算总体情况说明。</w:t>
      </w:r>
    </w:p>
    <w:p w14:paraId="007DA24C">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1.总体情况。</w:t>
      </w:r>
      <w:r>
        <w:rPr>
          <w:rFonts w:hint="default" w:ascii="Times New Roman" w:hAnsi="Times New Roman" w:eastAsia="方正仿宋_GBK" w:cs="Times New Roman"/>
          <w:sz w:val="32"/>
          <w:szCs w:val="32"/>
          <w:lang w:eastAsia="zh-CN"/>
        </w:rPr>
        <w:t>2024年</w:t>
      </w:r>
      <w:r>
        <w:rPr>
          <w:rFonts w:hint="default" w:ascii="Times New Roman" w:hAnsi="Times New Roman" w:eastAsia="方正仿宋_GBK" w:cs="Times New Roman"/>
          <w:sz w:val="32"/>
          <w:szCs w:val="32"/>
        </w:rPr>
        <w:t>度收入总计118.01万元，支出总计118.01万元。收、支与2023年度相比，增加118.01万元，增长100.0%，主要原因是本单位为新增事业单位，上年度无决算数据，本年度收入</w:t>
      </w:r>
      <w:r>
        <w:rPr>
          <w:rFonts w:hint="default" w:ascii="Times New Roman" w:hAnsi="Times New Roman" w:eastAsia="方正仿宋_GBK" w:cs="Times New Roman"/>
          <w:sz w:val="32"/>
          <w:szCs w:val="32"/>
          <w:lang w:eastAsia="zh-CN"/>
        </w:rPr>
        <w:t>、支出分别为</w:t>
      </w:r>
      <w:r>
        <w:rPr>
          <w:rFonts w:hint="default" w:ascii="Times New Roman" w:hAnsi="Times New Roman" w:eastAsia="方正仿宋_GBK" w:cs="Times New Roman"/>
          <w:sz w:val="32"/>
          <w:szCs w:val="32"/>
        </w:rPr>
        <w:t>118.01万元</w:t>
      </w:r>
      <w:r>
        <w:rPr>
          <w:rFonts w:hint="default" w:ascii="Times New Roman" w:hAnsi="Times New Roman" w:eastAsia="方正仿宋_GBK" w:cs="Times New Roman"/>
          <w:sz w:val="32"/>
          <w:szCs w:val="32"/>
          <w:lang w:eastAsia="zh-CN"/>
        </w:rPr>
        <w:t>。</w:t>
      </w:r>
    </w:p>
    <w:p w14:paraId="5592AD49">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rPr>
        <w:t>2.收入情况。</w:t>
      </w:r>
      <w:r>
        <w:rPr>
          <w:rFonts w:hint="eastAsia" w:ascii="Times New Roman" w:hAnsi="Times New Roman" w:eastAsia="方正仿宋_GBK" w:cs="Times New Roman"/>
          <w:sz w:val="32"/>
          <w:szCs w:val="32"/>
          <w:lang w:eastAsia="zh-CN"/>
        </w:rPr>
        <w:t>2024年</w:t>
      </w:r>
      <w:r>
        <w:rPr>
          <w:rFonts w:hint="eastAsia" w:ascii="Times New Roman" w:hAnsi="Times New Roman" w:eastAsia="方正仿宋_GBK" w:cs="Times New Roman"/>
          <w:sz w:val="32"/>
          <w:szCs w:val="32"/>
        </w:rPr>
        <w:t>度收入合计118.01万元，与2023年度相比，增加118.01万元，增长100.0%，主要原因是本单位为新增事业单位，上年度无决算数据，本年度收入</w:t>
      </w:r>
      <w:r>
        <w:rPr>
          <w:rFonts w:hint="eastAsia" w:ascii="Times New Roman" w:hAnsi="Times New Roman" w:eastAsia="方正仿宋_GBK" w:cs="Times New Roman"/>
          <w:sz w:val="32"/>
          <w:szCs w:val="32"/>
          <w:lang w:eastAsia="zh-CN"/>
        </w:rPr>
        <w:t>为</w:t>
      </w:r>
      <w:r>
        <w:rPr>
          <w:rFonts w:hint="eastAsia" w:ascii="Times New Roman" w:hAnsi="Times New Roman" w:eastAsia="方正仿宋_GBK" w:cs="Times New Roman"/>
          <w:sz w:val="32"/>
          <w:szCs w:val="32"/>
        </w:rPr>
        <w:t>118.01万元</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其中：财政拨款收入118.01万元，占</w:t>
      </w:r>
      <w:r>
        <w:rPr>
          <w:rFonts w:hint="eastAsia" w:ascii="Times New Roman" w:hAnsi="Times New Roman" w:eastAsia="方正仿宋_GBK" w:cs="Times New Roman"/>
          <w:sz w:val="32"/>
          <w:szCs w:val="32"/>
          <w:lang w:eastAsia="zh-CN"/>
        </w:rPr>
        <w:t>100.0</w:t>
      </w:r>
      <w:r>
        <w:rPr>
          <w:rFonts w:hint="eastAsia" w:ascii="Times New Roman" w:hAnsi="Times New Roman" w:eastAsia="方正仿宋_GBK" w:cs="Times New Roman"/>
          <w:sz w:val="32"/>
          <w:szCs w:val="32"/>
        </w:rPr>
        <w:t>%；事业收入</w:t>
      </w:r>
      <w:r>
        <w:rPr>
          <w:rFonts w:hint="eastAsia" w:ascii="Times New Roman" w:hAnsi="Times New Roman" w:eastAsia="方正仿宋_GBK" w:cs="Times New Roman"/>
          <w:sz w:val="32"/>
          <w:szCs w:val="32"/>
          <w:lang w:eastAsia="zh-CN"/>
        </w:rPr>
        <w:t>0</w:t>
      </w:r>
      <w:r>
        <w:rPr>
          <w:rFonts w:hint="eastAsia" w:ascii="Times New Roman" w:hAnsi="Times New Roman" w:eastAsia="方正仿宋_GBK" w:cs="Times New Roman"/>
          <w:sz w:val="32"/>
          <w:szCs w:val="32"/>
        </w:rPr>
        <w:t>万元，</w:t>
      </w:r>
      <w:r>
        <w:rPr>
          <w:rFonts w:hint="default" w:ascii="Times New Roman" w:hAnsi="Times New Roman" w:eastAsia="方正仿宋_GBK" w:cs="Times New Roman"/>
          <w:sz w:val="32"/>
          <w:szCs w:val="32"/>
        </w:rPr>
        <w:t>占</w:t>
      </w:r>
      <w:r>
        <w:rPr>
          <w:rFonts w:hint="default" w:ascii="Times New Roman" w:hAnsi="Times New Roman" w:eastAsia="方正仿宋_GBK" w:cs="Times New Roman"/>
          <w:sz w:val="32"/>
          <w:szCs w:val="32"/>
          <w:lang w:eastAsia="zh-CN"/>
        </w:rPr>
        <w:t>0</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%；经营收入</w:t>
      </w:r>
      <w:r>
        <w:rPr>
          <w:rFonts w:hint="default" w:ascii="Times New Roman" w:hAnsi="Times New Roman" w:eastAsia="方正仿宋_GBK" w:cs="Times New Roman"/>
          <w:sz w:val="32"/>
          <w:szCs w:val="32"/>
          <w:lang w:eastAsia="zh-CN"/>
        </w:rPr>
        <w:t>0</w:t>
      </w:r>
      <w:r>
        <w:rPr>
          <w:rFonts w:hint="default" w:ascii="Times New Roman" w:hAnsi="Times New Roman" w:eastAsia="方正仿宋_GBK" w:cs="Times New Roman"/>
          <w:sz w:val="32"/>
          <w:szCs w:val="32"/>
        </w:rPr>
        <w:t>万元，占</w:t>
      </w:r>
      <w:r>
        <w:rPr>
          <w:rFonts w:hint="default" w:ascii="Times New Roman" w:hAnsi="Times New Roman" w:eastAsia="方正仿宋_GBK" w:cs="Times New Roman"/>
          <w:sz w:val="32"/>
          <w:szCs w:val="32"/>
          <w:lang w:eastAsia="zh-CN"/>
        </w:rPr>
        <w:t>0</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%；其他收入</w:t>
      </w:r>
      <w:r>
        <w:rPr>
          <w:rFonts w:hint="default" w:ascii="Times New Roman" w:hAnsi="Times New Roman" w:eastAsia="方正仿宋_GBK" w:cs="Times New Roman"/>
          <w:sz w:val="32"/>
          <w:szCs w:val="32"/>
          <w:lang w:eastAsia="zh-CN"/>
        </w:rPr>
        <w:t>0</w:t>
      </w:r>
      <w:r>
        <w:rPr>
          <w:rFonts w:hint="default" w:ascii="Times New Roman" w:hAnsi="Times New Roman" w:eastAsia="方正仿宋_GBK" w:cs="Times New Roman"/>
          <w:sz w:val="32"/>
          <w:szCs w:val="32"/>
        </w:rPr>
        <w:t>万元，占</w:t>
      </w:r>
      <w:r>
        <w:rPr>
          <w:rFonts w:hint="default" w:ascii="Times New Roman" w:hAnsi="Times New Roman" w:eastAsia="方正仿宋_GBK" w:cs="Times New Roman"/>
          <w:sz w:val="32"/>
          <w:szCs w:val="32"/>
          <w:lang w:eastAsia="zh-CN"/>
        </w:rPr>
        <w:t>0</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%。此外，使用非财政拨款结余和专用结余</w:t>
      </w:r>
      <w:r>
        <w:rPr>
          <w:rFonts w:hint="default" w:ascii="Times New Roman" w:hAnsi="Times New Roman" w:eastAsia="方正仿宋_GBK" w:cs="Times New Roman"/>
          <w:sz w:val="32"/>
          <w:szCs w:val="32"/>
          <w:lang w:eastAsia="zh-CN"/>
        </w:rPr>
        <w:t>0</w:t>
      </w:r>
      <w:r>
        <w:rPr>
          <w:rFonts w:hint="default" w:ascii="Times New Roman" w:hAnsi="Times New Roman" w:eastAsia="方正仿宋_GBK" w:cs="Times New Roman"/>
          <w:sz w:val="32"/>
          <w:szCs w:val="32"/>
        </w:rPr>
        <w:t>万元，年初结转和结余</w:t>
      </w:r>
      <w:r>
        <w:rPr>
          <w:rFonts w:hint="default" w:ascii="Times New Roman" w:hAnsi="Times New Roman" w:eastAsia="方正仿宋_GBK" w:cs="Times New Roman"/>
          <w:sz w:val="32"/>
          <w:szCs w:val="32"/>
          <w:lang w:eastAsia="zh-CN"/>
        </w:rPr>
        <w:t>0</w:t>
      </w:r>
      <w:r>
        <w:rPr>
          <w:rFonts w:hint="default" w:ascii="Times New Roman" w:hAnsi="Times New Roman" w:eastAsia="方正仿宋_GBK" w:cs="Times New Roman"/>
          <w:sz w:val="32"/>
          <w:szCs w:val="32"/>
        </w:rPr>
        <w:t>万元。</w:t>
      </w:r>
    </w:p>
    <w:p w14:paraId="67C618BC">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3.支出情况。</w:t>
      </w:r>
      <w:r>
        <w:rPr>
          <w:rFonts w:hint="default" w:ascii="Times New Roman" w:hAnsi="Times New Roman" w:eastAsia="方正仿宋_GBK" w:cs="Times New Roman"/>
          <w:sz w:val="32"/>
          <w:szCs w:val="32"/>
          <w:lang w:eastAsia="zh-CN"/>
        </w:rPr>
        <w:t>2024年</w:t>
      </w:r>
      <w:r>
        <w:rPr>
          <w:rFonts w:hint="default" w:ascii="Times New Roman" w:hAnsi="Times New Roman" w:eastAsia="方正仿宋_GBK" w:cs="Times New Roman"/>
          <w:sz w:val="32"/>
          <w:szCs w:val="32"/>
        </w:rPr>
        <w:t>度支出合计118.01万元，与2023年度相比，增加118.01万元，增长100.0%，主要原因是本单位为新增事业单位，上年度无决算数据，本年度</w:t>
      </w:r>
      <w:r>
        <w:rPr>
          <w:rFonts w:hint="default" w:ascii="Times New Roman" w:hAnsi="Times New Roman" w:eastAsia="方正仿宋_GBK" w:cs="Times New Roman"/>
          <w:sz w:val="32"/>
          <w:szCs w:val="32"/>
          <w:lang w:eastAsia="zh-CN"/>
        </w:rPr>
        <w:t>支出为</w:t>
      </w:r>
      <w:r>
        <w:rPr>
          <w:rFonts w:hint="default" w:ascii="Times New Roman" w:hAnsi="Times New Roman" w:eastAsia="方正仿宋_GBK" w:cs="Times New Roman"/>
          <w:sz w:val="32"/>
          <w:szCs w:val="32"/>
        </w:rPr>
        <w:t>118.01万元。其中：基本支出116.33万元，占98.</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%；项目支出1.68万元，占1.4%；经营支出</w:t>
      </w:r>
      <w:r>
        <w:rPr>
          <w:rFonts w:hint="default" w:ascii="Times New Roman" w:hAnsi="Times New Roman" w:eastAsia="方正仿宋_GBK" w:cs="Times New Roman"/>
          <w:sz w:val="32"/>
          <w:szCs w:val="32"/>
          <w:lang w:eastAsia="zh-CN"/>
        </w:rPr>
        <w:t>0</w:t>
      </w:r>
      <w:r>
        <w:rPr>
          <w:rFonts w:hint="default" w:ascii="Times New Roman" w:hAnsi="Times New Roman" w:eastAsia="方正仿宋_GBK" w:cs="Times New Roman"/>
          <w:sz w:val="32"/>
          <w:szCs w:val="32"/>
        </w:rPr>
        <w:t>万元，占</w:t>
      </w:r>
      <w:r>
        <w:rPr>
          <w:rFonts w:hint="default" w:ascii="Times New Roman" w:hAnsi="Times New Roman" w:eastAsia="方正仿宋_GBK" w:cs="Times New Roman"/>
          <w:sz w:val="32"/>
          <w:szCs w:val="32"/>
          <w:lang w:eastAsia="zh-CN"/>
        </w:rPr>
        <w:t>0</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%。此外，结余分配</w:t>
      </w:r>
      <w:r>
        <w:rPr>
          <w:rFonts w:hint="default" w:ascii="Times New Roman" w:hAnsi="Times New Roman" w:eastAsia="方正仿宋_GBK" w:cs="Times New Roman"/>
          <w:sz w:val="32"/>
          <w:szCs w:val="32"/>
          <w:lang w:eastAsia="zh-CN"/>
        </w:rPr>
        <w:t>0</w:t>
      </w:r>
      <w:r>
        <w:rPr>
          <w:rFonts w:hint="default" w:ascii="Times New Roman" w:hAnsi="Times New Roman" w:eastAsia="方正仿宋_GBK" w:cs="Times New Roman"/>
          <w:sz w:val="32"/>
          <w:szCs w:val="32"/>
        </w:rPr>
        <w:t>万元。</w:t>
      </w:r>
    </w:p>
    <w:p w14:paraId="1A63B72E">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4.结转结余情况。</w:t>
      </w:r>
      <w:r>
        <w:rPr>
          <w:rFonts w:hint="default" w:ascii="Times New Roman" w:hAnsi="Times New Roman" w:eastAsia="方正仿宋_GBK" w:cs="Times New Roman"/>
          <w:sz w:val="32"/>
          <w:szCs w:val="32"/>
          <w:lang w:eastAsia="zh-CN"/>
        </w:rPr>
        <w:t>2024年</w:t>
      </w:r>
      <w:r>
        <w:rPr>
          <w:rFonts w:hint="default" w:ascii="Times New Roman" w:hAnsi="Times New Roman" w:eastAsia="方正仿宋_GBK" w:cs="Times New Roman"/>
          <w:sz w:val="32"/>
          <w:szCs w:val="32"/>
        </w:rPr>
        <w:t>度年末结转和结余</w:t>
      </w:r>
      <w:r>
        <w:rPr>
          <w:rFonts w:hint="default" w:ascii="Times New Roman" w:hAnsi="Times New Roman" w:eastAsia="方正仿宋_GBK" w:cs="Times New Roman"/>
          <w:sz w:val="32"/>
          <w:szCs w:val="32"/>
          <w:lang w:eastAsia="zh-CN"/>
        </w:rPr>
        <w:t>0</w:t>
      </w:r>
      <w:r>
        <w:rPr>
          <w:rFonts w:hint="default" w:ascii="Times New Roman" w:hAnsi="Times New Roman" w:eastAsia="方正仿宋_GBK" w:cs="Times New Roman"/>
          <w:sz w:val="32"/>
          <w:szCs w:val="32"/>
        </w:rPr>
        <w:t>万元，与2023年度相比，无增减，</w:t>
      </w:r>
      <w:r>
        <w:rPr>
          <w:rFonts w:hint="default" w:ascii="Times New Roman" w:hAnsi="Times New Roman" w:eastAsia="方正仿宋_GBK" w:cs="Times New Roman"/>
          <w:sz w:val="32"/>
          <w:szCs w:val="32"/>
          <w:lang w:eastAsia="zh-CN"/>
        </w:rPr>
        <w:t>与上年持平。</w:t>
      </w:r>
    </w:p>
    <w:p w14:paraId="2134A3D8">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（二）财政拨款收入支出决算总体情况说明</w:t>
      </w:r>
    </w:p>
    <w:p w14:paraId="39A3BC8B">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2024年</w:t>
      </w:r>
      <w:r>
        <w:rPr>
          <w:rFonts w:hint="default" w:ascii="Times New Roman" w:hAnsi="Times New Roman" w:eastAsia="方正仿宋_GBK" w:cs="Times New Roman"/>
          <w:sz w:val="32"/>
          <w:szCs w:val="32"/>
        </w:rPr>
        <w:t>度财政拨款收、支总计118.01万元。与202</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年相比，财政拨款收、支总计各增加118.01万元，增长100.0%。</w:t>
      </w:r>
      <w:r>
        <w:rPr>
          <w:rFonts w:hint="eastAsia" w:ascii="Times New Roman" w:hAnsi="Times New Roman" w:eastAsia="方正仿宋_GBK" w:cs="Times New Roman"/>
          <w:sz w:val="32"/>
          <w:szCs w:val="32"/>
          <w:lang w:eastAsia="zh-CN"/>
        </w:rPr>
        <w:t>主要原因是</w:t>
      </w:r>
      <w:r>
        <w:rPr>
          <w:rFonts w:hint="default" w:ascii="Times New Roman" w:hAnsi="Times New Roman" w:eastAsia="方正仿宋_GBK" w:cs="Times New Roman"/>
          <w:sz w:val="32"/>
          <w:szCs w:val="32"/>
        </w:rPr>
        <w:t>本单位为新增事业单位，上年度无决算数据，本年度收入</w:t>
      </w:r>
      <w:r>
        <w:rPr>
          <w:rFonts w:hint="default" w:ascii="Times New Roman" w:hAnsi="Times New Roman" w:eastAsia="方正仿宋_GBK" w:cs="Times New Roman"/>
          <w:sz w:val="32"/>
          <w:szCs w:val="32"/>
          <w:lang w:eastAsia="zh-CN"/>
        </w:rPr>
        <w:t>、支出分别为</w:t>
      </w:r>
      <w:r>
        <w:rPr>
          <w:rFonts w:hint="default" w:ascii="Times New Roman" w:hAnsi="Times New Roman" w:eastAsia="方正仿宋_GBK" w:cs="Times New Roman"/>
          <w:sz w:val="32"/>
          <w:szCs w:val="32"/>
        </w:rPr>
        <w:t>118.01</w:t>
      </w:r>
      <w:r>
        <w:rPr>
          <w:rFonts w:hint="default" w:ascii="Times New Roman" w:hAnsi="Times New Roman" w:eastAsia="方正仿宋_GBK" w:cs="Times New Roman"/>
          <w:sz w:val="32"/>
          <w:szCs w:val="32"/>
          <w:lang w:val="en-US" w:eastAsia="zh-CN"/>
        </w:rPr>
        <w:t>万元</w:t>
      </w:r>
      <w:r>
        <w:rPr>
          <w:rFonts w:hint="default" w:ascii="Times New Roman" w:hAnsi="Times New Roman" w:eastAsia="方正仿宋_GBK" w:cs="Times New Roman"/>
          <w:sz w:val="32"/>
          <w:szCs w:val="32"/>
          <w:lang w:val="en-US" w:eastAsia="zh-CN"/>
        </w:rPr>
        <w:t>。</w:t>
      </w:r>
    </w:p>
    <w:p w14:paraId="46DFF5A6">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（三）一般公共预算财政拨款收入支出决算情况说明</w:t>
      </w:r>
    </w:p>
    <w:p w14:paraId="0A2A8141">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1.收入情况。2024年度一般公共预算财政拨款收入118.01万元，与2023年度相比，增加118.01万元，增长100.0%。主要原因是本单位为新增事业单位，上年度无决算数据，本年度收入为118.01</w:t>
      </w:r>
      <w:r>
        <w:rPr>
          <w:rFonts w:hint="default" w:ascii="Times New Roman" w:hAnsi="Times New Roman" w:eastAsia="方正仿宋_GBK" w:cs="Times New Roman"/>
          <w:sz w:val="32"/>
          <w:szCs w:val="32"/>
          <w:lang w:val="en-US" w:eastAsia="zh-CN"/>
        </w:rPr>
        <w:t>万元。</w:t>
      </w:r>
      <w:r>
        <w:rPr>
          <w:rFonts w:hint="default" w:ascii="Times New Roman" w:hAnsi="Times New Roman" w:eastAsia="方正仿宋_GBK" w:cs="Times New Roman"/>
          <w:sz w:val="32"/>
          <w:szCs w:val="32"/>
          <w:lang w:eastAsia="zh-CN"/>
        </w:rPr>
        <w:t>较年初预算数减少21.43万元，下降15.4%。</w:t>
      </w:r>
      <w:r>
        <w:rPr>
          <w:rFonts w:hint="eastAsia" w:ascii="Times New Roman" w:hAnsi="Times New Roman" w:eastAsia="方正仿宋_GBK" w:cs="Times New Roman"/>
          <w:sz w:val="32"/>
          <w:szCs w:val="32"/>
          <w:lang w:eastAsia="zh-CN"/>
        </w:rPr>
        <w:t>主要原因是</w:t>
      </w:r>
      <w:r>
        <w:rPr>
          <w:rFonts w:hint="default" w:ascii="Times New Roman" w:hAnsi="Times New Roman" w:eastAsia="方正仿宋_GBK" w:cs="Times New Roman"/>
          <w:sz w:val="32"/>
          <w:szCs w:val="32"/>
          <w:lang w:eastAsia="zh-CN"/>
        </w:rPr>
        <w:t>应休未休假未发、超高绩效未清算。此外，年初财政拨款结转和结余0万元。</w:t>
      </w:r>
    </w:p>
    <w:p w14:paraId="6750C944">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2.支出情况。2024年度一般公共预算财政拨款支出118.01万元，与2023年度相比，增加118.01万元，增长100.0%。主要原因是本单位为新增事业单位，上年度无决算数据，本年度支出为118.01</w:t>
      </w:r>
      <w:r>
        <w:rPr>
          <w:rFonts w:hint="default" w:ascii="Times New Roman" w:hAnsi="Times New Roman" w:eastAsia="方正仿宋_GBK" w:cs="Times New Roman"/>
          <w:sz w:val="32"/>
          <w:szCs w:val="32"/>
          <w:lang w:val="en-US" w:eastAsia="zh-CN"/>
        </w:rPr>
        <w:t>万元。</w:t>
      </w:r>
      <w:r>
        <w:rPr>
          <w:rFonts w:hint="default" w:ascii="Times New Roman" w:hAnsi="Times New Roman" w:eastAsia="方正仿宋_GBK" w:cs="Times New Roman"/>
          <w:sz w:val="32"/>
          <w:szCs w:val="32"/>
          <w:lang w:eastAsia="zh-CN"/>
        </w:rPr>
        <w:t>较年初预算数减少21.43万元，下降15.4%。主要原因是应休未休假未发、超高绩效未清算。</w:t>
      </w:r>
    </w:p>
    <w:p w14:paraId="4118F82B">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3.结转结余情况。2024年度年末一般公共预算财政拨款结转和结余0万元，与2023年度相比，无增减，与上年持平。</w:t>
      </w:r>
    </w:p>
    <w:p w14:paraId="52FBD777">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4.比较情况。本单位2024年度一般公共预算财政拨款支出主要用于以下几个方面：</w:t>
      </w:r>
    </w:p>
    <w:p w14:paraId="2FC85619">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）社会保障与就业支出107.97万元，占91.50%，较年初预算数减少20.07万元，下降15.7%，</w:t>
      </w:r>
      <w:r>
        <w:rPr>
          <w:rFonts w:hint="eastAsia" w:ascii="Times New Roman" w:hAnsi="Times New Roman" w:eastAsia="方正仿宋_GBK" w:cs="Times New Roman"/>
          <w:sz w:val="32"/>
          <w:szCs w:val="32"/>
          <w:lang w:eastAsia="zh-CN"/>
        </w:rPr>
        <w:t>主要原因是</w:t>
      </w:r>
      <w:r>
        <w:rPr>
          <w:rFonts w:hint="default" w:ascii="Times New Roman" w:hAnsi="Times New Roman" w:eastAsia="方正仿宋_GBK" w:cs="Times New Roman"/>
          <w:sz w:val="32"/>
          <w:szCs w:val="32"/>
          <w:lang w:eastAsia="zh-CN"/>
        </w:rPr>
        <w:t>应休未休假未发、超高绩效未清算。</w:t>
      </w:r>
    </w:p>
    <w:p w14:paraId="5116AB4D">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）卫生健康支出4.56万元，占3.86%，较年初预算数减少1.37万元，下降23.1%，主要原因是</w:t>
      </w:r>
      <w:r>
        <w:rPr>
          <w:rFonts w:hint="default" w:ascii="Times New Roman" w:hAnsi="Times New Roman" w:eastAsia="方正仿宋_GBK" w:cs="Times New Roman"/>
          <w:sz w:val="32"/>
          <w:szCs w:val="32"/>
          <w:lang w:val="en-US" w:eastAsia="zh-CN"/>
        </w:rPr>
        <w:t>医疗保险支出4.56万元，主要是超高绩效没纳入医疗保险的基数导致支出减少。</w:t>
      </w:r>
    </w:p>
    <w:p w14:paraId="5668E7F0">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仿宋_GBK" w:hAnsi="方正仿宋_GBK" w:eastAsia="方正仿宋_GBK" w:cs="方正仿宋_GBK"/>
          <w:sz w:val="32"/>
          <w:szCs w:val="32"/>
          <w:lang w:eastAsia="zh-CN"/>
        </w:rPr>
      </w:pPr>
      <w:r>
        <w:rPr>
          <w:rFonts w:hint="default"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）住房保障支出5.47万元，占4.64%，较年初预算数无增减，</w:t>
      </w:r>
      <w:r>
        <w:rPr>
          <w:rFonts w:hint="eastAsia" w:ascii="Times New Roman" w:hAnsi="Times New Roman" w:eastAsia="方正仿宋_GBK" w:cs="Times New Roman"/>
          <w:sz w:val="32"/>
          <w:szCs w:val="32"/>
          <w:lang w:eastAsia="zh-CN"/>
        </w:rPr>
        <w:t>主要原因是</w:t>
      </w:r>
      <w:r>
        <w:rPr>
          <w:rFonts w:hint="default" w:ascii="Times New Roman" w:hAnsi="Times New Roman" w:eastAsia="方正仿宋_GBK" w:cs="Times New Roman"/>
          <w:sz w:val="32"/>
          <w:szCs w:val="32"/>
          <w:lang w:eastAsia="zh-CN"/>
        </w:rPr>
        <w:t>严格按预算安排支出。</w:t>
      </w:r>
    </w:p>
    <w:p w14:paraId="14974741">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（四）一般公共预算财政拨款基本支出决算情况说明</w:t>
      </w:r>
    </w:p>
    <w:p w14:paraId="219C1B96">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仿宋_GBK" w:hAnsi="方正仿宋_GBK" w:eastAsia="方正仿宋_GBK" w:cs="方正仿宋_GBK"/>
          <w:sz w:val="32"/>
          <w:szCs w:val="32"/>
          <w:lang w:eastAsia="zh-CN"/>
        </w:rPr>
      </w:pPr>
      <w:r>
        <w:rPr>
          <w:rFonts w:hint="default" w:ascii="Times New Roman" w:hAnsi="Times New Roman" w:eastAsia="方正仿宋_GBK" w:cs="Times New Roman"/>
          <w:sz w:val="32"/>
          <w:szCs w:val="32"/>
          <w:lang w:eastAsia="zh-CN"/>
        </w:rPr>
        <w:t>2024年度一般公共财政拨款基本支出116.33万元。其中：人员经费108.49万元，与2023年度相比，增加108.49万元，增长100.0%，主要原因是本单位为新增事业单位，上年度无决算数据，</w:t>
      </w:r>
      <w:r>
        <w:rPr>
          <w:rFonts w:hint="default" w:ascii="Times New Roman" w:hAnsi="Times New Roman" w:eastAsia="方正仿宋_GBK" w:cs="Times New Roman"/>
          <w:sz w:val="32"/>
          <w:szCs w:val="32"/>
          <w:lang w:val="en-US" w:eastAsia="zh-CN"/>
        </w:rPr>
        <w:t>2024年度人员经费67.41万元。</w:t>
      </w:r>
      <w:r>
        <w:rPr>
          <w:rFonts w:hint="default" w:ascii="Times New Roman" w:hAnsi="Times New Roman" w:eastAsia="方正仿宋_GBK" w:cs="Times New Roman"/>
          <w:sz w:val="32"/>
          <w:szCs w:val="32"/>
          <w:lang w:eastAsia="zh-CN"/>
        </w:rPr>
        <w:t>人员经费用途主要包</w:t>
      </w:r>
      <w:r>
        <w:rPr>
          <w:rFonts w:hint="default" w:ascii="Times New Roman" w:hAnsi="Times New Roman" w:eastAsia="方正仿宋_GBK" w:cs="Times New Roman"/>
          <w:sz w:val="32"/>
          <w:szCs w:val="32"/>
        </w:rPr>
        <w:t>括</w:t>
      </w:r>
      <w:r>
        <w:rPr>
          <w:rFonts w:hint="default" w:ascii="Times New Roman" w:hAnsi="Times New Roman" w:eastAsia="方正仿宋_GBK" w:cs="Times New Roman"/>
          <w:sz w:val="32"/>
          <w:szCs w:val="32"/>
          <w:lang w:eastAsia="zh-CN"/>
        </w:rPr>
        <w:t>基本工资、津贴补贴、绩效工资、社会保障缴费、住房公积金、应休未休假补贴等。公用经费7.83万元，与2023年度相比，增加7.83万元，增长100.0%，主要原因是本单位为新增事业单位，上年度无决算数据，</w:t>
      </w:r>
      <w:r>
        <w:rPr>
          <w:rFonts w:hint="default" w:ascii="Times New Roman" w:hAnsi="Times New Roman" w:eastAsia="方正仿宋_GBK" w:cs="Times New Roman"/>
          <w:sz w:val="32"/>
          <w:szCs w:val="32"/>
          <w:lang w:val="en-US" w:eastAsia="zh-CN"/>
        </w:rPr>
        <w:t>2024年度公用经费</w:t>
      </w:r>
      <w:r>
        <w:rPr>
          <w:rFonts w:hint="default" w:ascii="Times New Roman" w:hAnsi="Times New Roman" w:eastAsia="方正仿宋_GBK" w:cs="Times New Roman"/>
          <w:sz w:val="32"/>
          <w:szCs w:val="32"/>
          <w:lang w:eastAsia="zh-CN"/>
        </w:rPr>
        <w:t>7.83</w:t>
      </w:r>
      <w:r>
        <w:rPr>
          <w:rFonts w:hint="default" w:ascii="Times New Roman" w:hAnsi="Times New Roman" w:eastAsia="方正仿宋_GBK" w:cs="Times New Roman"/>
          <w:sz w:val="32"/>
          <w:szCs w:val="32"/>
          <w:lang w:val="en-US" w:eastAsia="zh-CN"/>
        </w:rPr>
        <w:t>万元。</w:t>
      </w:r>
      <w:r>
        <w:rPr>
          <w:rFonts w:hint="default" w:ascii="Times New Roman" w:hAnsi="Times New Roman" w:eastAsia="方正仿宋_GBK" w:cs="Times New Roman"/>
          <w:sz w:val="32"/>
          <w:szCs w:val="32"/>
          <w:lang w:eastAsia="zh-CN"/>
        </w:rPr>
        <w:t>公用经费用途主要包括办公费、水费、电费、邮电费、差旅费、维修费、培训费和工会经费。</w:t>
      </w:r>
    </w:p>
    <w:p w14:paraId="27C6C89B">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（五）政府性基金预算收支决算情况说明</w:t>
      </w:r>
    </w:p>
    <w:p w14:paraId="56A07DAF">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2024年度政府性基金预算财政拨款年初结转结余</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lang w:eastAsia="zh-CN"/>
        </w:rPr>
        <w:t>万元，年末结转结余</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lang w:eastAsia="zh-CN"/>
        </w:rPr>
        <w:t>万元。本年收入0万元，与2023年度相比，无增减，本年支出0万元，与2023年度相比，无增减，主要原因是本单位2024年度无政府性基金预算财政拨款收支。</w:t>
      </w:r>
    </w:p>
    <w:p w14:paraId="3B5849AF">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（六）国有资本经营预算财政拨款支出决算情况说明</w:t>
      </w:r>
    </w:p>
    <w:p w14:paraId="4A235649">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仿宋_GBK" w:hAnsi="方正仿宋_GBK" w:eastAsia="方正仿宋_GBK" w:cs="方正仿宋_GBK"/>
          <w:sz w:val="32"/>
          <w:szCs w:val="32"/>
          <w:lang w:eastAsia="zh-CN"/>
        </w:rPr>
      </w:pPr>
      <w:r>
        <w:rPr>
          <w:rFonts w:hint="default" w:ascii="Times New Roman" w:hAnsi="Times New Roman" w:eastAsia="方正仿宋_GBK" w:cs="Times New Roman"/>
          <w:sz w:val="32"/>
          <w:szCs w:val="32"/>
          <w:lang w:eastAsia="zh-CN"/>
        </w:rPr>
        <w:t>2024年度国有资本经营预算财政</w:t>
      </w:r>
      <w:r>
        <w:rPr>
          <w:rFonts w:hint="eastAsia" w:ascii="Times New Roman" w:hAnsi="Times New Roman" w:eastAsia="方正仿宋_GBK" w:cs="Times New Roman"/>
          <w:sz w:val="32"/>
          <w:szCs w:val="32"/>
          <w:lang w:eastAsia="zh-CN"/>
        </w:rPr>
        <w:t>拨款</w:t>
      </w:r>
      <w:r>
        <w:rPr>
          <w:rFonts w:hint="default" w:ascii="Times New Roman" w:hAnsi="Times New Roman" w:eastAsia="方正仿宋_GBK" w:cs="Times New Roman"/>
          <w:sz w:val="32"/>
          <w:szCs w:val="32"/>
          <w:lang w:eastAsia="zh-CN"/>
        </w:rPr>
        <w:t>本年支出0万元，基本支出0万元，项目支出0万元，主要原因是本单位2024年度无国有资本经营预算财政拨款支出。</w:t>
      </w:r>
    </w:p>
    <w:p w14:paraId="27EF66A8">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w:t>
      </w:r>
      <w:r>
        <w:rPr>
          <w:rFonts w:hint="eastAsia" w:ascii="方正黑体_GBK" w:hAnsi="方正黑体_GBK" w:eastAsia="方正黑体_GBK" w:cs="方正黑体_GBK"/>
          <w:sz w:val="32"/>
          <w:szCs w:val="32"/>
          <w:lang w:eastAsia="zh-CN"/>
        </w:rPr>
        <w:t>财政拨款“</w:t>
      </w:r>
      <w:r>
        <w:rPr>
          <w:rFonts w:hint="eastAsia" w:ascii="方正黑体_GBK" w:hAnsi="方正黑体_GBK" w:eastAsia="方正黑体_GBK" w:cs="方正黑体_GBK"/>
          <w:sz w:val="32"/>
          <w:szCs w:val="32"/>
        </w:rPr>
        <w:t>三公</w:t>
      </w:r>
      <w:r>
        <w:rPr>
          <w:rFonts w:hint="eastAsia" w:ascii="方正黑体_GBK" w:hAnsi="方正黑体_GBK" w:eastAsia="方正黑体_GBK" w:cs="方正黑体_GBK"/>
          <w:sz w:val="32"/>
          <w:szCs w:val="32"/>
          <w:lang w:eastAsia="zh-CN"/>
        </w:rPr>
        <w:t>”</w:t>
      </w:r>
      <w:r>
        <w:rPr>
          <w:rFonts w:hint="eastAsia" w:ascii="方正黑体_GBK" w:hAnsi="方正黑体_GBK" w:eastAsia="方正黑体_GBK" w:cs="方正黑体_GBK"/>
          <w:sz w:val="32"/>
          <w:szCs w:val="32"/>
        </w:rPr>
        <w:t>经费情况说明</w:t>
      </w:r>
    </w:p>
    <w:p w14:paraId="5A033622">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三公</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经费支出总体情况说明</w:t>
      </w:r>
    </w:p>
    <w:p w14:paraId="1ABCE28F">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hint="default" w:ascii="Times New Roman" w:hAnsi="Times New Roman" w:eastAsia="方正仿宋_GBK" w:cs="Times New Roman"/>
          <w:sz w:val="32"/>
          <w:szCs w:val="32"/>
          <w:lang w:eastAsia="zh-CN"/>
        </w:rPr>
        <w:t>2024年度</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三公</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经费支出共计0万元，较年初预算数无增减，主要原因是本单位为重庆市铜梁区平滩镇人民政府所属二级预算单位，单位类型为公益一类事业单位，财政未保障我单位</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三公</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经费。较上年支出数无增减，主要原因是</w:t>
      </w:r>
      <w:r>
        <w:rPr>
          <w:rFonts w:hint="default" w:ascii="Times New Roman" w:hAnsi="Times New Roman" w:eastAsia="方正仿宋_GBK" w:cs="Times New Roman"/>
          <w:sz w:val="32"/>
          <w:szCs w:val="32"/>
          <w:lang w:val="en-US" w:eastAsia="zh-CN"/>
        </w:rPr>
        <w:t>2024年度未发生</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三公</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经费，与上年持平。</w:t>
      </w:r>
    </w:p>
    <w:p w14:paraId="65DA8885">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三公</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经费分项支出情况</w:t>
      </w:r>
    </w:p>
    <w:p w14:paraId="01985EFD">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仿宋_GBK" w:hAnsi="方正仿宋_GBK" w:eastAsia="方正仿宋_GBK" w:cs="方正仿宋_GBK"/>
          <w:sz w:val="32"/>
          <w:szCs w:val="32"/>
          <w:lang w:eastAsia="zh-CN"/>
        </w:rPr>
      </w:pPr>
      <w:r>
        <w:rPr>
          <w:rFonts w:hint="default" w:ascii="Times New Roman" w:hAnsi="Times New Roman" w:eastAsia="方正仿宋_GBK" w:cs="Times New Roman"/>
          <w:sz w:val="32"/>
          <w:szCs w:val="32"/>
          <w:lang w:eastAsia="zh-CN"/>
        </w:rPr>
        <w:t>2024年度本单位因公出国（境）费用0万元，费用支出较年初预算数无增减，主要原因是本单位未发生因公出国（境）费用，与年初预算数持平。与2023年度相比，无增减，主要原因是本单位未发生因公出国（境）费用，与上年持平。</w:t>
      </w:r>
    </w:p>
    <w:p w14:paraId="4FA26F30">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公务车购置费0万元。费用支出较年初预算数无增减，主要原因是本单位未发生公务车购置费，与年初预算数持平。与2023年度相比，无增减，主要原因是本单位未发生公务车购置费，与上年持平。</w:t>
      </w:r>
    </w:p>
    <w:p w14:paraId="0C4EE4EA">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公务车运行维护费0万元。费用支出较年初预算数无增减，主要原因是本单位为重庆市铜梁区平滩镇人民政府所属二级预算单位，单位类型为公益一类事业单位，未发生公务车运行维护费，与年初预算数持平。与2023年度相比，无增减，主要原因是本单位未发生公务车运行维护费，与上年持平。</w:t>
      </w:r>
    </w:p>
    <w:p w14:paraId="40997EF3">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仿宋_GBK" w:hAnsi="方正仿宋_GBK" w:eastAsia="方正仿宋_GBK" w:cs="方正仿宋_GBK"/>
          <w:sz w:val="32"/>
          <w:szCs w:val="32"/>
          <w:lang w:eastAsia="zh-CN"/>
        </w:rPr>
      </w:pPr>
      <w:r>
        <w:rPr>
          <w:rFonts w:hint="default" w:ascii="Times New Roman" w:hAnsi="Times New Roman" w:eastAsia="方正仿宋_GBK" w:cs="Times New Roman"/>
          <w:sz w:val="32"/>
          <w:szCs w:val="32"/>
          <w:lang w:eastAsia="zh-CN"/>
        </w:rPr>
        <w:t>公务接待费0万元。费用支出较年初预算数无增减，主要原因是本单位未发生公务接待费。较上年支出数无增减，主要原因是本单位未发生公务接待费，与上年持平。</w:t>
      </w:r>
    </w:p>
    <w:p w14:paraId="34B245FC">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三公</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经费实物量情况</w:t>
      </w:r>
    </w:p>
    <w:p w14:paraId="55BDC3D7">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仿宋_GBK" w:hAnsi="方正仿宋_GBK" w:eastAsia="方正仿宋_GBK" w:cs="方正仿宋_GBK"/>
          <w:sz w:val="32"/>
          <w:szCs w:val="32"/>
          <w:lang w:eastAsia="zh-CN"/>
        </w:rPr>
      </w:pPr>
      <w:r>
        <w:rPr>
          <w:rFonts w:hint="default" w:ascii="Times New Roman" w:hAnsi="Times New Roman" w:eastAsia="方正仿宋_GBK" w:cs="Times New Roman"/>
          <w:sz w:val="32"/>
          <w:szCs w:val="32"/>
          <w:lang w:eastAsia="zh-CN"/>
        </w:rPr>
        <w:t>2024年度本单位因公出国（境）共计0个团组，0人；公务用车购置0辆，公务车保有量为0辆；国内公务接待0批次0人，其中：国内外事接待0批次，0人；国（境）外公务接待0批次，0人。2024年本单位人均接待费0元，车均购置费0万元，车均维护费0万元。</w:t>
      </w:r>
    </w:p>
    <w:p w14:paraId="67AEEE04">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四、其他需要说明的事项</w:t>
      </w:r>
    </w:p>
    <w:p w14:paraId="20B6D8F2">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（一）财政拨款会议费和培训费情况说明</w:t>
      </w:r>
    </w:p>
    <w:p w14:paraId="73E0BA8D">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本年度会议费支出0万元，与2023年度相比，无增减，主要原因是</w:t>
      </w:r>
      <w:r>
        <w:rPr>
          <w:rFonts w:hint="default" w:ascii="Times New Roman" w:hAnsi="Times New Roman" w:eastAsia="方正仿宋_GBK" w:cs="Times New Roman"/>
          <w:sz w:val="32"/>
          <w:szCs w:val="32"/>
          <w:lang w:val="en-US" w:eastAsia="zh-CN"/>
        </w:rPr>
        <w:t>2024年度未发生会议费</w:t>
      </w:r>
      <w:r>
        <w:rPr>
          <w:rFonts w:hint="default" w:ascii="Times New Roman" w:hAnsi="Times New Roman" w:eastAsia="方正仿宋_GBK" w:cs="Times New Roman"/>
          <w:sz w:val="32"/>
          <w:szCs w:val="32"/>
          <w:lang w:eastAsia="zh-CN"/>
        </w:rPr>
        <w:t>。本年度培训费支出0.20万元，与2023年度相比，增加0.20万元，增长100.0%，主要原因是民生保障能力培训往返机票费。</w:t>
      </w:r>
    </w:p>
    <w:p w14:paraId="79D0E691">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（二）机关运行经费情况说明</w:t>
      </w:r>
    </w:p>
    <w:p w14:paraId="4003AEB3">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2024年度本单位机关运行经费支出0万元，机关运行经费较上年支出数无增减，主要原因是按照部门决算列报口径，我单位不在机关运行经费统计范围之内。</w:t>
      </w:r>
    </w:p>
    <w:p w14:paraId="42DB884C">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（三）国有资产占用情况说明</w:t>
      </w:r>
    </w:p>
    <w:p w14:paraId="2D1F1C2C">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仿宋_GBK" w:hAnsi="方正仿宋_GBK" w:eastAsia="方正仿宋_GBK" w:cs="方正仿宋_GBK"/>
          <w:sz w:val="32"/>
          <w:szCs w:val="32"/>
          <w:lang w:eastAsia="zh-CN"/>
        </w:rPr>
      </w:pPr>
      <w:r>
        <w:rPr>
          <w:rFonts w:hint="default" w:ascii="Times New Roman" w:hAnsi="Times New Roman" w:eastAsia="方正仿宋_GBK" w:cs="Times New Roman"/>
          <w:sz w:val="32"/>
          <w:szCs w:val="32"/>
          <w:lang w:eastAsia="zh-CN"/>
        </w:rPr>
        <w:t>截至2024年12月31日，本单位共有车辆0辆，其中，副部（省）级及以上领导用车0辆、主要负责人用车0辆、机要通信用车0辆、应急保障用车0辆、执法执勤用车0辆，特种专业技术用车0辆，离退休干部用车0辆。单价100万元（含）以上专用设备0台（套）。</w:t>
      </w:r>
    </w:p>
    <w:p w14:paraId="62D9B276">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（四）政府采购支出情况说明</w:t>
      </w:r>
    </w:p>
    <w:p w14:paraId="3AB3AEED">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2024年度本单位政府采购支出总额0万元，其中：政府采购货物支出0万元、政府采购工程支出0万元、政府采购服务支出0万元。授予中小企业合同金额0万元，占政府采购支出</w:t>
      </w:r>
      <w:r>
        <w:rPr>
          <w:rFonts w:hint="default" w:ascii="Times New Roman" w:hAnsi="Times New Roman" w:eastAsia="方正仿宋_GBK" w:cs="Times New Roman"/>
          <w:sz w:val="32"/>
          <w:szCs w:val="32"/>
        </w:rPr>
        <w:t>总</w:t>
      </w:r>
      <w:r>
        <w:rPr>
          <w:rFonts w:hint="default" w:ascii="Times New Roman" w:hAnsi="Times New Roman" w:eastAsia="方正仿宋_GBK" w:cs="Times New Roman"/>
          <w:sz w:val="32"/>
          <w:szCs w:val="32"/>
          <w:lang w:eastAsia="zh-CN"/>
        </w:rPr>
        <w:t>额的0.0%，其中：授予小微企业合同金额0万元，占政府采购支出总额的0</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lang w:eastAsia="zh-CN"/>
        </w:rPr>
        <w:t>%。2024年度我单位未发生政府采购事项，无相关经费支出。</w:t>
      </w:r>
    </w:p>
    <w:p w14:paraId="1781E567">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五、2024年度预算绩效管理情况说明</w:t>
      </w:r>
    </w:p>
    <w:p w14:paraId="12F7BF69">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（一）预算绩效管理工作开展情况</w:t>
      </w:r>
    </w:p>
    <w:p w14:paraId="4299A75B">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hint="default" w:ascii="Times New Roman" w:hAnsi="Times New Roman" w:eastAsia="方正仿宋_GBK" w:cs="Times New Roman"/>
          <w:sz w:val="32"/>
          <w:szCs w:val="32"/>
          <w:lang w:eastAsia="zh-CN"/>
        </w:rPr>
        <w:t>根据预算绩效管理要求，我单位对</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个项目开展了绩效自评，其中，以填报自评表形式开展自评</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项，涉及资金</w:t>
      </w:r>
      <w:r>
        <w:rPr>
          <w:rFonts w:hint="default" w:ascii="Times New Roman" w:hAnsi="Times New Roman" w:eastAsia="方正仿宋_GBK" w:cs="Times New Roman"/>
          <w:sz w:val="32"/>
          <w:szCs w:val="32"/>
          <w:lang w:val="en-US" w:eastAsia="zh-CN"/>
        </w:rPr>
        <w:t>1.68</w:t>
      </w:r>
      <w:r>
        <w:rPr>
          <w:rFonts w:hint="default" w:ascii="Times New Roman" w:hAnsi="Times New Roman" w:eastAsia="方正仿宋_GBK" w:cs="Times New Roman"/>
          <w:sz w:val="32"/>
          <w:szCs w:val="32"/>
          <w:lang w:eastAsia="zh-CN"/>
        </w:rPr>
        <w:t>万元。</w:t>
      </w:r>
    </w:p>
    <w:p w14:paraId="0BBADD76">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楷体_GBK" w:hAnsi="方正楷体_GBK" w:eastAsia="方正楷体_GBK" w:cs="方正楷体_GBK"/>
          <w:color w:val="auto"/>
          <w:sz w:val="32"/>
          <w:szCs w:val="32"/>
        </w:rPr>
      </w:pPr>
      <w:r>
        <w:rPr>
          <w:rFonts w:hint="default" w:ascii="方正楷体_GBK" w:hAnsi="方正楷体_GBK" w:eastAsia="方正楷体_GBK" w:cs="方正楷体_GBK"/>
          <w:color w:val="auto"/>
          <w:sz w:val="32"/>
          <w:szCs w:val="32"/>
        </w:rPr>
        <w:t>（二）绩效自评结果</w:t>
      </w:r>
    </w:p>
    <w:p w14:paraId="59C8BEA8">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1.项目绩效自评表。</w:t>
      </w:r>
    </w:p>
    <w:p w14:paraId="78D7FFD8">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详见附件。</w:t>
      </w:r>
    </w:p>
    <w:p w14:paraId="6BA6905E">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2.项目绩效自评报告或案例。</w:t>
      </w:r>
    </w:p>
    <w:p w14:paraId="608D486B">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我单位未委托第三方开展绩效评价。</w:t>
      </w:r>
    </w:p>
    <w:p w14:paraId="3E14B6E0">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3.关于绩效自评结果的说明。</w:t>
      </w:r>
    </w:p>
    <w:p w14:paraId="023B02E3">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仿宋_GBK" w:hAnsi="方正仿宋_GBK" w:eastAsia="方正仿宋_GBK" w:cs="方正仿宋_GBK"/>
          <w:color w:val="auto"/>
          <w:sz w:val="32"/>
          <w:szCs w:val="32"/>
          <w:lang w:eastAsia="zh-CN"/>
        </w:rPr>
      </w:pPr>
      <w:r>
        <w:rPr>
          <w:rFonts w:hint="default" w:ascii="Times New Roman" w:hAnsi="Times New Roman" w:eastAsia="方正仿宋_GBK" w:cs="Times New Roman"/>
          <w:sz w:val="32"/>
          <w:szCs w:val="32"/>
          <w:lang w:eastAsia="zh-CN"/>
        </w:rPr>
        <w:t>我单位对</w:t>
      </w:r>
      <w:r>
        <w:rPr>
          <w:rFonts w:hint="default" w:ascii="Times New Roman" w:hAnsi="Times New Roman" w:eastAsia="方正仿宋_GBK" w:cs="Times New Roman"/>
          <w:sz w:val="32"/>
          <w:szCs w:val="32"/>
          <w:lang w:val="en-US" w:eastAsia="zh-CN"/>
        </w:rPr>
        <w:t>1个</w:t>
      </w:r>
      <w:r>
        <w:rPr>
          <w:rFonts w:hint="default" w:ascii="Times New Roman" w:hAnsi="Times New Roman" w:eastAsia="方正仿宋_GBK" w:cs="Times New Roman"/>
          <w:sz w:val="32"/>
          <w:szCs w:val="32"/>
          <w:lang w:eastAsia="zh-CN"/>
        </w:rPr>
        <w:t>项目进行绩效自评，其中</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个已完成年度绩效目标，</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lang w:eastAsia="zh-CN"/>
        </w:rPr>
        <w:t>个未完成年度绩效目标</w:t>
      </w:r>
      <w:r>
        <w:rPr>
          <w:rFonts w:hint="default" w:ascii="方正仿宋_GBK" w:hAnsi="方正仿宋_GBK" w:eastAsia="方正仿宋_GBK" w:cs="方正仿宋_GBK"/>
          <w:color w:val="auto"/>
          <w:sz w:val="32"/>
          <w:szCs w:val="32"/>
          <w:lang w:eastAsia="zh-CN"/>
        </w:rPr>
        <w:t>。</w:t>
      </w:r>
    </w:p>
    <w:p w14:paraId="2EB2217A">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楷体_GBK" w:hAnsi="方正楷体_GBK" w:eastAsia="方正楷体_GBK" w:cs="方正楷体_GBK"/>
          <w:color w:val="auto"/>
          <w:sz w:val="32"/>
          <w:szCs w:val="32"/>
          <w:lang w:val="en-US" w:eastAsia="zh-CN"/>
        </w:rPr>
      </w:pPr>
      <w:r>
        <w:rPr>
          <w:rFonts w:hint="default" w:ascii="方正楷体_GBK" w:hAnsi="方正楷体_GBK" w:eastAsia="方正楷体_GBK" w:cs="方正楷体_GBK"/>
          <w:color w:val="auto"/>
          <w:sz w:val="32"/>
          <w:szCs w:val="32"/>
          <w:lang w:val="en-US" w:eastAsia="zh-CN"/>
        </w:rPr>
        <w:t xml:space="preserve">（三）财政重点绩效评价情况 </w:t>
      </w:r>
    </w:p>
    <w:p w14:paraId="26D6BCEA">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仿宋_GBK" w:hAnsi="方正仿宋_GBK" w:eastAsia="方正仿宋_GBK" w:cs="方正仿宋_GBK"/>
          <w:color w:val="auto"/>
          <w:sz w:val="32"/>
          <w:szCs w:val="32"/>
          <w:lang w:val="en-US" w:eastAsia="zh-CN"/>
        </w:rPr>
      </w:pPr>
      <w:r>
        <w:rPr>
          <w:rFonts w:hint="default" w:ascii="Times New Roman" w:hAnsi="Times New Roman" w:eastAsia="方正仿宋_GBK" w:cs="Times New Roman"/>
          <w:sz w:val="32"/>
          <w:szCs w:val="32"/>
          <w:lang w:val="en-US" w:eastAsia="zh-CN"/>
        </w:rPr>
        <w:t>我单位无财政重点绩效评价项目。</w:t>
      </w:r>
    </w:p>
    <w:p w14:paraId="792D54C2">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六、专业名词解释</w:t>
      </w:r>
    </w:p>
    <w:p w14:paraId="6277A4B3">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方正楷体_GBK" w:hAnsi="方正楷体_GBK" w:eastAsia="方正楷体_GBK" w:cs="方正楷体_GBK"/>
          <w:color w:val="auto"/>
          <w:sz w:val="32"/>
          <w:szCs w:val="32"/>
          <w:lang w:val="en-US" w:eastAsia="zh-CN"/>
        </w:rPr>
        <w:t>（一）财政拨款收入：</w:t>
      </w:r>
      <w:r>
        <w:rPr>
          <w:rFonts w:hint="default" w:ascii="Times New Roman" w:hAnsi="Times New Roman" w:eastAsia="方正仿宋_GBK" w:cs="Times New Roman"/>
          <w:sz w:val="32"/>
          <w:szCs w:val="32"/>
          <w:lang w:val="en-US" w:eastAsia="zh-CN"/>
        </w:rPr>
        <w:t>指本年度从本级财政部门取得的财政拨款，包括一般公共预算财政拨款和政府性基金预算财政拨款。</w:t>
      </w:r>
    </w:p>
    <w:p w14:paraId="23F866DA">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仿宋_GBK" w:hAnsi="方正仿宋_GBK" w:eastAsia="方正仿宋_GBK" w:cs="方正仿宋_GBK"/>
          <w:color w:val="auto"/>
          <w:sz w:val="32"/>
          <w:szCs w:val="32"/>
          <w:lang w:val="en-US" w:eastAsia="zh-CN"/>
        </w:rPr>
      </w:pPr>
      <w:r>
        <w:rPr>
          <w:rFonts w:hint="default" w:ascii="方正楷体_GBK" w:hAnsi="方正楷体_GBK" w:eastAsia="方正楷体_GBK" w:cs="方正楷体_GBK"/>
          <w:color w:val="auto"/>
          <w:sz w:val="32"/>
          <w:szCs w:val="32"/>
          <w:lang w:val="en-US" w:eastAsia="zh-CN"/>
        </w:rPr>
        <w:t>（二）事业收入：</w:t>
      </w:r>
      <w:r>
        <w:rPr>
          <w:rFonts w:hint="default" w:ascii="Times New Roman" w:hAnsi="Times New Roman" w:eastAsia="方正仿宋_GBK" w:cs="Times New Roman"/>
          <w:sz w:val="32"/>
          <w:szCs w:val="32"/>
          <w:lang w:val="en-US" w:eastAsia="zh-CN"/>
        </w:rPr>
        <w:t>指事业单位开展专业业务活动及其辅助活动取得的现金流入；事业单位收到的财政专户实际核拨的教育收费等资金在此反映。</w:t>
      </w:r>
    </w:p>
    <w:p w14:paraId="246136DB">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方正楷体_GBK" w:hAnsi="方正楷体_GBK" w:eastAsia="方正楷体_GBK" w:cs="方正楷体_GBK"/>
          <w:color w:val="auto"/>
          <w:sz w:val="32"/>
          <w:szCs w:val="32"/>
          <w:lang w:val="en-US" w:eastAsia="zh-CN"/>
        </w:rPr>
        <w:t>（三）经营收入：</w:t>
      </w:r>
      <w:r>
        <w:rPr>
          <w:rFonts w:hint="default" w:ascii="Times New Roman" w:hAnsi="Times New Roman" w:eastAsia="方正仿宋_GBK" w:cs="Times New Roman"/>
          <w:sz w:val="32"/>
          <w:szCs w:val="32"/>
          <w:lang w:val="en-US" w:eastAsia="zh-CN"/>
        </w:rPr>
        <w:t>指事业单位在专业业务活动及其辅助活动之外开展非独立核算经营活动取得的现金流入。</w:t>
      </w:r>
    </w:p>
    <w:p w14:paraId="349CD382">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仿宋_GBK" w:hAnsi="方正仿宋_GBK" w:eastAsia="方正仿宋_GBK" w:cs="方正仿宋_GBK"/>
          <w:color w:val="auto"/>
          <w:sz w:val="32"/>
          <w:szCs w:val="32"/>
          <w:lang w:val="en-US" w:eastAsia="zh-CN"/>
        </w:rPr>
      </w:pPr>
      <w:r>
        <w:rPr>
          <w:rFonts w:hint="default" w:ascii="方正楷体_GBK" w:hAnsi="方正楷体_GBK" w:eastAsia="方正楷体_GBK" w:cs="方正楷体_GBK"/>
          <w:color w:val="auto"/>
          <w:sz w:val="32"/>
          <w:szCs w:val="32"/>
          <w:lang w:val="en-US" w:eastAsia="zh-CN"/>
        </w:rPr>
        <w:t>（四）其他收入</w:t>
      </w:r>
      <w:r>
        <w:rPr>
          <w:rFonts w:hint="default" w:ascii="Times New Roman" w:hAnsi="Times New Roman" w:eastAsia="方正楷体_GBK" w:cs="Times New Roman"/>
          <w:color w:val="auto"/>
          <w:sz w:val="32"/>
          <w:szCs w:val="32"/>
          <w:lang w:val="en-US" w:eastAsia="zh-CN"/>
        </w:rPr>
        <w:t>：</w:t>
      </w:r>
      <w:r>
        <w:rPr>
          <w:rFonts w:hint="default" w:ascii="Times New Roman" w:hAnsi="Times New Roman" w:eastAsia="方正仿宋_GBK" w:cs="Times New Roman"/>
          <w:sz w:val="32"/>
          <w:szCs w:val="32"/>
          <w:lang w:val="en-US" w:eastAsia="zh-CN"/>
        </w:rPr>
        <w:t>指单位取得的除</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财政拨款收入</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事业收入</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经营收入</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37A711AB">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仿宋_GBK" w:hAnsi="方正仿宋_GBK" w:eastAsia="方正仿宋_GBK" w:cs="方正仿宋_GBK"/>
          <w:color w:val="auto"/>
          <w:sz w:val="32"/>
          <w:szCs w:val="32"/>
          <w:lang w:val="en-US" w:eastAsia="zh-CN"/>
        </w:rPr>
      </w:pPr>
      <w:r>
        <w:rPr>
          <w:rFonts w:hint="default" w:ascii="方正楷体_GBK" w:hAnsi="方正楷体_GBK" w:eastAsia="方正楷体_GBK" w:cs="方正楷体_GBK"/>
          <w:color w:val="auto"/>
          <w:sz w:val="32"/>
          <w:szCs w:val="32"/>
          <w:lang w:val="en-US" w:eastAsia="zh-CN"/>
        </w:rPr>
        <w:t>（五）使用非财政拨款结余：</w:t>
      </w:r>
      <w:r>
        <w:rPr>
          <w:rFonts w:hint="default" w:ascii="Times New Roman" w:hAnsi="Times New Roman" w:eastAsia="方正仿宋_GBK" w:cs="Times New Roman"/>
          <w:sz w:val="32"/>
          <w:szCs w:val="32"/>
          <w:lang w:val="en-US" w:eastAsia="zh-CN"/>
        </w:rPr>
        <w:t>指单位在当年的</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财政拨款收入</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事业收入</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经营收入</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其他收入</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等不足以安排当年支出的情况下，使用以前年度积累的非财政拨款结余弥补本年度收支缺口的资金。</w:t>
      </w:r>
    </w:p>
    <w:p w14:paraId="4924DB56">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方正楷体_GBK" w:hAnsi="方正楷体_GBK" w:eastAsia="方正楷体_GBK" w:cs="方正楷体_GBK"/>
          <w:color w:val="auto"/>
          <w:sz w:val="32"/>
          <w:szCs w:val="32"/>
          <w:lang w:val="en-US" w:eastAsia="zh-CN"/>
        </w:rPr>
        <w:t>（六）年初结转和结余：</w:t>
      </w:r>
      <w:r>
        <w:rPr>
          <w:rFonts w:hint="default" w:ascii="Times New Roman" w:hAnsi="Times New Roman" w:eastAsia="方正仿宋_GBK" w:cs="Times New Roman"/>
          <w:sz w:val="32"/>
          <w:szCs w:val="32"/>
        </w:rPr>
        <w:t>指</w:t>
      </w:r>
      <w:r>
        <w:rPr>
          <w:rFonts w:hint="default" w:ascii="Times New Roman" w:hAnsi="Times New Roman" w:eastAsia="方正仿宋_GBK" w:cs="Times New Roman"/>
          <w:sz w:val="32"/>
          <w:szCs w:val="32"/>
          <w:lang w:val="en-US" w:eastAsia="zh-CN"/>
        </w:rPr>
        <w:t>单位上年结转本年使用的基本支出结转、项目支出结转和结余、经营结余。</w:t>
      </w:r>
    </w:p>
    <w:p w14:paraId="470A8F25">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方正楷体_GBK" w:hAnsi="方正楷体_GBK" w:eastAsia="方正楷体_GBK" w:cs="方正楷体_GBK"/>
          <w:color w:val="auto"/>
          <w:sz w:val="32"/>
          <w:szCs w:val="32"/>
          <w:lang w:val="en-US" w:eastAsia="zh-CN"/>
        </w:rPr>
        <w:t>（七）结余分配：</w:t>
      </w:r>
      <w:r>
        <w:rPr>
          <w:rFonts w:hint="default" w:ascii="Times New Roman" w:hAnsi="Times New Roman" w:eastAsia="方正仿宋_GBK" w:cs="Times New Roman"/>
          <w:sz w:val="32"/>
          <w:szCs w:val="32"/>
          <w:lang w:val="en-US" w:eastAsia="zh-CN"/>
        </w:rPr>
        <w:t>指单位按照国家有关规定，缴纳所得税、提取专用基金、转入非财政拨款结余等当年结余的分配情况。</w:t>
      </w:r>
    </w:p>
    <w:p w14:paraId="7A397730">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仿宋_GBK" w:hAnsi="方正仿宋_GBK" w:eastAsia="方正仿宋_GBK" w:cs="方正仿宋_GBK"/>
          <w:color w:val="auto"/>
          <w:sz w:val="32"/>
          <w:szCs w:val="32"/>
          <w:lang w:val="en-US" w:eastAsia="zh-CN"/>
        </w:rPr>
      </w:pPr>
      <w:r>
        <w:rPr>
          <w:rFonts w:hint="default" w:ascii="Times New Roman" w:hAnsi="Times New Roman" w:eastAsia="方正楷体_GBK" w:cs="Times New Roman"/>
          <w:color w:val="auto"/>
          <w:sz w:val="32"/>
          <w:szCs w:val="32"/>
          <w:lang w:val="en-US" w:eastAsia="zh-CN"/>
        </w:rPr>
        <w:t>（八）年末结转和结余：</w:t>
      </w:r>
      <w:r>
        <w:rPr>
          <w:rFonts w:hint="default" w:ascii="Times New Roman" w:hAnsi="Times New Roman" w:eastAsia="方正仿宋_GBK" w:cs="Times New Roman"/>
          <w:sz w:val="32"/>
          <w:szCs w:val="32"/>
          <w:lang w:val="en-US" w:eastAsia="zh-CN"/>
        </w:rPr>
        <w:t>指单位结转下年的基本支出结转、项目支出结转和结余、经营结余。</w:t>
      </w:r>
    </w:p>
    <w:p w14:paraId="6AB8D034">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color w:val="auto"/>
          <w:sz w:val="32"/>
          <w:szCs w:val="32"/>
          <w:lang w:val="en-US" w:eastAsia="zh-CN"/>
        </w:rPr>
        <w:t>（九）基本支出：</w:t>
      </w:r>
      <w:r>
        <w:rPr>
          <w:rFonts w:hint="default" w:ascii="Times New Roman" w:hAnsi="Times New Roman" w:eastAsia="方正仿宋_GBK" w:cs="Times New Roman"/>
          <w:sz w:val="32"/>
          <w:szCs w:val="32"/>
        </w:rPr>
        <w:t>指</w:t>
      </w:r>
      <w:r>
        <w:rPr>
          <w:rFonts w:hint="default" w:ascii="Times New Roman" w:hAnsi="Times New Roman" w:eastAsia="方正仿宋_GBK" w:cs="Times New Roman"/>
          <w:sz w:val="32"/>
          <w:szCs w:val="32"/>
          <w:lang w:val="en-US" w:eastAsia="zh-CN"/>
        </w:rPr>
        <w:t>为保障机构正常运转、完成日常工作任务而发生的人员经费和公用经费。其中：人员经费指政府收支分类经济科目中的</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工资福利支出</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和</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对个人和家庭的补助</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；公用经费指政府收支分类经济科目中除</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工资福利支出</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和</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对个人和家庭的补助</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外的其他支出。</w:t>
      </w:r>
    </w:p>
    <w:p w14:paraId="3A7A83FD">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color w:val="auto"/>
          <w:sz w:val="32"/>
          <w:szCs w:val="32"/>
          <w:lang w:val="en-US" w:eastAsia="zh-CN"/>
        </w:rPr>
        <w:t>（十）项目支出：</w:t>
      </w:r>
      <w:r>
        <w:rPr>
          <w:rFonts w:hint="default" w:ascii="Times New Roman" w:hAnsi="Times New Roman" w:eastAsia="方正仿宋_GBK" w:cs="Times New Roman"/>
          <w:sz w:val="32"/>
          <w:szCs w:val="32"/>
          <w:lang w:val="en-US" w:eastAsia="zh-CN"/>
        </w:rPr>
        <w:t>指在基本支出之外为完成特定行政任务和事业发展目标所发生的支出。</w:t>
      </w:r>
    </w:p>
    <w:p w14:paraId="7D390F75">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color w:val="auto"/>
          <w:sz w:val="32"/>
          <w:szCs w:val="32"/>
          <w:lang w:val="en-US" w:eastAsia="zh-CN"/>
        </w:rPr>
        <w:t>（十一）经营支出：</w:t>
      </w:r>
      <w:r>
        <w:rPr>
          <w:rFonts w:hint="default" w:ascii="Times New Roman" w:hAnsi="Times New Roman" w:eastAsia="方正仿宋_GBK" w:cs="Times New Roman"/>
          <w:sz w:val="32"/>
          <w:szCs w:val="32"/>
          <w:lang w:val="en-US" w:eastAsia="zh-CN"/>
        </w:rPr>
        <w:t>指事业单位在专业业务活动及其辅助活动之外开展非独立核算经营活动发生的支出。</w:t>
      </w:r>
    </w:p>
    <w:p w14:paraId="33B6C035">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lang w:val="en-US" w:eastAsia="zh-CN"/>
        </w:rPr>
        <w:t>（十二）</w:t>
      </w:r>
      <w:r>
        <w:rPr>
          <w:rFonts w:hint="eastAsia" w:ascii="Times New Roman" w:hAnsi="Times New Roman" w:eastAsia="方正楷体_GBK" w:cs="Times New Roman"/>
          <w:color w:val="auto"/>
          <w:sz w:val="32"/>
          <w:szCs w:val="32"/>
          <w:lang w:val="en-US" w:eastAsia="zh-CN"/>
        </w:rPr>
        <w:t>“</w:t>
      </w:r>
      <w:r>
        <w:rPr>
          <w:rFonts w:hint="default" w:ascii="Times New Roman" w:hAnsi="Times New Roman" w:eastAsia="方正楷体_GBK" w:cs="Times New Roman"/>
          <w:color w:val="auto"/>
          <w:sz w:val="32"/>
          <w:szCs w:val="32"/>
          <w:lang w:val="en-US" w:eastAsia="zh-CN"/>
        </w:rPr>
        <w:t>三公</w:t>
      </w:r>
      <w:r>
        <w:rPr>
          <w:rFonts w:hint="eastAsia" w:ascii="Times New Roman" w:hAnsi="Times New Roman" w:eastAsia="方正楷体_GBK" w:cs="Times New Roman"/>
          <w:color w:val="auto"/>
          <w:sz w:val="32"/>
          <w:szCs w:val="32"/>
          <w:lang w:val="en-US" w:eastAsia="zh-CN"/>
        </w:rPr>
        <w:t>”</w:t>
      </w:r>
      <w:r>
        <w:rPr>
          <w:rFonts w:hint="default" w:ascii="Times New Roman" w:hAnsi="Times New Roman" w:eastAsia="方正楷体_GBK" w:cs="Times New Roman"/>
          <w:color w:val="auto"/>
          <w:sz w:val="32"/>
          <w:szCs w:val="32"/>
          <w:lang w:val="en-US" w:eastAsia="zh-CN"/>
        </w:rPr>
        <w:t>经费：</w:t>
      </w:r>
      <w:r>
        <w:rPr>
          <w:rFonts w:hint="default" w:ascii="Times New Roman" w:hAnsi="Times New Roman" w:eastAsia="方正仿宋_GBK" w:cs="Times New Roman"/>
          <w:sz w:val="32"/>
          <w:szCs w:val="32"/>
          <w:lang w:val="en-US" w:eastAsia="zh-CN"/>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69667DAF">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仿宋_GBK" w:hAnsi="方正仿宋_GBK" w:eastAsia="方正仿宋_GBK" w:cs="方正仿宋_GBK"/>
          <w:color w:val="auto"/>
          <w:sz w:val="32"/>
          <w:szCs w:val="32"/>
          <w:lang w:val="en-US" w:eastAsia="zh-CN"/>
        </w:rPr>
      </w:pPr>
      <w:r>
        <w:rPr>
          <w:rFonts w:hint="default" w:ascii="Times New Roman" w:hAnsi="Times New Roman" w:eastAsia="方正楷体_GBK" w:cs="Times New Roman"/>
          <w:color w:val="auto"/>
          <w:sz w:val="32"/>
          <w:szCs w:val="32"/>
          <w:lang w:val="en-US" w:eastAsia="zh-CN"/>
        </w:rPr>
        <w:t>（十三）机关运行经费：</w:t>
      </w:r>
      <w:r>
        <w:rPr>
          <w:rFonts w:hint="default" w:ascii="Times New Roman" w:hAnsi="Times New Roman" w:eastAsia="方正仿宋_GBK" w:cs="Times New Roman"/>
          <w:sz w:val="32"/>
          <w:szCs w:val="32"/>
        </w:rPr>
        <w:t>为</w:t>
      </w:r>
      <w:r>
        <w:rPr>
          <w:rFonts w:hint="default" w:ascii="Times New Roman" w:hAnsi="Times New Roman" w:eastAsia="方正仿宋_GBK" w:cs="Times New Roman"/>
          <w:sz w:val="32"/>
          <w:szCs w:val="32"/>
          <w:lang w:val="en-US" w:eastAsia="zh-CN"/>
        </w:rPr>
        <w:t>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0AAF0BA6">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color w:val="auto"/>
          <w:sz w:val="32"/>
          <w:szCs w:val="32"/>
          <w:lang w:val="en-US" w:eastAsia="zh-CN"/>
        </w:rPr>
        <w:t>（十四）工资福利支出（支出经济分类科目类级）：</w:t>
      </w:r>
      <w:r>
        <w:rPr>
          <w:rFonts w:hint="default" w:ascii="Times New Roman" w:hAnsi="Times New Roman" w:eastAsia="方正仿宋_GBK" w:cs="Times New Roman"/>
          <w:sz w:val="32"/>
          <w:szCs w:val="32"/>
          <w:lang w:val="en-US" w:eastAsia="zh-CN"/>
        </w:rPr>
        <w:t>反映单位开支的在职职工和编制外长期聘用人员的各类劳动报酬，以及为上述人员缴纳的各项社会保险费等。</w:t>
      </w:r>
    </w:p>
    <w:p w14:paraId="627FCBF6">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仿宋_GBK" w:hAnsi="方正仿宋_GBK" w:eastAsia="方正仿宋_GBK" w:cs="方正仿宋_GBK"/>
          <w:color w:val="auto"/>
          <w:sz w:val="32"/>
          <w:szCs w:val="32"/>
          <w:lang w:val="en-US" w:eastAsia="zh-CN"/>
        </w:rPr>
      </w:pPr>
      <w:r>
        <w:rPr>
          <w:rFonts w:hint="default" w:ascii="Times New Roman" w:hAnsi="Times New Roman" w:eastAsia="方正楷体_GBK" w:cs="Times New Roman"/>
          <w:color w:val="auto"/>
          <w:sz w:val="32"/>
          <w:szCs w:val="32"/>
          <w:lang w:val="en-US" w:eastAsia="zh-CN"/>
        </w:rPr>
        <w:t>（十五）商品和服务支出（支出经济分类科目类级）：</w:t>
      </w:r>
      <w:r>
        <w:rPr>
          <w:rFonts w:hint="default" w:ascii="Times New Roman" w:hAnsi="Times New Roman" w:eastAsia="方正仿宋_GBK" w:cs="Times New Roman"/>
          <w:sz w:val="32"/>
          <w:szCs w:val="32"/>
          <w:lang w:val="en-US" w:eastAsia="zh-CN"/>
        </w:rPr>
        <w:t>反映单位购买商品和服务的支出（不包括用于购置固定资产的支出、战略性和应急储备支出）</w:t>
      </w:r>
      <w:r>
        <w:rPr>
          <w:rFonts w:hint="default" w:ascii="方正仿宋_GBK" w:hAnsi="方正仿宋_GBK" w:eastAsia="方正仿宋_GBK" w:cs="方正仿宋_GBK"/>
          <w:color w:val="auto"/>
          <w:sz w:val="32"/>
          <w:szCs w:val="32"/>
          <w:lang w:val="en-US" w:eastAsia="zh-CN"/>
        </w:rPr>
        <w:t>。</w:t>
      </w:r>
    </w:p>
    <w:p w14:paraId="5272235F">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color w:val="auto"/>
          <w:sz w:val="32"/>
          <w:szCs w:val="32"/>
          <w:lang w:val="en-US" w:eastAsia="zh-CN"/>
        </w:rPr>
        <w:t>（十六）对个人和家庭的补助（支出经济分类科目类级）：</w:t>
      </w:r>
      <w:r>
        <w:rPr>
          <w:rFonts w:hint="default" w:ascii="Times New Roman" w:hAnsi="Times New Roman" w:eastAsia="方正仿宋_GBK" w:cs="Times New Roman"/>
          <w:sz w:val="32"/>
          <w:szCs w:val="32"/>
          <w:lang w:val="en-US" w:eastAsia="zh-CN"/>
        </w:rPr>
        <w:t>反映用于对个人和家庭的补助支出。</w:t>
      </w:r>
    </w:p>
    <w:p w14:paraId="59ABDF09">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仿宋_GBK" w:hAnsi="方正仿宋_GBK" w:eastAsia="方正仿宋_GBK" w:cs="方正仿宋_GBK"/>
          <w:color w:val="auto"/>
          <w:sz w:val="32"/>
          <w:szCs w:val="32"/>
          <w:lang w:val="en-US" w:eastAsia="zh-CN"/>
        </w:rPr>
      </w:pPr>
      <w:r>
        <w:rPr>
          <w:rFonts w:hint="default" w:ascii="Times New Roman" w:hAnsi="Times New Roman" w:eastAsia="方正楷体_GBK" w:cs="Times New Roman"/>
          <w:color w:val="auto"/>
          <w:sz w:val="32"/>
          <w:szCs w:val="32"/>
          <w:lang w:val="en-US" w:eastAsia="zh-CN"/>
        </w:rPr>
        <w:t>（十七）其他资本性支出（支出经济分类科目类级）：</w:t>
      </w:r>
      <w:r>
        <w:rPr>
          <w:rFonts w:hint="default" w:ascii="Times New Roman" w:hAnsi="Times New Roman" w:eastAsia="方正仿宋_GBK" w:cs="Times New Roman"/>
          <w:sz w:val="32"/>
          <w:szCs w:val="32"/>
          <w:lang w:val="en-US" w:eastAsia="zh-CN"/>
        </w:rPr>
        <w:t>反映非各级发展与改革部门集中安排的用于购置固定资产、战略性和应急性储备、土地和无形资产，以及构建基础设施、大型修缮和财政支持企业更新改造所发生的支出。</w:t>
      </w:r>
    </w:p>
    <w:p w14:paraId="75BB23FC">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七、决算公开联系方式及信息反馈渠道</w:t>
      </w:r>
    </w:p>
    <w:p w14:paraId="05EA2850">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本单位决算公开信息反馈和联系方式：</w:t>
      </w:r>
    </w:p>
    <w:p w14:paraId="3714DCB2">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联系人：许弟春；联系方式：023-45211002</w:t>
      </w:r>
    </w:p>
    <w:p w14:paraId="59C56743">
      <w:pPr>
        <w:keepNext w:val="0"/>
        <w:keepLines w:val="0"/>
        <w:pageBreakBefore w:val="0"/>
        <w:widowControl/>
        <w:kinsoku/>
        <w:wordWrap/>
        <w:overflowPunct/>
        <w:topLinePunct w:val="0"/>
        <w:autoSpaceDE/>
        <w:autoSpaceDN/>
        <w:bidi w:val="0"/>
        <w:adjustRightInd/>
        <w:snapToGrid/>
        <w:spacing w:line="594" w:lineRule="exact"/>
        <w:jc w:val="both"/>
        <w:textAlignment w:val="auto"/>
        <w:rPr>
          <w:rFonts w:hint="default" w:ascii="Times New Roman" w:hAnsi="Times New Roman" w:eastAsia="方正仿宋_GBK" w:cs="Times New Roman"/>
          <w:sz w:val="32"/>
          <w:szCs w:val="32"/>
          <w:lang w:val="en-US" w:eastAsia="zh-CN"/>
        </w:rPr>
      </w:pPr>
    </w:p>
    <w:bookmarkEnd w:id="0"/>
    <w:sectPr>
      <w:headerReference r:id="rId3" w:type="default"/>
      <w:footerReference r:id="rId4" w:type="default"/>
      <w:pgSz w:w="11850" w:h="16783"/>
      <w:pgMar w:top="2098" w:right="1474" w:bottom="1984" w:left="1587" w:header="0" w:footer="283" w:gutter="0"/>
      <w:pgNumType w:fmt="numberInDash"/>
      <w:cols w:space="0" w:num="1"/>
      <w:rtlGutter w:val="0"/>
      <w:docGrid w:type="lines" w:linePitch="33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10A55">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B49B3A7">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0B49B3A7">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18F99C6E">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18F99C6E">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ADF88">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67"/>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550ABE"/>
    <w:rsid w:val="007B419D"/>
    <w:rsid w:val="009B67B8"/>
    <w:rsid w:val="00B03CCD"/>
    <w:rsid w:val="00FE7556"/>
    <w:rsid w:val="01474EBF"/>
    <w:rsid w:val="01F3521E"/>
    <w:rsid w:val="03E3214F"/>
    <w:rsid w:val="04446191"/>
    <w:rsid w:val="044C50BA"/>
    <w:rsid w:val="06A2550B"/>
    <w:rsid w:val="06F80EE2"/>
    <w:rsid w:val="07001CCA"/>
    <w:rsid w:val="075678DB"/>
    <w:rsid w:val="08051BCA"/>
    <w:rsid w:val="08887FC5"/>
    <w:rsid w:val="08B84F60"/>
    <w:rsid w:val="08BA052C"/>
    <w:rsid w:val="08DB07BA"/>
    <w:rsid w:val="098305D0"/>
    <w:rsid w:val="09B72B6E"/>
    <w:rsid w:val="0A3851D8"/>
    <w:rsid w:val="0A5C4B69"/>
    <w:rsid w:val="0AA27E71"/>
    <w:rsid w:val="0AEC3BC7"/>
    <w:rsid w:val="0B9335CE"/>
    <w:rsid w:val="0C7927C4"/>
    <w:rsid w:val="0C9B098C"/>
    <w:rsid w:val="0D11728C"/>
    <w:rsid w:val="0D673E11"/>
    <w:rsid w:val="0DB50EFE"/>
    <w:rsid w:val="0DDA54E4"/>
    <w:rsid w:val="0E3A5F83"/>
    <w:rsid w:val="0F836721"/>
    <w:rsid w:val="103645A3"/>
    <w:rsid w:val="107B59E5"/>
    <w:rsid w:val="11003CB0"/>
    <w:rsid w:val="111445C7"/>
    <w:rsid w:val="1158083A"/>
    <w:rsid w:val="11F03528"/>
    <w:rsid w:val="12C921C4"/>
    <w:rsid w:val="13850DCB"/>
    <w:rsid w:val="13871C70"/>
    <w:rsid w:val="13A71CB4"/>
    <w:rsid w:val="13AF1D43"/>
    <w:rsid w:val="13C643C6"/>
    <w:rsid w:val="13CE1647"/>
    <w:rsid w:val="141A11EA"/>
    <w:rsid w:val="14200702"/>
    <w:rsid w:val="148E377E"/>
    <w:rsid w:val="1580711B"/>
    <w:rsid w:val="189B0D0B"/>
    <w:rsid w:val="194A1770"/>
    <w:rsid w:val="19917D9C"/>
    <w:rsid w:val="19B906A4"/>
    <w:rsid w:val="1A1F744B"/>
    <w:rsid w:val="1A4854EC"/>
    <w:rsid w:val="1B6F15B6"/>
    <w:rsid w:val="1BAA2EDC"/>
    <w:rsid w:val="1CE157EE"/>
    <w:rsid w:val="1D014A01"/>
    <w:rsid w:val="1D022362"/>
    <w:rsid w:val="1DD26311"/>
    <w:rsid w:val="1EB24C09"/>
    <w:rsid w:val="1EF67CA4"/>
    <w:rsid w:val="1FCD26AF"/>
    <w:rsid w:val="20642787"/>
    <w:rsid w:val="21556F04"/>
    <w:rsid w:val="22403BD3"/>
    <w:rsid w:val="24932670"/>
    <w:rsid w:val="24B92327"/>
    <w:rsid w:val="2533755C"/>
    <w:rsid w:val="26396DF4"/>
    <w:rsid w:val="270642A6"/>
    <w:rsid w:val="27167136"/>
    <w:rsid w:val="27B23302"/>
    <w:rsid w:val="29310A5F"/>
    <w:rsid w:val="29C37A35"/>
    <w:rsid w:val="29C95E09"/>
    <w:rsid w:val="2A076083"/>
    <w:rsid w:val="2A73162E"/>
    <w:rsid w:val="2B167953"/>
    <w:rsid w:val="2B200583"/>
    <w:rsid w:val="2B8209DE"/>
    <w:rsid w:val="2C161D32"/>
    <w:rsid w:val="2C2D3EC7"/>
    <w:rsid w:val="2C6762A3"/>
    <w:rsid w:val="2D8D2A49"/>
    <w:rsid w:val="2FE029D7"/>
    <w:rsid w:val="2FF06E00"/>
    <w:rsid w:val="315D199F"/>
    <w:rsid w:val="315F0B22"/>
    <w:rsid w:val="31D84415"/>
    <w:rsid w:val="32285F6F"/>
    <w:rsid w:val="32770556"/>
    <w:rsid w:val="329C0913"/>
    <w:rsid w:val="3337290D"/>
    <w:rsid w:val="352930DB"/>
    <w:rsid w:val="35573069"/>
    <w:rsid w:val="358C217E"/>
    <w:rsid w:val="359F188C"/>
    <w:rsid w:val="35D70F19"/>
    <w:rsid w:val="362D2433"/>
    <w:rsid w:val="36C9128A"/>
    <w:rsid w:val="37841E99"/>
    <w:rsid w:val="37BF1123"/>
    <w:rsid w:val="37F26E25"/>
    <w:rsid w:val="38BE4696"/>
    <w:rsid w:val="39166507"/>
    <w:rsid w:val="39B82A39"/>
    <w:rsid w:val="39F33306"/>
    <w:rsid w:val="3B1705E5"/>
    <w:rsid w:val="3B18334B"/>
    <w:rsid w:val="3B36794F"/>
    <w:rsid w:val="3B544954"/>
    <w:rsid w:val="3BBF6D9E"/>
    <w:rsid w:val="3BF014AD"/>
    <w:rsid w:val="3C6A5B02"/>
    <w:rsid w:val="3D2757A1"/>
    <w:rsid w:val="3D3D4FC4"/>
    <w:rsid w:val="3DDF3AB1"/>
    <w:rsid w:val="3DE60B7E"/>
    <w:rsid w:val="3E1D0952"/>
    <w:rsid w:val="3E247234"/>
    <w:rsid w:val="3E42660A"/>
    <w:rsid w:val="3E7555B1"/>
    <w:rsid w:val="3EB35031"/>
    <w:rsid w:val="3F0527E5"/>
    <w:rsid w:val="3F16459E"/>
    <w:rsid w:val="3F3617F2"/>
    <w:rsid w:val="3FDE15A7"/>
    <w:rsid w:val="4004000C"/>
    <w:rsid w:val="40FD5440"/>
    <w:rsid w:val="411B6CE5"/>
    <w:rsid w:val="412070D7"/>
    <w:rsid w:val="41314E40"/>
    <w:rsid w:val="4142353C"/>
    <w:rsid w:val="415A6D25"/>
    <w:rsid w:val="415C674B"/>
    <w:rsid w:val="426C1EA8"/>
    <w:rsid w:val="42E86A87"/>
    <w:rsid w:val="43136432"/>
    <w:rsid w:val="43770A38"/>
    <w:rsid w:val="443A3B12"/>
    <w:rsid w:val="44A854C2"/>
    <w:rsid w:val="44DD597D"/>
    <w:rsid w:val="451E7F42"/>
    <w:rsid w:val="465B470D"/>
    <w:rsid w:val="469D6AD4"/>
    <w:rsid w:val="46FC41C7"/>
    <w:rsid w:val="47674801"/>
    <w:rsid w:val="48225EF7"/>
    <w:rsid w:val="495C4A24"/>
    <w:rsid w:val="49BC0786"/>
    <w:rsid w:val="4AD70EE7"/>
    <w:rsid w:val="4B7951CB"/>
    <w:rsid w:val="4B7C315C"/>
    <w:rsid w:val="4BAB7F90"/>
    <w:rsid w:val="4DAC4ACA"/>
    <w:rsid w:val="4F186D58"/>
    <w:rsid w:val="50EC262C"/>
    <w:rsid w:val="522F6E0C"/>
    <w:rsid w:val="52463BA1"/>
    <w:rsid w:val="52DB0C26"/>
    <w:rsid w:val="53C0244D"/>
    <w:rsid w:val="53DD4D4E"/>
    <w:rsid w:val="53E578CE"/>
    <w:rsid w:val="543B029D"/>
    <w:rsid w:val="545D0246"/>
    <w:rsid w:val="554E5773"/>
    <w:rsid w:val="555A3CBC"/>
    <w:rsid w:val="56530F5D"/>
    <w:rsid w:val="5842572D"/>
    <w:rsid w:val="5AE1739E"/>
    <w:rsid w:val="5AE75037"/>
    <w:rsid w:val="5B58571C"/>
    <w:rsid w:val="5B8376C2"/>
    <w:rsid w:val="5B96133A"/>
    <w:rsid w:val="5C1336B7"/>
    <w:rsid w:val="5C263CE4"/>
    <w:rsid w:val="5C5D2777"/>
    <w:rsid w:val="5D290C69"/>
    <w:rsid w:val="5D537F41"/>
    <w:rsid w:val="5D696D6E"/>
    <w:rsid w:val="5EFA176D"/>
    <w:rsid w:val="5F0247F9"/>
    <w:rsid w:val="5F2D4A41"/>
    <w:rsid w:val="601C34ED"/>
    <w:rsid w:val="60A958A9"/>
    <w:rsid w:val="60D22ADB"/>
    <w:rsid w:val="61025A59"/>
    <w:rsid w:val="613D5BBC"/>
    <w:rsid w:val="614B7B86"/>
    <w:rsid w:val="61536C39"/>
    <w:rsid w:val="628230A6"/>
    <w:rsid w:val="62944DD7"/>
    <w:rsid w:val="62AB52B7"/>
    <w:rsid w:val="634D1435"/>
    <w:rsid w:val="63C25DC5"/>
    <w:rsid w:val="63C62057"/>
    <w:rsid w:val="63C73832"/>
    <w:rsid w:val="64FB113D"/>
    <w:rsid w:val="654E4D38"/>
    <w:rsid w:val="656152C6"/>
    <w:rsid w:val="6587477F"/>
    <w:rsid w:val="658C3A08"/>
    <w:rsid w:val="65C031CA"/>
    <w:rsid w:val="65CE6852"/>
    <w:rsid w:val="66267C04"/>
    <w:rsid w:val="663F505A"/>
    <w:rsid w:val="665C1999"/>
    <w:rsid w:val="667F2393"/>
    <w:rsid w:val="66EE5541"/>
    <w:rsid w:val="692172FD"/>
    <w:rsid w:val="6A3829EE"/>
    <w:rsid w:val="6AEDD55F"/>
    <w:rsid w:val="6B474EF5"/>
    <w:rsid w:val="6C560CAE"/>
    <w:rsid w:val="6D0615E4"/>
    <w:rsid w:val="6D903FF5"/>
    <w:rsid w:val="6DA955B8"/>
    <w:rsid w:val="6DE346AB"/>
    <w:rsid w:val="6F7F6A2D"/>
    <w:rsid w:val="6FB442D1"/>
    <w:rsid w:val="6FFB2E76"/>
    <w:rsid w:val="71C34D91"/>
    <w:rsid w:val="71ED38AA"/>
    <w:rsid w:val="720229AA"/>
    <w:rsid w:val="72DB435C"/>
    <w:rsid w:val="750837F0"/>
    <w:rsid w:val="764F62AB"/>
    <w:rsid w:val="765C45EC"/>
    <w:rsid w:val="768A7619"/>
    <w:rsid w:val="76E14979"/>
    <w:rsid w:val="77EA362A"/>
    <w:rsid w:val="7875383E"/>
    <w:rsid w:val="796D60A4"/>
    <w:rsid w:val="79A031D5"/>
    <w:rsid w:val="7A1525F7"/>
    <w:rsid w:val="7A3E6CB6"/>
    <w:rsid w:val="7A680D2D"/>
    <w:rsid w:val="7B260559"/>
    <w:rsid w:val="7B420052"/>
    <w:rsid w:val="7BD06A28"/>
    <w:rsid w:val="7C1E4CD7"/>
    <w:rsid w:val="7C3A7C0B"/>
    <w:rsid w:val="7C5248E4"/>
    <w:rsid w:val="7C566698"/>
    <w:rsid w:val="7FA960B8"/>
    <w:rsid w:val="FE4E16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basedOn w:val="7"/>
    <w:qFormat/>
    <w:uiPriority w:val="0"/>
    <w:rPr>
      <w:rFonts w:hint="default" w:ascii="Wingdings" w:hAnsi="Wingdings" w:cs="Wingdings"/>
      <w:b/>
      <w:bCs/>
    </w:rPr>
  </w:style>
  <w:style w:type="paragraph" w:customStyle="1" w:styleId="12">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4569</Words>
  <Characters>5008</Characters>
  <Lines>161</Lines>
  <Paragraphs>45</Paragraphs>
  <TotalTime>5</TotalTime>
  <ScaleCrop>false</ScaleCrop>
  <LinksUpToDate>false</LinksUpToDate>
  <CharactersWithSpaces>5009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Mist</cp:lastModifiedBy>
  <dcterms:modified xsi:type="dcterms:W3CDTF">2025-10-27T09:39:38Z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CE557CD5089F48219D4017E9AF110868</vt:lpwstr>
  </property>
  <property fmtid="{D5CDD505-2E9C-101B-9397-08002B2CF9AE}" pid="4" name="KSOTemplateDocerSaveRecord">
    <vt:lpwstr>eyJoZGlkIjoiYzg1OWZjNDY4YWU3ZDM2NzE4ZjRlYWM4ZWQ1YmRmODIiLCJ1c2VySWQiOiI3OTg1NTU1MjEifQ==</vt:lpwstr>
  </property>
</Properties>
</file>