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E2A9C">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重庆市铜梁区平滩镇退役军人服务站</w:t>
      </w:r>
    </w:p>
    <w:p w14:paraId="7B5BCEBF">
      <w:pPr>
        <w:keepNext w:val="0"/>
        <w:keepLines w:val="0"/>
        <w:pageBreakBefore w:val="0"/>
        <w:widowControl/>
        <w:kinsoku/>
        <w:wordWrap/>
        <w:overflowPunct/>
        <w:topLinePunct w:val="0"/>
        <w:autoSpaceDE/>
        <w:autoSpaceDN/>
        <w:bidi w:val="0"/>
        <w:adjustRightInd/>
        <w:snapToGrid/>
        <w:spacing w:line="594" w:lineRule="exact"/>
        <w:ind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2024年度决算公开说明</w:t>
      </w:r>
    </w:p>
    <w:p w14:paraId="1EA6C05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p>
    <w:p w14:paraId="3D5DEC6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基本情况</w:t>
      </w:r>
    </w:p>
    <w:p w14:paraId="10BB3B9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14:paraId="72258F7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重庆市铜梁区平滩镇退役军人服务站主要负责为退役军人提供全方位的支持和帮助，包括政策咨询、就业安置、心理疏导、社区服务等多方面工作。</w:t>
      </w:r>
    </w:p>
    <w:p w14:paraId="36D2645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14:paraId="22F07D2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本单位为重庆市铜梁区平滩镇人民政府所属二级预算单位，单位类型为公益一类事业单位，无下级单位。</w:t>
      </w:r>
    </w:p>
    <w:p w14:paraId="77DAFE0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决算</w:t>
      </w:r>
      <w:r>
        <w:rPr>
          <w:rFonts w:hint="eastAsia" w:ascii="方正黑体_GBK" w:hAnsi="方正黑体_GBK" w:eastAsia="方正黑体_GBK" w:cs="方正黑体_GBK"/>
          <w:sz w:val="32"/>
          <w:szCs w:val="32"/>
          <w:lang w:eastAsia="zh-CN"/>
        </w:rPr>
        <w:t>收支</w:t>
      </w:r>
      <w:r>
        <w:rPr>
          <w:rFonts w:hint="eastAsia" w:ascii="方正黑体_GBK" w:hAnsi="方正黑体_GBK" w:eastAsia="方正黑体_GBK" w:cs="方正黑体_GBK"/>
          <w:sz w:val="32"/>
          <w:szCs w:val="32"/>
        </w:rPr>
        <w:t>情况说明</w:t>
      </w:r>
    </w:p>
    <w:p w14:paraId="52C7C53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14:paraId="7B73C94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1.总体情况。2024年度收入总计94.42万元，支出总计94.42万元。收、支与2023年度相比，增加94.42万元，增长100.0%，主要原因是本单位为新增事业单位，上年度无决算数据，本年度收入、支出分别为94.4</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万元。</w:t>
      </w:r>
    </w:p>
    <w:p w14:paraId="44E3B9FB">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2.收入情况。2024年度收入合计94.42万元，与2023年度相比，增加94.42万元，增长100.0%，主要原因是本单位为新增事业单位，上年度无决算数据，本年度收入为94.4</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万元。其中：财政拨款收入94.42万元，占100.0%；事业收入0万元，占0.0%；经营收入0万元，占0.0%；其他收入0万元，占0.0%。</w:t>
      </w:r>
      <w:r>
        <w:rPr>
          <w:rFonts w:hint="default" w:ascii="Times New Roman" w:hAnsi="Times New Roman" w:eastAsia="方正仿宋_GBK" w:cs="Times New Roman"/>
          <w:sz w:val="32"/>
          <w:szCs w:val="32"/>
          <w:lang w:eastAsia="zh-CN"/>
        </w:rPr>
        <w:t>此外，使用非财政拨款结余和专用结余0万元，年初结转和结余0万元。</w:t>
      </w:r>
    </w:p>
    <w:p w14:paraId="75E9E1F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3.支出情况。2024年度支出合计94.42万元，与2023年度相比，增加94.42万元，增长100.0%，主要原因是本单位为新增事业单位，上年度无决算数据，本年度支出为94.4</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万元。其中：基本支出67.33万元，占71.3%；项目支出27.09万元，占28.</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%；经营支出0万元，占0.0%。此外，结余分配0万元。</w:t>
      </w:r>
    </w:p>
    <w:p w14:paraId="3B2F055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default" w:ascii="Times New Roman" w:hAnsi="Times New Roman" w:eastAsia="方正仿宋_GBK" w:cs="Times New Roman"/>
          <w:sz w:val="32"/>
          <w:szCs w:val="32"/>
          <w:lang w:eastAsia="zh-CN"/>
        </w:rPr>
        <w:t>4.结转结余情况。2024年度年末结转和结余0万元，与2023年度相比，无增减。</w:t>
      </w:r>
    </w:p>
    <w:p w14:paraId="083FCE0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14:paraId="613E9C9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2024年度财政拨款收、支总计94.42万元。与202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年相比，财政拨款收、支总计各增加94.42万元，增长100.0%。主要原因是本单位为新增事业单位，上年度无决算数据，本年度收入、支出分别为94.4</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万元。</w:t>
      </w:r>
    </w:p>
    <w:p w14:paraId="4D0A56F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14:paraId="551E412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1.收入情况。2024年度一般公共预算财政拨款收入94.42万元，与2023年度相比，增加94.42万元，增长100.0%。主要原因是本单位为新增事业单位，上年度无决算数据，本年度收入为94.4</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万元。较年初预算数减少3.52万元，下降3.6%。主要原因是应休未休假补贴未发、超高绩效未清算。此外，年初财政拨款结转和结余0万元。</w:t>
      </w:r>
    </w:p>
    <w:p w14:paraId="64D9570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2.支出情况。2024年度一般公共预算财政拨款支出94.42万元，与2023年度相比，增加94.42万元，增长100.0%。主要原因是本单位为新增事业单位，上年度无决算数据，本年度支出为94.4</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万元。较年初预算数减少3.52万元，下降3.6%。主要原因是应休未休假未发、超高绩效未清算。</w:t>
      </w:r>
    </w:p>
    <w:p w14:paraId="56D7C3B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3.结转结余情况。2024年度年末一般公共预算财政拨款结转和结余0万元，与2023年度相比，无增减，主要原因是本单位为新增事业单位，上年度无决算数据，本年度收入、支出分别为94.42</w:t>
      </w:r>
      <w:r>
        <w:rPr>
          <w:rFonts w:hint="default" w:ascii="Times New Roman" w:hAnsi="Times New Roman" w:eastAsia="方正仿宋_GBK" w:cs="Times New Roman"/>
          <w:sz w:val="32"/>
          <w:szCs w:val="32"/>
          <w:lang w:val="en-US" w:eastAsia="zh-CN"/>
        </w:rPr>
        <w:t>万元，与上年持平。</w:t>
      </w:r>
    </w:p>
    <w:p w14:paraId="170A3EF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4.比较情况。本单位2024年度一般公共预算财政拨款支出主要用于以下几个方面：</w:t>
      </w:r>
    </w:p>
    <w:p w14:paraId="50764B0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）社会保障与就业支出89.52万元，占94.8%，较年初预算数增加26.64万元，增长42.4%，主要原因是根据决算要求，项目三支一扶调整了功能，从农林水支出调整为社会保障与就业支出</w:t>
      </w:r>
      <w:r>
        <w:rPr>
          <w:rFonts w:hint="default" w:ascii="Times New Roman" w:hAnsi="Times New Roman" w:eastAsia="方正仿宋_GBK" w:cs="Times New Roman"/>
          <w:sz w:val="32"/>
          <w:szCs w:val="32"/>
          <w:lang w:val="en-US" w:eastAsia="zh-CN"/>
        </w:rPr>
        <w:t>27.09万元，职业年金减少0.45万元。</w:t>
      </w:r>
    </w:p>
    <w:p w14:paraId="4114B29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）卫生健康支出2.22万元，占2.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%，较年初预算数减少0.67万元，下降23.2%，主要原因是</w:t>
      </w:r>
      <w:r>
        <w:rPr>
          <w:rFonts w:hint="default" w:ascii="Times New Roman" w:hAnsi="Times New Roman" w:eastAsia="方正仿宋_GBK" w:cs="Times New Roman"/>
          <w:sz w:val="32"/>
          <w:szCs w:val="32"/>
          <w:lang w:val="en-US" w:eastAsia="zh-CN"/>
        </w:rPr>
        <w:t>超高绩效没纳入医疗保险的基数导致支出减少。</w:t>
      </w:r>
    </w:p>
    <w:p w14:paraId="473898D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）农林水支出0万元，占0.0%，较年初预算数减少29.50万元，下降100.0%，主要原因是根据决算要求，项目三支一扶调整了功能，从农林水支出调整为社会保障与就业支出</w:t>
      </w:r>
      <w:r>
        <w:rPr>
          <w:rFonts w:hint="default" w:ascii="Times New Roman" w:hAnsi="Times New Roman" w:eastAsia="方正仿宋_GBK" w:cs="Times New Roman"/>
          <w:sz w:val="32"/>
          <w:szCs w:val="32"/>
          <w:lang w:val="en-US" w:eastAsia="zh-CN"/>
        </w:rPr>
        <w:t>27.09万元，另三支一扶的</w:t>
      </w:r>
      <w:r>
        <w:rPr>
          <w:rFonts w:hint="default" w:ascii="Times New Roman" w:hAnsi="Times New Roman" w:eastAsia="方正仿宋_GBK" w:cs="Times New Roman"/>
          <w:sz w:val="32"/>
          <w:szCs w:val="32"/>
          <w:lang w:eastAsia="zh-CN"/>
        </w:rPr>
        <w:t>休未休假未发、超高绩效未清算</w:t>
      </w:r>
      <w:r>
        <w:rPr>
          <w:rFonts w:hint="default" w:ascii="Times New Roman" w:hAnsi="Times New Roman" w:eastAsia="方正仿宋_GBK" w:cs="Times New Roman"/>
          <w:sz w:val="32"/>
          <w:szCs w:val="32"/>
          <w:lang w:val="en-US" w:eastAsia="zh-CN"/>
        </w:rPr>
        <w:t>2.41万元。</w:t>
      </w:r>
    </w:p>
    <w:p w14:paraId="449DA5D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）住房保障支出2.67万元，占2.8%，较年初预算数无增减，主要原因是住房公积金严格按规定支出。</w:t>
      </w:r>
    </w:p>
    <w:p w14:paraId="73A821A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14:paraId="029F692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2024年度一般公共财政拨款基本支出67.33万元。其中：人员经费57.59万元，与2023年度相比，增加57.59万元，增长100.0%，主要原因是本单位为新增事业单位，上年度无决算数据，</w:t>
      </w:r>
      <w:r>
        <w:rPr>
          <w:rFonts w:hint="default" w:ascii="Times New Roman" w:hAnsi="Times New Roman" w:eastAsia="方正仿宋_GBK" w:cs="Times New Roman"/>
          <w:sz w:val="32"/>
          <w:szCs w:val="32"/>
          <w:lang w:val="en-US" w:eastAsia="zh-CN"/>
        </w:rPr>
        <w:t>2024年度人员经费</w:t>
      </w:r>
      <w:r>
        <w:rPr>
          <w:rFonts w:hint="default" w:ascii="Times New Roman" w:hAnsi="Times New Roman" w:eastAsia="方正仿宋_GBK" w:cs="Times New Roman"/>
          <w:sz w:val="32"/>
          <w:szCs w:val="32"/>
          <w:lang w:eastAsia="zh-CN"/>
        </w:rPr>
        <w:t>57.59</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人员经费用途主要包括基本工资、津贴补贴、绩效工资、社会保障缴费、住房公积金、应休未休假补贴等。公用经费9.74万元，与2023年度相比，增加9.74万元，增长100.0%，主要原因是本单位为新增事业单位，上年度无决算数据，</w:t>
      </w:r>
      <w:r>
        <w:rPr>
          <w:rFonts w:hint="default" w:ascii="Times New Roman" w:hAnsi="Times New Roman" w:eastAsia="方正仿宋_GBK" w:cs="Times New Roman"/>
          <w:sz w:val="32"/>
          <w:szCs w:val="32"/>
          <w:lang w:val="en-US" w:eastAsia="zh-CN"/>
        </w:rPr>
        <w:t>2024年度公用经费</w:t>
      </w:r>
      <w:r>
        <w:rPr>
          <w:rFonts w:hint="default" w:ascii="Times New Roman" w:hAnsi="Times New Roman" w:eastAsia="方正仿宋_GBK" w:cs="Times New Roman"/>
          <w:sz w:val="32"/>
          <w:szCs w:val="32"/>
          <w:lang w:eastAsia="zh-CN"/>
        </w:rPr>
        <w:t>9.74</w:t>
      </w:r>
      <w:r>
        <w:rPr>
          <w:rFonts w:hint="default" w:ascii="Times New Roman" w:hAnsi="Times New Roman" w:eastAsia="方正仿宋_GBK" w:cs="Times New Roman"/>
          <w:sz w:val="32"/>
          <w:szCs w:val="32"/>
          <w:lang w:val="en-US" w:eastAsia="zh-CN"/>
        </w:rPr>
        <w:t>万元。</w:t>
      </w:r>
      <w:r>
        <w:rPr>
          <w:rFonts w:hint="default" w:ascii="Times New Roman" w:hAnsi="Times New Roman" w:eastAsia="方正仿宋_GBK" w:cs="Times New Roman"/>
          <w:sz w:val="32"/>
          <w:szCs w:val="32"/>
          <w:lang w:eastAsia="zh-CN"/>
        </w:rPr>
        <w:t>公用经费用途主要包括办公费、水费、电费、邮电费、差旅费、维修费、培训费和工会经费。</w:t>
      </w:r>
    </w:p>
    <w:p w14:paraId="5090694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14:paraId="0C8010C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2024年度政府性基金预算财政拨款年初结转结余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万元，年末结转结余</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万元。本年收入0万元，与2023年度相比，无增减，本年支出0万元，与2023年度相比，无增减，主要原因是本单位2024年度无政府性基金预算财政拨款收支。</w:t>
      </w:r>
    </w:p>
    <w:p w14:paraId="5055351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14:paraId="797C183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2024年度国有资本经营预算财政</w:t>
      </w:r>
      <w:r>
        <w:rPr>
          <w:rFonts w:hint="eastAsia" w:ascii="Times New Roman" w:hAnsi="Times New Roman" w:eastAsia="方正仿宋_GBK" w:cs="Times New Roman"/>
          <w:sz w:val="32"/>
          <w:szCs w:val="32"/>
          <w:lang w:eastAsia="zh-CN"/>
        </w:rPr>
        <w:t>拨款</w:t>
      </w:r>
      <w:r>
        <w:rPr>
          <w:rFonts w:hint="default" w:ascii="Times New Roman" w:hAnsi="Times New Roman" w:eastAsia="方正仿宋_GBK" w:cs="Times New Roman"/>
          <w:sz w:val="32"/>
          <w:szCs w:val="32"/>
          <w:lang w:eastAsia="zh-CN"/>
        </w:rPr>
        <w:t>本年支出0万元，基本支出0万元，项目支出0万元，主要原因是本单位2024年度无国有资本经营预算财政拨款支出。</w:t>
      </w:r>
    </w:p>
    <w:p w14:paraId="44F0C6E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财政拨款“</w:t>
      </w:r>
      <w:r>
        <w:rPr>
          <w:rFonts w:hint="eastAsia" w:ascii="方正黑体_GBK" w:hAnsi="方正黑体_GBK" w:eastAsia="方正黑体_GBK" w:cs="方正黑体_GBK"/>
          <w:sz w:val="32"/>
          <w:szCs w:val="32"/>
        </w:rPr>
        <w:t>三公</w:t>
      </w:r>
      <w:r>
        <w:rPr>
          <w:rFonts w:hint="eastAsia" w:ascii="方正黑体_GBK" w:hAnsi="方正黑体_GBK" w:eastAsia="方正黑体_GBK" w:cs="方正黑体_GBK"/>
          <w:sz w:val="32"/>
          <w:szCs w:val="32"/>
          <w:lang w:eastAsia="zh-CN"/>
        </w:rPr>
        <w:t>”</w:t>
      </w:r>
      <w:r>
        <w:rPr>
          <w:rFonts w:hint="eastAsia" w:ascii="方正黑体_GBK" w:hAnsi="方正黑体_GBK" w:eastAsia="方正黑体_GBK" w:cs="方正黑体_GBK"/>
          <w:sz w:val="32"/>
          <w:szCs w:val="32"/>
        </w:rPr>
        <w:t>经费情况说明</w:t>
      </w:r>
    </w:p>
    <w:p w14:paraId="448E0AF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经费支出总体情况说明</w:t>
      </w:r>
    </w:p>
    <w:p w14:paraId="04F2688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2024年度</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经费支出共计0万元，较年初预算数无增减，主要原因是本单位为重庆市铜梁区平滩镇人民政府所属二级预算单位，单位类型为公益一类事业单位，财政未保障我单位</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经费。较上年支出数无增减，主要原因是</w:t>
      </w:r>
      <w:r>
        <w:rPr>
          <w:rFonts w:hint="default" w:ascii="Times New Roman" w:hAnsi="Times New Roman" w:eastAsia="方正仿宋_GBK" w:cs="Times New Roman"/>
          <w:sz w:val="32"/>
          <w:szCs w:val="32"/>
          <w:lang w:val="en-US" w:eastAsia="zh-CN"/>
        </w:rPr>
        <w:t>2024年度未发生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三公</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经费，与上年持平。</w:t>
      </w:r>
    </w:p>
    <w:p w14:paraId="29C46EA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经费分项支出情况</w:t>
      </w:r>
    </w:p>
    <w:p w14:paraId="2C8BA2C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因公出国（境）费用0万元，费用支出较年初预算数无增减，主要原因是本单位未发生因公出国（境）费用，与年初预算数持平。与2023年度相比，无增减，主要原因是本单位未发生因公出国（境）费用，与上年持平。</w:t>
      </w:r>
    </w:p>
    <w:p w14:paraId="790CA9B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公务车购置费0万元。费用支出较年初预算数无增减，主要原因是本单位未发生公务车购置费，与年初预算数持平。与2023年度相比，无增减，主要原因是本单位未发生公务车购置费，与上年持平。</w:t>
      </w:r>
    </w:p>
    <w:p w14:paraId="6150756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公务车运行维护费0万元。费用支出较年初预算数无增减，主要原因是本单位为重庆市铜梁区平滩镇人民政府所属二级预算单位，单位类型为公益一类事业单位，未发生公务车运行维护费，与年初预算数持平。与2023年度相比，无增减，主要原因是本单位未发生公务车运行维护费，与上年持平。</w:t>
      </w:r>
    </w:p>
    <w:p w14:paraId="676164B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公务接待费0万元。费用支出较年初预算数无增减，主要原因是本单位未发生公务接待费。较上年支出数无增减，主要原因是本单位未发生公务接待费，与上年持平。</w:t>
      </w:r>
    </w:p>
    <w:p w14:paraId="12F868D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三公</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经费实物量情况</w:t>
      </w:r>
    </w:p>
    <w:p w14:paraId="45F2E15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163E22E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14:paraId="6B69845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14:paraId="5019071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本年度会议费支出0万元，与2023年度相比，无增减。本年度培训费支出0万元，与2023年度相比，无变化。</w:t>
      </w:r>
    </w:p>
    <w:p w14:paraId="41ACD3FA">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14:paraId="29C593B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2024年度本单位机关运行经费支出0万元，机关运行经费较上年支出数无增减，主要原因是按照部门决算列报口径，我单位不在机关运行经费统计范围之内。</w:t>
      </w:r>
    </w:p>
    <w:p w14:paraId="052CCB1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14:paraId="0846EEB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截至2024年12月31日，本单位共有车辆0辆，其中，副部（省）级及以上领导用车0辆、主要负责人用车0辆、机要通信用车0辆、应急保障用车0辆、执法执勤用车0辆，特种专业技术用车0辆，离退休干部用车0辆。单价100万元（含）以上专用设备0台（套）。</w:t>
      </w:r>
    </w:p>
    <w:p w14:paraId="0D0C1FD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14:paraId="3B34858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sz w:val="32"/>
          <w:szCs w:val="32"/>
          <w:lang w:eastAsia="zh-CN"/>
        </w:rPr>
      </w:pPr>
      <w:r>
        <w:rPr>
          <w:rFonts w:hint="default" w:ascii="Times New Roman" w:hAnsi="Times New Roman" w:eastAsia="方正仿宋_GBK" w:cs="Times New Roman"/>
          <w:sz w:val="32"/>
          <w:szCs w:val="32"/>
          <w:lang w:eastAsia="zh-CN"/>
        </w:rPr>
        <w:t>2024年度本单位政府采购支出总额0万元，其中：政府采购货物支出0万元、政府采购工程支出0万元、政府采购服务支出0万元。授予中小企业合同金额0万元，占政府采购支出总额的0.0%，其中：授予小微企业合同金额0万元，占政府采购支出总额的0</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%。2024年度我单位未发生政府采购事项，无相关经费支出。</w:t>
      </w:r>
    </w:p>
    <w:p w14:paraId="177AD5B5">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五、2024年度预算绩效管理情况说明</w:t>
      </w:r>
    </w:p>
    <w:p w14:paraId="05AC8F8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（一）预算绩效管理工作开展情况</w:t>
      </w:r>
    </w:p>
    <w:p w14:paraId="7DE5978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根据预算绩效管理要求，我单位对</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个项目开展了绩效自评，其中，以填报自评表形式开展自评</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项，涉及资金</w:t>
      </w:r>
      <w:r>
        <w:rPr>
          <w:rFonts w:hint="default" w:ascii="Times New Roman" w:hAnsi="Times New Roman" w:eastAsia="方正仿宋_GBK" w:cs="Times New Roman"/>
          <w:sz w:val="32"/>
          <w:szCs w:val="32"/>
          <w:lang w:val="en-US" w:eastAsia="zh-CN"/>
        </w:rPr>
        <w:t>27.09</w:t>
      </w:r>
      <w:r>
        <w:rPr>
          <w:rFonts w:hint="default" w:ascii="Times New Roman" w:hAnsi="Times New Roman" w:eastAsia="方正仿宋_GBK" w:cs="Times New Roman"/>
          <w:sz w:val="32"/>
          <w:szCs w:val="32"/>
          <w:lang w:eastAsia="zh-CN"/>
        </w:rPr>
        <w:t>万元</w:t>
      </w:r>
      <w:r>
        <w:rPr>
          <w:rFonts w:hint="default" w:ascii="Times New Roman" w:hAnsi="Times New Roman" w:eastAsia="方正仿宋_GBK" w:cs="Times New Roman"/>
          <w:sz w:val="32"/>
          <w:szCs w:val="32"/>
          <w:lang w:eastAsia="zh-CN"/>
        </w:rPr>
        <w:t>。</w:t>
      </w:r>
    </w:p>
    <w:p w14:paraId="11458DB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rPr>
      </w:pPr>
      <w:r>
        <w:rPr>
          <w:rFonts w:hint="default" w:ascii="方正楷体_GBK" w:hAnsi="方正楷体_GBK" w:eastAsia="方正楷体_GBK" w:cs="方正楷体_GBK"/>
          <w:color w:val="auto"/>
          <w:sz w:val="32"/>
          <w:szCs w:val="32"/>
        </w:rPr>
        <w:t>（二）绩效自评结果</w:t>
      </w:r>
    </w:p>
    <w:p w14:paraId="4CF93FCD">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1.项目绩效自评表。</w:t>
      </w:r>
    </w:p>
    <w:p w14:paraId="58FA821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详见附件。</w:t>
      </w:r>
    </w:p>
    <w:p w14:paraId="403C5D1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2.项目绩效自评报告或案例。</w:t>
      </w:r>
    </w:p>
    <w:p w14:paraId="0A74BEC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我单位未委托第三方开展绩效评价。</w:t>
      </w:r>
    </w:p>
    <w:p w14:paraId="770B07D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3.关于绩效自评结果的说明。</w:t>
      </w:r>
    </w:p>
    <w:p w14:paraId="0DF8F59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eastAsia="zh-CN"/>
        </w:rPr>
      </w:pPr>
      <w:r>
        <w:rPr>
          <w:rFonts w:hint="default" w:ascii="Times New Roman" w:hAnsi="Times New Roman" w:eastAsia="方正仿宋_GBK" w:cs="Times New Roman"/>
          <w:sz w:val="32"/>
          <w:szCs w:val="32"/>
          <w:lang w:eastAsia="zh-CN"/>
        </w:rPr>
        <w:t>我单位对</w:t>
      </w:r>
      <w:r>
        <w:rPr>
          <w:rFonts w:hint="default" w:ascii="Times New Roman" w:hAnsi="Times New Roman" w:eastAsia="方正仿宋_GBK" w:cs="Times New Roman"/>
          <w:sz w:val="32"/>
          <w:szCs w:val="32"/>
          <w:lang w:val="en-US" w:eastAsia="zh-CN"/>
        </w:rPr>
        <w:t>1个</w:t>
      </w:r>
      <w:r>
        <w:rPr>
          <w:rFonts w:hint="default" w:ascii="Times New Roman" w:hAnsi="Times New Roman" w:eastAsia="方正仿宋_GBK" w:cs="Times New Roman"/>
          <w:sz w:val="32"/>
          <w:szCs w:val="32"/>
          <w:lang w:eastAsia="zh-CN"/>
        </w:rPr>
        <w:t>项目进行绩效自评，其中</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个已完成年度绩效目标，</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lang w:eastAsia="zh-CN"/>
        </w:rPr>
        <w:t>个未完成年度绩效目标。</w:t>
      </w:r>
    </w:p>
    <w:p w14:paraId="73EDD4D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楷体_GBK" w:hAnsi="方正楷体_GBK" w:eastAsia="方正楷体_GBK" w:cs="方正楷体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 xml:space="preserve">（三）财政重点绩效评价情况 </w:t>
      </w:r>
    </w:p>
    <w:p w14:paraId="0706A739">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sz w:val="32"/>
          <w:szCs w:val="32"/>
          <w:lang w:val="en-US" w:eastAsia="zh-CN"/>
        </w:rPr>
        <w:t>我单位无财政重点绩效评价项目。</w:t>
      </w:r>
    </w:p>
    <w:p w14:paraId="2B6BE8F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六、专业名词解释</w:t>
      </w:r>
    </w:p>
    <w:p w14:paraId="2A6955D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color w:val="auto"/>
          <w:sz w:val="32"/>
          <w:szCs w:val="32"/>
          <w:lang w:val="en-US" w:eastAsia="zh-CN"/>
        </w:rPr>
        <w:t>（一）财政拨款收入：</w:t>
      </w:r>
      <w:r>
        <w:rPr>
          <w:rFonts w:hint="default" w:ascii="Times New Roman" w:hAnsi="Times New Roman" w:eastAsia="方正仿宋_GBK" w:cs="Times New Roman"/>
          <w:sz w:val="32"/>
          <w:szCs w:val="32"/>
          <w:lang w:val="en-US" w:eastAsia="zh-CN"/>
        </w:rPr>
        <w:t>指本年度从本级财政部门取得的财政拨款，包括一般公共预算财政拨款和政府性基金预算财政拨款。</w:t>
      </w:r>
    </w:p>
    <w:p w14:paraId="1198F5D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（二）事业收入：</w:t>
      </w:r>
      <w:r>
        <w:rPr>
          <w:rFonts w:hint="default" w:ascii="Times New Roman" w:hAnsi="Times New Roman" w:eastAsia="方正仿宋_GBK" w:cs="Times New Roman"/>
          <w:sz w:val="32"/>
          <w:szCs w:val="32"/>
          <w:lang w:val="en-US" w:eastAsia="zh-CN"/>
        </w:rPr>
        <w:t>指事业单位开展专业业务活动及其辅助活动取得的现金流入；事业单位收到的财政专户实际核拨的教育收费等资金在此反映。</w:t>
      </w:r>
    </w:p>
    <w:p w14:paraId="2B80000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（三）经营收入：</w:t>
      </w:r>
      <w:r>
        <w:rPr>
          <w:rFonts w:hint="default" w:ascii="Times New Roman" w:hAnsi="Times New Roman" w:eastAsia="方正仿宋_GBK" w:cs="Times New Roman"/>
          <w:sz w:val="32"/>
          <w:szCs w:val="32"/>
          <w:lang w:val="en-US" w:eastAsia="zh-CN"/>
        </w:rPr>
        <w:t>指事业单位在专业业务活动及其辅助活动之外开展非独立核算经营</w:t>
      </w:r>
      <w:bookmarkStart w:id="0" w:name="_GoBack"/>
      <w:bookmarkEnd w:id="0"/>
      <w:r>
        <w:rPr>
          <w:rFonts w:hint="default" w:ascii="Times New Roman" w:hAnsi="Times New Roman" w:eastAsia="方正仿宋_GBK" w:cs="Times New Roman"/>
          <w:sz w:val="32"/>
          <w:szCs w:val="32"/>
          <w:lang w:val="en-US" w:eastAsia="zh-CN"/>
        </w:rPr>
        <w:t>活动取得的现金流入。</w:t>
      </w:r>
    </w:p>
    <w:p w14:paraId="4C6EE97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（四）其他收入</w:t>
      </w:r>
      <w:r>
        <w:rPr>
          <w:rFonts w:hint="default" w:ascii="Times New Roman" w:hAnsi="Times New Roman" w:eastAsia="方正楷体_GBK" w:cs="Times New Roman"/>
          <w:color w:val="auto"/>
          <w:sz w:val="32"/>
          <w:szCs w:val="32"/>
          <w:lang w:val="en-US" w:eastAsia="zh-CN"/>
        </w:rPr>
        <w:t>：</w:t>
      </w:r>
      <w:r>
        <w:rPr>
          <w:rFonts w:hint="default" w:ascii="Times New Roman" w:hAnsi="Times New Roman" w:eastAsia="方正仿宋_GBK" w:cs="Times New Roman"/>
          <w:sz w:val="32"/>
          <w:szCs w:val="32"/>
          <w:lang w:val="en-US" w:eastAsia="zh-CN"/>
        </w:rPr>
        <w:t>指单位取得的除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57D7938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方正楷体_GBK" w:hAnsi="方正楷体_GBK" w:eastAsia="方正楷体_GBK" w:cs="方正楷体_GBK"/>
          <w:color w:val="auto"/>
          <w:sz w:val="32"/>
          <w:szCs w:val="32"/>
          <w:lang w:val="en-US" w:eastAsia="zh-CN"/>
        </w:rPr>
        <w:t>（五）使用非财政拨款结余：</w:t>
      </w:r>
      <w:r>
        <w:rPr>
          <w:rFonts w:hint="default" w:ascii="Times New Roman" w:hAnsi="Times New Roman" w:eastAsia="方正仿宋_GBK" w:cs="Times New Roman"/>
          <w:sz w:val="32"/>
          <w:szCs w:val="32"/>
          <w:lang w:val="en-US" w:eastAsia="zh-CN"/>
        </w:rPr>
        <w:t>指单位在当年的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财政拨款收入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事业收入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经营收入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其他收入</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等不足以安排当年支出的情况下，使用以前年度积累的非财政拨款结余弥补本年度收支缺口的资金。</w:t>
      </w:r>
    </w:p>
    <w:p w14:paraId="19D22166">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（六）年初结转和结余：</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lang w:val="en-US" w:eastAsia="zh-CN"/>
        </w:rPr>
        <w:t>单位上年结转本年使用的基本支出结转、项目支出结转和结余、经营结余。</w:t>
      </w:r>
    </w:p>
    <w:p w14:paraId="1142FD5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方正楷体_GBK" w:hAnsi="方正楷体_GBK" w:eastAsia="方正楷体_GBK" w:cs="方正楷体_GBK"/>
          <w:color w:val="auto"/>
          <w:sz w:val="32"/>
          <w:szCs w:val="32"/>
          <w:lang w:val="en-US" w:eastAsia="zh-CN"/>
        </w:rPr>
        <w:t>（七）结余分配：</w:t>
      </w:r>
      <w:r>
        <w:rPr>
          <w:rFonts w:hint="default" w:ascii="Times New Roman" w:hAnsi="Times New Roman" w:eastAsia="方正仿宋_GBK" w:cs="Times New Roman"/>
          <w:sz w:val="32"/>
          <w:szCs w:val="32"/>
          <w:lang w:val="en-US" w:eastAsia="zh-CN"/>
        </w:rPr>
        <w:t>指单位按照国家有关规定，缴纳所得税、提取专用基金、转入非财政拨款结余等当年结余的分配情况。</w:t>
      </w:r>
    </w:p>
    <w:p w14:paraId="3508C5C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（八）年末结转和结余：</w:t>
      </w:r>
      <w:r>
        <w:rPr>
          <w:rFonts w:hint="default" w:ascii="Times New Roman" w:hAnsi="Times New Roman" w:eastAsia="方正仿宋_GBK" w:cs="Times New Roman"/>
          <w:sz w:val="32"/>
          <w:szCs w:val="32"/>
          <w:lang w:val="en-US" w:eastAsia="zh-CN"/>
        </w:rPr>
        <w:t>指单位结转下年的基本支出结转、项目支出结转和结余、经营结余。</w:t>
      </w:r>
    </w:p>
    <w:p w14:paraId="05F3181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（九）基本支出：</w:t>
      </w:r>
      <w:r>
        <w:rPr>
          <w:rFonts w:hint="default" w:ascii="Times New Roman" w:hAnsi="Times New Roman" w:eastAsia="方正仿宋_GBK" w:cs="Times New Roman"/>
          <w:sz w:val="32"/>
          <w:szCs w:val="32"/>
          <w:lang w:eastAsia="zh-CN"/>
        </w:rPr>
        <w:t>指</w:t>
      </w:r>
      <w:r>
        <w:rPr>
          <w:rFonts w:hint="default" w:ascii="Times New Roman" w:hAnsi="Times New Roman" w:eastAsia="方正仿宋_GBK" w:cs="Times New Roman"/>
          <w:sz w:val="32"/>
          <w:szCs w:val="32"/>
          <w:lang w:val="en-US" w:eastAsia="zh-CN"/>
        </w:rPr>
        <w:t>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；公用经费指政府收支分类经济科目中除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工资福利支出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对个人和家庭的补助</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外的其他支出。</w:t>
      </w:r>
    </w:p>
    <w:p w14:paraId="0885E587">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（十）项目支出：</w:t>
      </w:r>
      <w:r>
        <w:rPr>
          <w:rFonts w:hint="default" w:ascii="Times New Roman" w:hAnsi="Times New Roman" w:eastAsia="方正仿宋_GBK" w:cs="Times New Roman"/>
          <w:sz w:val="32"/>
          <w:szCs w:val="32"/>
          <w:lang w:val="en-US" w:eastAsia="zh-CN"/>
        </w:rPr>
        <w:t>指在基本支出之外为完成特定行政任务和事业发展目标所发生的支出。</w:t>
      </w:r>
    </w:p>
    <w:p w14:paraId="494DADF2">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（十一）经营支出：</w:t>
      </w:r>
      <w:r>
        <w:rPr>
          <w:rFonts w:hint="default" w:ascii="Times New Roman" w:hAnsi="Times New Roman" w:eastAsia="方正仿宋_GBK" w:cs="Times New Roman"/>
          <w:sz w:val="32"/>
          <w:szCs w:val="32"/>
          <w:lang w:val="en-US" w:eastAsia="zh-CN"/>
        </w:rPr>
        <w:t>指事业单位在专业业务活动及其辅助活动之外开展非独立核算经营活动发生的支出。</w:t>
      </w:r>
    </w:p>
    <w:p w14:paraId="3762B7F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（十二）</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三公</w:t>
      </w:r>
      <w:r>
        <w:rPr>
          <w:rFonts w:hint="eastAsia" w:ascii="Times New Roman" w:hAnsi="Times New Roman" w:eastAsia="方正楷体_GBK" w:cs="Times New Roman"/>
          <w:color w:val="auto"/>
          <w:sz w:val="32"/>
          <w:szCs w:val="32"/>
          <w:lang w:val="en-US" w:eastAsia="zh-CN"/>
        </w:rPr>
        <w:t>”</w:t>
      </w:r>
      <w:r>
        <w:rPr>
          <w:rFonts w:hint="default" w:ascii="Times New Roman" w:hAnsi="Times New Roman" w:eastAsia="方正楷体_GBK" w:cs="Times New Roman"/>
          <w:color w:val="auto"/>
          <w:sz w:val="32"/>
          <w:szCs w:val="32"/>
          <w:lang w:val="en-US" w:eastAsia="zh-CN"/>
        </w:rPr>
        <w:t>经费：</w:t>
      </w:r>
      <w:r>
        <w:rPr>
          <w:rFonts w:hint="default" w:ascii="Times New Roman" w:hAnsi="Times New Roman" w:eastAsia="方正仿宋_GBK" w:cs="Times New Roman"/>
          <w:sz w:val="32"/>
          <w:szCs w:val="32"/>
          <w:lang w:val="en-US" w:eastAsia="zh-CN"/>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9CC41C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（十三）机关运行经费：</w:t>
      </w:r>
      <w:r>
        <w:rPr>
          <w:rFonts w:hint="default" w:ascii="Times New Roman" w:hAnsi="Times New Roman" w:eastAsia="方正仿宋_GBK" w:cs="Times New Roman"/>
          <w:sz w:val="32"/>
          <w:szCs w:val="32"/>
          <w:lang w:eastAsia="zh-CN"/>
        </w:rPr>
        <w:t>为</w:t>
      </w:r>
      <w:r>
        <w:rPr>
          <w:rFonts w:hint="default" w:ascii="Times New Roman" w:hAnsi="Times New Roman" w:eastAsia="方正仿宋_GBK" w:cs="Times New Roman"/>
          <w:sz w:val="32"/>
          <w:szCs w:val="32"/>
          <w:lang w:val="en-US" w:eastAsia="zh-CN"/>
        </w:rPr>
        <w:t>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29A5B9E">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（十四）工资福利支出（支出经济分类科目类级）：</w:t>
      </w:r>
      <w:r>
        <w:rPr>
          <w:rFonts w:hint="default" w:ascii="Times New Roman" w:hAnsi="Times New Roman" w:eastAsia="方正仿宋_GBK" w:cs="Times New Roman"/>
          <w:sz w:val="32"/>
          <w:szCs w:val="32"/>
          <w:lang w:val="en-US" w:eastAsia="zh-CN"/>
        </w:rPr>
        <w:t>反映单位开支的在职职工和编制外长期聘用人员的各类劳动报酬，以及为上述人员缴纳的各项社会保险费等。</w:t>
      </w:r>
    </w:p>
    <w:p w14:paraId="44174120">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（十五）商品和服务支出（支出经济分类科目类级）：</w:t>
      </w:r>
      <w:r>
        <w:rPr>
          <w:rFonts w:hint="default" w:ascii="Times New Roman" w:hAnsi="Times New Roman" w:eastAsia="方正仿宋_GBK" w:cs="Times New Roman"/>
          <w:sz w:val="32"/>
          <w:szCs w:val="32"/>
          <w:lang w:val="en-US" w:eastAsia="zh-CN"/>
        </w:rPr>
        <w:t>反映单位购买商品和服务的支出（不包括用于购置固定资产的支出、战略性和应急储备支出）。</w:t>
      </w:r>
    </w:p>
    <w:p w14:paraId="353A3E7C">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lang w:val="en-US" w:eastAsia="zh-CN"/>
        </w:rPr>
        <w:t>（十六）对个人和家庭的补助（支出经济分类科目类级）：</w:t>
      </w:r>
      <w:r>
        <w:rPr>
          <w:rFonts w:hint="default" w:ascii="Times New Roman" w:hAnsi="Times New Roman" w:eastAsia="方正仿宋_GBK" w:cs="Times New Roman"/>
          <w:sz w:val="32"/>
          <w:szCs w:val="32"/>
          <w:lang w:val="en-US" w:eastAsia="zh-CN"/>
        </w:rPr>
        <w:t>反映用于对个人和家庭的补助支出。</w:t>
      </w:r>
    </w:p>
    <w:p w14:paraId="38E8938F">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方正仿宋_GBK" w:hAnsi="方正仿宋_GBK" w:eastAsia="方正仿宋_GBK" w:cs="方正仿宋_GBK"/>
          <w:color w:val="auto"/>
          <w:sz w:val="32"/>
          <w:szCs w:val="32"/>
          <w:lang w:val="en-US" w:eastAsia="zh-CN"/>
        </w:rPr>
      </w:pPr>
      <w:r>
        <w:rPr>
          <w:rFonts w:hint="default" w:ascii="Times New Roman" w:hAnsi="Times New Roman" w:eastAsia="方正楷体_GBK" w:cs="Times New Roman"/>
          <w:color w:val="auto"/>
          <w:sz w:val="32"/>
          <w:szCs w:val="32"/>
          <w:lang w:val="en-US" w:eastAsia="zh-CN"/>
        </w:rPr>
        <w:t>（十七）其他资本性支出（支出经济分类科目类级）：</w:t>
      </w:r>
      <w:r>
        <w:rPr>
          <w:rFonts w:hint="default" w:ascii="Times New Roman" w:hAnsi="Times New Roman" w:eastAsia="方正仿宋_GBK" w:cs="Times New Roman"/>
          <w:sz w:val="32"/>
          <w:szCs w:val="32"/>
          <w:lang w:val="en-US" w:eastAsia="zh-CN"/>
        </w:rPr>
        <w:t>反映非各级发展与改革部门集中安排的用于购置固定资产、战略性和应急性储备、土地和无形资产，以及构建基础设施、大型修缮和财政支持企业更新改造所发生的支出。</w:t>
      </w:r>
    </w:p>
    <w:p w14:paraId="07E652E1">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七、决算公开联系方式及信息反馈渠道</w:t>
      </w:r>
    </w:p>
    <w:p w14:paraId="7697D1D8">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本单位决算公开信息反馈和联系方式：</w:t>
      </w:r>
    </w:p>
    <w:p w14:paraId="22E851D3">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联系人：许弟春；联系方式：023-45211002</w:t>
      </w:r>
    </w:p>
    <w:p w14:paraId="2887397F">
      <w:pPr>
        <w:keepNext w:val="0"/>
        <w:keepLines w:val="0"/>
        <w:pageBreakBefore w:val="0"/>
        <w:widowControl/>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p>
    <w:p w14:paraId="212FCD54">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850" w:h="16783"/>
      <w:pgMar w:top="2098" w:right="1474" w:bottom="1984" w:left="1587" w:header="0" w:footer="283" w:gutter="0"/>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C1A1A">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46FE3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0E46FE3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9D559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49D5592">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7428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7B17090"/>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A1776A"/>
    <w:rsid w:val="0DB50EFE"/>
    <w:rsid w:val="0DDA54E4"/>
    <w:rsid w:val="0E3A5F83"/>
    <w:rsid w:val="0E7A6A33"/>
    <w:rsid w:val="0F836721"/>
    <w:rsid w:val="0F8B56F7"/>
    <w:rsid w:val="103645A3"/>
    <w:rsid w:val="107B59E5"/>
    <w:rsid w:val="11003CB0"/>
    <w:rsid w:val="111445C7"/>
    <w:rsid w:val="1158083A"/>
    <w:rsid w:val="11F03528"/>
    <w:rsid w:val="12C921C4"/>
    <w:rsid w:val="13850DCB"/>
    <w:rsid w:val="13871C70"/>
    <w:rsid w:val="13A71CB4"/>
    <w:rsid w:val="13AF1D43"/>
    <w:rsid w:val="13C643C6"/>
    <w:rsid w:val="13CE1647"/>
    <w:rsid w:val="14150A03"/>
    <w:rsid w:val="141A11EA"/>
    <w:rsid w:val="14200702"/>
    <w:rsid w:val="148E377E"/>
    <w:rsid w:val="1580711B"/>
    <w:rsid w:val="166A6AB0"/>
    <w:rsid w:val="189B0D0B"/>
    <w:rsid w:val="18BA5E1D"/>
    <w:rsid w:val="194A1770"/>
    <w:rsid w:val="19917D9C"/>
    <w:rsid w:val="19B906A4"/>
    <w:rsid w:val="1A1F744B"/>
    <w:rsid w:val="1A2C356C"/>
    <w:rsid w:val="1A4854EC"/>
    <w:rsid w:val="1B487F31"/>
    <w:rsid w:val="1B6F15B6"/>
    <w:rsid w:val="1BAA2EDC"/>
    <w:rsid w:val="1CE157EE"/>
    <w:rsid w:val="1D014A01"/>
    <w:rsid w:val="1D022362"/>
    <w:rsid w:val="1DD26311"/>
    <w:rsid w:val="1EF67CA4"/>
    <w:rsid w:val="1FB277DA"/>
    <w:rsid w:val="1FCD26AF"/>
    <w:rsid w:val="20642787"/>
    <w:rsid w:val="21556F04"/>
    <w:rsid w:val="22403BD3"/>
    <w:rsid w:val="24932670"/>
    <w:rsid w:val="24B92327"/>
    <w:rsid w:val="2533755C"/>
    <w:rsid w:val="26396DF4"/>
    <w:rsid w:val="270642A6"/>
    <w:rsid w:val="27167136"/>
    <w:rsid w:val="27B23302"/>
    <w:rsid w:val="27FF0DF3"/>
    <w:rsid w:val="29310A5F"/>
    <w:rsid w:val="29C37A35"/>
    <w:rsid w:val="29C95E09"/>
    <w:rsid w:val="2A076083"/>
    <w:rsid w:val="2A45769B"/>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280F27"/>
    <w:rsid w:val="38BE4696"/>
    <w:rsid w:val="38E5688E"/>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07086"/>
    <w:rsid w:val="40FD5440"/>
    <w:rsid w:val="411B6CE5"/>
    <w:rsid w:val="412070D7"/>
    <w:rsid w:val="41314E40"/>
    <w:rsid w:val="4142353C"/>
    <w:rsid w:val="414B08D8"/>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4D48F9"/>
    <w:rsid w:val="4B7951CB"/>
    <w:rsid w:val="4B7C315C"/>
    <w:rsid w:val="4BAB7F90"/>
    <w:rsid w:val="4D2B0C52"/>
    <w:rsid w:val="4DAC4ACA"/>
    <w:rsid w:val="4F186D58"/>
    <w:rsid w:val="50EC262C"/>
    <w:rsid w:val="50FC13CA"/>
    <w:rsid w:val="522F6E0C"/>
    <w:rsid w:val="52463BA1"/>
    <w:rsid w:val="53C0244D"/>
    <w:rsid w:val="53DD4D4E"/>
    <w:rsid w:val="53E578CE"/>
    <w:rsid w:val="543B029D"/>
    <w:rsid w:val="545D0246"/>
    <w:rsid w:val="554E5773"/>
    <w:rsid w:val="555A3CBC"/>
    <w:rsid w:val="55690BF5"/>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0E92847"/>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AB846BB"/>
    <w:rsid w:val="6B474EF5"/>
    <w:rsid w:val="6B4E3A9A"/>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0F11C0"/>
    <w:rsid w:val="7875383E"/>
    <w:rsid w:val="796D60A4"/>
    <w:rsid w:val="79A031D5"/>
    <w:rsid w:val="7A1525F7"/>
    <w:rsid w:val="7A3E6CB6"/>
    <w:rsid w:val="7A680D2D"/>
    <w:rsid w:val="7B260559"/>
    <w:rsid w:val="7B420052"/>
    <w:rsid w:val="7BD06A28"/>
    <w:rsid w:val="7C1E4CD7"/>
    <w:rsid w:val="7C3A7C0B"/>
    <w:rsid w:val="7C5248E4"/>
    <w:rsid w:val="7C566698"/>
    <w:rsid w:val="7DB61C4E"/>
    <w:rsid w:val="7FA960B8"/>
    <w:rsid w:val="EFF92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4647</Words>
  <Characters>5070</Characters>
  <Lines>161</Lines>
  <Paragraphs>45</Paragraphs>
  <TotalTime>7</TotalTime>
  <ScaleCrop>false</ScaleCrop>
  <LinksUpToDate>false</LinksUpToDate>
  <CharactersWithSpaces>5071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Mist</cp:lastModifiedBy>
  <dcterms:modified xsi:type="dcterms:W3CDTF">2025-10-27T10:07:09Z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963CEB90DA11476783DCF6CCE0B0D8AF</vt:lpwstr>
  </property>
  <property fmtid="{D5CDD505-2E9C-101B-9397-08002B2CF9AE}" pid="4" name="KSOTemplateDocerSaveRecord">
    <vt:lpwstr>eyJoZGlkIjoiYzg1OWZjNDY4YWU3ZDM2NzE4ZjRlYWM4ZWQ1YmRmODIiLCJ1c2VySWQiOiI3OTg1NTU1MjEifQ==</vt:lpwstr>
  </property>
</Properties>
</file>