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09713">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重庆市铜梁区平滩镇综合行政执法大队</w:t>
      </w:r>
    </w:p>
    <w:p w14:paraId="619562BB">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2024年度决算公开说明</w:t>
      </w:r>
    </w:p>
    <w:p w14:paraId="1F59FAB4">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p>
    <w:p w14:paraId="100A356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w:t>
      </w:r>
      <w:r>
        <w:rPr>
          <w:rFonts w:hint="default" w:ascii="Times New Roman" w:hAnsi="Times New Roman" w:eastAsia="方正黑体_GBK" w:cs="Times New Roman"/>
          <w:color w:val="000000" w:themeColor="text1"/>
          <w:sz w:val="32"/>
          <w:szCs w:val="32"/>
          <w:lang w:eastAsia="zh-CN"/>
          <w14:textFill>
            <w14:solidFill>
              <w14:schemeClr w14:val="tx1"/>
            </w14:solidFill>
          </w14:textFill>
        </w:rPr>
        <w:t>单位</w:t>
      </w:r>
      <w:r>
        <w:rPr>
          <w:rFonts w:hint="default" w:ascii="Times New Roman" w:hAnsi="Times New Roman" w:eastAsia="方正黑体_GBK" w:cs="Times New Roman"/>
          <w:color w:val="000000" w:themeColor="text1"/>
          <w:sz w:val="32"/>
          <w:szCs w:val="32"/>
          <w14:textFill>
            <w14:solidFill>
              <w14:schemeClr w14:val="tx1"/>
            </w14:solidFill>
          </w14:textFill>
        </w:rPr>
        <w:t>基本情况</w:t>
      </w:r>
    </w:p>
    <w:p w14:paraId="3D8D087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（一）职能职责</w:t>
      </w:r>
    </w:p>
    <w:p w14:paraId="60B62E6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重庆市铜梁区平滩镇综合行政执法大队是基层政府的关键执法机构，主要职责是依据法律法规或上级委托，在辖区内行使多领域综合行政执法权，包括日常巡查、违法查处、行政处罚及跨部门协调，覆盖城乡建设、环境保护、市场监管、安全生产等领域，以维护基层治理秩序。</w:t>
      </w:r>
    </w:p>
    <w:p w14:paraId="416D200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（二）机构设置</w:t>
      </w:r>
    </w:p>
    <w:p w14:paraId="07E024F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本单位为重庆市铜梁区平滩镇人民政府所属二级预算单位，单位类型为公益一类事业单位，无下级单位。</w:t>
      </w:r>
    </w:p>
    <w:p w14:paraId="6F2A3D2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w:t>
      </w:r>
      <w:r>
        <w:rPr>
          <w:rFonts w:hint="default" w:ascii="Times New Roman" w:hAnsi="Times New Roman" w:eastAsia="方正黑体_GBK" w:cs="Times New Roman"/>
          <w:color w:val="000000" w:themeColor="text1"/>
          <w:sz w:val="32"/>
          <w:szCs w:val="32"/>
          <w:lang w:eastAsia="zh-CN"/>
          <w14:textFill>
            <w14:solidFill>
              <w14:schemeClr w14:val="tx1"/>
            </w14:solidFill>
          </w14:textFill>
        </w:rPr>
        <w:t>单位</w:t>
      </w:r>
      <w:r>
        <w:rPr>
          <w:rFonts w:hint="default" w:ascii="Times New Roman" w:hAnsi="Times New Roman" w:eastAsia="方正黑体_GBK" w:cs="Times New Roman"/>
          <w:color w:val="000000" w:themeColor="text1"/>
          <w:sz w:val="32"/>
          <w:szCs w:val="32"/>
          <w14:textFill>
            <w14:solidFill>
              <w14:schemeClr w14:val="tx1"/>
            </w14:solidFill>
          </w14:textFill>
        </w:rPr>
        <w:t>决算</w:t>
      </w:r>
      <w:r>
        <w:rPr>
          <w:rFonts w:hint="default" w:ascii="Times New Roman" w:hAnsi="Times New Roman" w:eastAsia="方正黑体_GBK" w:cs="Times New Roman"/>
          <w:color w:val="000000" w:themeColor="text1"/>
          <w:sz w:val="32"/>
          <w:szCs w:val="32"/>
          <w:lang w:eastAsia="zh-CN"/>
          <w14:textFill>
            <w14:solidFill>
              <w14:schemeClr w14:val="tx1"/>
            </w14:solidFill>
          </w14:textFill>
        </w:rPr>
        <w:t>收支</w:t>
      </w:r>
      <w:r>
        <w:rPr>
          <w:rFonts w:hint="default" w:ascii="Times New Roman" w:hAnsi="Times New Roman" w:eastAsia="方正黑体_GBK" w:cs="Times New Roman"/>
          <w:color w:val="000000" w:themeColor="text1"/>
          <w:sz w:val="32"/>
          <w:szCs w:val="32"/>
          <w14:textFill>
            <w14:solidFill>
              <w14:schemeClr w14:val="tx1"/>
            </w14:solidFill>
          </w14:textFill>
        </w:rPr>
        <w:t>情况说明</w:t>
      </w:r>
    </w:p>
    <w:p w14:paraId="50EF39C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（一）收入支出决算总体情况说明</w:t>
      </w:r>
    </w:p>
    <w:p w14:paraId="497B73B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1.总体情况。2024年度收入总计166.87万元，支出总计166.87万元。收、支与2023年度相比，增加166.87万元，增长100.0%，主要原因是本单位为新增事业单位，上年度无决算数据，本年度收入、支出分别为166.87万元。</w:t>
      </w:r>
    </w:p>
    <w:p w14:paraId="6E9FAF0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2.收入情况。2024年度收入合计166.87万元，与2023年度相比，增加166.87万元，增长100.0%，主要原因是本单位为新增事业单位，上年度无决算数据，本年度收入为166.87万元。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其中：财政拨款收入166.87万元，占100.0%；事业收入0万元，占0%；经营收入0万元，占0%；其他收入0万元，占0%。此外，使用非财政拨款结余和专用结余0万元，年初结转和结余0万元。</w:t>
      </w:r>
    </w:p>
    <w:p w14:paraId="7560CB3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3.支出情况。2024年度支出合计166.87万元，与2023年度相比，增加166.87万元，增长100.0%，主要原因是本单位为新增事业单位，上年度无决算数据，本年度支出为166.87万元。其中：基本支出123万元，占73.7%；项目支出43.86万元，占26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%；经营支出0万元，占0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%。此外，结余分配0万元。</w:t>
      </w:r>
    </w:p>
    <w:p w14:paraId="3D2D78B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4.结转结余情况。2024年度年末结转和结余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万元，与2023年度相比，无增减变化，主要原因是本单位为新增事业单位，上年度无决算数据，结转结余视为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本年度收入、支出分别为166.87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万元，与上年持平。</w:t>
      </w:r>
    </w:p>
    <w:p w14:paraId="5485BEE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（二）财政拨款收入支出决算总体情况说明</w:t>
      </w:r>
    </w:p>
    <w:p w14:paraId="7A919B3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2024年度财政拨款收、支总计166.87万元。与202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年相比，财政拨款收、支总计各增加166.87万元，增长100.0%。主要原因是本单位为新增事业单位，上年度无决算数据，本年度收入、支出分别为166.87万元。</w:t>
      </w:r>
    </w:p>
    <w:p w14:paraId="4749D1C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（三）一般公共预算财政拨款收入支出决算情况说明</w:t>
      </w:r>
    </w:p>
    <w:p w14:paraId="1CB0089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1.收入情况。2024年度一般公共预算财政拨款收入166.87万元，与2023年度相比，增加166.87万元，增长100.0%。主要原因是本单位为新增事业单位，上年度无决算数据，本年度收入为166.87万元。较年初预算数减少39.65万元，下降19.2%。主要原因是应休未休假补贴未发、超高绩效未清算和差旅补助减少和公积金调减。此外，年初财政拨款结转和结余0万元。</w:t>
      </w:r>
    </w:p>
    <w:p w14:paraId="09FEDA8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支出情况。2024年度一般公共预算财政拨款支出166.87万元，与2023年度相比，增加166.87万元，增长100.0%。主要原因是本单位为新增事业单位，上年度无决算数据，本年度支出为166.87万元。较年初预算数减少39.65万元，下降19.2%。主要原因是应休未休假补贴未发、超高绩效未清算和差旅补助减少和公积金调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9.22万元，市政维护经费减少29.14万元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6D60125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3.结转结余情况。2024年度年末一般公共预算财政拨款结转和结余0万元，与2023年度相比，无增减，主要原因是本单位为新增事业单位，上年度无决算数据，本年度收入、支出分别为166.87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万元，与上年持平。</w:t>
      </w:r>
    </w:p>
    <w:p w14:paraId="102BCDF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4.比较情况。本单位2024年度一般公共预算财政拨款支出主要用于以下几个方面：</w:t>
      </w:r>
    </w:p>
    <w:p w14:paraId="689D361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（1）一般公共服务支出147.14万元，占88.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%，较年初预算数增加34.64万元，增长30.8%，主要原因是根据决算要求，项目市政维护经费调整了功能，从城乡社区支出调整为一般公共服务支出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43.86万元，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应休未休假补贴未发、超高绩效未清算和差旅补助减少和公积金调减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9.22万元。</w:t>
      </w:r>
    </w:p>
    <w:p w14:paraId="73CB612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）社会保障与就业支出10.29万元，占6.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%，较年初预算数无增减，主要原因是养老保险、职业年金严格按规定支出。</w:t>
      </w:r>
    </w:p>
    <w:p w14:paraId="3AA45C6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）卫生健康支出4.29万元，占2.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%，较年初预算数减少1.29万元，下降23.1%，主要原因是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超高绩效没纳入医疗保险的基数导致支出减少。</w:t>
      </w:r>
    </w:p>
    <w:p w14:paraId="6D5909B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）城乡社区支出0万元，占0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%，较年初预算数减少73.00万元，下降100.0%，主要原因是根据决算要求，项目市政维护经费调整了功能，从城乡社区支出调整为一般公共服务支出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43.86万元，减少29.14万元。</w:t>
      </w:r>
    </w:p>
    <w:p w14:paraId="56F96D3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）住房保障支出5.15万元，占3.</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%，较年初预算数无增减，主要原因是住房公积金严格按规定支出。</w:t>
      </w:r>
    </w:p>
    <w:p w14:paraId="445B23D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（四）一般公共预算财政拨款基本支出决算情况说明</w:t>
      </w:r>
    </w:p>
    <w:p w14:paraId="2739B9F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一般公共财政拨款基本支出123万元。其中：人员经费109.05万元，与2023年度相比，增加109.05万元，增长100.0%，主要原因是本单位为新增事业单位，上年度无决算数据，2024年度人员经费109.05万元。人员经费用途主要包括基本工资、津贴补贴、绩效工资、社会保障缴费、住房公积金、应休未休假补贴等。公用经费13.95万元，与2023年度相比，增加13.95万元，增长100.0%，主要原因是本单位为新增事业单位，上年度无决算数据，2024年度公用经费13.95万元。公用经费用途主要包括办公费、水费、电费、邮电费、差旅费、维修费、培训费和工会经费。</w:t>
      </w:r>
    </w:p>
    <w:p w14:paraId="0517CD5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（五）政府性基金预算收支决算情况说明</w:t>
      </w:r>
    </w:p>
    <w:p w14:paraId="7E3CAB4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政府性基金预算财政拨款年初结转结余0万元，年末结转结余0万元。本年收入0万元，与2023年度相比，无增减，本年支出0万元，与2023年度相比，无增减，主要原因是本单位2024年度无政府性基金预算财政拨款收支。</w:t>
      </w:r>
    </w:p>
    <w:p w14:paraId="60B6EEE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（六）国有资本经营预算财政拨款支出决算情况说明</w:t>
      </w:r>
    </w:p>
    <w:p w14:paraId="250F359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2024年度国有资本经营预算财政</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拨款</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本年支出0万元，基本支出0万元，项目支出0万元，主要原因是本单位2024年度无国有资本经营预算财政拨款支出。</w:t>
      </w:r>
    </w:p>
    <w:p w14:paraId="28C3A33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三、</w:t>
      </w:r>
      <w:r>
        <w:rPr>
          <w:rFonts w:hint="default" w:ascii="Times New Roman" w:hAnsi="Times New Roman" w:eastAsia="方正黑体_GBK" w:cs="Times New Roman"/>
          <w:color w:val="000000" w:themeColor="text1"/>
          <w:sz w:val="32"/>
          <w:szCs w:val="32"/>
          <w:lang w:eastAsia="zh-CN"/>
          <w14:textFill>
            <w14:solidFill>
              <w14:schemeClr w14:val="tx1"/>
            </w14:solidFill>
          </w14:textFill>
        </w:rPr>
        <w:t>财政拨款</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w:t>
      </w:r>
      <w:r>
        <w:rPr>
          <w:rFonts w:hint="default" w:ascii="Times New Roman" w:hAnsi="Times New Roman" w:eastAsia="方正黑体_GBK" w:cs="Times New Roman"/>
          <w:color w:val="000000" w:themeColor="text1"/>
          <w:sz w:val="32"/>
          <w:szCs w:val="32"/>
          <w14:textFill>
            <w14:solidFill>
              <w14:schemeClr w14:val="tx1"/>
            </w14:solidFill>
          </w14:textFill>
        </w:rPr>
        <w:t>三公</w:t>
      </w:r>
      <w:r>
        <w:rPr>
          <w:rFonts w:hint="eastAsia" w:ascii="Times New Roman" w:hAnsi="Times New Roman" w:eastAsia="方正黑体_GBK" w:cs="Times New Roman"/>
          <w:color w:val="000000" w:themeColor="text1"/>
          <w:sz w:val="32"/>
          <w:szCs w:val="32"/>
          <w:lang w:eastAsia="zh-CN"/>
          <w14:textFill>
            <w14:solidFill>
              <w14:schemeClr w14:val="tx1"/>
            </w14:solidFill>
          </w14:textFill>
        </w:rPr>
        <w:t>”</w:t>
      </w:r>
      <w:r>
        <w:rPr>
          <w:rFonts w:hint="default" w:ascii="Times New Roman" w:hAnsi="Times New Roman" w:eastAsia="方正黑体_GBK" w:cs="Times New Roman"/>
          <w:color w:val="000000" w:themeColor="text1"/>
          <w:sz w:val="32"/>
          <w:szCs w:val="32"/>
          <w14:textFill>
            <w14:solidFill>
              <w14:schemeClr w14:val="tx1"/>
            </w14:solidFill>
          </w14:textFill>
        </w:rPr>
        <w:t>经费情况说明</w:t>
      </w:r>
    </w:p>
    <w:p w14:paraId="1A3A376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（一）“三公”经费支出总体情况说明</w:t>
      </w:r>
    </w:p>
    <w:p w14:paraId="73EEEF6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三公</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经费支出共计0万元，较年初预算数无增减，主要原因是本单位为重庆市铜梁区平滩镇人民政府所属二级预算单位，单位类型为公益一类事业单位，财政未保障我单位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三公</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经费。较上年支出数无增减，主要原因是2024年度未发生</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三公</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经费，与上年持平。</w:t>
      </w:r>
    </w:p>
    <w:p w14:paraId="1DF2133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w:t>
      </w:r>
      <w:r>
        <w:rPr>
          <w:rFonts w:hint="eastAsia" w:ascii="Times New Roman" w:hAnsi="Times New Roman" w:eastAsia="方正楷体_GBK" w:cs="Times New Roman"/>
          <w:color w:val="000000" w:themeColor="text1"/>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sz w:val="32"/>
          <w:szCs w:val="32"/>
          <w14:textFill>
            <w14:solidFill>
              <w14:schemeClr w14:val="tx1"/>
            </w14:solidFill>
          </w14:textFill>
        </w:rPr>
        <w:t>三公</w:t>
      </w:r>
      <w:r>
        <w:rPr>
          <w:rFonts w:hint="eastAsia" w:ascii="Times New Roman" w:hAnsi="Times New Roman" w:eastAsia="方正楷体_GBK" w:cs="Times New Roman"/>
          <w:color w:val="000000" w:themeColor="text1"/>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sz w:val="32"/>
          <w:szCs w:val="32"/>
          <w14:textFill>
            <w14:solidFill>
              <w14:schemeClr w14:val="tx1"/>
            </w14:solidFill>
          </w14:textFill>
        </w:rPr>
        <w:t>经费分项支出情况</w:t>
      </w:r>
    </w:p>
    <w:p w14:paraId="2C7FB35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024年度本单位因公出国（境）费用0万元，费用支出较年初预算数无增减，主要原因是本单位未发生因公出国（境）费用，与年初预算数持平。与2023年度相比，无增减，主要原因是本单位未发生因公出国（境）费用，与上年持平。</w:t>
      </w:r>
    </w:p>
    <w:p w14:paraId="42F3CD4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公务车购置费0万元。费用支出较年初预算数无增减，主要原因是本单位未发生公务车购置费，与年初预算数持平。与2023年度相比，无增减，主要原因是本单位未发生公务车购置费，与上年持平。</w:t>
      </w:r>
    </w:p>
    <w:p w14:paraId="5E2372B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务车运行维护费0万元。费用支出较年初预算数无增减，主要原因是本单位为重庆市铜梁区平滩镇人民政府所属二级预算单位，单位类型为公益一类事业单位，未发生公务车运行维护费，与年初预算数持平。与2023年度相比，无增减，主要原因是本单位未发生公务车运行维护费，与上年持平。</w:t>
      </w:r>
    </w:p>
    <w:p w14:paraId="6AFC4C6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公务接待费0万元。费用支出较年初预算数无增减，主要原因是本单位未发生公务接待费。较上年支出数无增减，主要原因是本单位未发生公务接待费，与上年持平。</w:t>
      </w:r>
    </w:p>
    <w:p w14:paraId="7E8AAF8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w:t>
      </w:r>
      <w:r>
        <w:rPr>
          <w:rFonts w:hint="eastAsia" w:ascii="Times New Roman" w:hAnsi="Times New Roman" w:eastAsia="方正楷体_GBK" w:cs="Times New Roman"/>
          <w:color w:val="000000" w:themeColor="text1"/>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sz w:val="32"/>
          <w:szCs w:val="32"/>
          <w14:textFill>
            <w14:solidFill>
              <w14:schemeClr w14:val="tx1"/>
            </w14:solidFill>
          </w14:textFill>
        </w:rPr>
        <w:t>三公</w:t>
      </w:r>
      <w:r>
        <w:rPr>
          <w:rFonts w:hint="eastAsia" w:ascii="Times New Roman" w:hAnsi="Times New Roman" w:eastAsia="方正楷体_GBK" w:cs="Times New Roman"/>
          <w:color w:val="000000" w:themeColor="text1"/>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sz w:val="32"/>
          <w:szCs w:val="32"/>
          <w14:textFill>
            <w14:solidFill>
              <w14:schemeClr w14:val="tx1"/>
            </w14:solidFill>
          </w14:textFill>
        </w:rPr>
        <w:t>经费实物量情况</w:t>
      </w:r>
    </w:p>
    <w:p w14:paraId="3657C3B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2388864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四、其他需要说明的事项</w:t>
      </w:r>
    </w:p>
    <w:p w14:paraId="735371A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（一）财政拨款会议费和培训费情况说明</w:t>
      </w:r>
    </w:p>
    <w:p w14:paraId="0543E06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本年度会议费支出0万元，与2023年度相比，无增减。本年度培训费支出0万元，与2023年度相比，无变化。</w:t>
      </w:r>
    </w:p>
    <w:p w14:paraId="4CF699E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（二）机关运行经费情况说明</w:t>
      </w:r>
    </w:p>
    <w:p w14:paraId="59009EA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2024年度本单位机关运行经费支出0万元，机关运行经费较上年支出数无增减，主要原因是按照部门决算列报口径，我单位不在机关运行经费统计范围之内</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16E86D4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（三）国有资产占用情况说明</w:t>
      </w:r>
    </w:p>
    <w:p w14:paraId="3F98128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0342703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（四）政府采购支出情况说明</w:t>
      </w:r>
    </w:p>
    <w:p w14:paraId="3F9B9ED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度本单位政府采购支出总额0万元，其中：政府采购货物支出0万元、政府采购工程支出0万元、政府采购服务支出0万元。授予中小企业合同金额0万元，占政府采购支出总额的0.0%，其中：授予小微企业合同金额0万元，占政府采购支出总额的0.0 %。2024年度我单位未发生政府采购事项，无相关经费支出。</w:t>
      </w:r>
    </w:p>
    <w:p w14:paraId="0A2C4A7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五、2024年度预算绩效管理情况说明</w:t>
      </w:r>
    </w:p>
    <w:p w14:paraId="64601E0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一）预算绩效管理工作开展情况</w:t>
      </w:r>
    </w:p>
    <w:p w14:paraId="3C25CB3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根据预算绩效管理要求，我单位对1个项目开展了绩效自评，其中，以填报自评表形式开展自评1项，涉及资金43.87万元。</w:t>
      </w:r>
    </w:p>
    <w:p w14:paraId="4E1A914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14:textFill>
            <w14:solidFill>
              <w14:schemeClr w14:val="tx1"/>
            </w14:solidFill>
          </w14:textFill>
        </w:rPr>
        <w:t>（二）绩效自评结果</w:t>
      </w:r>
    </w:p>
    <w:p w14:paraId="1AB55C4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1.项目绩效自评表。</w:t>
      </w:r>
    </w:p>
    <w:p w14:paraId="473E237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详见附件。</w:t>
      </w:r>
    </w:p>
    <w:p w14:paraId="5219102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2.项目绩效自评报告或案例。</w:t>
      </w:r>
    </w:p>
    <w:p w14:paraId="0657811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我单位未委托第三方开展绩效评价。</w:t>
      </w:r>
    </w:p>
    <w:p w14:paraId="3149BAC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3.关于绩效自评结果的说明。</w:t>
      </w:r>
    </w:p>
    <w:p w14:paraId="7BA365D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我单位对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1个</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项目进行绩效自评，其中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个已完成年度绩效目标，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个未完成年度绩效目标。</w:t>
      </w:r>
    </w:p>
    <w:p w14:paraId="2C8369D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 xml:space="preserve">（三）财政重点绩效评价情况 </w:t>
      </w:r>
    </w:p>
    <w:p w14:paraId="0497F91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我单位无财政重点绩效评价项目。</w:t>
      </w:r>
    </w:p>
    <w:p w14:paraId="4DC9AD2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六、专业名词解释</w:t>
      </w:r>
    </w:p>
    <w:p w14:paraId="510969D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（一）财政拨款收入：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指本年度从本级财政部门取得的财政拨款，包括一般公共预算财政拨款和政府性基金预算财政拨款。</w:t>
      </w:r>
    </w:p>
    <w:p w14:paraId="192CB8C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（二）事业收入：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指事业单位开展专业业务活动及其辅助活动取得的现金流入；事业单位收到的财政专户实际核拨的教育收费等资金在此反映。</w:t>
      </w:r>
    </w:p>
    <w:p w14:paraId="712EA78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（三）经营收入：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指事业单位在专业业务活动及其辅助活动之外开展非独立核算经营活动取得的现金流入。</w:t>
      </w:r>
    </w:p>
    <w:p w14:paraId="6903121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（四）其他收入</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指单位取得的除</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财政拨款收入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事业收入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bookmarkStart w:id="0" w:name="_GoBack"/>
      <w:bookmarkEnd w:id="0"/>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经营收入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4AA333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（五）使用非财政拨款结余：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指单位在当年的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财政拨款收入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事业收入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经营收入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其他收入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等不足以安排当年支出的情况下，使用以前年度积累的非财政拨款结余弥补本年度收支缺口的资金。</w:t>
      </w:r>
    </w:p>
    <w:p w14:paraId="458017C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（六）年初结转和结余：</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单位上年结转本年使用的基本支出结转、项目支出结转和结余、经营结余。</w:t>
      </w:r>
    </w:p>
    <w:p w14:paraId="6BF5230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t>（七）结余分配：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指单位按照国家有关规定，缴纳所得税、提取专用基金、转入非财政拨款结余等当年结余的分配情况。</w:t>
      </w:r>
    </w:p>
    <w:p w14:paraId="73D1374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（八）年末结转和结余：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指单位结转下年的基本支出结转、项目支出结转和结余、经营结余。</w:t>
      </w:r>
    </w:p>
    <w:p w14:paraId="22BF243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（九）基本支出：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为保障机构正常运转、完成日常工作任务而发生的人员经费和公用经费。其中：人员经费指政府收支分类经济科目中的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工资福利支出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对个人和家庭的补助</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；公用经费指政府收支分类经济科目中除</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工资福利支出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对个人和家庭的补助</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外的其他支出。</w:t>
      </w:r>
    </w:p>
    <w:p w14:paraId="1FF0C97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（十）项目支出：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指在基本支出之外为完成特定行政任务和事业发展目标所发生的支出。</w:t>
      </w:r>
    </w:p>
    <w:p w14:paraId="71A046B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（十一）经营支出：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指事业单位在专业业务活动及其辅助活动之外开展非独立核算经营活动发生的支出</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w:t>
      </w:r>
    </w:p>
    <w:p w14:paraId="4B457C8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（十二）</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三公</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经费：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5FF881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（十三）机关运行经费：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1DE25B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（十四）工资福利支出（支出经济分类科目类级）：</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反映单位开支的在职职工和编制外长期聘用人员的各类劳动报酬，以及为上述人员缴纳的各项社会保险费等。</w:t>
      </w:r>
    </w:p>
    <w:p w14:paraId="094A678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（十五）商品和服务支出（支出经济分类科目类级）：</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反映单位购买商品和服务的支出（不包括用于购置固定资产的支出、战略性和应急储备支出）。</w:t>
      </w:r>
    </w:p>
    <w:p w14:paraId="081126A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（十六）对个人和家庭的补助（支出经济分类科目类级）：</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反映用于对个人和家庭的补助支出。</w:t>
      </w:r>
    </w:p>
    <w:p w14:paraId="217DA95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（十七）其他资本性支出（支出经济分类科目类级）：</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0282A3E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七、决算公开联系方式及信息反馈渠道</w:t>
      </w:r>
    </w:p>
    <w:p w14:paraId="7B5D01B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本单位决算公开信息反馈和联系方式：</w:t>
      </w:r>
    </w:p>
    <w:p w14:paraId="6304A0A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联系人：许弟春；联系方式：023-45211002</w:t>
      </w:r>
    </w:p>
    <w:p w14:paraId="7ADE19F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903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91C02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491C02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A8B85C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A8B85CC">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7E1E8">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D745CA"/>
    <w:rsid w:val="0AEC3BC7"/>
    <w:rsid w:val="0AF87D72"/>
    <w:rsid w:val="0B9335CE"/>
    <w:rsid w:val="0C7927C4"/>
    <w:rsid w:val="0C9B098C"/>
    <w:rsid w:val="0D11728C"/>
    <w:rsid w:val="0D673E11"/>
    <w:rsid w:val="0DB50EFE"/>
    <w:rsid w:val="0DDA54E4"/>
    <w:rsid w:val="0E2B277C"/>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A475A1"/>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30202C"/>
    <w:rsid w:val="27B23302"/>
    <w:rsid w:val="29310A5F"/>
    <w:rsid w:val="29C37A35"/>
    <w:rsid w:val="29C95E09"/>
    <w:rsid w:val="2A076083"/>
    <w:rsid w:val="2A73162E"/>
    <w:rsid w:val="2B167953"/>
    <w:rsid w:val="2B200583"/>
    <w:rsid w:val="2B8209DE"/>
    <w:rsid w:val="2C161D32"/>
    <w:rsid w:val="2C2D3EC7"/>
    <w:rsid w:val="2C6762A3"/>
    <w:rsid w:val="2D8D2A49"/>
    <w:rsid w:val="2F246D27"/>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0B71E4"/>
    <w:rsid w:val="495C4A24"/>
    <w:rsid w:val="4AD70EE7"/>
    <w:rsid w:val="4B7951CB"/>
    <w:rsid w:val="4B7C315C"/>
    <w:rsid w:val="4BAB7F90"/>
    <w:rsid w:val="4DAC4ACA"/>
    <w:rsid w:val="4F186D58"/>
    <w:rsid w:val="50EC262C"/>
    <w:rsid w:val="50F11CBB"/>
    <w:rsid w:val="522F6E0C"/>
    <w:rsid w:val="52463BA1"/>
    <w:rsid w:val="53C0244D"/>
    <w:rsid w:val="53DD4D4E"/>
    <w:rsid w:val="53E578CE"/>
    <w:rsid w:val="543B029D"/>
    <w:rsid w:val="545D0246"/>
    <w:rsid w:val="554E5773"/>
    <w:rsid w:val="55553019"/>
    <w:rsid w:val="555A3CBC"/>
    <w:rsid w:val="56530F5D"/>
    <w:rsid w:val="580C165F"/>
    <w:rsid w:val="5842572D"/>
    <w:rsid w:val="5AE75037"/>
    <w:rsid w:val="5B58571C"/>
    <w:rsid w:val="5B8376C2"/>
    <w:rsid w:val="5B96133A"/>
    <w:rsid w:val="5C1336B7"/>
    <w:rsid w:val="5C263CE4"/>
    <w:rsid w:val="5C5D2777"/>
    <w:rsid w:val="5D290C69"/>
    <w:rsid w:val="5D537F41"/>
    <w:rsid w:val="5EAB3BE2"/>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3E42CA"/>
    <w:rsid w:val="796D60A4"/>
    <w:rsid w:val="79A031D5"/>
    <w:rsid w:val="7A1525F7"/>
    <w:rsid w:val="7A3E6CB6"/>
    <w:rsid w:val="7A680D2D"/>
    <w:rsid w:val="7B260559"/>
    <w:rsid w:val="7B420052"/>
    <w:rsid w:val="7BD06A28"/>
    <w:rsid w:val="7C1E4CD7"/>
    <w:rsid w:val="7C3A7C0B"/>
    <w:rsid w:val="7C5248E4"/>
    <w:rsid w:val="7C566698"/>
    <w:rsid w:val="7FA960B8"/>
    <w:rsid w:val="ABEFE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4871</Words>
  <Characters>5335</Characters>
  <Lines>161</Lines>
  <Paragraphs>45</Paragraphs>
  <TotalTime>7</TotalTime>
  <ScaleCrop>false</ScaleCrop>
  <LinksUpToDate>false</LinksUpToDate>
  <CharactersWithSpaces>5337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Mist</cp:lastModifiedBy>
  <dcterms:modified xsi:type="dcterms:W3CDTF">2025-10-27T10:14:42Z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DB207F81D83F414B863163F68A141C49</vt:lpwstr>
  </property>
  <property fmtid="{D5CDD505-2E9C-101B-9397-08002B2CF9AE}" pid="4" name="KSOTemplateDocerSaveRecord">
    <vt:lpwstr>eyJoZGlkIjoiYzg1OWZjNDY4YWU3ZDM2NzE4ZjRlYWM4ZWQ1YmRmODIiLCJ1c2VySWQiOiI3OTg1NTU1MjEifQ==</vt:lpwstr>
  </property>
</Properties>
</file>