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3D09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0" w:firstLineChars="0"/>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bookmarkStart w:id="1" w:name="_GoBack"/>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重庆市铜梁区平滩镇人民政府</w:t>
      </w:r>
    </w:p>
    <w:p w14:paraId="6116352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0" w:firstLineChars="0"/>
        <w:jc w:val="center"/>
        <w:textAlignment w:val="auto"/>
        <w:rPr>
          <w:rFonts w:hint="eastAsia" w:ascii="方正小标宋_GBK" w:hAnsi="方正小标宋_GBK" w:eastAsia="方正小标宋_GBK" w:cs="方正小标宋_GBK"/>
          <w:b w:val="0"/>
          <w:bCs w:val="0"/>
          <w:color w:val="000000" w:themeColor="text1"/>
          <w:sz w:val="44"/>
          <w:szCs w:val="44"/>
          <w:shd w:val="clear" w:color="auto" w:fill="FFFFFF"/>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shd w:val="clear" w:color="auto" w:fill="FFFFFF"/>
          <w14:textFill>
            <w14:solidFill>
              <w14:schemeClr w14:val="tx1"/>
            </w14:solidFill>
          </w14:textFill>
        </w:rPr>
        <w:t>2024年度决算公开说明</w:t>
      </w:r>
    </w:p>
    <w:p w14:paraId="2D68F974">
      <w:pPr>
        <w:pStyle w:val="5"/>
        <w:keepNext w:val="0"/>
        <w:keepLines w:val="0"/>
        <w:pageBreakBefore w:val="0"/>
        <w:kinsoku/>
        <w:wordWrap/>
        <w:overflowPunct/>
        <w:topLinePunct w:val="0"/>
        <w:bidi w:val="0"/>
        <w:adjustRightInd/>
        <w:spacing w:before="0" w:beforeAutospacing="0" w:after="0" w:afterAutospacing="0" w:line="594" w:lineRule="exact"/>
        <w:ind w:firstLine="880" w:firstLineChars="200"/>
        <w:jc w:val="center"/>
        <w:textAlignment w:val="auto"/>
        <w:rPr>
          <w:rFonts w:hint="eastAsia" w:ascii="方正小标宋_GBK" w:hAnsi="方正小标宋_GBK" w:eastAsia="方正小标宋_GBK" w:cs="方正小标宋_GBK"/>
          <w:b w:val="0"/>
          <w:bCs w:val="0"/>
          <w:color w:val="000000" w:themeColor="text1"/>
          <w:sz w:val="44"/>
          <w:szCs w:val="44"/>
          <w:shd w:val="clear" w:color="auto" w:fill="FFFFFF"/>
          <w14:textFill>
            <w14:solidFill>
              <w14:schemeClr w14:val="tx1"/>
            </w14:solidFill>
          </w14:textFill>
        </w:rPr>
      </w:pPr>
    </w:p>
    <w:p w14:paraId="2C2A8FBB">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8"/>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t>一、部门基本情况</w:t>
      </w:r>
    </w:p>
    <w:p w14:paraId="6B4C84EF">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（一）职能职责</w:t>
      </w:r>
    </w:p>
    <w:p w14:paraId="72CFBFCA">
      <w:pPr>
        <w:pStyle w:val="5"/>
        <w:keepNext w:val="0"/>
        <w:keepLines w:val="0"/>
        <w:pageBreakBefore w:val="0"/>
        <w:widowControl w:val="0"/>
        <w:kinsoku/>
        <w:wordWrap/>
        <w:overflowPunct/>
        <w:topLinePunct w:val="0"/>
        <w:bidi w:val="0"/>
        <w:adjustRightInd/>
        <w:spacing w:before="0" w:beforeAutospacing="0" w:after="0" w:afterAutospacing="0" w:line="594" w:lineRule="exact"/>
        <w:ind w:firstLine="640" w:firstLineChars="200"/>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default" w:ascii="方正仿宋_GBK" w:hAnsi="方正仿宋_GBK" w:eastAsia="方正仿宋_GBK" w:cs="方正仿宋_GBK"/>
          <w:color w:val="000000" w:themeColor="text1"/>
          <w:sz w:val="32"/>
          <w:szCs w:val="32"/>
          <w14:textFill>
            <w14:solidFill>
              <w14:schemeClr w14:val="tx1"/>
            </w14:solidFill>
          </w14:textFill>
        </w:rPr>
        <w:t>平滩镇人民政府贯彻执行党的路线方针政策和国家的法律法规、促进经济社会发展、加强社会管理和公共服务、维护社会和谐稳定。适当调整经济管理职能，切实把工作重点转移到对农户和各类经济主体进行示范引导、提供政策服务以及营造发展环境上来。在做好经济工作的同时，努力提高乡镇的社会管理和公共服务水平。转变社会管理的方式，变单纯依靠行政手段为综合利用经济、法律、行政和思想政治工作等手段开展工作。牢固树立和落实科学发展观，根据实际确定工作职责，乡镇政府要适应新的职能定位，积极转变工作方式，切实做到突出发展、依法办事、管理民主、政务公开、强化服务。</w:t>
      </w:r>
    </w:p>
    <w:p w14:paraId="6E03CB20">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default"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（二）机构设置</w:t>
      </w:r>
    </w:p>
    <w:p w14:paraId="051CB95D">
      <w:pPr>
        <w:pStyle w:val="5"/>
        <w:keepNext w:val="0"/>
        <w:keepLines w:val="0"/>
        <w:pageBreakBefore w:val="0"/>
        <w:widowControl w:val="0"/>
        <w:kinsoku/>
        <w:wordWrap/>
        <w:overflowPunct/>
        <w:topLinePunct w:val="0"/>
        <w:bidi w:val="0"/>
        <w:adjustRightInd/>
        <w:spacing w:before="0" w:beforeAutospacing="0" w:after="0" w:afterAutospacing="0" w:line="594" w:lineRule="exact"/>
        <w:ind w:firstLine="640" w:firstLineChars="200"/>
        <w:textAlignment w:val="auto"/>
        <w:rPr>
          <w:rFonts w:hint="default" w:ascii="Times New Roman" w:hAnsi="Times New Roman" w:eastAsia="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本部门属独立核算的行政单位，适用行政单位会计制度</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内设办公室8个，具体为：党政办公室、党群工作办公室，经济发展办公室，民政和社会事务办公室，平安建设办公室，规划建设管理环保办公室，财政办公室，应急管理办公室；事业单位7个，具体为：综合行政执法大队、农业服务中心、文化服务中心、乡村产业培育中心、乡村生态治理中心、退役军人</w:t>
      </w:r>
      <w:r>
        <w:rPr>
          <w:rFonts w:hint="default" w:ascii="方正仿宋_GBK" w:hAnsi="方正仿宋_GBK" w:eastAsia="方正仿宋_GBK" w:cs="方正仿宋_GBK"/>
          <w:color w:val="000000" w:themeColor="text1"/>
          <w:sz w:val="32"/>
          <w:szCs w:val="32"/>
          <w14:textFill>
            <w14:solidFill>
              <w14:schemeClr w14:val="tx1"/>
            </w14:solidFill>
          </w14:textFill>
        </w:rPr>
        <w:t>服务站、劳动就业和社会保障服务所。</w:t>
      </w:r>
    </w:p>
    <w:p w14:paraId="0B682E82">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default"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（三）</w:t>
      </w:r>
      <w:r>
        <w:rPr>
          <w:rStyle w:val="8"/>
          <w:rFonts w:hint="default"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单位构成</w:t>
      </w:r>
    </w:p>
    <w:p w14:paraId="47CCF8DE">
      <w:pPr>
        <w:pStyle w:val="5"/>
        <w:keepNext w:val="0"/>
        <w:keepLines w:val="0"/>
        <w:pageBreakBefore w:val="0"/>
        <w:widowControl w:val="0"/>
        <w:kinsoku/>
        <w:wordWrap/>
        <w:overflowPunct/>
        <w:topLinePunct w:val="0"/>
        <w:bidi w:val="0"/>
        <w:adjustRightIn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default" w:ascii="方正仿宋_GBK" w:hAnsi="方正仿宋_GBK" w:eastAsia="方正仿宋_GBK" w:cs="方正仿宋_GBK"/>
          <w:color w:val="000000" w:themeColor="text1"/>
          <w:sz w:val="32"/>
          <w:szCs w:val="32"/>
          <w14:textFill>
            <w14:solidFill>
              <w14:schemeClr w14:val="tx1"/>
            </w14:solidFill>
          </w14:textFill>
        </w:rPr>
        <w:t>从预算单位构成看，纳入本部门</w:t>
      </w:r>
      <w:r>
        <w:rPr>
          <w:rFonts w:hint="default" w:ascii="Times New Roman" w:hAnsi="Times New Roman" w:eastAsia="方正仿宋_GBK" w:cs="Times New Roman"/>
          <w:color w:val="000000" w:themeColor="text1"/>
          <w:sz w:val="32"/>
          <w:szCs w:val="32"/>
          <w14:textFill>
            <w14:solidFill>
              <w14:schemeClr w14:val="tx1"/>
            </w14:solidFill>
          </w14:textFill>
        </w:rPr>
        <w:t>2024</w:t>
      </w:r>
      <w:r>
        <w:rPr>
          <w:rFonts w:hint="default" w:ascii="方正仿宋_GBK" w:hAnsi="方正仿宋_GBK" w:eastAsia="方正仿宋_GBK" w:cs="方正仿宋_GBK"/>
          <w:color w:val="000000" w:themeColor="text1"/>
          <w:sz w:val="32"/>
          <w:szCs w:val="32"/>
          <w14:textFill>
            <w14:solidFill>
              <w14:schemeClr w14:val="tx1"/>
            </w14:solidFill>
          </w14:textFill>
        </w:rPr>
        <w:t>年度决算编制的二级预算单位主要包括</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重庆市铜梁区平滩镇人民政府（本级）、重庆市铜梁区平滩镇</w:t>
      </w:r>
      <w:r>
        <w:rPr>
          <w:rFonts w:hint="default" w:ascii="方正仿宋_GBK" w:hAnsi="方正仿宋_GBK" w:eastAsia="方正仿宋_GBK" w:cs="方正仿宋_GBK"/>
          <w:color w:val="000000" w:themeColor="text1"/>
          <w:sz w:val="32"/>
          <w:szCs w:val="32"/>
          <w14:textFill>
            <w14:solidFill>
              <w14:schemeClr w14:val="tx1"/>
            </w14:solidFill>
          </w14:textFill>
        </w:rPr>
        <w:t>农业服务中心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14:textFill>
            <w14:solidFill>
              <w14:schemeClr w14:val="tx1"/>
            </w14:solidFill>
          </w14:textFill>
        </w:rPr>
        <w:t>文化服务中心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、重庆市铜梁区平滩镇</w:t>
      </w:r>
      <w:r>
        <w:rPr>
          <w:rFonts w:hint="default" w:ascii="方正仿宋_GBK" w:hAnsi="方正仿宋_GBK" w:eastAsia="方正仿宋_GBK" w:cs="方正仿宋_GBK"/>
          <w:color w:val="000000" w:themeColor="text1"/>
          <w:sz w:val="32"/>
          <w:szCs w:val="32"/>
          <w14:textFill>
            <w14:solidFill>
              <w14:schemeClr w14:val="tx1"/>
            </w14:solidFill>
          </w14:textFill>
        </w:rPr>
        <w:t>劳动就业和社会保障服务所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、重庆市铜梁区平滩镇</w:t>
      </w:r>
      <w:r>
        <w:rPr>
          <w:rFonts w:hint="default" w:ascii="方正仿宋_GBK" w:hAnsi="方正仿宋_GBK" w:eastAsia="方正仿宋_GBK" w:cs="方正仿宋_GBK"/>
          <w:color w:val="000000" w:themeColor="text1"/>
          <w:sz w:val="32"/>
          <w:szCs w:val="32"/>
          <w14:textFill>
            <w14:solidFill>
              <w14:schemeClr w14:val="tx1"/>
            </w14:solidFill>
          </w14:textFill>
        </w:rPr>
        <w:t>退役军人服务站</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、重庆市铜梁区平滩镇</w:t>
      </w:r>
      <w:r>
        <w:rPr>
          <w:rFonts w:hint="default" w:ascii="方正仿宋_GBK" w:hAnsi="方正仿宋_GBK" w:eastAsia="方正仿宋_GBK" w:cs="方正仿宋_GBK"/>
          <w:color w:val="000000" w:themeColor="text1"/>
          <w:sz w:val="32"/>
          <w:szCs w:val="32"/>
          <w14:textFill>
            <w14:solidFill>
              <w14:schemeClr w14:val="tx1"/>
            </w14:solidFill>
          </w14:textFill>
        </w:rPr>
        <w:t>综合行政执法大队</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、重庆市铜梁区平滩镇</w:t>
      </w:r>
      <w:r>
        <w:rPr>
          <w:rFonts w:hint="default" w:ascii="方正仿宋_GBK" w:hAnsi="方正仿宋_GBK" w:eastAsia="方正仿宋_GBK" w:cs="方正仿宋_GBK"/>
          <w:color w:val="000000" w:themeColor="text1"/>
          <w:sz w:val="32"/>
          <w:szCs w:val="32"/>
          <w14:textFill>
            <w14:solidFill>
              <w14:schemeClr w14:val="tx1"/>
            </w14:solidFill>
          </w14:textFill>
        </w:rPr>
        <w:t>乡村产业培育中心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、重庆市铜梁区平滩镇</w:t>
      </w:r>
      <w:r>
        <w:rPr>
          <w:rFonts w:hint="default" w:ascii="方正仿宋_GBK" w:hAnsi="方正仿宋_GBK" w:eastAsia="方正仿宋_GBK" w:cs="方正仿宋_GBK"/>
          <w:color w:val="000000" w:themeColor="text1"/>
          <w:sz w:val="32"/>
          <w:szCs w:val="32"/>
          <w14:textFill>
            <w14:solidFill>
              <w14:schemeClr w14:val="tx1"/>
            </w14:solidFill>
          </w14:textFill>
        </w:rPr>
        <w:t>乡村生态治理中心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32ABC546">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8"/>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t>二、部门决算收支情况说明</w:t>
      </w:r>
    </w:p>
    <w:p w14:paraId="60AE2754">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default"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（一）收入支出决算总体情况说明。</w:t>
      </w:r>
    </w:p>
    <w:p w14:paraId="27EC7E0E">
      <w:pPr>
        <w:pStyle w:val="5"/>
        <w:keepNext w:val="0"/>
        <w:keepLines w:val="0"/>
        <w:pageBreakBefore w:val="0"/>
        <w:widowControl w:val="0"/>
        <w:kinsoku/>
        <w:wordWrap/>
        <w:overflowPunct/>
        <w:topLinePunct w:val="0"/>
        <w:bidi w:val="0"/>
        <w:adjustRightIn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方正仿宋_GBK" w:hAnsi="方正仿宋_GBK" w:eastAsia="方正仿宋_GBK" w:cs="方正仿宋_GBK"/>
          <w:color w:val="000000" w:themeColor="text1"/>
          <w:sz w:val="32"/>
          <w:szCs w:val="32"/>
          <w14:textFill>
            <w14:solidFill>
              <w14:schemeClr w14:val="tx1"/>
            </w14:solidFill>
          </w14:textFill>
        </w:rPr>
        <w:t>1.总体情况。</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2024年</w:t>
      </w:r>
      <w:r>
        <w:rPr>
          <w:rFonts w:hint="default" w:ascii="方正仿宋_GBK" w:hAnsi="方正仿宋_GBK" w:eastAsia="方正仿宋_GBK" w:cs="方正仿宋_GBK"/>
          <w:color w:val="000000" w:themeColor="text1"/>
          <w:sz w:val="32"/>
          <w:szCs w:val="32"/>
          <w14:textFill>
            <w14:solidFill>
              <w14:schemeClr w14:val="tx1"/>
            </w14:solidFill>
          </w14:textFill>
        </w:rPr>
        <w:t>度收入总计5208.46万元，支出总计5208.46万元。收、支与2023年度相比，减少1226.02万元，下降19.1%，主要原因是泥结石路和四好公路减少337.49万元，平滩人居环境整治减少374.41万元，敬老院工程款减少80万</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元</w:t>
      </w:r>
      <w:r>
        <w:rPr>
          <w:rFonts w:hint="default" w:ascii="方正仿宋_GBK" w:hAnsi="方正仿宋_GBK" w:eastAsia="方正仿宋_GBK" w:cs="方正仿宋_GBK"/>
          <w:color w:val="000000" w:themeColor="text1"/>
          <w:sz w:val="32"/>
          <w:szCs w:val="32"/>
          <w14:textFill>
            <w14:solidFill>
              <w14:schemeClr w14:val="tx1"/>
            </w14:solidFill>
          </w14:textFill>
        </w:rPr>
        <w:t>，洋海便民中心增加39.8万元；工资福利减少45.92万元，对个人和家庭补助减少1.23万元；在职人员的差旅减少等公用经费减少125.88万元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；小东门拆迁支出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301.43万元。</w:t>
      </w:r>
    </w:p>
    <w:p w14:paraId="6DEC1816">
      <w:pPr>
        <w:pStyle w:val="5"/>
        <w:keepNext w:val="0"/>
        <w:keepLines w:val="0"/>
        <w:pageBreakBefore w:val="0"/>
        <w:widowControl w:val="0"/>
        <w:kinsoku/>
        <w:wordWrap/>
        <w:overflowPunct/>
        <w:topLinePunct w:val="0"/>
        <w:bidi w:val="0"/>
        <w:adjustRightIn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方正仿宋_GBK" w:hAnsi="方正仿宋_GBK" w:eastAsia="方正仿宋_GBK" w:cs="方正仿宋_GBK"/>
          <w:color w:val="000000" w:themeColor="text1"/>
          <w:sz w:val="32"/>
          <w:szCs w:val="32"/>
          <w14:textFill>
            <w14:solidFill>
              <w14:schemeClr w14:val="tx1"/>
            </w14:solidFill>
          </w14:textFill>
        </w:rPr>
        <w:t>2.收入情况。</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2024年</w:t>
      </w:r>
      <w:r>
        <w:rPr>
          <w:rFonts w:hint="default" w:ascii="方正仿宋_GBK" w:hAnsi="方正仿宋_GBK" w:eastAsia="方正仿宋_GBK" w:cs="方正仿宋_GBK"/>
          <w:color w:val="000000" w:themeColor="text1"/>
          <w:sz w:val="32"/>
          <w:szCs w:val="32"/>
          <w14:textFill>
            <w14:solidFill>
              <w14:schemeClr w14:val="tx1"/>
            </w14:solidFill>
          </w14:textFill>
        </w:rPr>
        <w:t>度收入合计4762.65万元，与2023年度相比，减少924.59万元，下降16.3%，主要原因是泥结石路和四好公路减少337.49万元，平滩人居环境整治减少374.41万元，敬老院工程款减少80万</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元</w:t>
      </w:r>
      <w:r>
        <w:rPr>
          <w:rFonts w:hint="default" w:ascii="方正仿宋_GBK" w:hAnsi="方正仿宋_GBK" w:eastAsia="方正仿宋_GBK" w:cs="方正仿宋_GBK"/>
          <w:color w:val="000000" w:themeColor="text1"/>
          <w:sz w:val="32"/>
          <w:szCs w:val="32"/>
          <w14:textFill>
            <w14:solidFill>
              <w14:schemeClr w14:val="tx1"/>
            </w14:solidFill>
          </w14:textFill>
        </w:rPr>
        <w:t>，洋海便民中心增加39.8万元；工资福利减少45.92万元，对个人和家庭补助减少1.23万元；在职人员的差旅减少等公用经费减少125.88万元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14:textFill>
            <w14:solidFill>
              <w14:schemeClr w14:val="tx1"/>
            </w14:solidFill>
          </w14:textFill>
        </w:rPr>
        <w:t>其中：财政拨款收入4762.65万元，占10</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0.0%</w:t>
      </w:r>
      <w:r>
        <w:rPr>
          <w:rFonts w:hint="default" w:ascii="方正仿宋_GBK" w:hAnsi="方正仿宋_GBK" w:eastAsia="方正仿宋_GBK" w:cs="方正仿宋_GBK"/>
          <w:color w:val="000000" w:themeColor="text1"/>
          <w:sz w:val="32"/>
          <w:szCs w:val="32"/>
          <w14:textFill>
            <w14:solidFill>
              <w14:schemeClr w14:val="tx1"/>
            </w14:solidFill>
          </w14:textFill>
        </w:rPr>
        <w:t>；事业收入</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0万元</w:t>
      </w:r>
      <w:r>
        <w:rPr>
          <w:rFonts w:hint="default" w:ascii="方正仿宋_GBK" w:hAnsi="方正仿宋_GBK" w:eastAsia="方正仿宋_GBK" w:cs="方正仿宋_GBK"/>
          <w:color w:val="000000" w:themeColor="text1"/>
          <w:sz w:val="32"/>
          <w:szCs w:val="32"/>
          <w14:textFill>
            <w14:solidFill>
              <w14:schemeClr w14:val="tx1"/>
            </w14:solidFill>
          </w14:textFill>
        </w:rPr>
        <w:t>，占</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0.0%</w:t>
      </w:r>
      <w:r>
        <w:rPr>
          <w:rFonts w:hint="default" w:ascii="方正仿宋_GBK" w:hAnsi="方正仿宋_GBK" w:eastAsia="方正仿宋_GBK" w:cs="方正仿宋_GBK"/>
          <w:color w:val="000000" w:themeColor="text1"/>
          <w:sz w:val="32"/>
          <w:szCs w:val="32"/>
          <w14:textFill>
            <w14:solidFill>
              <w14:schemeClr w14:val="tx1"/>
            </w14:solidFill>
          </w14:textFill>
        </w:rPr>
        <w:t>；经营收入</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0万元</w:t>
      </w:r>
      <w:r>
        <w:rPr>
          <w:rFonts w:hint="default" w:ascii="方正仿宋_GBK" w:hAnsi="方正仿宋_GBK" w:eastAsia="方正仿宋_GBK" w:cs="方正仿宋_GBK"/>
          <w:color w:val="000000" w:themeColor="text1"/>
          <w:sz w:val="32"/>
          <w:szCs w:val="32"/>
          <w14:textFill>
            <w14:solidFill>
              <w14:schemeClr w14:val="tx1"/>
            </w14:solidFill>
          </w14:textFill>
        </w:rPr>
        <w:t>，占</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0.0%</w:t>
      </w:r>
      <w:r>
        <w:rPr>
          <w:rFonts w:hint="default" w:ascii="方正仿宋_GBK" w:hAnsi="方正仿宋_GBK" w:eastAsia="方正仿宋_GBK" w:cs="方正仿宋_GBK"/>
          <w:color w:val="000000" w:themeColor="text1"/>
          <w:sz w:val="32"/>
          <w:szCs w:val="32"/>
          <w14:textFill>
            <w14:solidFill>
              <w14:schemeClr w14:val="tx1"/>
            </w14:solidFill>
          </w14:textFill>
        </w:rPr>
        <w:t>；其他收入</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0万元</w:t>
      </w:r>
      <w:r>
        <w:rPr>
          <w:rFonts w:hint="default" w:ascii="方正仿宋_GBK" w:hAnsi="方正仿宋_GBK" w:eastAsia="方正仿宋_GBK" w:cs="方正仿宋_GBK"/>
          <w:color w:val="000000" w:themeColor="text1"/>
          <w:sz w:val="32"/>
          <w:szCs w:val="32"/>
          <w14:textFill>
            <w14:solidFill>
              <w14:schemeClr w14:val="tx1"/>
            </w14:solidFill>
          </w14:textFill>
        </w:rPr>
        <w:t>，占</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0.0%</w:t>
      </w:r>
      <w:r>
        <w:rPr>
          <w:rFonts w:hint="default" w:ascii="方正仿宋_GBK" w:hAnsi="方正仿宋_GBK" w:eastAsia="方正仿宋_GBK" w:cs="方正仿宋_GBK"/>
          <w:color w:val="000000" w:themeColor="text1"/>
          <w:sz w:val="32"/>
          <w:szCs w:val="32"/>
          <w14:textFill>
            <w14:solidFill>
              <w14:schemeClr w14:val="tx1"/>
            </w14:solidFill>
          </w14:textFill>
        </w:rPr>
        <w:t>。此外，使用非财政拨款结余和专用结余</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0万元</w:t>
      </w:r>
      <w:r>
        <w:rPr>
          <w:rFonts w:hint="default" w:ascii="方正仿宋_GBK" w:hAnsi="方正仿宋_GBK" w:eastAsia="方正仿宋_GBK" w:cs="方正仿宋_GBK"/>
          <w:color w:val="000000" w:themeColor="text1"/>
          <w:sz w:val="32"/>
          <w:szCs w:val="32"/>
          <w14:textFill>
            <w14:solidFill>
              <w14:schemeClr w14:val="tx1"/>
            </w14:solidFill>
          </w14:textFill>
        </w:rPr>
        <w:t>，年初结转和结余445.80万元。</w:t>
      </w:r>
    </w:p>
    <w:p w14:paraId="7CB95D8F">
      <w:pPr>
        <w:pStyle w:val="5"/>
        <w:keepNext w:val="0"/>
        <w:keepLines w:val="0"/>
        <w:pageBreakBefore w:val="0"/>
        <w:widowControl w:val="0"/>
        <w:kinsoku/>
        <w:wordWrap/>
        <w:overflowPunct/>
        <w:topLinePunct w:val="0"/>
        <w:bidi w:val="0"/>
        <w:adjustRightIn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default" w:ascii="方正仿宋_GBK" w:hAnsi="方正仿宋_GBK" w:eastAsia="方正仿宋_GBK" w:cs="方正仿宋_GBK"/>
          <w:color w:val="000000" w:themeColor="text1"/>
          <w:sz w:val="32"/>
          <w:szCs w:val="32"/>
          <w14:textFill>
            <w14:solidFill>
              <w14:schemeClr w14:val="tx1"/>
            </w14:solidFill>
          </w14:textFill>
        </w:rPr>
        <w:t>3.支出情况。</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2024年</w:t>
      </w:r>
      <w:r>
        <w:rPr>
          <w:rFonts w:hint="default" w:ascii="方正仿宋_GBK" w:hAnsi="方正仿宋_GBK" w:eastAsia="方正仿宋_GBK" w:cs="方正仿宋_GBK"/>
          <w:color w:val="000000" w:themeColor="text1"/>
          <w:sz w:val="32"/>
          <w:szCs w:val="32"/>
          <w14:textFill>
            <w14:solidFill>
              <w14:schemeClr w14:val="tx1"/>
            </w14:solidFill>
          </w14:textFill>
        </w:rPr>
        <w:t>度支出合计4762.65万元，与2023年度相比，减少1226.02万元，下降20.5%，</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主要原因是</w:t>
      </w:r>
      <w:r>
        <w:rPr>
          <w:rFonts w:hint="default" w:ascii="方正仿宋_GBK" w:hAnsi="方正仿宋_GBK" w:eastAsia="方正仿宋_GBK" w:cs="方正仿宋_GBK"/>
          <w:color w:val="000000" w:themeColor="text1"/>
          <w:sz w:val="32"/>
          <w:szCs w:val="32"/>
          <w14:textFill>
            <w14:solidFill>
              <w14:schemeClr w14:val="tx1"/>
            </w14:solidFill>
          </w14:textFill>
        </w:rPr>
        <w:t>泥结石路和四好公路减少337.49万元，平滩人居环境整治减少374.41万元，敬老院工程款减少80万</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元</w:t>
      </w:r>
      <w:r>
        <w:rPr>
          <w:rFonts w:hint="default" w:ascii="方正仿宋_GBK" w:hAnsi="方正仿宋_GBK" w:eastAsia="方正仿宋_GBK" w:cs="方正仿宋_GBK"/>
          <w:color w:val="000000" w:themeColor="text1"/>
          <w:sz w:val="32"/>
          <w:szCs w:val="32"/>
          <w14:textFill>
            <w14:solidFill>
              <w14:schemeClr w14:val="tx1"/>
            </w14:solidFill>
          </w14:textFill>
        </w:rPr>
        <w:t>，洋海便民中心增加39.8万元；工资福利减少45.92万元，对个人和家庭补助减少1.23万元；在职人员的差旅减少等公用经费减少125.88万元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；小东门拆迁支出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301.43万元。</w:t>
      </w:r>
      <w:r>
        <w:rPr>
          <w:rFonts w:hint="default" w:ascii="方正仿宋_GBK" w:hAnsi="方正仿宋_GBK" w:eastAsia="方正仿宋_GBK" w:cs="方正仿宋_GBK"/>
          <w:color w:val="000000" w:themeColor="text1"/>
          <w:sz w:val="32"/>
          <w:szCs w:val="32"/>
          <w14:textFill>
            <w14:solidFill>
              <w14:schemeClr w14:val="tx1"/>
            </w14:solidFill>
          </w14:textFill>
        </w:rPr>
        <w:t>其中：基本支出2286.24万元，占48.0%；项目支出2476.41万元，占52.0%；经营支出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0万元</w:t>
      </w:r>
      <w:r>
        <w:rPr>
          <w:rFonts w:hint="default" w:ascii="方正仿宋_GBK" w:hAnsi="方正仿宋_GBK" w:eastAsia="方正仿宋_GBK" w:cs="方正仿宋_GBK"/>
          <w:color w:val="000000" w:themeColor="text1"/>
          <w:sz w:val="32"/>
          <w:szCs w:val="32"/>
          <w14:textFill>
            <w14:solidFill>
              <w14:schemeClr w14:val="tx1"/>
            </w14:solidFill>
          </w14:textFill>
        </w:rPr>
        <w:t>，占</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0.0%</w:t>
      </w:r>
      <w:r>
        <w:rPr>
          <w:rFonts w:hint="default" w:ascii="方正仿宋_GBK" w:hAnsi="方正仿宋_GBK" w:eastAsia="方正仿宋_GBK" w:cs="方正仿宋_GBK"/>
          <w:color w:val="000000" w:themeColor="text1"/>
          <w:sz w:val="32"/>
          <w:szCs w:val="32"/>
          <w14:textFill>
            <w14:solidFill>
              <w14:schemeClr w14:val="tx1"/>
            </w14:solidFill>
          </w14:textFill>
        </w:rPr>
        <w:t>。此外，结余分配</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0万元</w:t>
      </w:r>
      <w:r>
        <w:rPr>
          <w:rFonts w:hint="default" w:ascii="方正仿宋_GBK" w:hAnsi="方正仿宋_GBK" w:eastAsia="方正仿宋_GBK" w:cs="方正仿宋_GBK"/>
          <w:color w:val="000000" w:themeColor="text1"/>
          <w:sz w:val="32"/>
          <w:szCs w:val="32"/>
          <w14:textFill>
            <w14:solidFill>
              <w14:schemeClr w14:val="tx1"/>
            </w14:solidFill>
          </w14:textFill>
        </w:rPr>
        <w:t>。</w:t>
      </w:r>
    </w:p>
    <w:p w14:paraId="024D3EC5">
      <w:pPr>
        <w:pStyle w:val="5"/>
        <w:keepNext w:val="0"/>
        <w:keepLines w:val="0"/>
        <w:pageBreakBefore w:val="0"/>
        <w:widowControl w:val="0"/>
        <w:kinsoku/>
        <w:wordWrap/>
        <w:overflowPunct/>
        <w:topLinePunct w:val="0"/>
        <w:bidi w:val="0"/>
        <w:adjustRightIn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default" w:ascii="方正仿宋_GBK" w:hAnsi="方正仿宋_GBK" w:eastAsia="方正仿宋_GBK" w:cs="方正仿宋_GBK"/>
          <w:color w:val="000000" w:themeColor="text1"/>
          <w:sz w:val="32"/>
          <w:szCs w:val="32"/>
          <w14:textFill>
            <w14:solidFill>
              <w14:schemeClr w14:val="tx1"/>
            </w14:solidFill>
          </w14:textFill>
        </w:rPr>
        <w:t>4.结转结余情况。</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2024年</w:t>
      </w:r>
      <w:r>
        <w:rPr>
          <w:rFonts w:hint="default" w:ascii="方正仿宋_GBK" w:hAnsi="方正仿宋_GBK" w:eastAsia="方正仿宋_GBK" w:cs="方正仿宋_GBK"/>
          <w:color w:val="000000" w:themeColor="text1"/>
          <w:sz w:val="32"/>
          <w:szCs w:val="32"/>
          <w14:textFill>
            <w14:solidFill>
              <w14:schemeClr w14:val="tx1"/>
            </w14:solidFill>
          </w14:textFill>
        </w:rPr>
        <w:t>度年末结转和结余445.80万元，与2023年度相比，无增减</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1721186B">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（二）财政拨款收入支出决算总体情况说明</w:t>
      </w:r>
    </w:p>
    <w:p w14:paraId="0DB2D392">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2024年</w:t>
      </w:r>
      <w:r>
        <w:rPr>
          <w:rFonts w:hint="default" w:ascii="方正仿宋_GBK" w:hAnsi="方正仿宋_GBK" w:eastAsia="方正仿宋_GBK" w:cs="方正仿宋_GBK"/>
          <w:color w:val="000000" w:themeColor="text1"/>
          <w:sz w:val="32"/>
          <w:szCs w:val="32"/>
          <w14:textFill>
            <w14:solidFill>
              <w14:schemeClr w14:val="tx1"/>
            </w14:solidFill>
          </w14:textFill>
        </w:rPr>
        <w:t>度财政拨款收、支总计5208.46万元。与202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default" w:ascii="方正仿宋_GBK" w:hAnsi="方正仿宋_GBK" w:eastAsia="方正仿宋_GBK" w:cs="方正仿宋_GBK"/>
          <w:color w:val="000000" w:themeColor="text1"/>
          <w:sz w:val="32"/>
          <w:szCs w:val="32"/>
          <w14:textFill>
            <w14:solidFill>
              <w14:schemeClr w14:val="tx1"/>
            </w14:solidFill>
          </w14:textFill>
        </w:rPr>
        <w:t>年相比，财政拨款收、支总计各减少1226.02万元，下降19.1%。主要原因是主要原因人员经费减少47.15万元，2023年度发放</w:t>
      </w:r>
      <w:r>
        <w:rPr>
          <w:rFonts w:eastAsia="方正仿宋_GBK" w:cs="Times New Roman"/>
          <w:bCs/>
          <w:color w:val="000000" w:themeColor="text1"/>
          <w:kern w:val="0"/>
          <w:sz w:val="32"/>
          <w:szCs w:val="32"/>
          <w:lang w:bidi="ar"/>
          <w14:textFill>
            <w14:solidFill>
              <w14:schemeClr w14:val="tx1"/>
            </w14:solidFill>
          </w14:textFill>
        </w:rPr>
        <w:t>2021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年、2022年事业干部年度考核剩余部分，2024年只发放2023年事业干部年度考核绩效剩余部分，故较上年度减少45.92万元，对个人和家庭补助减少1.23万元；公用经费125.88万元，其中：办公费8.3万元，差旅费61.49万元，其他商品服务支出19.27万元，维修4.29万元，业务委托3.81万元等；项目经费中减少1053万元，其中服务群泥结石路和四好公路减少337.49万元，平滩人居环境整治减少374.41万元，敬老院工程款减少80万元，小东门建设减少301.43万元，洋海便民中心增加39.8万元。</w:t>
      </w:r>
    </w:p>
    <w:p w14:paraId="23864A60">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（三）一般公共预算财政拨款收入支出决算情况说明</w:t>
      </w:r>
    </w:p>
    <w:p w14:paraId="53C8F2FF">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1.收入情况。2024年度一般公共预算财政拨款收入4762.65万元，与2023年度相比，减少550.18万元，下降10.4%。主要原因是泥结石路和四好公路减少337.49万元，敬老院工程款减少80万元，党群服务中心增加39.</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万元；人员和公用以及未支付发票172.59万元。较年初预算数增加422.59万元，增长9.7%。主要原因是财政零余额支付项目未纳入年初预算，（敬老院</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320.16万元、洋海村</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党群服务中心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39.7万元、一事一议泥结三石路321.68万元，公路建设170.28万元，临时救助14万元，社保办公提质8.56万元，共计874.66万元，年中压缩预算和未拨款项450万元。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此外，年初财政拨款结转和结余445.80万元。</w:t>
      </w:r>
    </w:p>
    <w:p w14:paraId="04253CBF">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2.支出情况。2024年度一般公共预算财政拨款支出4762.65万元，与2023年度相比，减少851.61万元，下降15.2%。主要原因是泥结石路和四好公路减少337.49万元，敬老院工程款减少80万元，党群服务中心增加39.</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万元；人员和公用以及未支付发票172.59万元、小东门拆迁支出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301.43万元。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较年初预算数增加422.59万元，增长9.7%。主要原因是财政零余额支付项目未纳入年初预算，（敬老院</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320.16万元、洋海村</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党群服务中心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39.7万元、一事一议泥结三石路321.68万元，公路建设170.28万元，临时救助14万元，社保办公提质8.56万元，共计874.66万元），年中压缩预算和未拨款项450万元。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此外，年初财政拨款结转和结余445.80万元。</w:t>
      </w:r>
    </w:p>
    <w:p w14:paraId="5DDF79EB">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3.结转结余情况。2024年度年末一般公共预算财政拨款结转和结余445.80万元，与2023年度相比，无增减。</w:t>
      </w:r>
    </w:p>
    <w:p w14:paraId="5D1C752F">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4.比较情况。本部门2024年度一般公共预算财政拨款支出主要用于以下几个方面：</w:t>
      </w:r>
    </w:p>
    <w:p w14:paraId="41A28671">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（1）一般公共服务支出1158.53万元，占24.3%，较年初预算数减少0.94万元，下降0.1%，主要原因是</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13个月工资未发和年度考核、超高绩效未清算40.74万元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，增加党群服务中心支出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39.7万元。</w:t>
      </w:r>
    </w:p>
    <w:p w14:paraId="49F23523">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）文化旅游体育与传媒支出55.57万元，占1.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%，较年初预算数减少3.73万元，下降6.3%，主要原因是超高绩效未清算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4.01万元，增加文物保护支出0.28万元。</w:t>
      </w:r>
    </w:p>
    <w:p w14:paraId="2A6EFD72">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）社会保障与就业支出947.34万元，占19.</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%，较年初预算数增加347.01万元，增长57.8%，主要原因是增加敬老</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院</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320.16万元和临时救助支出14万元，养老保险和职业年金调增支出21万元，超高绩效未清算8万元。</w:t>
      </w:r>
    </w:p>
    <w:p w14:paraId="41667821">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）卫生健康支出102.76万元，占2.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%，较年初预算数减少32.19万元，下降23.9%，主要原因是增加社保阵地提质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8.56万元，超高绩效未纳入医保基数导致少交医疗保险25.5万元，公务员未发医疗补助15万元。</w:t>
      </w:r>
    </w:p>
    <w:p w14:paraId="46D5EB4B">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）节能环保支出211.29万元，占4.4%，较年初预算数减少2.30万元，下降1.1%，主要原因是市政环卫经费调整功能，从城乡社区支出调整为节能环保支出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88.35万元，农村垃圾清运减少40万元。</w:t>
      </w:r>
    </w:p>
    <w:p w14:paraId="57489898">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）城乡社区支出176.64万元，占3.7%，较年初预算数减少101.85万元，下降36.6%，主要原因是市政环卫经费调整功能，从城乡社区支出调整为节能环保支出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88.35万元，未使用指标13.5万元。</w:t>
      </w:r>
    </w:p>
    <w:p w14:paraId="51A77B89">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）农林水支出1729.47万元，占36.3%，较年初预算数增加58.80万元，增长3.5%，主要原因是泥结石路增加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141万元，临聘人员经费和森林防火功能调整增加81.14万元，公用经费减少28.18万元，超高绩效未清算等42.5万元，项目乡村振兴等92.66万元。</w:t>
      </w:r>
    </w:p>
    <w:p w14:paraId="09183D07">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）交通运输支出170.28万元，占3.</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%，较年初预算数增加130.28万元，增长325.7%，主要原因是公路建设</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170.28万元，核减年初预算的公路维护40万元。</w:t>
      </w:r>
    </w:p>
    <w:p w14:paraId="44E77FA3">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）住房保障支出119.60万元，占2.5%，较年初预算数增加2.74万元，增长2.3%，主要原因是</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两名大学生入职和一名职工调入。</w:t>
      </w:r>
    </w:p>
    <w:p w14:paraId="3C8AE29B">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）灾害防治及应急管理支出91.16万元，占1.9%，较年初预算数增加24.76万元，增长37.3%，主要原因是增加抗旱防汛资金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49.60万元，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减少安全维稳资金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14.84万元。减少森林防火资金10万元。</w:t>
      </w:r>
    </w:p>
    <w:p w14:paraId="3FCBD73C">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（四）一般公共预算财政拨款基本支出决算情况说明</w:t>
      </w:r>
    </w:p>
    <w:p w14:paraId="6B98E3C1">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2024年度一般公共财政拨款基本支出2286.24万元。其中：人员经费2003.75万元，与2023年度相比，减少47.15万元，下降2.3%，主要原因是2023年度发放2021年、2022年事业干部年度考核剩余部分，2024年只发放2023年事业干部年度考核绩效剩余部分，故较上年度减少45.92万元，对个人和家庭补助减少1.23万元人员经费用途主要包括</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基本工资、津贴补贴、绩效工资、奖金、社会保障缴费、住房公积金、应休未休假报酬，退休人员生活补助等。</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公用经费282.49万元，与2023年度相比，减少125.88万元，下降30.8%，主要原因是，其中：办公费8.3万元，差旅费61.49万元，其他商品服务支出19.27万元，维修4.29万元，业务委托3.81万元等。公用经费用途主要包括</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办公费、水费、电费、邮电费、差旅费、维修（护）费、租赁费、会议费、培训费、公务接待费、劳务费、工会经费、其他交通费等。</w:t>
      </w:r>
    </w:p>
    <w:p w14:paraId="7DD1BF87">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t>（五）政府性基金预算收支决算情况说明</w:t>
      </w:r>
    </w:p>
    <w:p w14:paraId="2AD6D616">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2024年度政府性基金预算财政拨款年初结转结余0万元，年末结转结余0万元。本年收入0万元，与2023年度相比，减少374.41万元，下降100.0%，主要原因是</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2023年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平滩人居环境整治374.41万元，本部门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2024年度无政府性基金预算财政拨款收支。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本年支出0万元，与2023年度相比，减少374.41万元，下降100.0%，主要原因是</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2023年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平滩人居环境整治374.41万元，本部门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2024年度无政府性基金预算财政拨款收支。</w:t>
      </w:r>
    </w:p>
    <w:p w14:paraId="1995A665">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t>（六）国有资本经营预算财政拨款支出决算情况说明</w:t>
      </w:r>
    </w:p>
    <w:p w14:paraId="47304278">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2024年度国有资本经营预算财政拨款本年支出0万元，基本支出0万元，项目支出0万元，本部门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2024年度无</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国有资本经营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预算财政拨款收支。</w:t>
      </w:r>
    </w:p>
    <w:p w14:paraId="29201D2A">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8"/>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t>三、财政拨款“三公”经费情况说明</w:t>
      </w:r>
    </w:p>
    <w:p w14:paraId="7C6FC234">
      <w:pPr>
        <w:pStyle w:val="9"/>
        <w:keepNext w:val="0"/>
        <w:keepLines w:val="0"/>
        <w:pageBreakBefore w:val="0"/>
        <w:kinsoku/>
        <w:wordWrap/>
        <w:overflowPunct/>
        <w:topLinePunct w:val="0"/>
        <w:autoSpaceDE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（一）“三公”经费支出总体情况说明</w:t>
      </w:r>
    </w:p>
    <w:p w14:paraId="691DCF5A">
      <w:pPr>
        <w:keepNext w:val="0"/>
        <w:keepLines w:val="0"/>
        <w:pageBreakBefore w:val="0"/>
        <w:widowControl/>
        <w:kinsoku/>
        <w:wordWrap/>
        <w:overflowPunct/>
        <w:topLinePunct w:val="0"/>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bidi="ar-SA"/>
          <w14:textFill>
            <w14:solidFill>
              <w14:schemeClr w14:val="tx1"/>
            </w14:solidFill>
          </w14:textFill>
        </w:rPr>
        <w:t>2024年度“三公”经费支出共计9.8万元，较年初预算数无增减，主要原因是严格落实了中央八项规定和政府过“紧日子”十条措施相关要求，按照只减不增的要求从严控制“三公”经费。较上年支出数减少1.92万元，下降16.4%，主要原因是强化公务接待支出管理，严格遵守公务接待开支范围和开支标准，严格控制陪餐人数；严格控制公务车运行维护费。</w:t>
      </w:r>
    </w:p>
    <w:p w14:paraId="6286891E">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t>（二）“三公”经费分项支出情况</w:t>
      </w:r>
    </w:p>
    <w:p w14:paraId="48BD74D8">
      <w:pPr>
        <w:pStyle w:val="13"/>
        <w:keepNext w:val="0"/>
        <w:keepLines w:val="0"/>
        <w:pageBreakBefore w:val="0"/>
        <w:widowControl/>
        <w:suppressLineNumbers w:val="0"/>
        <w:shd w:val="clear" w:color="auto" w:fill="FFFFFF"/>
        <w:kinsoku/>
        <w:wordWrap/>
        <w:overflowPunct/>
        <w:topLinePunct w:val="0"/>
        <w:autoSpaceDE/>
        <w:autoSpaceDN w:val="0"/>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2024年度本部门因公出国（境）费用0万元。费用支出较年初预算数无增减，与2023年度相比，无增减，主要原因是本部门2024年度未发生因公出国（境）费用。</w:t>
      </w:r>
    </w:p>
    <w:p w14:paraId="49455677">
      <w:pPr>
        <w:pStyle w:val="5"/>
        <w:keepNext w:val="0"/>
        <w:keepLines w:val="0"/>
        <w:pageBreakBefore w:val="0"/>
        <w:kinsoku/>
        <w:wordWrap/>
        <w:overflowPunct/>
        <w:topLinePunct w:val="0"/>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公务车购置费0万元，费用支出较年初预算数无增减，与2023年度相比，无增减，主要原因是本部门2024年度未发生公务车购置费。</w:t>
      </w:r>
    </w:p>
    <w:p w14:paraId="5725FACC">
      <w:pPr>
        <w:pStyle w:val="13"/>
        <w:keepNext w:val="0"/>
        <w:keepLines w:val="0"/>
        <w:pageBreakBefore w:val="0"/>
        <w:widowControl/>
        <w:suppressLineNumbers w:val="0"/>
        <w:shd w:val="clear" w:color="auto" w:fill="FFFFFF"/>
        <w:kinsoku/>
        <w:wordWrap/>
        <w:overflowPunct/>
        <w:topLinePunct w:val="0"/>
        <w:autoSpaceDE/>
        <w:autoSpaceDN w:val="0"/>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公务车运行维护费9.8万元，主要用于主要用于机要文件交换、重庆市内因公出行等工作所需车辆的燃料费、维修费、过桥过路费、车辆保险费等支出。费用支出较年初预算数无增减，主要原因是严格控制公务车维修费、燃料费支出预算。较上年支出数减少1万元，下降9.3%，主要原因是</w:t>
      </w:r>
      <w:bookmarkStart w:id="0" w:name="OLE_LINK8"/>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严格落实了中央八项规定和政府过“紧日子”十条措施相关要求，严格控制公务车运行维护费。</w:t>
      </w:r>
      <w:bookmarkEnd w:id="0"/>
    </w:p>
    <w:p w14:paraId="0CB4D713">
      <w:pPr>
        <w:pStyle w:val="13"/>
        <w:keepNext w:val="0"/>
        <w:keepLines w:val="0"/>
        <w:pageBreakBefore w:val="0"/>
        <w:widowControl/>
        <w:suppressLineNumbers w:val="0"/>
        <w:shd w:val="clear" w:color="auto" w:fill="FFFFFF"/>
        <w:kinsoku/>
        <w:wordWrap/>
        <w:overflowPunct/>
        <w:topLinePunct w:val="0"/>
        <w:autoSpaceDE/>
        <w:autoSpaceDN w:val="0"/>
        <w:bidi w:val="0"/>
        <w:adjustRightInd/>
        <w:snapToGrid/>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公务接待费0万元，费用支出较年初预算数无增减，较上年支出数减少0.92万元，下降100.0%，主要原因是强化公务接待支出管理，严格遵守公务接待开支范围和开支标准，严格控制陪餐人数，2024年度无公务接待开支。</w:t>
      </w:r>
    </w:p>
    <w:p w14:paraId="063CACE0">
      <w:pPr>
        <w:pStyle w:val="5"/>
        <w:keepNext w:val="0"/>
        <w:keepLines w:val="0"/>
        <w:pageBreakBefore w:val="0"/>
        <w:kinsoku/>
        <w:wordWrap/>
        <w:overflowPunct/>
        <w:topLinePunct w:val="0"/>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p>
    <w:p w14:paraId="0BEF621C">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t>（三）“三公”经费实物量情况</w:t>
      </w:r>
    </w:p>
    <w:p w14:paraId="23E57A03">
      <w:pPr>
        <w:pStyle w:val="5"/>
        <w:keepNext w:val="0"/>
        <w:keepLines w:val="0"/>
        <w:pageBreakBefore w:val="0"/>
        <w:kinsoku/>
        <w:wordWrap/>
        <w:overflowPunct/>
        <w:topLinePunct w:val="0"/>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2024年度本部门因公出国（境）共计0个团组，0人；公务用车购置0辆，公务车保有量为2辆；国内公务接待0批次0人，其中：国内外事接待0批次，0人；国（境）外公务接待0批次，0人。2024年本部门人均接待费0元，车均购置费0万元，车均维护费4.9万元。</w:t>
      </w:r>
    </w:p>
    <w:p w14:paraId="1E46B82B">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8"/>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t>四、其他需要说明的事项</w:t>
      </w:r>
    </w:p>
    <w:p w14:paraId="65C630E4">
      <w:pPr>
        <w:pStyle w:val="9"/>
        <w:keepNext w:val="0"/>
        <w:keepLines w:val="0"/>
        <w:pageBreakBefore w:val="0"/>
        <w:kinsoku/>
        <w:wordWrap/>
        <w:overflowPunct/>
        <w:topLinePunct w:val="0"/>
        <w:autoSpaceDE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color w:val="000000" w:themeColor="text1"/>
          <w:sz w:val="32"/>
          <w:szCs w:val="32"/>
          <w:shd w:val="clear" w:color="auto" w:fill="FFFFFF"/>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（一）财政拨款会议费和培训费情况说明</w:t>
      </w:r>
    </w:p>
    <w:p w14:paraId="1B170A45">
      <w:pPr>
        <w:pStyle w:val="5"/>
        <w:keepNext w:val="0"/>
        <w:keepLines w:val="0"/>
        <w:pageBreakBefore w:val="0"/>
        <w:kinsoku/>
        <w:wordWrap/>
        <w:overflowPunct/>
        <w:topLinePunct w:val="0"/>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本年度会议费支出4.45万元，与2023年度相比，减少10.55万元，下降70.3%，主要原因是会议费是项目人大经费，铜梁区人大常委拨有专项经费，先用专款，2024年度支出只有4.45万元。本年度培训费支出3.56万元，与2023年度相比，减少0.41万元，下降10.3%，主要原因是严格控制了培训人数和培训内容。</w:t>
      </w:r>
    </w:p>
    <w:p w14:paraId="1F4734D9">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t>（二）机关运行经费情况说明</w:t>
      </w:r>
    </w:p>
    <w:p w14:paraId="1FBE1C5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2024年度本部门机关运行经费支出178.66万元，机关运行经费主要用于开支办公费8.12万元、办公设备费3.75万元、水费0.70万元、电费8.75万元、邮电费25.98万元、差旅费25.7万元、培训费1.53万元、工会经费29.65万元、福利费16.43万元、公务用车运行维护费9.8万元、其他交通费用33.94万元、其他商品和服务支出14.31万元。机关运行经费较上年支出数减少38.23万元，下降17.6%，主要原因是事业单位进行独立核算相应公用经费在对应单位核算。</w:t>
      </w:r>
    </w:p>
    <w:p w14:paraId="1C263608">
      <w:pPr>
        <w:pStyle w:val="5"/>
        <w:keepNext w:val="0"/>
        <w:keepLines w:val="0"/>
        <w:pageBreakBefore w:val="0"/>
        <w:kinsoku/>
        <w:wordWrap/>
        <w:overflowPunct/>
        <w:topLinePunct w:val="0"/>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p>
    <w:p w14:paraId="6AA8F6C5">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t>（三）国有资产占用情况说明</w:t>
      </w:r>
    </w:p>
    <w:p w14:paraId="6BE0845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截至2024年12月31日，本部门共有车辆6辆，其中，副部（省）级及以上领导用车0辆、主要负责人用车0辆、机要通信用车0辆、应急保障用车2辆、执法执勤用车0辆，特种专业技术用车4辆，离退休干部用车0辆。单价100万元（含）以上专用设备0台（套）。</w:t>
      </w:r>
    </w:p>
    <w:p w14:paraId="75B552CF">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t>（四）政府采购支出情况说明</w:t>
      </w:r>
    </w:p>
    <w:p w14:paraId="21EB328F">
      <w:pPr>
        <w:pStyle w:val="5"/>
        <w:keepNext w:val="0"/>
        <w:keepLines w:val="0"/>
        <w:pageBreakBefore w:val="0"/>
        <w:widowControl/>
        <w:kinsoku/>
        <w:wordWrap/>
        <w:overflowPunct/>
        <w:topLinePunct w:val="0"/>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2024年度本部门政府采购支出总额802.78万元，其中：政府采购货物支出6.25万元、政府采购工程支出796.53万元、政府采购服务支出0万元。授予中小企业合同金额802.78万元，占政府采购支出总额的100.0%，其中：授予小微企业合同金额6.25万元，占政府采购支出总额的0.8 %。主要用于采购敬老院建设设备和美丽乡村建设材料款796.53万元、空调0.76万元、电脑3.15万元、打印机0.58万元、打印纸1.76万元。</w:t>
      </w:r>
    </w:p>
    <w:p w14:paraId="35548844">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8"/>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t>五、2024年度预算绩效管理情况说明</w:t>
      </w:r>
    </w:p>
    <w:p w14:paraId="23C923E5">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t>（一）预算绩效管理工作开展情况</w:t>
      </w:r>
    </w:p>
    <w:p w14:paraId="741A28DB">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根据预算绩效管理要求，我部门对部门整体和38个项目开展了绩效自评，其中，以填报自评表形式开展自评38项，涉及资金2476.41万元。</w:t>
      </w:r>
    </w:p>
    <w:p w14:paraId="573F9E9B">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t>（二）绩效自评结果</w:t>
      </w:r>
    </w:p>
    <w:p w14:paraId="76D0FFBE">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1.项目绩效自评表。</w:t>
      </w:r>
    </w:p>
    <w:p w14:paraId="3F315E6F">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（1）部门整体绩效自评表。</w:t>
      </w:r>
    </w:p>
    <w:p w14:paraId="7B65AEBD">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详见附件。</w:t>
      </w:r>
      <w:r>
        <w:rPr>
          <w:rFonts w:hint="eastAsia" w:ascii="方正仿宋_GBK" w:hAnsi="方正仿宋_GBK" w:eastAsia="方正仿宋_GBK" w:cs="方正仿宋_GBK"/>
          <w:b w:val="0"/>
          <w:bCs w:val="0"/>
          <w:sz w:val="32"/>
          <w:szCs w:val="32"/>
          <w:lang w:eastAsia="zh-CN"/>
        </w:rPr>
        <w:t>（附件：重庆市铜梁区平滩镇人民政府2024年度整体绩效自评表）</w:t>
      </w:r>
    </w:p>
    <w:p w14:paraId="5FFB0CE5">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（2）项目绩效自评表。</w:t>
      </w:r>
    </w:p>
    <w:p w14:paraId="759F683D">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详见各二级预算单位决算公开报告。</w:t>
      </w:r>
    </w:p>
    <w:p w14:paraId="55306F15">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2.绩效自评报告或案例。</w:t>
      </w:r>
    </w:p>
    <w:p w14:paraId="1BEE3967">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详见各二级预算单位决算公开报告。</w:t>
      </w:r>
    </w:p>
    <w:p w14:paraId="0825F2B4">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3.关于绩效自评结果的说明。</w:t>
      </w:r>
    </w:p>
    <w:p w14:paraId="4E107EF4">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我部门对38个（所有二级预算单位的项目个数之和）项目进行绩效自评，其中38个已完成年度绩效目标，0个未完成年度绩效目标。</w:t>
      </w:r>
    </w:p>
    <w:p w14:paraId="73D0E3FB">
      <w:pPr>
        <w:pStyle w:val="5"/>
        <w:keepNext w:val="0"/>
        <w:keepLines w:val="0"/>
        <w:pageBreakBefore w:val="0"/>
        <w:shd w:val="clear" w:color="auto" w:fill="FFFFFF"/>
        <w:kinsoku/>
        <w:wordWrap/>
        <w:overflowPunct/>
        <w:topLinePunct w:val="0"/>
        <w:bidi w:val="0"/>
        <w:adjustRightInd/>
        <w:spacing w:beforeAutospacing="0" w:afterAutospacing="0" w:line="594" w:lineRule="exact"/>
        <w:ind w:firstLine="640" w:firstLineChars="200"/>
        <w:textAlignment w:val="auto"/>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14:textFill>
            <w14:solidFill>
              <w14:schemeClr w14:val="tx1"/>
            </w14:solidFill>
          </w14:textFill>
        </w:rPr>
        <w:t>（三）财政重点绩效评价情况</w:t>
      </w:r>
    </w:p>
    <w:p w14:paraId="5012FF3B">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我部门无财政重点绩效评价项目。</w:t>
      </w:r>
    </w:p>
    <w:p w14:paraId="38D2D92A">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color w:val="000000" w:themeColor="text1"/>
          <w:sz w:val="32"/>
          <w:szCs w:val="32"/>
          <w:shd w:val="clear" w:color="auto" w:fill="FFFFFF"/>
          <w:lang w:val="en-US" w:eastAsia="zh-CN" w:bidi="ar-SA"/>
          <w14:textFill>
            <w14:solidFill>
              <w14:schemeClr w14:val="tx1"/>
            </w14:solidFill>
          </w14:textFill>
        </w:rPr>
      </w:pPr>
      <w:r>
        <w:rPr>
          <w:rStyle w:val="8"/>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t>六、专业名词解释</w:t>
      </w:r>
    </w:p>
    <w:p w14:paraId="0F742452">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（一）财政拨款收入：</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指本年度从本级财政部门取得的财政拨款，包括一般公共预算财政拨款和政府性基金预算财政拨款。</w:t>
      </w:r>
    </w:p>
    <w:p w14:paraId="07F729C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（二）事业收入：</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指事业单位开展专业业务活动及其辅助活动取得的现金流入；事业单位收到的财政专户实际核拨的教育收费等资金在此反映。</w:t>
      </w:r>
    </w:p>
    <w:p w14:paraId="3972088F">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（三）经营收入：</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指事业单位在专业业务活动及其辅助活动之外开展非独立核算经营活动取得的现金流入。</w:t>
      </w:r>
    </w:p>
    <w:p w14:paraId="2599901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（四）其他收入：</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67E50B9">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（五）使用非财政拨款结余：</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14:paraId="1370D801">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（六）年初结转和结余：</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指单位上年结转本年使用的基本支出结转、项目支出结转和结余、经营结余。</w:t>
      </w:r>
    </w:p>
    <w:p w14:paraId="66F5966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（七）结余分配：</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指单位按照国家有关规定，缴纳所得税、提取专用基金、转入非财政拨款结余等当年结余的分配情况。</w:t>
      </w:r>
    </w:p>
    <w:p w14:paraId="2B23324E">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（八）年末结转和结余：</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指单位结转下年的基本支出结转、项目支出结转和结余、经营结余。</w:t>
      </w:r>
    </w:p>
    <w:p w14:paraId="1832915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（九）基本支出：</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C2AE397">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（十）项目支出：</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指在基本支出之外为完成特定行政任务和事业发展目标所发生的支出。</w:t>
      </w:r>
    </w:p>
    <w:p w14:paraId="58B27F0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（十一）经营支出：</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指事业单位在专业业务活动及其辅助活动之外开展非独立核算经营活动发生的支出。</w:t>
      </w:r>
    </w:p>
    <w:p w14:paraId="3A78D99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（十二）“三公”经费：</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含</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外宾接待）支出。</w:t>
      </w:r>
    </w:p>
    <w:p w14:paraId="58A36A6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（十三）机关运行经费：</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1554A13">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反</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映单位开支的在职职工和编制外长期聘用人员的各类劳动报酬，以及为上述人员缴纳的各项社会保险费等。</w:t>
      </w:r>
    </w:p>
    <w:p w14:paraId="1ADDFBFB">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（十五）商品和服务支出（支出经济分类科目类级）：</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反映单位购买商品和服务的支出（不包括用于购置固定资产的支出、战略性和应急储备支出）。</w:t>
      </w:r>
    </w:p>
    <w:p w14:paraId="087278C0">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（十六）对个人和家庭的补助（支出经济分类科目类级）：</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反映用于对个人和家庭的补助支出。</w:t>
      </w:r>
    </w:p>
    <w:p w14:paraId="7E2AB8F6">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Style w:val="8"/>
          <w:rFonts w:hint="eastAsia" w:ascii="方正楷体_GBK" w:hAnsi="方正楷体_GBK"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（十七）其他资本性支出（支出经济分类科目类级）：</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14:paraId="3BA32E98">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8"/>
          <w:rFonts w:hint="eastAsia" w:ascii="方正黑体_GBK" w:hAnsi="方正黑体_GBK" w:eastAsia="方正黑体_GBK" w:cs="方正黑体_GBK"/>
          <w:b w:val="0"/>
          <w:bCs/>
          <w:color w:val="000000" w:themeColor="text1"/>
          <w:sz w:val="32"/>
          <w:szCs w:val="32"/>
          <w:shd w:val="clear" w:color="auto" w:fill="FFFFFF"/>
          <w:lang w:val="en-US" w:eastAsia="zh-CN" w:bidi="ar-SA"/>
          <w14:textFill>
            <w14:solidFill>
              <w14:schemeClr w14:val="tx1"/>
            </w14:solidFill>
          </w14:textFill>
        </w:rPr>
        <w:t>七、决算公开联系方式及信息反馈渠道</w:t>
      </w:r>
    </w:p>
    <w:p w14:paraId="297411CC">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本</w:t>
      </w:r>
      <w:r>
        <w:rPr>
          <w:rFonts w:hint="eastAsia" w:ascii="方正仿宋_GBK" w:hAnsi="方正仿宋_GBK" w:eastAsia="方正仿宋_GBK" w:cs="方正仿宋_GBK"/>
          <w:color w:val="000000" w:themeColor="text1"/>
          <w:kern w:val="0"/>
          <w:sz w:val="32"/>
          <w:szCs w:val="32"/>
          <w:lang w:val="en-US" w:eastAsia="zh-CN" w:bidi="ar-SA"/>
          <w14:textFill>
            <w14:solidFill>
              <w14:schemeClr w14:val="tx1"/>
            </w14:solidFill>
          </w14:textFill>
        </w:rPr>
        <w:t>单位决算公开信息反馈和联系方式：</w:t>
      </w:r>
    </w:p>
    <w:p w14:paraId="1878CF1D">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000000" w:themeColor="text1"/>
          <w:kern w:val="0"/>
          <w:sz w:val="32"/>
          <w:szCs w:val="32"/>
          <w:shd w:val="clear"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val="en-US" w:eastAsia="zh-CN"/>
          <w14:textFill>
            <w14:solidFill>
              <w14:schemeClr w14:val="tx1"/>
            </w14:solidFill>
          </w14:textFill>
        </w:rPr>
        <w:t>联系人：许弟春 联系方式：023-45211002</w:t>
      </w:r>
    </w:p>
    <w:p w14:paraId="7ED0D3D4">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420" w:firstLineChars="200"/>
        <w:jc w:val="both"/>
        <w:textAlignment w:val="auto"/>
        <w:rPr>
          <w:rFonts w:hint="default" w:ascii="宋体" w:hAnsi="宋体" w:eastAsia="宋体" w:cs="宋体"/>
          <w:color w:val="000000" w:themeColor="text1"/>
          <w:sz w:val="21"/>
          <w:szCs w:val="21"/>
          <w14:textFill>
            <w14:solidFill>
              <w14:schemeClr w14:val="tx1"/>
            </w14:solidFill>
          </w14:textFill>
        </w:rPr>
      </w:pPr>
    </w:p>
    <w:bookmarkEnd w:id="1"/>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D8CB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61AA6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361AA6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FBF449C">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FBF449C">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E5162">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5479AE"/>
    <w:rsid w:val="03E3214F"/>
    <w:rsid w:val="04446191"/>
    <w:rsid w:val="044C50BA"/>
    <w:rsid w:val="0536621F"/>
    <w:rsid w:val="05E71467"/>
    <w:rsid w:val="06102256"/>
    <w:rsid w:val="06247E33"/>
    <w:rsid w:val="06A2550B"/>
    <w:rsid w:val="06F80EE2"/>
    <w:rsid w:val="07001CCA"/>
    <w:rsid w:val="075321D2"/>
    <w:rsid w:val="075678DB"/>
    <w:rsid w:val="07932335"/>
    <w:rsid w:val="07C276DB"/>
    <w:rsid w:val="07EC3BC9"/>
    <w:rsid w:val="08051BCA"/>
    <w:rsid w:val="080A21BB"/>
    <w:rsid w:val="08BA052C"/>
    <w:rsid w:val="08D005B7"/>
    <w:rsid w:val="08D259B5"/>
    <w:rsid w:val="08DB07BA"/>
    <w:rsid w:val="098305D0"/>
    <w:rsid w:val="09B72B6E"/>
    <w:rsid w:val="0A0C7F04"/>
    <w:rsid w:val="0A227275"/>
    <w:rsid w:val="0A5C4B69"/>
    <w:rsid w:val="0AAF3718"/>
    <w:rsid w:val="0B2473D6"/>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2F4A66"/>
    <w:rsid w:val="12C921C4"/>
    <w:rsid w:val="12DA353E"/>
    <w:rsid w:val="13850DCB"/>
    <w:rsid w:val="13871C70"/>
    <w:rsid w:val="13A71CB4"/>
    <w:rsid w:val="13AF1D43"/>
    <w:rsid w:val="13CE1647"/>
    <w:rsid w:val="14200702"/>
    <w:rsid w:val="142E4B7A"/>
    <w:rsid w:val="144F3F11"/>
    <w:rsid w:val="1580711B"/>
    <w:rsid w:val="16445BF1"/>
    <w:rsid w:val="16D80EBF"/>
    <w:rsid w:val="189B0D0B"/>
    <w:rsid w:val="18E03A42"/>
    <w:rsid w:val="19313430"/>
    <w:rsid w:val="194A1770"/>
    <w:rsid w:val="19B906A4"/>
    <w:rsid w:val="19BC4734"/>
    <w:rsid w:val="19FE618D"/>
    <w:rsid w:val="1A1F744B"/>
    <w:rsid w:val="1AB10093"/>
    <w:rsid w:val="1B501DE7"/>
    <w:rsid w:val="1B6F15B6"/>
    <w:rsid w:val="1BAA2EDC"/>
    <w:rsid w:val="1BC027C5"/>
    <w:rsid w:val="1C2E3F3D"/>
    <w:rsid w:val="1CE157EE"/>
    <w:rsid w:val="1D014A01"/>
    <w:rsid w:val="1D022362"/>
    <w:rsid w:val="1D091B60"/>
    <w:rsid w:val="1D486DBB"/>
    <w:rsid w:val="1D67685A"/>
    <w:rsid w:val="1D6D1692"/>
    <w:rsid w:val="1D794AE5"/>
    <w:rsid w:val="1DD26311"/>
    <w:rsid w:val="1DE57DAF"/>
    <w:rsid w:val="1EF67CA4"/>
    <w:rsid w:val="1F213FD9"/>
    <w:rsid w:val="1F891B3D"/>
    <w:rsid w:val="1FCD26AF"/>
    <w:rsid w:val="204D31D8"/>
    <w:rsid w:val="20642787"/>
    <w:rsid w:val="20C83310"/>
    <w:rsid w:val="20EC77A3"/>
    <w:rsid w:val="21556F04"/>
    <w:rsid w:val="215C76A3"/>
    <w:rsid w:val="216838F8"/>
    <w:rsid w:val="22403BD3"/>
    <w:rsid w:val="23E93793"/>
    <w:rsid w:val="24B92327"/>
    <w:rsid w:val="2533755C"/>
    <w:rsid w:val="25ED4377"/>
    <w:rsid w:val="26396DF4"/>
    <w:rsid w:val="266B763B"/>
    <w:rsid w:val="27167136"/>
    <w:rsid w:val="27B23302"/>
    <w:rsid w:val="27D424D7"/>
    <w:rsid w:val="282334E2"/>
    <w:rsid w:val="285722C3"/>
    <w:rsid w:val="28DC1FF8"/>
    <w:rsid w:val="29310A5F"/>
    <w:rsid w:val="29C37A35"/>
    <w:rsid w:val="2A076083"/>
    <w:rsid w:val="2A306CA5"/>
    <w:rsid w:val="2A73162E"/>
    <w:rsid w:val="2AFA2E94"/>
    <w:rsid w:val="2B167953"/>
    <w:rsid w:val="2B200583"/>
    <w:rsid w:val="2B8209DE"/>
    <w:rsid w:val="2C2F3578"/>
    <w:rsid w:val="2C6762A3"/>
    <w:rsid w:val="2D5F4C37"/>
    <w:rsid w:val="2FE029D7"/>
    <w:rsid w:val="2FF06E00"/>
    <w:rsid w:val="315F0B22"/>
    <w:rsid w:val="31BE24D6"/>
    <w:rsid w:val="31BE7043"/>
    <w:rsid w:val="31D84415"/>
    <w:rsid w:val="32285F6F"/>
    <w:rsid w:val="32770556"/>
    <w:rsid w:val="329C0913"/>
    <w:rsid w:val="3337290D"/>
    <w:rsid w:val="33FF27A5"/>
    <w:rsid w:val="352930DB"/>
    <w:rsid w:val="35573069"/>
    <w:rsid w:val="358C217E"/>
    <w:rsid w:val="359E7284"/>
    <w:rsid w:val="359F188C"/>
    <w:rsid w:val="36C250F8"/>
    <w:rsid w:val="36C9128A"/>
    <w:rsid w:val="377A296C"/>
    <w:rsid w:val="37841E99"/>
    <w:rsid w:val="379C594F"/>
    <w:rsid w:val="37BF1123"/>
    <w:rsid w:val="37C85E36"/>
    <w:rsid w:val="38BC1135"/>
    <w:rsid w:val="38BE4696"/>
    <w:rsid w:val="397B3A87"/>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B72C41"/>
    <w:rsid w:val="3EDE1208"/>
    <w:rsid w:val="3F0527E5"/>
    <w:rsid w:val="3F16459E"/>
    <w:rsid w:val="3F210504"/>
    <w:rsid w:val="3F4A6687"/>
    <w:rsid w:val="4004000C"/>
    <w:rsid w:val="410E6949"/>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C982217"/>
    <w:rsid w:val="4C9D3DC4"/>
    <w:rsid w:val="4DAC4ACA"/>
    <w:rsid w:val="4DD06F63"/>
    <w:rsid w:val="4E043596"/>
    <w:rsid w:val="4E9B0C57"/>
    <w:rsid w:val="4EA8523F"/>
    <w:rsid w:val="4F186D58"/>
    <w:rsid w:val="4F224836"/>
    <w:rsid w:val="4F6911AA"/>
    <w:rsid w:val="51760217"/>
    <w:rsid w:val="51E36677"/>
    <w:rsid w:val="51F01F7D"/>
    <w:rsid w:val="522F6E0C"/>
    <w:rsid w:val="52463BA1"/>
    <w:rsid w:val="525E7E8B"/>
    <w:rsid w:val="527F6965"/>
    <w:rsid w:val="529F078E"/>
    <w:rsid w:val="53C0244D"/>
    <w:rsid w:val="53DD4D4E"/>
    <w:rsid w:val="53E578CE"/>
    <w:rsid w:val="53EA10F5"/>
    <w:rsid w:val="541768A0"/>
    <w:rsid w:val="543B029D"/>
    <w:rsid w:val="54977029"/>
    <w:rsid w:val="54FB4F3E"/>
    <w:rsid w:val="554E5773"/>
    <w:rsid w:val="555A3CBC"/>
    <w:rsid w:val="55EF4EA6"/>
    <w:rsid w:val="56530F5D"/>
    <w:rsid w:val="56585F15"/>
    <w:rsid w:val="56EE372E"/>
    <w:rsid w:val="57B934D2"/>
    <w:rsid w:val="5842572D"/>
    <w:rsid w:val="598A28E2"/>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33B4622"/>
    <w:rsid w:val="63497036"/>
    <w:rsid w:val="63A20BC2"/>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3C47FF"/>
    <w:rsid w:val="684A4199"/>
    <w:rsid w:val="687E45FE"/>
    <w:rsid w:val="692172FD"/>
    <w:rsid w:val="6A3829EE"/>
    <w:rsid w:val="6A593A89"/>
    <w:rsid w:val="6A924CB7"/>
    <w:rsid w:val="6AE0292E"/>
    <w:rsid w:val="6B474EF5"/>
    <w:rsid w:val="6BC27679"/>
    <w:rsid w:val="6BC54EFE"/>
    <w:rsid w:val="6BD836B5"/>
    <w:rsid w:val="6C560CAE"/>
    <w:rsid w:val="6CD15296"/>
    <w:rsid w:val="6D903FF5"/>
    <w:rsid w:val="6DA955B8"/>
    <w:rsid w:val="6DE346AB"/>
    <w:rsid w:val="6FFB2E76"/>
    <w:rsid w:val="70AB70D6"/>
    <w:rsid w:val="70DE5507"/>
    <w:rsid w:val="71C34D91"/>
    <w:rsid w:val="71ED38AA"/>
    <w:rsid w:val="723F3B65"/>
    <w:rsid w:val="7284346E"/>
    <w:rsid w:val="72DB435C"/>
    <w:rsid w:val="737A1078"/>
    <w:rsid w:val="74655771"/>
    <w:rsid w:val="74ED1B1B"/>
    <w:rsid w:val="750837F0"/>
    <w:rsid w:val="75356609"/>
    <w:rsid w:val="762A73EF"/>
    <w:rsid w:val="7631412E"/>
    <w:rsid w:val="764F62AB"/>
    <w:rsid w:val="765C45EC"/>
    <w:rsid w:val="768A7619"/>
    <w:rsid w:val="7714640F"/>
    <w:rsid w:val="77EA362A"/>
    <w:rsid w:val="7875383E"/>
    <w:rsid w:val="796D60A4"/>
    <w:rsid w:val="798720AB"/>
    <w:rsid w:val="79A031D5"/>
    <w:rsid w:val="79A52681"/>
    <w:rsid w:val="79CB75C5"/>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p0"/>
    <w:basedOn w:val="1"/>
    <w:qFormat/>
    <w:uiPriority w:val="0"/>
    <w:pPr>
      <w:spacing w:before="0" w:beforeAutospacing="0" w:after="0" w:afterAutospacing="0"/>
      <w:ind w:left="0" w:right="0"/>
      <w:jc w:val="left"/>
    </w:pPr>
    <w:rPr>
      <w:rFonts w:hint="default" w:ascii="Times New Roman" w:hAnsi="Times New Roman" w:eastAsia="宋体" w:cs="Times New Roman"/>
      <w:kern w:val="0"/>
      <w:sz w:val="20"/>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6703</Words>
  <Characters>7792</Characters>
  <Lines>161</Lines>
  <Paragraphs>45</Paragraphs>
  <TotalTime>21</TotalTime>
  <ScaleCrop>false</ScaleCrop>
  <LinksUpToDate>false</LinksUpToDate>
  <CharactersWithSpaces>7794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Mist</cp:lastModifiedBy>
  <cp:lastPrinted>2025-10-16T08:07:00Z</cp:lastPrinted>
  <dcterms:modified xsi:type="dcterms:W3CDTF">2025-10-27T09:20:53Z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F77E40A11CEF49BC9795B46658E2302D</vt:lpwstr>
  </property>
  <property fmtid="{D5CDD505-2E9C-101B-9397-08002B2CF9AE}" pid="4" name="KSOTemplateDocerSaveRecord">
    <vt:lpwstr>eyJoZGlkIjoiYzg1OWZjNDY4YWU3ZDM2NzE4ZjRlYWM4ZWQ1YmRmODIiLCJ1c2VySWQiOiI3OTg1NTU1MjEifQ==</vt:lpwstr>
  </property>
</Properties>
</file>