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C8098">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1"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重庆市铜梁区平滩镇人民政府（本级）</w:t>
      </w:r>
    </w:p>
    <w:p w14:paraId="28738914">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2024年度决算公开说明</w:t>
      </w:r>
    </w:p>
    <w:p w14:paraId="31A90EA4">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14:paraId="56CA357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单位</w:t>
      </w:r>
      <w:r>
        <w:rPr>
          <w:rFonts w:hint="eastAsia" w:ascii="方正黑体_GBK" w:hAnsi="方正黑体_GBK" w:eastAsia="方正黑体_GBK" w:cs="方正黑体_GBK"/>
          <w:color w:val="000000" w:themeColor="text1"/>
          <w:sz w:val="32"/>
          <w:szCs w:val="32"/>
          <w14:textFill>
            <w14:solidFill>
              <w14:schemeClr w14:val="tx1"/>
            </w14:solidFill>
          </w14:textFill>
        </w:rPr>
        <w:t>基本情况</w:t>
      </w:r>
    </w:p>
    <w:p w14:paraId="49AE7C8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（一）职能职责</w:t>
      </w:r>
    </w:p>
    <w:p w14:paraId="6A4BB35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平滩镇人民政府（本级）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14:paraId="3AA43B3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（二）机构设置</w:t>
      </w:r>
    </w:p>
    <w:p w14:paraId="1932F3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本单位属独立核算的行政单位，适用行政单位会计制度</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内设办公室8个，具体为：党政办公室、党群工作办公室，经济发展办公室，民政和社会事务办公室，平安建设办公室，规划建设管理环保办公室，财政办公室，应急管理办公室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565F56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单位</w:t>
      </w:r>
      <w:r>
        <w:rPr>
          <w:rFonts w:hint="eastAsia" w:ascii="方正黑体_GBK" w:hAnsi="方正黑体_GBK" w:eastAsia="方正黑体_GBK" w:cs="方正黑体_GBK"/>
          <w:color w:val="000000" w:themeColor="text1"/>
          <w:sz w:val="32"/>
          <w:szCs w:val="32"/>
          <w14:textFill>
            <w14:solidFill>
              <w14:schemeClr w14:val="tx1"/>
            </w14:solidFill>
          </w14:textFill>
        </w:rPr>
        <w:t>决算</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收支</w:t>
      </w:r>
      <w:r>
        <w:rPr>
          <w:rFonts w:hint="eastAsia" w:ascii="方正黑体_GBK" w:hAnsi="方正黑体_GBK" w:eastAsia="方正黑体_GBK" w:cs="方正黑体_GBK"/>
          <w:color w:val="000000" w:themeColor="text1"/>
          <w:sz w:val="32"/>
          <w:szCs w:val="32"/>
          <w14:textFill>
            <w14:solidFill>
              <w14:schemeClr w14:val="tx1"/>
            </w14:solidFill>
          </w14:textFill>
        </w:rPr>
        <w:t>情况说明</w:t>
      </w:r>
    </w:p>
    <w:p w14:paraId="032FC92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（一）收入支出决算总体情况说明</w:t>
      </w:r>
    </w:p>
    <w:p w14:paraId="33818CF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1.总体情况。</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eastAsia" w:ascii="Times New Roman" w:hAnsi="Times New Roman" w:eastAsia="方正仿宋_GBK" w:cs="Times New Roman"/>
          <w:color w:val="000000" w:themeColor="text1"/>
          <w:sz w:val="32"/>
          <w:szCs w:val="32"/>
          <w14:textFill>
            <w14:solidFill>
              <w14:schemeClr w14:val="tx1"/>
            </w14:solidFill>
          </w14:textFill>
        </w:rPr>
        <w:t>度收入总计3886.49万元，支出总计3886.49万元。收、支与2023年度相比，减少2547.99万元，下降39.6%，主要原因是事业单位单独核算金额为1321.87万元；项目共减少679.12万元，其中：泥结石路和四好公路减少337.49万元，敬老院工程款减少80万元，小东门拆迁减少301.43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党群服务中心增加39.8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万元；人员和公用以及未支付发票172.59万元。</w:t>
      </w:r>
    </w:p>
    <w:p w14:paraId="44F9329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2.收入情况。</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eastAsia" w:ascii="Times New Roman" w:hAnsi="Times New Roman" w:eastAsia="方正仿宋_GBK" w:cs="Times New Roman"/>
          <w:color w:val="000000" w:themeColor="text1"/>
          <w:sz w:val="32"/>
          <w:szCs w:val="32"/>
          <w14:textFill>
            <w14:solidFill>
              <w14:schemeClr w14:val="tx1"/>
            </w14:solidFill>
          </w14:textFill>
        </w:rPr>
        <w:t>度收入合计3440.68万元，与2023年度相比，减少2246.56万元，下降39.5%，主要原因是事业单位单独核算金额为1321.87万元；项目共减少679.12万元，其中：泥结石路和四好公路减少337.49万元，敬老院工程款减少80万元，小东门拆迁减少301.43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党群服务中心增加39.8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万元；人员和公用以及未支付发票172.59万元。其中：财政拨款收入3440.68万元，占10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14:textFill>
            <w14:solidFill>
              <w14:schemeClr w14:val="tx1"/>
            </w14:solidFill>
          </w14:textFill>
        </w:rPr>
        <w:t>；事业收入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0万元</w:t>
      </w:r>
      <w:r>
        <w:rPr>
          <w:rFonts w:hint="eastAsia" w:ascii="Times New Roman" w:hAnsi="Times New Roman" w:eastAsia="方正仿宋_GBK" w:cs="Times New Roman"/>
          <w:color w:val="000000" w:themeColor="text1"/>
          <w:sz w:val="32"/>
          <w:szCs w:val="32"/>
          <w14:textFill>
            <w14:solidFill>
              <w14:schemeClr w14:val="tx1"/>
            </w14:solidFill>
          </w14:textFill>
        </w:rPr>
        <w:t>，占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14:textFill>
            <w14:solidFill>
              <w14:schemeClr w14:val="tx1"/>
            </w14:solidFill>
          </w14:textFill>
        </w:rPr>
        <w:t>；经营收入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0万元</w:t>
      </w:r>
      <w:r>
        <w:rPr>
          <w:rFonts w:hint="eastAsia" w:ascii="Times New Roman" w:hAnsi="Times New Roman" w:eastAsia="方正仿宋_GBK" w:cs="Times New Roman"/>
          <w:color w:val="000000" w:themeColor="text1"/>
          <w:sz w:val="32"/>
          <w:szCs w:val="32"/>
          <w14:textFill>
            <w14:solidFill>
              <w14:schemeClr w14:val="tx1"/>
            </w14:solidFill>
          </w14:textFill>
        </w:rPr>
        <w:t>，占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14:textFill>
            <w14:solidFill>
              <w14:schemeClr w14:val="tx1"/>
            </w14:solidFill>
          </w14:textFill>
        </w:rPr>
        <w:t>；其他收入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0万元</w:t>
      </w:r>
      <w:r>
        <w:rPr>
          <w:rFonts w:hint="eastAsia" w:ascii="Times New Roman" w:hAnsi="Times New Roman" w:eastAsia="方正仿宋_GBK" w:cs="Times New Roman"/>
          <w:color w:val="000000" w:themeColor="text1"/>
          <w:sz w:val="32"/>
          <w:szCs w:val="32"/>
          <w14:textFill>
            <w14:solidFill>
              <w14:schemeClr w14:val="tx1"/>
            </w14:solidFill>
          </w14:textFill>
        </w:rPr>
        <w:t>，占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14:textFill>
            <w14:solidFill>
              <w14:schemeClr w14:val="tx1"/>
            </w14:solidFill>
          </w14:textFill>
        </w:rPr>
        <w:t>。此外，使用非财政拨款结余和专用结余</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0万元</w:t>
      </w:r>
      <w:r>
        <w:rPr>
          <w:rFonts w:hint="eastAsia" w:ascii="Times New Roman" w:hAnsi="Times New Roman" w:eastAsia="方正仿宋_GBK" w:cs="Times New Roman"/>
          <w:color w:val="000000" w:themeColor="text1"/>
          <w:sz w:val="32"/>
          <w:szCs w:val="32"/>
          <w14:textFill>
            <w14:solidFill>
              <w14:schemeClr w14:val="tx1"/>
            </w14:solidFill>
          </w14:textFill>
        </w:rPr>
        <w:t>，年初结转和结余445.80万元。</w:t>
      </w:r>
    </w:p>
    <w:p w14:paraId="75F4985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3.支出情况。</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eastAsia" w:ascii="Times New Roman" w:hAnsi="Times New Roman" w:eastAsia="方正仿宋_GBK" w:cs="Times New Roman"/>
          <w:color w:val="000000" w:themeColor="text1"/>
          <w:sz w:val="32"/>
          <w:szCs w:val="32"/>
          <w14:textFill>
            <w14:solidFill>
              <w14:schemeClr w14:val="tx1"/>
            </w14:solidFill>
          </w14:textFill>
        </w:rPr>
        <w:t>度支出合计3440.68万元，与2023年度相比，减少2547.99万元，下降42.6%，主要原因是事业单位单独核算金额为1321.87万元；项目共减少679.12万元，其中：泥结石路和四好公路减少337.49万元，敬老院工程款减少80万元，小东门拆迁减少301.43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党群服务中心增加39.8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万</w:t>
      </w:r>
      <w:r>
        <w:rPr>
          <w:rFonts w:hint="default" w:ascii="Times New Roman" w:hAnsi="Times New Roman" w:eastAsia="方正仿宋_GBK" w:cs="Times New Roman"/>
          <w:color w:val="000000" w:themeColor="text1"/>
          <w:sz w:val="32"/>
          <w:szCs w:val="32"/>
          <w14:textFill>
            <w14:solidFill>
              <w14:schemeClr w14:val="tx1"/>
            </w14:solidFill>
          </w14:textFill>
        </w:rPr>
        <w:t>元；</w:t>
      </w:r>
      <w:r>
        <w:rPr>
          <w:rFonts w:hint="eastAsia" w:ascii="Times New Roman" w:hAnsi="Times New Roman" w:eastAsia="方正仿宋_GBK" w:cs="Times New Roman"/>
          <w:color w:val="000000" w:themeColor="text1"/>
          <w:sz w:val="32"/>
          <w:szCs w:val="32"/>
          <w14:textFill>
            <w14:solidFill>
              <w14:schemeClr w14:val="tx1"/>
            </w14:solidFill>
          </w14:textFill>
        </w:rPr>
        <w:t>人员和公用以及未支付发票172.59万元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年末结转和结余445.80</w:t>
      </w:r>
      <w:r>
        <w:rPr>
          <w:rFonts w:hint="default" w:ascii="Times New Roman" w:hAnsi="Times New Roman" w:eastAsia="方正仿宋_GBK" w:cs="Times New Roman"/>
          <w:color w:val="000000" w:themeColor="text1"/>
          <w:sz w:val="32"/>
          <w:szCs w:val="32"/>
          <w14:textFill>
            <w14:solidFill>
              <w14:schemeClr w14:val="tx1"/>
            </w14:solidFill>
          </w14:textFill>
        </w:rPr>
        <w:t>万元。其中：基本支出1130.72万元，占32.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%；项目支出2309.96万元，占67.1%；经营支出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0万元</w:t>
      </w:r>
      <w:r>
        <w:rPr>
          <w:rFonts w:hint="default" w:ascii="Times New Roman" w:hAnsi="Times New Roman" w:eastAsia="方正仿宋_GBK" w:cs="Times New Roman"/>
          <w:color w:val="000000" w:themeColor="text1"/>
          <w:sz w:val="32"/>
          <w:szCs w:val="32"/>
          <w14:textFill>
            <w14:solidFill>
              <w14:schemeClr w14:val="tx1"/>
            </w14:solidFill>
          </w14:textFill>
        </w:rPr>
        <w:t>，占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0.0%</w:t>
      </w:r>
      <w:r>
        <w:rPr>
          <w:rFonts w:hint="default" w:ascii="Times New Roman" w:hAnsi="Times New Roman" w:eastAsia="方正仿宋_GBK" w:cs="Times New Roman"/>
          <w:color w:val="000000" w:themeColor="text1"/>
          <w:sz w:val="32"/>
          <w:szCs w:val="32"/>
          <w14:textFill>
            <w14:solidFill>
              <w14:schemeClr w14:val="tx1"/>
            </w14:solidFill>
          </w14:textFill>
        </w:rPr>
        <w:t>。此外，结余分配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0万元</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99D7B2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度年末结转和结余445.80万元，与2023年度相比，无增减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6899CF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二）财政拨款收入支出决算总体情况说明</w:t>
      </w:r>
    </w:p>
    <w:p w14:paraId="3F7FC6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度财政拨款收、支总计3886.49万元。与202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相比，财政拨款收、支总计各减少2547.99万元，下降39.6%。主要原因是事业单位单独核算金额为1321.87万元；项目共减少679.12万元，其中：泥结石路和四好公路减少337.49万元，敬老院工程款减少80万元，小东门拆迁减少301.43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党群服务中心增加39.8万元；人员和公用以及未支付发票172.59万元。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24年</w:t>
      </w:r>
      <w:r>
        <w:rPr>
          <w:rFonts w:hint="default" w:ascii="Times New Roman" w:hAnsi="Times New Roman" w:eastAsia="方正仿宋_GBK" w:cs="Times New Roman"/>
          <w:color w:val="000000" w:themeColor="text1"/>
          <w:sz w:val="32"/>
          <w:szCs w:val="32"/>
          <w14:textFill>
            <w14:solidFill>
              <w14:schemeClr w14:val="tx1"/>
            </w14:solidFill>
          </w14:textFill>
        </w:rPr>
        <w:t>度年末一般公共预算财政拨款结转和结余445.80万元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CFAFF5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（三）一般公共预算财政拨款收入支出决算情况说明</w:t>
      </w:r>
    </w:p>
    <w:p w14:paraId="1D18B45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收入情况。2024年度一般公共预算财政拨款收入3440.68万元，与2023年度相比，减少1872.15万元，下降35.2%。主要原因是事业单位单独核算金额为1321.87万元；项目共减少377.69万元，其中：泥结石路和四好公路减少337.49万元，敬老院工程款减少80万元，党群服务中心增加39.8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人员和公用以及未支付发票172.59万元。较年初预算数增加641.53万元，增长22.9%。主要原因是公路建设、敬老院建设、临时救助等财政零余额支付的款项未纳入年初预算。此外，年初财政拨款结转和结余445.80万元。</w:t>
      </w:r>
    </w:p>
    <w:p w14:paraId="72581C0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2.支出情况。2024年度一般公共预算财政拨款支出3440.68万元，与2023年度相比，减少2173.58万元，下降38.7%。主要原因是事业单位单独核算金额为1321.87万元；项目共减少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679.12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万元，其中：泥结石路和四好公路减少337.49万元，敬老院工程款减少80万元，党群服务中心增加39.8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万元；人员和公用以及未支付发票172.59万元。较年初预算数增加641.53万元，增长22.9%。主要原因是公路建设、敬老院建设、临时救助等财政零余额支付的款项未纳入年初预算。</w:t>
      </w:r>
    </w:p>
    <w:p w14:paraId="777304C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3.结转结余情况。2024年度年末一般公共预算财政拨款结转和结余445.80万元，与2023年度相比，无增减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04411F4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4.比较情况。本单位2024年度一般公共预算财政拨款支出主要用于以下几个方面：</w:t>
      </w:r>
    </w:p>
    <w:p w14:paraId="2B08649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（1）一般公共服务支出1011.39万元，占29.4%，较年初预算数增加79.43万元，增长8.5%，主要原因是洋海村行政服务中心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39.7万元，调整在职和村干部工资增加39.73万元。</w:t>
      </w:r>
    </w:p>
    <w:p w14:paraId="4A6C58E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）文化旅游体育与传媒支出0.28万元，占0.0%，较年初预算数增加0.28万元，增长100.0%，主要原因是文物保护补助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0.28万元。</w:t>
      </w:r>
    </w:p>
    <w:p w14:paraId="17D7BF0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）社会保障与就业支出569.32万元，占16.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%，较年初预算数增加334.99万元，增长143.0%，主要原因是敬老院建设工程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320.16万元，临时救助14万元。</w:t>
      </w:r>
    </w:p>
    <w:p w14:paraId="65B3B40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）卫生健康支出57.79万元，占1.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%，较年初预算数减少15.46万元，下降21.1%，主要原因是公务员医疗补助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万元未支付。</w:t>
      </w:r>
    </w:p>
    <w:p w14:paraId="0FEC923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）节能环保支出134.37万元，占3.9%，较年初预算数增加48.37万元，增长56.2%，主要原因是市政环卫经费调整功能，从城乡社区支出调整为节能环保支出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88.35万元，农村垃圾清运减少40万元。</w:t>
      </w:r>
    </w:p>
    <w:p w14:paraId="460F316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）城乡社区支出176.64万元，占5.1%，较年初预算数减少28.85万元，下降14.0%，主要原因是市政环境卫生部分调整功能，从城乡社区支出调整为节能环保支出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88.35万元，市政维护增加59万元。</w:t>
      </w:r>
    </w:p>
    <w:p w14:paraId="6029C66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）农林水支出1160.05万元，占33.7%，较年初预算数增加56.15万元，增长5.1%，主要原因是泥结石路增加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321.68万元，农业中心和产业中心的人员和公用经费376万元已进行独立核算。</w:t>
      </w:r>
    </w:p>
    <w:p w14:paraId="5914CE8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）交通运输支出170.28万元，占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%，较年初预算数增加130.28万元，增长325.7%，主要原因是公路建设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170.28元，年初预算的公路维护40万元未使用指标。</w:t>
      </w:r>
    </w:p>
    <w:p w14:paraId="316FCF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）住房保障支出69.39万元，占2.0%，较年初预算数增加1.56万元，增长2.3%，主要原因是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7月份两名大学生入职。</w:t>
      </w:r>
    </w:p>
    <w:p w14:paraId="63998C0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）灾害防治及应急管理支出91.16万元，占2.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%，较年初预算数增加34.76万元，增长61.6%，主要原因是增加抗旱防汛资金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49.60万元，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减少安全维稳资金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14.84万元。</w:t>
      </w:r>
    </w:p>
    <w:p w14:paraId="2738313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（四）一般公共预算财政拨款基本支出决算情况说明</w:t>
      </w:r>
    </w:p>
    <w:p w14:paraId="4D2BE01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一般公共财政拨款基本支出1130.72万元。其中：人员经费952.06万元，与2023年度相比，减少1098.84万元，下降53.6%，主要原因是事业单位单独核算金额为1051.69万元，公务员13个月工资年终未兑现。人员经费用途主要包括基本工资、津贴补贴、绩效工资、奖金、社会保障缴费、住房公积金、应休未休假报酬，退休人员生活补助等。公用经费178.66万元，与2023年度相比，减少229.71万元，下降56.3%，主要原因是事业单独核算公用经费87万元，过紧日子压缩了差旅、办公费等142.71万元。公用经费用途主要包括办公费、水费、电费、邮电费、差旅费、维修（护）费、租赁费、会议费、培训费、公务接待费、劳务费、工会经费、其他交通费等。</w:t>
      </w:r>
    </w:p>
    <w:p w14:paraId="71D196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（五）政府性基金预算收支决算情况说明</w:t>
      </w:r>
    </w:p>
    <w:p w14:paraId="360F641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2024年度政府性基金预算财政拨款年初结转结余0万元，年末结转结余0万元。本年收入0万元，与2023年度相比，减少374.41万元，下降100.0%，主要原因是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2023年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平滩镇人居环境整治374.41万元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无政府性基金预算财政拨款支出。本年支出0万元，与2023年度相比，减少374.41万元，下降100.0%，主要原因是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2023年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平滩镇人居环境整治374.41万元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无政府性基金预算财政拨款支出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14:paraId="1B74739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（六）国有资本经营预算财政拨款支出决算情况说明</w:t>
      </w:r>
    </w:p>
    <w:p w14:paraId="3E837E8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2023年度国有资本经营预算财政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拨款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本年支出0万元，基本支出0万元，项目支出0万元，主要原因是本单位2024年度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无国有资本经营预算财政拨款支出。</w:t>
      </w:r>
    </w:p>
    <w:p w14:paraId="5A60596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财政拨款“</w:t>
      </w:r>
      <w:r>
        <w:rPr>
          <w:rFonts w:hint="eastAsia" w:ascii="方正黑体_GBK" w:hAnsi="方正黑体_GBK" w:eastAsia="方正黑体_GBK" w:cs="方正黑体_GBK"/>
          <w:color w:val="000000" w:themeColor="text1"/>
          <w:sz w:val="32"/>
          <w:szCs w:val="32"/>
          <w14:textFill>
            <w14:solidFill>
              <w14:schemeClr w14:val="tx1"/>
            </w14:solidFill>
          </w14:textFill>
        </w:rPr>
        <w:t>三公</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方正黑体_GBK" w:hAnsi="方正黑体_GBK" w:eastAsia="方正黑体_GBK" w:cs="方正黑体_GBK"/>
          <w:color w:val="000000" w:themeColor="text1"/>
          <w:sz w:val="32"/>
          <w:szCs w:val="32"/>
          <w14:textFill>
            <w14:solidFill>
              <w14:schemeClr w14:val="tx1"/>
            </w14:solidFill>
          </w14:textFill>
        </w:rPr>
        <w:t>经费情况说明</w:t>
      </w:r>
    </w:p>
    <w:p w14:paraId="63FA423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（一）“三公”经费支出总体情况说明</w:t>
      </w:r>
    </w:p>
    <w:p w14:paraId="77F535D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经费支出共计9.8万元，较年初预算数减少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万元，下降9.3%，主要原因是严格落实了中央八项规定和政府过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紧日子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十条措施相关要求，按照只减不增的要求从严控制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经费。较上年支出数减少2.02万元，下降17.1%，主要原因是：强化公务接待支出管理，严格遵守公务接待开支范围和开支标准，严格控制陪餐人数；严格控制公务车运行维护费。</w:t>
      </w:r>
    </w:p>
    <w:p w14:paraId="7481F4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（二）“三公”经费分项支出情况</w:t>
      </w:r>
    </w:p>
    <w:p w14:paraId="4CD5553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2024年度本部门因公出国（境）费用0万元，费用支出较年初预算数增加0万元，增长0.0%，较上年支出数增加0万元，增长0.0%，主要原因是：本单位2024年度未发生因公出国（境）费用。</w:t>
      </w:r>
    </w:p>
    <w:p w14:paraId="743C90E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公务车购置费0万元，费用支出较年初预算数增加0万元，增长0.0%，较上年支出数增加0万元，增长0.0%。主要原因是本单位2024年度未发生公务车购置费。</w:t>
      </w:r>
    </w:p>
    <w:p w14:paraId="3C525D4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车运行维护费9.8万元，车均4.9万元，主要用于机要文件交换、重庆市内因公出行等工作所需车辆的燃料费、维修费、过桥过路费、车辆保险费等支出。费用支出较年初预算数减少1万元，下降9.3%，主要原因是严格控制公务车维修费、燃料费支出预算。较上年支出数减少1万元，下降9.3%，主要原因是：</w:t>
      </w:r>
      <w:bookmarkStart w:id="0" w:name="OLE_LINK8"/>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严格落实了中央八项规定和政府过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紧日子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十条措施相关要求，严格控制公务车运行维护费。</w:t>
      </w:r>
      <w:bookmarkEnd w:id="0"/>
    </w:p>
    <w:p w14:paraId="496072F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公务接待费0万元，费用支出与年初预算数持平。较上年支出数减少0.92万元，下降100.0%，主要原因是强化公务接待支出管理，严格遵守公务接待开支范围和开支标准，严格控制陪餐人数。</w:t>
      </w:r>
    </w:p>
    <w:p w14:paraId="5296BC0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（三）“三公”经费实物量情况</w:t>
      </w:r>
    </w:p>
    <w:p w14:paraId="058D835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部门因公出国（境）共计0个团组，0人；公务用车购置0辆，公务车保有量为2辆；国内公务接待0批次0人，其中：国内外事接待0批次，0人；国（境）外公务接待0批次，0人。2024年本部门人均接待费0元，车均购置费0万元，车均维护费4.9万元。</w:t>
      </w:r>
    </w:p>
    <w:p w14:paraId="76C05B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四、其他需要说明的事项</w:t>
      </w:r>
    </w:p>
    <w:p w14:paraId="1452AD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（一）财政拨款会议费和培训费情况说明</w:t>
      </w:r>
    </w:p>
    <w:p w14:paraId="29C745B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年度会议费支出0万元，与2023年度相比，减少15万元，下降100.0%，主要原因是2023年会议费是项目人大经费，2024年项目人大经费由文化服务中心进行独立核算。本年度培训费支出1.53万元，与2023年度相比，减少2.44万元，下降61.5%，主要原因是事业单位进行独立核算相应培训费在对应单位核算。</w:t>
      </w:r>
    </w:p>
    <w:p w14:paraId="3AFD75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（二）机关运行经费情况说明</w:t>
      </w:r>
    </w:p>
    <w:p w14:paraId="2CC37AB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机关运行经费支出178.66万元，机关运行经费主要用于开支办公费8.12万元、办公设备费3.75万元、水费0.7万元、电费8.75万元、邮电费25.98万元、差旅费25.7万元、培训费1.53万元、工会经费29.65万元、福利费16.43万元、公务用车运行维护费9.8万元、其他交通费用33.94万元、其他商品和服务支出14.31万元。机关运行经费较上年支出数减少38.23万元，下降17.6%，主要原因是事业单位进行独立核算相应公用经费在对应单位核算。</w:t>
      </w:r>
    </w:p>
    <w:p w14:paraId="08712D7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（三）国有资产占用情况说明</w:t>
      </w:r>
    </w:p>
    <w:p w14:paraId="14FDA58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截至2024年12月31日，本单位共有车辆6辆，其中，副部（省）级及以上领导用车0辆、主要负责人用车0辆、机要通信用车0辆、应急保障用车2辆、执法执勤用车0辆，特种专业技术用车4辆，离退休干部用车0辆。单价100万元（含）以上专用设备0台（套）。</w:t>
      </w:r>
    </w:p>
    <w:p w14:paraId="5545746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四）政府采购支出情况说明</w:t>
      </w:r>
    </w:p>
    <w:p w14:paraId="39DA838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政府采购支出总额796.53万元，其中：政府采购货物支出0万元、政府采购工程支出796.53万元、政府采购服务支出0万元。授予中小企业合同金额796.53万元，占政府采购支出总额的100.0%，其中：授予小微企业合同金额0万元，占政府采购支出总额的0.0%。主要用于采购敬老院建设设备和美丽乡村建设材料款。</w:t>
      </w:r>
    </w:p>
    <w:p w14:paraId="7F63FF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五、2024年度预算绩效管理情况说明</w:t>
      </w:r>
    </w:p>
    <w:p w14:paraId="25024FB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（一）预算绩效管理工作开展情况</w:t>
      </w:r>
    </w:p>
    <w:p w14:paraId="03C105E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根据预算绩效管理要求，我单位对31个项目开展了绩效自评，其中，以填报自评表形式开展自评31项，涉及资金2309.96万元。</w:t>
      </w:r>
    </w:p>
    <w:p w14:paraId="7A86E11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（二）绩效自评结果</w:t>
      </w:r>
    </w:p>
    <w:p w14:paraId="597579E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1.项目绩效自评表。</w:t>
      </w:r>
    </w:p>
    <w:p w14:paraId="0254D68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详见附件。</w:t>
      </w:r>
    </w:p>
    <w:p w14:paraId="1B675E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2.项目绩效自评报告或案例。</w:t>
      </w:r>
    </w:p>
    <w:p w14:paraId="09D5542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我单位未委托第三方开展绩效评价。</w:t>
      </w:r>
    </w:p>
    <w:p w14:paraId="4BACFFA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3.关于绩效自评结果的说明。</w:t>
      </w:r>
    </w:p>
    <w:p w14:paraId="22B8CF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我单位对31个项目进行绩效自评，其中31个已完成年度绩效目标，0个未完成年度绩效目标。</w:t>
      </w:r>
    </w:p>
    <w:p w14:paraId="039040E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 xml:space="preserve">（三）财政重点绩效评价情况 </w:t>
      </w:r>
    </w:p>
    <w:p w14:paraId="195612D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我单位无财政重点绩效评价项目。</w:t>
      </w:r>
    </w:p>
    <w:p w14:paraId="7EC62EA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六、专业名词解释</w:t>
      </w:r>
    </w:p>
    <w:p w14:paraId="77480D8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（一）财政拨款收入：</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指本年度从本级财政部门取得的财政拨款，包括一般公共预算财政拨款和政府性基金预算财政拨款。</w:t>
      </w:r>
    </w:p>
    <w:p w14:paraId="401B0C7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（二）事业收入：</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指事业单位开展专业业务活动及其辅助活动取得的现金流入；事业单位收到的财政专户实际核拨的教育收费等资金在此反映。</w:t>
      </w:r>
    </w:p>
    <w:p w14:paraId="5DD67A0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（三）经营收入：</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指事业单位在专业业务活动及其辅助活动之外开展非独立核算经营活动取得的现金流入。</w:t>
      </w:r>
    </w:p>
    <w:p w14:paraId="3CC721D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（四）其他收入</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指单位取得的除</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财政拨款收入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经营收入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00C21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（五）使用非财政拨款结余：</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指单位在当年的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经营收入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其他收入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等不足以安排当年支出的情况下，使用以前年度积累的非财政拨款结余弥补本年度收支缺口的资金。</w:t>
      </w:r>
    </w:p>
    <w:p w14:paraId="559B605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（六）年初结转和结余：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指</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单位上年结转本年使用的基本支出结转、项目支出结转和结余、经营结余。</w:t>
      </w:r>
    </w:p>
    <w:p w14:paraId="620401B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（七）结余分配：</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指单位按照国家有关规定，缴纳所得税、提取专用基金、转入非财政拨款结余等当年结余的分配情况。</w:t>
      </w:r>
    </w:p>
    <w:p w14:paraId="5920B49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（八）年末结转和结余：</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指单位结转下年的基本支出结转、项目支出结转和结余、经营结余。</w:t>
      </w:r>
    </w:p>
    <w:p w14:paraId="4D3BD2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（九）基本支出：</w:t>
      </w:r>
      <w:r>
        <w:rPr>
          <w:rFonts w:hint="default" w:ascii="Times New Roman" w:hAnsi="Times New Roman" w:eastAsia="方正仿宋_GBK" w:cs="Times New Roman"/>
          <w:color w:val="000000" w:themeColor="text1"/>
          <w:sz w:val="32"/>
          <w:szCs w:val="32"/>
          <w14:textFill>
            <w14:solidFill>
              <w14:schemeClr w14:val="tx1"/>
            </w14:solidFill>
          </w14:textFill>
        </w:rPr>
        <w:t>指</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为保障机构正常运转、完成日常工作任务而发生的人员经费和公用经费。其中：人员经费指政府收支分类经济科目中的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工资福利支出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对个人和家庭的补助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；公用经费指政府收支分类经济科目中除</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工资福利支出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对个人和家庭的补助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外的其他支出。</w:t>
      </w:r>
    </w:p>
    <w:p w14:paraId="452003D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（十）项目支出：</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指在基本支出之外为完成特定行政任务和事业发展目标所发生的支出。</w:t>
      </w:r>
    </w:p>
    <w:p w14:paraId="45BFFE3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（十一）经营支出：</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指事业单位在专业业务活动及其辅助活动之外开展非独立核算经营活动发生的支出。</w:t>
      </w:r>
    </w:p>
    <w:p w14:paraId="44F0E2E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（十二）</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经费：</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09D43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（十三）机关运行经费：</w:t>
      </w:r>
      <w:r>
        <w:rPr>
          <w:rFonts w:hint="default" w:ascii="Times New Roman" w:hAnsi="Times New Roman" w:eastAsia="方正仿宋_GBK" w:cs="Times New Roman"/>
          <w:color w:val="000000" w:themeColor="text1"/>
          <w:sz w:val="32"/>
          <w:szCs w:val="32"/>
          <w14:textFill>
            <w14:solidFill>
              <w14:schemeClr w14:val="tx1"/>
            </w14:solidFill>
          </w14:textFill>
        </w:rPr>
        <w:t>为</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95ED7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（十四）工资福利支出（支出经济分类科目类级）：</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反映单位开支的在职职工和编制外长期聘用人员的各类劳动报酬，以及为上述人员缴纳的各项社会保险费等。</w:t>
      </w:r>
    </w:p>
    <w:p w14:paraId="69E61EA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（十五）商品和服务支出（支出经济分类科目类级）：</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反映单位购买商品和服务的支出（不包括用于购置固定资产的支出、战略性和应急储备支出）。</w:t>
      </w:r>
    </w:p>
    <w:p w14:paraId="413886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（十六）对个人和家庭的补助（支出经济分类科目类级）：</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反映用于对个人和家庭的补助支出。</w:t>
      </w:r>
    </w:p>
    <w:p w14:paraId="0D76AC0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（十七）其他资本性支出（支出经济分类科目类级）：</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2CA55B4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七、决算公开联系方式及信息反馈渠道</w:t>
      </w:r>
    </w:p>
    <w:p w14:paraId="1A56E89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本单位决算公开信息反馈和联系方式：</w:t>
      </w:r>
    </w:p>
    <w:p w14:paraId="1AC45AD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联系人：许弟春；联系方式：023-45211002</w:t>
      </w:r>
    </w:p>
    <w:p w14:paraId="79BCF97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bookmarkEnd w:id="1"/>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2396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F7F051">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AF7F051">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71B680">
                          <w:pPr>
                            <w:pStyle w:val="2"/>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71B680">
                    <w:pPr>
                      <w:pStyle w:val="2"/>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E02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6A13E6"/>
    <w:rsid w:val="06191464"/>
    <w:rsid w:val="06A2550B"/>
    <w:rsid w:val="06D51B1F"/>
    <w:rsid w:val="06F80EE2"/>
    <w:rsid w:val="07001CCA"/>
    <w:rsid w:val="075678DB"/>
    <w:rsid w:val="08051BCA"/>
    <w:rsid w:val="08887FC5"/>
    <w:rsid w:val="089C3BF9"/>
    <w:rsid w:val="08B84F60"/>
    <w:rsid w:val="08BA052C"/>
    <w:rsid w:val="08DB07BA"/>
    <w:rsid w:val="098305D0"/>
    <w:rsid w:val="09B72B6E"/>
    <w:rsid w:val="0A3851D8"/>
    <w:rsid w:val="0A5C4B69"/>
    <w:rsid w:val="0AEC3BC7"/>
    <w:rsid w:val="0B9335CE"/>
    <w:rsid w:val="0C2847FE"/>
    <w:rsid w:val="0C7927C4"/>
    <w:rsid w:val="0C9B098C"/>
    <w:rsid w:val="0D11728C"/>
    <w:rsid w:val="0D673E11"/>
    <w:rsid w:val="0DB50EFE"/>
    <w:rsid w:val="0DDA54E4"/>
    <w:rsid w:val="0E3A5F83"/>
    <w:rsid w:val="0E664FCA"/>
    <w:rsid w:val="0F836721"/>
    <w:rsid w:val="103645A3"/>
    <w:rsid w:val="107B59E5"/>
    <w:rsid w:val="11003CB0"/>
    <w:rsid w:val="111445C7"/>
    <w:rsid w:val="11481C47"/>
    <w:rsid w:val="1158083A"/>
    <w:rsid w:val="11F03528"/>
    <w:rsid w:val="12C921C4"/>
    <w:rsid w:val="13713CFE"/>
    <w:rsid w:val="13850DCB"/>
    <w:rsid w:val="13871C70"/>
    <w:rsid w:val="13A71CB4"/>
    <w:rsid w:val="13AF1D43"/>
    <w:rsid w:val="13C643C6"/>
    <w:rsid w:val="13CE1647"/>
    <w:rsid w:val="141A11EA"/>
    <w:rsid w:val="14200702"/>
    <w:rsid w:val="148E377E"/>
    <w:rsid w:val="15614D35"/>
    <w:rsid w:val="1580711B"/>
    <w:rsid w:val="189B0D0B"/>
    <w:rsid w:val="18A87D00"/>
    <w:rsid w:val="194A1770"/>
    <w:rsid w:val="19917D9C"/>
    <w:rsid w:val="19B906A4"/>
    <w:rsid w:val="19EA79E7"/>
    <w:rsid w:val="1A1F744B"/>
    <w:rsid w:val="1A4854EC"/>
    <w:rsid w:val="1B6F15B6"/>
    <w:rsid w:val="1BAA2EDC"/>
    <w:rsid w:val="1CE157EE"/>
    <w:rsid w:val="1D014A01"/>
    <w:rsid w:val="1D022362"/>
    <w:rsid w:val="1DD26311"/>
    <w:rsid w:val="1EF67CA4"/>
    <w:rsid w:val="1FCD26AF"/>
    <w:rsid w:val="2033495D"/>
    <w:rsid w:val="20642787"/>
    <w:rsid w:val="21556F04"/>
    <w:rsid w:val="22403BD3"/>
    <w:rsid w:val="24932670"/>
    <w:rsid w:val="24B92327"/>
    <w:rsid w:val="2533755C"/>
    <w:rsid w:val="25C11AFE"/>
    <w:rsid w:val="26396DF4"/>
    <w:rsid w:val="270642A6"/>
    <w:rsid w:val="27167136"/>
    <w:rsid w:val="27B23302"/>
    <w:rsid w:val="27E20CF8"/>
    <w:rsid w:val="281D7469"/>
    <w:rsid w:val="28CF3E78"/>
    <w:rsid w:val="29310A5F"/>
    <w:rsid w:val="29B8386C"/>
    <w:rsid w:val="29C37A35"/>
    <w:rsid w:val="29C95E09"/>
    <w:rsid w:val="2A076083"/>
    <w:rsid w:val="2A73162E"/>
    <w:rsid w:val="2B167953"/>
    <w:rsid w:val="2B200583"/>
    <w:rsid w:val="2B8209DE"/>
    <w:rsid w:val="2C161D32"/>
    <w:rsid w:val="2C2D3EC7"/>
    <w:rsid w:val="2C6762A3"/>
    <w:rsid w:val="2D8D2A49"/>
    <w:rsid w:val="2FE029D7"/>
    <w:rsid w:val="2FF06E00"/>
    <w:rsid w:val="30912635"/>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362AE2"/>
    <w:rsid w:val="39B82A39"/>
    <w:rsid w:val="39F33306"/>
    <w:rsid w:val="3A3A3DA7"/>
    <w:rsid w:val="3A6957FD"/>
    <w:rsid w:val="3AD74854"/>
    <w:rsid w:val="3B1705E5"/>
    <w:rsid w:val="3B18334B"/>
    <w:rsid w:val="3B36794F"/>
    <w:rsid w:val="3B544954"/>
    <w:rsid w:val="3BBF6D9E"/>
    <w:rsid w:val="3BF014AD"/>
    <w:rsid w:val="3C6A5B02"/>
    <w:rsid w:val="3D2757A1"/>
    <w:rsid w:val="3D3D4FC4"/>
    <w:rsid w:val="3D4F47F5"/>
    <w:rsid w:val="3DC818FB"/>
    <w:rsid w:val="3DDF3AB1"/>
    <w:rsid w:val="3DE60B7E"/>
    <w:rsid w:val="3E175B9D"/>
    <w:rsid w:val="3E1D0952"/>
    <w:rsid w:val="3E247234"/>
    <w:rsid w:val="3E42660A"/>
    <w:rsid w:val="3E7555B1"/>
    <w:rsid w:val="3F0527E5"/>
    <w:rsid w:val="3F16459E"/>
    <w:rsid w:val="3F287AAC"/>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18792A"/>
    <w:rsid w:val="48225EF7"/>
    <w:rsid w:val="495C4A24"/>
    <w:rsid w:val="4AD70EE7"/>
    <w:rsid w:val="4B7951CB"/>
    <w:rsid w:val="4B7C315C"/>
    <w:rsid w:val="4BAB7F90"/>
    <w:rsid w:val="4C06511B"/>
    <w:rsid w:val="4DAC4ACA"/>
    <w:rsid w:val="4F186D58"/>
    <w:rsid w:val="50EC262C"/>
    <w:rsid w:val="522F6E0C"/>
    <w:rsid w:val="52463BA1"/>
    <w:rsid w:val="53C0244D"/>
    <w:rsid w:val="53DD4D4E"/>
    <w:rsid w:val="53E578CE"/>
    <w:rsid w:val="543B029D"/>
    <w:rsid w:val="545D0246"/>
    <w:rsid w:val="554E5773"/>
    <w:rsid w:val="555A3CBC"/>
    <w:rsid w:val="55BA47DC"/>
    <w:rsid w:val="56530F5D"/>
    <w:rsid w:val="57BC22D8"/>
    <w:rsid w:val="5842572D"/>
    <w:rsid w:val="59A652DC"/>
    <w:rsid w:val="5AE75037"/>
    <w:rsid w:val="5B58571C"/>
    <w:rsid w:val="5B8376C2"/>
    <w:rsid w:val="5B96133A"/>
    <w:rsid w:val="5C1336B7"/>
    <w:rsid w:val="5C263CE4"/>
    <w:rsid w:val="5C5D2777"/>
    <w:rsid w:val="5D290C69"/>
    <w:rsid w:val="5D3E5D08"/>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231999"/>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7FC009"/>
    <w:rsid w:val="6FB442D1"/>
    <w:rsid w:val="6FFB2E76"/>
    <w:rsid w:val="703B070A"/>
    <w:rsid w:val="71774818"/>
    <w:rsid w:val="71C34D91"/>
    <w:rsid w:val="71ED38AA"/>
    <w:rsid w:val="720229AA"/>
    <w:rsid w:val="72DB435C"/>
    <w:rsid w:val="750837F0"/>
    <w:rsid w:val="754B5BF4"/>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C3365B"/>
    <w:rsid w:val="7E874268"/>
    <w:rsid w:val="7FA960B8"/>
    <w:rsid w:val="BABB7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5984</Words>
  <Characters>6943</Characters>
  <Lines>161</Lines>
  <Paragraphs>45</Paragraphs>
  <TotalTime>17</TotalTime>
  <ScaleCrop>false</ScaleCrop>
  <LinksUpToDate>false</LinksUpToDate>
  <CharactersWithSpaces>6944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cp:lastPrinted>2025-10-16T12:44:00Z</cp:lastPrinted>
  <dcterms:modified xsi:type="dcterms:W3CDTF">2025-10-27T10:50:15Z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C88EFFD62D064913AE6247E7BC608428</vt:lpwstr>
  </property>
  <property fmtid="{D5CDD505-2E9C-101B-9397-08002B2CF9AE}" pid="4" name="KSOTemplateDocerSaveRecord">
    <vt:lpwstr>eyJoZGlkIjoiYzg1OWZjNDY4YWU3ZDM2NzE4ZjRlYWM4ZWQ1YmRmODIiLCJ1c2VySWQiOiI3OTg1NTU1MjEifQ==</vt:lpwstr>
  </property>
</Properties>
</file>