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重庆市铜梁区庆隆镇农业服务中心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val="0"/>
          <w:sz w:val="32"/>
          <w:szCs w:val="32"/>
          <w:shd w:val="clear" w:color="auto" w:fill="FFFFFF"/>
          <w:lang w:val="en-US" w:eastAsia="zh-CN"/>
        </w:rPr>
      </w:pPr>
      <w:r>
        <w:rPr>
          <w:rStyle w:val="8"/>
          <w:rFonts w:hint="default" w:ascii="Times New Roman" w:hAnsi="Times New Roman" w:eastAsia="方正仿宋_GBK" w:cs="Times New Roman"/>
          <w:b w:val="0"/>
          <w:bCs w:val="0"/>
          <w:sz w:val="32"/>
          <w:szCs w:val="32"/>
          <w:shd w:val="clear" w:color="auto" w:fill="FFFFFF"/>
        </w:rPr>
        <w:t>重庆市铜梁区庆隆镇农业服务中心</w:t>
      </w:r>
      <w:r>
        <w:rPr>
          <w:rStyle w:val="8"/>
          <w:rFonts w:hint="default" w:ascii="Times New Roman" w:hAnsi="Times New Roman" w:eastAsia="方正仿宋_GBK" w:cs="Times New Roman"/>
          <w:b w:val="0"/>
          <w:bCs w:val="0"/>
          <w:sz w:val="32"/>
          <w:szCs w:val="32"/>
          <w:shd w:val="clear" w:color="auto" w:fill="FFFFFF"/>
          <w:lang w:eastAsia="zh-CN"/>
        </w:rPr>
        <w:t>主要职责任务是承担农技、农机、林业、畜牧、水利水保、水产等方面的重大技术推广、信息服务、资源保护、灾害防治等工作，承担农产品质量安全监测和监测等事务性工作，完成主管部门交办的其他任务。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本单位共一个独立编制机构，即重庆市铜梁区庆隆镇农业服务中心。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Style w:val="8"/>
          <w:rFonts w:hint="default" w:ascii="Times New Roman" w:hAnsi="Times New Roman" w:eastAsia="方正仿宋_GBK" w:cs="Times New Roman"/>
          <w:b w:val="0"/>
          <w:bCs w:val="0"/>
          <w:color w:val="auto"/>
          <w:sz w:val="32"/>
          <w:szCs w:val="32"/>
          <w:shd w:val="clear" w:color="auto" w:fill="FFFFFF"/>
        </w:rPr>
        <w:t>1.总体情况。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度收入总计370.01万元，支出总计</w:t>
      </w:r>
      <w:r>
        <w:rPr>
          <w:rFonts w:hint="default" w:ascii="Times New Roman" w:hAnsi="Times New Roman" w:eastAsia="方正仿宋_GBK" w:cs="Times New Roman"/>
          <w:b w:val="0"/>
          <w:bCs w:val="0"/>
          <w:color w:val="auto"/>
          <w:sz w:val="32"/>
          <w:szCs w:val="32"/>
        </w:rPr>
        <w:t>370.01</w:t>
      </w:r>
      <w:r>
        <w:rPr>
          <w:rFonts w:hint="default" w:ascii="Times New Roman" w:hAnsi="Times New Roman" w:eastAsia="方正仿宋_GBK" w:cs="Times New Roman"/>
          <w:b w:val="0"/>
          <w:bCs w:val="0"/>
          <w:color w:val="auto"/>
          <w:sz w:val="32"/>
          <w:szCs w:val="32"/>
          <w:shd w:val="clear" w:color="auto" w:fill="FFFFFF"/>
        </w:rPr>
        <w:t>万元。收、支与2023年度相比，增加370.01万元，增长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%，主要原因是2024年依据财政局要求，本单位将事业单位划分为重庆市铜梁区庆隆镇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等七个账套单独核算，上年度未单独核算，收</w:t>
      </w:r>
      <w:r>
        <w:rPr>
          <w:rFonts w:hint="eastAsia" w:ascii="Times New Roman" w:hAnsi="Times New Roman" w:eastAsia="方正仿宋_GBK" w:cs="Times New Roman"/>
          <w:b w:val="0"/>
          <w:bCs w:val="0"/>
          <w:color w:val="auto"/>
          <w:sz w:val="32"/>
          <w:szCs w:val="32"/>
          <w:shd w:val="clear" w:color="auto" w:fill="FFFFFF"/>
          <w:lang w:eastAsia="zh-CN"/>
        </w:rPr>
        <w:t>支</w:t>
      </w:r>
      <w:r>
        <w:rPr>
          <w:rFonts w:hint="default" w:ascii="Times New Roman" w:hAnsi="Times New Roman" w:eastAsia="方正仿宋_GBK" w:cs="Times New Roman"/>
          <w:b w:val="0"/>
          <w:bCs w:val="0"/>
          <w:color w:val="auto"/>
          <w:sz w:val="32"/>
          <w:szCs w:val="32"/>
          <w:shd w:val="clear" w:color="auto" w:fill="FFFFFF"/>
        </w:rPr>
        <w:t>为0</w:t>
      </w:r>
      <w:r>
        <w:rPr>
          <w:rFonts w:hint="eastAsia" w:ascii="Times New Roman" w:hAnsi="Times New Roman" w:eastAsia="方正仿宋_GBK" w:cs="Times New Roman"/>
          <w:b w:val="0"/>
          <w:bCs w:val="0"/>
          <w:color w:val="auto"/>
          <w:sz w:val="32"/>
          <w:szCs w:val="32"/>
          <w:shd w:val="clear" w:color="auto" w:fill="FFFFFF"/>
          <w:lang w:eastAsia="zh-CN"/>
        </w:rPr>
        <w:t>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default"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度收入合计370.01万元，与2023年度相比，增加370.01万元，增长</w:t>
      </w:r>
      <w:r>
        <w:rPr>
          <w:rFonts w:hint="eastAsia" w:ascii="Times New Roman" w:hAnsi="Times New Roman" w:eastAsia="方正仿宋_GBK" w:cs="Times New Roman"/>
          <w:b w:val="0"/>
          <w:bCs w:val="0"/>
          <w:sz w:val="32"/>
          <w:szCs w:val="32"/>
          <w:shd w:val="clear" w:color="auto" w:fill="FFFFFF"/>
          <w:lang w:eastAsia="zh-CN"/>
        </w:rPr>
        <w:t>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为0</w:t>
      </w:r>
      <w:r>
        <w:rPr>
          <w:rFonts w:hint="eastAsia" w:ascii="Times New Roman" w:hAnsi="Times New Roman" w:eastAsia="方正仿宋_GBK" w:cs="Times New Roman"/>
          <w:b w:val="0"/>
          <w:bCs w:val="0"/>
          <w:color w:val="auto"/>
          <w:sz w:val="32"/>
          <w:szCs w:val="32"/>
          <w:shd w:val="clear" w:color="auto" w:fill="FFFFFF"/>
          <w:lang w:eastAsia="zh-CN"/>
        </w:rPr>
        <w:t>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370.01</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370.01</w:t>
      </w:r>
      <w:r>
        <w:rPr>
          <w:rFonts w:hint="default" w:ascii="Times New Roman" w:hAnsi="Times New Roman" w:eastAsia="方正仿宋_GBK" w:cs="Times New Roman"/>
          <w:b w:val="0"/>
          <w:bCs w:val="0"/>
          <w:sz w:val="32"/>
          <w:szCs w:val="32"/>
          <w:shd w:val="clear" w:color="auto" w:fill="FFFFFF"/>
        </w:rPr>
        <w:t>万元，与2023年度相比，增加370.01万元，增长</w:t>
      </w:r>
      <w:r>
        <w:rPr>
          <w:rFonts w:hint="eastAsia" w:ascii="Times New Roman" w:hAnsi="Times New Roman" w:eastAsia="方正仿宋_GBK" w:cs="Times New Roman"/>
          <w:b w:val="0"/>
          <w:bCs w:val="0"/>
          <w:sz w:val="32"/>
          <w:szCs w:val="32"/>
          <w:shd w:val="clear" w:color="auto" w:fill="FFFFFF"/>
          <w:lang w:eastAsia="zh-CN"/>
        </w:rPr>
        <w:t>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为0</w:t>
      </w:r>
      <w:r>
        <w:rPr>
          <w:rFonts w:hint="eastAsia" w:ascii="Times New Roman" w:hAnsi="Times New Roman" w:eastAsia="方正仿宋_GBK" w:cs="Times New Roman"/>
          <w:b w:val="0"/>
          <w:bCs w:val="0"/>
          <w:color w:val="auto"/>
          <w:sz w:val="32"/>
          <w:szCs w:val="32"/>
          <w:shd w:val="clear" w:color="auto" w:fill="FFFFFF"/>
          <w:lang w:eastAsia="zh-CN"/>
        </w:rPr>
        <w:t>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322.5</w:t>
      </w:r>
      <w:r>
        <w:rPr>
          <w:rFonts w:hint="default" w:ascii="Times New Roman" w:hAnsi="Times New Roman" w:eastAsia="方正仿宋_GBK" w:cs="Times New Roman"/>
          <w:b w:val="0"/>
          <w:bCs w:val="0"/>
          <w:sz w:val="32"/>
          <w:szCs w:val="32"/>
          <w:shd w:val="clear" w:color="auto" w:fill="FFFFFF"/>
        </w:rPr>
        <w:t>万元，占87.</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47.5</w:t>
      </w:r>
      <w:r>
        <w:rPr>
          <w:rFonts w:hint="default" w:ascii="Times New Roman" w:hAnsi="Times New Roman" w:eastAsia="方正仿宋_GBK" w:cs="Times New Roman"/>
          <w:b w:val="0"/>
          <w:bCs w:val="0"/>
          <w:sz w:val="32"/>
          <w:szCs w:val="32"/>
          <w:shd w:val="clear" w:color="auto" w:fill="FFFFFF"/>
        </w:rPr>
        <w:t>万元，占12.8%。</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度财政拨款收、支总计370.01万元。与202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年相比，财政拨款收、支总计各增加370.01万元，增长</w:t>
      </w:r>
      <w:r>
        <w:rPr>
          <w:rFonts w:hint="eastAsia" w:ascii="Times New Roman" w:hAnsi="Times New Roman" w:eastAsia="方正仿宋_GBK" w:cs="Times New Roman"/>
          <w:b w:val="0"/>
          <w:bCs w:val="0"/>
          <w:sz w:val="32"/>
          <w:szCs w:val="32"/>
          <w:shd w:val="clear" w:color="auto" w:fill="FFFFFF"/>
          <w:lang w:eastAsia="zh-CN"/>
        </w:rPr>
        <w:t>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等七个账套单独核算，上年度未单独核算，收</w:t>
      </w:r>
      <w:r>
        <w:rPr>
          <w:rFonts w:hint="eastAsia" w:ascii="Times New Roman" w:hAnsi="Times New Roman" w:eastAsia="方正仿宋_GBK" w:cs="Times New Roman"/>
          <w:b w:val="0"/>
          <w:bCs w:val="0"/>
          <w:color w:val="auto"/>
          <w:sz w:val="32"/>
          <w:szCs w:val="32"/>
          <w:shd w:val="clear" w:color="auto" w:fill="FFFFFF"/>
          <w:lang w:eastAsia="zh-CN"/>
        </w:rPr>
        <w:t>支</w:t>
      </w:r>
      <w:r>
        <w:rPr>
          <w:rFonts w:hint="default" w:ascii="Times New Roman" w:hAnsi="Times New Roman" w:eastAsia="方正仿宋_GBK" w:cs="Times New Roman"/>
          <w:b w:val="0"/>
          <w:bCs w:val="0"/>
          <w:color w:val="auto"/>
          <w:sz w:val="32"/>
          <w:szCs w:val="32"/>
          <w:shd w:val="clear" w:color="auto" w:fill="FFFFFF"/>
        </w:rPr>
        <w:t>为0</w:t>
      </w:r>
      <w:r>
        <w:rPr>
          <w:rFonts w:hint="eastAsia" w:ascii="Times New Roman" w:hAnsi="Times New Roman" w:eastAsia="方正仿宋_GBK" w:cs="Times New Roman"/>
          <w:b w:val="0"/>
          <w:bCs w:val="0"/>
          <w:color w:val="auto"/>
          <w:sz w:val="32"/>
          <w:szCs w:val="32"/>
          <w:shd w:val="clear" w:color="auto" w:fill="FFFFFF"/>
          <w:lang w:eastAsia="zh-CN"/>
        </w:rPr>
        <w:t>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default"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370.01</w:t>
      </w:r>
      <w:r>
        <w:rPr>
          <w:rFonts w:hint="default" w:ascii="Times New Roman" w:hAnsi="Times New Roman" w:eastAsia="方正仿宋_GBK" w:cs="Times New Roman"/>
          <w:b w:val="0"/>
          <w:bCs w:val="0"/>
          <w:sz w:val="32"/>
          <w:szCs w:val="32"/>
          <w:shd w:val="clear" w:color="auto" w:fill="FFFFFF"/>
        </w:rPr>
        <w:t>万元，与2023年度相比，增加370.01万元，增长</w:t>
      </w:r>
      <w:r>
        <w:rPr>
          <w:rFonts w:hint="eastAsia" w:ascii="Times New Roman" w:hAnsi="Times New Roman" w:eastAsia="方正仿宋_GBK" w:cs="Times New Roman"/>
          <w:b w:val="0"/>
          <w:bCs w:val="0"/>
          <w:sz w:val="32"/>
          <w:szCs w:val="32"/>
          <w:shd w:val="clear" w:color="auto" w:fill="FFFFFF"/>
          <w:lang w:eastAsia="zh-CN"/>
        </w:rPr>
        <w:t>100.</w:t>
      </w:r>
      <w:r>
        <w:rPr>
          <w:rFonts w:hint="default" w:ascii="Times New Roman" w:hAnsi="Times New Roman" w:eastAsia="方正仿宋_GBK" w:cs="Times New Roman"/>
          <w:b w:val="0"/>
          <w:bCs w:val="0"/>
          <w:sz w:val="32"/>
          <w:szCs w:val="32"/>
          <w:shd w:val="clear" w:color="auto" w:fill="FFFFFF"/>
        </w:rPr>
        <w:t>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为0万元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w:t>
      </w:r>
      <w:r>
        <w:rPr>
          <w:rFonts w:hint="default" w:ascii="Times New Roman" w:hAnsi="Times New Roman" w:eastAsia="方正仿宋_GBK" w:cs="Times New Roman"/>
          <w:b w:val="0"/>
          <w:bCs w:val="0"/>
          <w:color w:val="auto"/>
          <w:sz w:val="32"/>
          <w:szCs w:val="32"/>
          <w:shd w:val="clear" w:color="auto" w:fill="FFFFFF"/>
        </w:rPr>
        <w:t>数减少59.15万元，下降13.8%。主要原因是</w:t>
      </w:r>
      <w:r>
        <w:rPr>
          <w:rFonts w:hint="eastAsia" w:ascii="Times New Roman" w:hAnsi="Times New Roman" w:eastAsia="方正仿宋_GBK" w:cs="Times New Roman"/>
          <w:b w:val="0"/>
          <w:bCs w:val="0"/>
          <w:color w:val="auto"/>
          <w:sz w:val="32"/>
          <w:szCs w:val="32"/>
          <w:shd w:val="clear" w:color="auto" w:fill="FFFFFF"/>
          <w:lang w:eastAsia="zh-CN"/>
        </w:rPr>
        <w:t>年中追减其他经费项目预算。</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370.01</w:t>
      </w:r>
      <w:r>
        <w:rPr>
          <w:rFonts w:hint="default" w:ascii="Times New Roman" w:hAnsi="Times New Roman" w:eastAsia="方正仿宋_GBK" w:cs="Times New Roman"/>
          <w:b w:val="0"/>
          <w:bCs w:val="0"/>
          <w:sz w:val="32"/>
          <w:szCs w:val="32"/>
          <w:shd w:val="clear" w:color="auto" w:fill="FFFFFF"/>
        </w:rPr>
        <w:t>万元，与2023年度相比，增加370.01万元，增长</w:t>
      </w:r>
      <w:r>
        <w:rPr>
          <w:rFonts w:hint="eastAsia" w:ascii="Times New Roman" w:hAnsi="Times New Roman" w:eastAsia="方正仿宋_GBK" w:cs="Times New Roman"/>
          <w:b w:val="0"/>
          <w:bCs w:val="0"/>
          <w:sz w:val="32"/>
          <w:szCs w:val="32"/>
          <w:shd w:val="clear" w:color="auto" w:fill="FFFFFF"/>
          <w:lang w:eastAsia="zh-CN"/>
        </w:rPr>
        <w:t>100</w:t>
      </w:r>
      <w:r>
        <w:rPr>
          <w:rFonts w:hint="default" w:ascii="Times New Roman" w:hAnsi="Times New Roman" w:eastAsia="方正仿宋_GBK" w:cs="Times New Roman"/>
          <w:b w:val="0"/>
          <w:bCs w:val="0"/>
          <w:sz w:val="32"/>
          <w:szCs w:val="32"/>
          <w:shd w:val="clear" w:color="auto" w:fill="FFFFFF"/>
        </w:rPr>
        <w:t>.0%。主要原因是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为0万元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较年初预算数减少59.15万元，下降13.8%。主要原因是</w:t>
      </w:r>
      <w:r>
        <w:rPr>
          <w:rFonts w:hint="eastAsia" w:ascii="Times New Roman" w:hAnsi="Times New Roman" w:eastAsia="方正仿宋_GBK" w:cs="Times New Roman"/>
          <w:b w:val="0"/>
          <w:bCs w:val="0"/>
          <w:color w:val="auto"/>
          <w:sz w:val="32"/>
          <w:szCs w:val="32"/>
          <w:shd w:val="clear" w:color="auto" w:fill="FFFFFF"/>
          <w:lang w:eastAsia="zh-CN"/>
        </w:rPr>
        <w:t>年中追减其他经费项目支出。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（1）一般公共服务支出</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0.0</w:t>
      </w:r>
      <w:r>
        <w:rPr>
          <w:rFonts w:hint="default" w:ascii="Times New Roman" w:hAnsi="Times New Roman" w:eastAsia="方正仿宋_GBK" w:cs="Times New Roman"/>
          <w:b w:val="0"/>
          <w:bCs w:val="0"/>
          <w:color w:val="auto"/>
          <w:sz w:val="32"/>
          <w:szCs w:val="32"/>
          <w:shd w:val="clear" w:color="auto" w:fill="FFFFFF"/>
        </w:rPr>
        <w:t>%，较年初预算数减少102.10万元，下降</w:t>
      </w:r>
      <w:r>
        <w:rPr>
          <w:rFonts w:hint="eastAsia" w:ascii="Times New Roman" w:hAnsi="Times New Roman" w:eastAsia="方正仿宋_GBK" w:cs="Times New Roman"/>
          <w:b w:val="0"/>
          <w:bCs w:val="0"/>
          <w:color w:val="auto"/>
          <w:sz w:val="32"/>
          <w:szCs w:val="32"/>
          <w:shd w:val="clear" w:color="auto" w:fill="FFFFFF"/>
          <w:lang w:eastAsia="zh-CN"/>
        </w:rPr>
        <w:t>100</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rPr>
        <w:t>0%，主要原因是</w:t>
      </w:r>
      <w:r>
        <w:rPr>
          <w:rFonts w:hint="eastAsia" w:ascii="Times New Roman" w:hAnsi="Times New Roman" w:eastAsia="方正仿宋_GBK" w:cs="Times New Roman"/>
          <w:b w:val="0"/>
          <w:bCs w:val="0"/>
          <w:color w:val="auto"/>
          <w:sz w:val="32"/>
          <w:szCs w:val="32"/>
          <w:shd w:val="clear" w:color="auto" w:fill="FFFFFF"/>
          <w:lang w:eastAsia="zh-CN"/>
        </w:rPr>
        <w:t>年中追减一般公共服务预算。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74.96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20.</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shd w:val="clear" w:color="auto" w:fill="FFFFFF"/>
        </w:rPr>
        <w:t>%，较年初预算数增加7.32万元，增长10.8%，主要原因是</w:t>
      </w:r>
      <w:r>
        <w:rPr>
          <w:rFonts w:hint="eastAsia" w:ascii="Times New Roman" w:hAnsi="Times New Roman" w:eastAsia="方正仿宋_GBK" w:cs="Times New Roman"/>
          <w:b w:val="0"/>
          <w:bCs w:val="0"/>
          <w:color w:val="auto"/>
          <w:sz w:val="32"/>
          <w:szCs w:val="32"/>
          <w:shd w:val="clear" w:color="auto" w:fill="FFFFFF"/>
          <w:lang w:eastAsia="zh-CN"/>
        </w:rPr>
        <w:t>年中追加社会保障与就业预算，用于人员保险支出。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17.54</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4.7</w:t>
      </w:r>
      <w:r>
        <w:rPr>
          <w:rFonts w:hint="default" w:ascii="Times New Roman" w:hAnsi="Times New Roman" w:eastAsia="方正仿宋_GBK" w:cs="Times New Roman"/>
          <w:b w:val="0"/>
          <w:bCs w:val="0"/>
          <w:color w:val="auto"/>
          <w:sz w:val="32"/>
          <w:szCs w:val="32"/>
          <w:shd w:val="clear" w:color="auto" w:fill="FFFFFF"/>
        </w:rPr>
        <w:t>%，较年初预算数增加0.55万元，增长3.2%，主要原因是</w:t>
      </w:r>
      <w:r>
        <w:rPr>
          <w:rFonts w:hint="eastAsia" w:ascii="Times New Roman" w:hAnsi="Times New Roman" w:eastAsia="方正仿宋_GBK" w:cs="Times New Roman"/>
          <w:b w:val="0"/>
          <w:bCs w:val="0"/>
          <w:color w:val="auto"/>
          <w:sz w:val="32"/>
          <w:szCs w:val="32"/>
          <w:shd w:val="clear" w:color="auto" w:fill="FFFFFF"/>
          <w:lang w:eastAsia="zh-CN"/>
        </w:rPr>
        <w:t>年中追加卫生健康支出预算。</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）农林水支出</w:t>
      </w:r>
      <w:r>
        <w:rPr>
          <w:rFonts w:hint="default" w:ascii="Times New Roman" w:hAnsi="Times New Roman" w:eastAsia="方正仿宋_GBK" w:cs="Times New Roman"/>
          <w:b w:val="0"/>
          <w:bCs w:val="0"/>
          <w:color w:val="auto"/>
          <w:sz w:val="32"/>
          <w:szCs w:val="32"/>
        </w:rPr>
        <w:t>265.39</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71.7</w:t>
      </w:r>
      <w:r>
        <w:rPr>
          <w:rFonts w:hint="default" w:ascii="Times New Roman" w:hAnsi="Times New Roman" w:eastAsia="方正仿宋_GBK" w:cs="Times New Roman"/>
          <w:b w:val="0"/>
          <w:bCs w:val="0"/>
          <w:color w:val="auto"/>
          <w:sz w:val="32"/>
          <w:szCs w:val="32"/>
          <w:shd w:val="clear" w:color="auto" w:fill="FFFFFF"/>
        </w:rPr>
        <w:t>%，较年初预算数增加35.09万元，增长15.2%，主要原因是</w:t>
      </w:r>
      <w:r>
        <w:rPr>
          <w:rFonts w:hint="eastAsia" w:ascii="Times New Roman" w:hAnsi="Times New Roman" w:eastAsia="方正仿宋_GBK" w:cs="Times New Roman"/>
          <w:b w:val="0"/>
          <w:bCs w:val="0"/>
          <w:color w:val="auto"/>
          <w:sz w:val="32"/>
          <w:szCs w:val="32"/>
          <w:shd w:val="clear" w:color="auto" w:fill="FFFFFF"/>
          <w:lang w:eastAsia="zh-CN"/>
        </w:rPr>
        <w:t>年中追加农林水支出，将项目经费调整至此科目。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住房保障支出12.13</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eastAsia" w:ascii="Times New Roman" w:hAnsi="Times New Roman" w:eastAsia="方正仿宋_GBK" w:cs="Times New Roman"/>
          <w:b w:val="0"/>
          <w:bCs w:val="0"/>
          <w:color w:val="auto"/>
          <w:sz w:val="32"/>
          <w:szCs w:val="32"/>
          <w:shd w:val="clear" w:color="auto" w:fill="FFFFFF"/>
          <w:lang w:eastAsia="zh-CN"/>
        </w:rPr>
        <w:t>与预算数持平</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322.5</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285.16</w:t>
      </w:r>
      <w:r>
        <w:rPr>
          <w:rFonts w:hint="default" w:ascii="Times New Roman" w:hAnsi="Times New Roman" w:eastAsia="方正仿宋_GBK" w:cs="Times New Roman"/>
          <w:b w:val="0"/>
          <w:bCs w:val="0"/>
          <w:sz w:val="32"/>
          <w:szCs w:val="32"/>
          <w:shd w:val="clear" w:color="auto" w:fill="FFFFFF"/>
        </w:rPr>
        <w:t>万元，与2023年度相比，增加285.16万元，增长</w:t>
      </w:r>
      <w:r>
        <w:rPr>
          <w:rFonts w:hint="eastAsia" w:ascii="Times New Roman" w:hAnsi="Times New Roman" w:eastAsia="方正仿宋_GBK" w:cs="Times New Roman"/>
          <w:b w:val="0"/>
          <w:bCs w:val="0"/>
          <w:sz w:val="32"/>
          <w:szCs w:val="32"/>
          <w:shd w:val="clear" w:color="auto" w:fill="FFFFFF"/>
          <w:lang w:eastAsia="zh-CN"/>
        </w:rPr>
        <w:t>100</w:t>
      </w:r>
      <w:r>
        <w:rPr>
          <w:rFonts w:hint="default" w:ascii="Times New Roman" w:hAnsi="Times New Roman" w:eastAsia="方正仿宋_GBK" w:cs="Times New Roman"/>
          <w:b w:val="0"/>
          <w:bCs w:val="0"/>
          <w:sz w:val="32"/>
          <w:szCs w:val="32"/>
          <w:shd w:val="clear" w:color="auto" w:fill="FFFFFF"/>
        </w:rPr>
        <w:t>.0%，主要原因是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为0万元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基本工资、津贴补贴、奖金、社会保障缴费、其他工资福利支出、</w:t>
      </w:r>
      <w:r>
        <w:rPr>
          <w:rFonts w:hint="eastAsia" w:ascii="Times New Roman" w:hAnsi="Times New Roman" w:eastAsia="方正仿宋_GBK" w:cs="Times New Roman"/>
          <w:sz w:val="32"/>
          <w:szCs w:val="32"/>
          <w:shd w:val="clear" w:color="auto" w:fill="FFFFFF"/>
          <w:lang w:eastAsia="zh-CN"/>
        </w:rPr>
        <w:t>住房公积金、</w:t>
      </w:r>
      <w:r>
        <w:rPr>
          <w:rFonts w:ascii="Times New Roman" w:hAnsi="Times New Roman" w:eastAsia="方正仿宋_GBK" w:cs="Times New Roman"/>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37.34</w:t>
      </w:r>
      <w:r>
        <w:rPr>
          <w:rFonts w:hint="default" w:ascii="Times New Roman" w:hAnsi="Times New Roman" w:eastAsia="方正仿宋_GBK" w:cs="Times New Roman"/>
          <w:b w:val="0"/>
          <w:bCs w:val="0"/>
          <w:sz w:val="32"/>
          <w:szCs w:val="32"/>
          <w:shd w:val="clear" w:color="auto" w:fill="FFFFFF"/>
        </w:rPr>
        <w:t>万元，与2023年度相比，增加37.34万元，增长</w:t>
      </w:r>
      <w:r>
        <w:rPr>
          <w:rFonts w:hint="eastAsia" w:ascii="Times New Roman" w:hAnsi="Times New Roman" w:eastAsia="方正仿宋_GBK" w:cs="Times New Roman"/>
          <w:b w:val="0"/>
          <w:bCs w:val="0"/>
          <w:sz w:val="32"/>
          <w:szCs w:val="32"/>
          <w:shd w:val="clear" w:color="auto" w:fill="FFFFFF"/>
          <w:lang w:eastAsia="zh-CN"/>
        </w:rPr>
        <w:t>100.</w:t>
      </w:r>
      <w:r>
        <w:rPr>
          <w:rFonts w:hint="default" w:ascii="Times New Roman" w:hAnsi="Times New Roman" w:eastAsia="方正仿宋_GBK" w:cs="Times New Roman"/>
          <w:b w:val="0"/>
          <w:bCs w:val="0"/>
          <w:sz w:val="32"/>
          <w:szCs w:val="32"/>
          <w:shd w:val="clear" w:color="auto" w:fill="FFFFFF"/>
        </w:rPr>
        <w:t>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为0万元</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增长</w:t>
      </w:r>
      <w:r>
        <w:rPr>
          <w:rFonts w:hint="eastAsia" w:ascii="Times New Roman" w:hAnsi="Times New Roman" w:eastAsia="方正仿宋_GBK" w:cs="Times New Roman"/>
          <w:b w:val="0"/>
          <w:bCs w:val="0"/>
          <w:color w:val="auto"/>
          <w:sz w:val="32"/>
          <w:szCs w:val="32"/>
          <w:shd w:val="clear" w:color="auto" w:fill="FFFFFF"/>
          <w:lang w:eastAsia="zh-CN"/>
        </w:rPr>
        <w:t>100.0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sz w:val="32"/>
          <w:szCs w:val="32"/>
          <w:shd w:val="clear" w:fill="FFFFFF"/>
          <w:lang w:eastAsia="zh-CN"/>
        </w:rPr>
        <w:t>办公费、水电费、邮电费、会议费、维修（护）费、培训费、公务接待费、劳务费、其他交通费、工会会费等</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万元，较年初预算数无增减，主要原因</w:t>
      </w:r>
      <w:r>
        <w:rPr>
          <w:rFonts w:hint="eastAsia" w:ascii="Times New Roman" w:hAnsi="Times New Roman" w:eastAsia="方正仿宋_GBK" w:cs="Times New Roman"/>
          <w:sz w:val="32"/>
          <w:szCs w:val="32"/>
          <w:shd w:val="clear" w:color="auto" w:fill="FFFFFF"/>
          <w:lang w:eastAsia="zh-CN"/>
        </w:rPr>
        <w:t>是我单位</w:t>
      </w:r>
      <w:r>
        <w:rPr>
          <w:rFonts w:hint="eastAsia" w:ascii="Times New Roman" w:hAnsi="Times New Roman" w:eastAsia="方正仿宋_GBK" w:cs="Times New Roman"/>
          <w:sz w:val="32"/>
          <w:szCs w:val="32"/>
          <w:shd w:val="clear" w:color="auto" w:fill="FFFFFF"/>
          <w:lang w:val="en-US" w:eastAsia="zh-CN"/>
        </w:rPr>
        <w:t>2024年度未发生“三公”经费支出。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公务车购置费用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公务车运行维护费用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公务接待费用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sz w:val="32"/>
          <w:szCs w:val="32"/>
          <w:shd w:val="clear" w:color="auto" w:fill="FFFFFF"/>
        </w:rPr>
        <w:t>会议费</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eastAsia" w:ascii="Times New Roman" w:hAnsi="Times New Roman" w:eastAsia="方正仿宋_GBK" w:cs="Times New Roman"/>
          <w:sz w:val="32"/>
          <w:szCs w:val="32"/>
          <w:shd w:val="clear" w:color="auto" w:fill="FFFFFF"/>
          <w:lang w:eastAsia="zh-CN"/>
        </w:rPr>
        <w:t>培训</w:t>
      </w:r>
      <w:r>
        <w:rPr>
          <w:rFonts w:hint="default" w:ascii="Times New Roman" w:hAnsi="Times New Roman" w:eastAsia="方正仿宋_GBK" w:cs="Times New Roman"/>
          <w:sz w:val="32"/>
          <w:szCs w:val="32"/>
          <w:shd w:val="clear" w:color="auto" w:fill="FFFFFF"/>
        </w:rPr>
        <w:t>费</w:t>
      </w:r>
      <w:r>
        <w:rPr>
          <w:rFonts w:hint="eastAsia" w:ascii="Times New Roman" w:hAnsi="Times New Roman" w:eastAsia="方正仿宋_GBK" w:cs="Times New Roman"/>
          <w:sz w:val="32"/>
          <w:szCs w:val="32"/>
          <w:shd w:val="clear" w:color="auto" w:fill="FFFFFF"/>
          <w:lang w:val="en-US" w:eastAsia="zh-CN"/>
        </w:rPr>
        <w:t>支出。</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w:t>
      </w:r>
      <w:r>
        <w:rPr>
          <w:rFonts w:hint="eastAsia" w:ascii="Times New Roman" w:hAnsi="Times New Roman" w:eastAsia="方正仿宋_GBK" w:cs="Times New Roman"/>
          <w:b w:val="0"/>
          <w:bCs w:val="0"/>
          <w:sz w:val="32"/>
          <w:szCs w:val="32"/>
          <w:shd w:val="clear" w:color="auto" w:fill="FFFFFF"/>
          <w:lang w:eastAsia="zh-CN"/>
        </w:rPr>
        <w:t>100.0</w:t>
      </w:r>
      <w:r>
        <w:rPr>
          <w:rFonts w:hint="default" w:ascii="Times New Roman" w:hAnsi="Times New Roman" w:eastAsia="方正仿宋_GBK" w:cs="Times New Roman"/>
          <w:b w:val="0"/>
          <w:bCs w:val="0"/>
          <w:sz w:val="32"/>
          <w:szCs w:val="32"/>
          <w:shd w:val="clear" w:color="auto" w:fill="FFFFFF"/>
        </w:rPr>
        <w:t>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47.5</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bookmarkStart w:id="0" w:name="_GoBack"/>
      <w:bookmarkEnd w:id="0"/>
      <w:r>
        <w:rPr>
          <w:rFonts w:hint="default" w:ascii="Times New Roman" w:hAnsi="Times New Roman" w:eastAsia="方正仿宋_GBK" w:cs="Times New Roman"/>
          <w:b w:val="0"/>
          <w:bCs w:val="0"/>
          <w:kern w:val="0"/>
          <w:sz w:val="32"/>
          <w:szCs w:val="32"/>
          <w:shd w:val="clear" w:fill="FFFFFF"/>
        </w:rPr>
        <w:t>项目进行绩效自评，已完成年度绩效目标。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黑体_GBK" w:hAnsi="方正黑体_GBK" w:eastAsia="方正黑体_GBK" w:cs="方正黑体_GBK"/>
          <w:b w:val="0"/>
          <w:bCs w:val="0"/>
          <w:sz w:val="32"/>
          <w:szCs w:val="32"/>
          <w:shd w:val="clear" w:fill="FFFFFF"/>
        </w:rPr>
        <w:t xml:space="preserve"> </w:t>
      </w:r>
      <w:r>
        <w:rPr>
          <w:rStyle w:val="11"/>
          <w:rFonts w:hint="eastAsia" w:ascii="方正黑体_GBK" w:hAnsi="方正黑体_GBK" w:eastAsia="方正黑体_GBK" w:cs="方正黑体_GBK"/>
          <w:b w:val="0"/>
          <w:bCs w:val="0"/>
          <w:sz w:val="32"/>
          <w:szCs w:val="32"/>
          <w:shd w:val="clear" w:fill="FFFFFF"/>
          <w:lang w:val="en-US" w:eastAsia="zh-CN"/>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附件：</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1</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shd w:val="clear" w:color="auto" w:fill="FFFFFF"/>
        </w:rPr>
        <w:t>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2</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shd w:val="clear" w:color="auto" w:fill="FFFFFF"/>
        </w:rPr>
        <w:t>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3</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shd w:val="clear" w:color="auto" w:fill="FFFFFF"/>
        </w:rPr>
        <w:t>重庆市铜梁区庆隆镇</w:t>
      </w:r>
      <w:r>
        <w:rPr>
          <w:rFonts w:hint="default" w:ascii="Times New Roman" w:hAnsi="Times New Roman" w:eastAsia="方正仿宋_GBK" w:cs="Times New Roman"/>
          <w:b w:val="0"/>
          <w:bCs w:val="0"/>
          <w:color w:val="auto"/>
          <w:sz w:val="32"/>
          <w:szCs w:val="32"/>
          <w:shd w:val="clear" w:color="auto" w:fill="FFFFFF"/>
          <w:lang w:eastAsia="zh-CN"/>
        </w:rPr>
        <w:t>农业服务中心</w:t>
      </w:r>
      <w:r>
        <w:rPr>
          <w:rStyle w:val="11"/>
          <w:rFonts w:hint="default" w:ascii="Times New Roman" w:hAnsi="Times New Roman" w:eastAsia="方正仿宋_GBK" w:cs="Times New Roman"/>
          <w:b w:val="0"/>
          <w:bCs w:val="0"/>
          <w:color w:val="auto"/>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2706B8"/>
    <w:rsid w:val="0C7927C4"/>
    <w:rsid w:val="0C9B098C"/>
    <w:rsid w:val="0D11728C"/>
    <w:rsid w:val="0D673E11"/>
    <w:rsid w:val="0DB50EFE"/>
    <w:rsid w:val="0DDA54E4"/>
    <w:rsid w:val="0E3A5F83"/>
    <w:rsid w:val="0F836721"/>
    <w:rsid w:val="10201F13"/>
    <w:rsid w:val="103645A3"/>
    <w:rsid w:val="107B59E5"/>
    <w:rsid w:val="10A17725"/>
    <w:rsid w:val="11003CB0"/>
    <w:rsid w:val="111445C7"/>
    <w:rsid w:val="1158083A"/>
    <w:rsid w:val="11F03528"/>
    <w:rsid w:val="12454079"/>
    <w:rsid w:val="12C921C4"/>
    <w:rsid w:val="12E85956"/>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5EF26FE"/>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6A1425"/>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C8D26D9"/>
    <w:rsid w:val="4DAC4ACA"/>
    <w:rsid w:val="4F186D58"/>
    <w:rsid w:val="50EC262C"/>
    <w:rsid w:val="522F6E0C"/>
    <w:rsid w:val="52463BA1"/>
    <w:rsid w:val="5356211D"/>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