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rPr>
        <w:t>重庆市铜梁区庆隆镇退役军人服务站</w:t>
      </w:r>
    </w:p>
    <w:p>
      <w:pPr>
        <w:pStyle w:val="5"/>
        <w:keepNext w:val="0"/>
        <w:keepLines w:val="0"/>
        <w:pageBreakBefore w:val="0"/>
        <w:widowControl w:val="0"/>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2024年度决算公开说明</w:t>
      </w:r>
    </w:p>
    <w:p>
      <w:pPr>
        <w:pStyle w:val="5"/>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color w:val="auto"/>
          <w:sz w:val="32"/>
          <w:szCs w:val="32"/>
          <w:shd w:val="clear" w:color="auto" w:fill="FFFFFF"/>
        </w:rPr>
      </w:pPr>
    </w:p>
    <w:p>
      <w:pPr>
        <w:pStyle w:val="5"/>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rPr>
      </w:pPr>
      <w:r>
        <w:rPr>
          <w:rStyle w:val="8"/>
          <w:rFonts w:hint="eastAsia" w:ascii="方正黑体_GBK" w:hAnsi="方正黑体_GBK" w:eastAsia="方正黑体_GBK" w:cs="方正黑体_GBK"/>
          <w:b w:val="0"/>
          <w:bCs w:val="0"/>
          <w:color w:val="auto"/>
          <w:sz w:val="32"/>
          <w:szCs w:val="32"/>
          <w:shd w:val="clear" w:color="auto" w:fill="FFFFFF"/>
        </w:rPr>
        <w:t>一、</w:t>
      </w:r>
      <w:r>
        <w:rPr>
          <w:rStyle w:val="8"/>
          <w:rFonts w:hint="eastAsia" w:ascii="方正黑体_GBK" w:hAnsi="方正黑体_GBK" w:eastAsia="方正黑体_GBK" w:cs="方正黑体_GBK"/>
          <w:b w:val="0"/>
          <w:bCs w:val="0"/>
          <w:color w:val="auto"/>
          <w:sz w:val="32"/>
          <w:szCs w:val="32"/>
          <w:shd w:val="clear" w:color="auto" w:fill="FFFFFF"/>
          <w:lang w:eastAsia="zh-CN"/>
        </w:rPr>
        <w:t>单位</w:t>
      </w:r>
      <w:r>
        <w:rPr>
          <w:rStyle w:val="8"/>
          <w:rFonts w:hint="eastAsia" w:ascii="方正黑体_GBK" w:hAnsi="方正黑体_GBK" w:eastAsia="方正黑体_GBK" w:cs="方正黑体_GBK"/>
          <w:b w:val="0"/>
          <w:bCs w:val="0"/>
          <w:color w:val="auto"/>
          <w:sz w:val="32"/>
          <w:szCs w:val="32"/>
          <w:shd w:val="clear" w:color="auto" w:fill="FFFFFF"/>
        </w:rPr>
        <w:t>基本情况</w:t>
      </w:r>
    </w:p>
    <w:p>
      <w:pPr>
        <w:pStyle w:val="5"/>
        <w:keepNext w:val="0"/>
        <w:keepLines w:val="0"/>
        <w:pageBreakBefore w:val="0"/>
        <w:widowControl w:val="0"/>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Style w:val="8"/>
          <w:rFonts w:hint="eastAsia" w:ascii="方正楷体_GBK" w:hAnsi="方正楷体_GBK" w:eastAsia="方正楷体_GBK" w:cs="方正楷体_GBK"/>
          <w:b w:val="0"/>
          <w:bCs w:val="0"/>
          <w:color w:val="auto"/>
          <w:sz w:val="32"/>
          <w:szCs w:val="32"/>
          <w:shd w:val="clear" w:color="auto" w:fill="FFFFFF"/>
        </w:rPr>
        <w:t>（一）职能职责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lang w:eastAsia="zh-CN"/>
        </w:rPr>
        <w:t>的主要职责任务是做好退役军人关系转接、联络接待、困难帮扶、信息采集、情况反映、立功喜报、悬挂光荣牌和“八一”、春节等节日以及重大变故走访慰问等具体事务，搭建政策咨询、帮扶援助、沟通联系、学习交流等活动场所，完成主管部门交办的其他任务。</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方正楷体_GBK" w:hAnsi="方正楷体_GBK" w:eastAsia="方正楷体_GBK" w:cs="方正楷体_GBK"/>
          <w:b w:val="0"/>
          <w:bCs w:val="0"/>
          <w:color w:val="auto"/>
          <w:sz w:val="32"/>
          <w:szCs w:val="32"/>
        </w:rPr>
      </w:pPr>
      <w:r>
        <w:rPr>
          <w:rStyle w:val="8"/>
          <w:rFonts w:hint="eastAsia" w:ascii="方正楷体_GBK" w:hAnsi="方正楷体_GBK" w:eastAsia="方正楷体_GBK" w:cs="方正楷体_GBK"/>
          <w:b w:val="0"/>
          <w:bCs w:val="0"/>
          <w:color w:val="auto"/>
          <w:sz w:val="32"/>
          <w:szCs w:val="32"/>
          <w:shd w:val="clear" w:color="auto" w:fill="FFFFFF"/>
        </w:rPr>
        <w:t>（二）机构设置</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本单位共一个独立编制机构，即</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rPr>
      </w:pPr>
      <w:r>
        <w:rPr>
          <w:rStyle w:val="8"/>
          <w:rFonts w:hint="eastAsia" w:ascii="方正黑体_GBK" w:hAnsi="方正黑体_GBK" w:eastAsia="方正黑体_GBK" w:cs="方正黑体_GBK"/>
          <w:b w:val="0"/>
          <w:bCs w:val="0"/>
          <w:color w:val="auto"/>
          <w:sz w:val="32"/>
          <w:szCs w:val="32"/>
          <w:shd w:val="clear" w:color="auto" w:fill="FFFFFF"/>
        </w:rPr>
        <w:t>二、</w:t>
      </w:r>
      <w:r>
        <w:rPr>
          <w:rStyle w:val="8"/>
          <w:rFonts w:hint="eastAsia" w:ascii="方正黑体_GBK" w:hAnsi="方正黑体_GBK" w:eastAsia="方正黑体_GBK" w:cs="方正黑体_GBK"/>
          <w:b w:val="0"/>
          <w:bCs w:val="0"/>
          <w:color w:val="auto"/>
          <w:sz w:val="32"/>
          <w:szCs w:val="32"/>
          <w:shd w:val="clear" w:color="auto" w:fill="FFFFFF"/>
          <w:lang w:eastAsia="zh-CN"/>
        </w:rPr>
        <w:t>单位</w:t>
      </w:r>
      <w:r>
        <w:rPr>
          <w:rStyle w:val="8"/>
          <w:rFonts w:hint="eastAsia" w:ascii="方正黑体_GBK" w:hAnsi="方正黑体_GBK" w:eastAsia="方正黑体_GBK" w:cs="方正黑体_GBK"/>
          <w:b w:val="0"/>
          <w:bCs w:val="0"/>
          <w:color w:val="auto"/>
          <w:sz w:val="32"/>
          <w:szCs w:val="32"/>
          <w:shd w:val="clear" w:color="auto" w:fill="FFFFFF"/>
        </w:rPr>
        <w:t>决算</w:t>
      </w:r>
      <w:r>
        <w:rPr>
          <w:rStyle w:val="8"/>
          <w:rFonts w:hint="eastAsia" w:ascii="方正黑体_GBK" w:hAnsi="方正黑体_GBK" w:eastAsia="方正黑体_GBK" w:cs="方正黑体_GBK"/>
          <w:b w:val="0"/>
          <w:bCs w:val="0"/>
          <w:color w:val="auto"/>
          <w:sz w:val="32"/>
          <w:szCs w:val="32"/>
          <w:shd w:val="clear" w:color="auto" w:fill="FFFFFF"/>
          <w:lang w:eastAsia="zh-CN"/>
        </w:rPr>
        <w:t>收支</w:t>
      </w:r>
      <w:r>
        <w:rPr>
          <w:rStyle w:val="8"/>
          <w:rFonts w:hint="eastAsia" w:ascii="方正黑体_GBK" w:hAnsi="方正黑体_GBK" w:eastAsia="方正黑体_GBK" w:cs="方正黑体_GBK"/>
          <w:b w:val="0"/>
          <w:bCs w:val="0"/>
          <w:color w:val="auto"/>
          <w:sz w:val="32"/>
          <w:szCs w:val="32"/>
          <w:shd w:val="clear" w:color="auto" w:fill="FFFFFF"/>
        </w:rPr>
        <w:t>情况说明</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（一）收入支出决算总体情况说明。</w:t>
      </w:r>
    </w:p>
    <w:p>
      <w:pPr>
        <w:pStyle w:val="5"/>
        <w:keepNext w:val="0"/>
        <w:keepLines w:val="0"/>
        <w:pageBreakBefore w:val="0"/>
        <w:widowControl w:val="0"/>
        <w:shd w:val="clear" w:color="auto" w:fill="FFFFFF"/>
        <w:kinsoku/>
        <w:wordWrap/>
        <w:overflowPunct/>
        <w:topLinePunct w:val="0"/>
        <w:autoSpaceDN/>
        <w:bidi w:val="0"/>
        <w:spacing w:beforeAutospacing="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1.总体情况。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度收入总计49.76万元，支出总计</w:t>
      </w:r>
      <w:r>
        <w:rPr>
          <w:rFonts w:hint="default" w:ascii="Times New Roman" w:hAnsi="Times New Roman" w:eastAsia="方正仿宋_GBK" w:cs="Times New Roman"/>
          <w:b w:val="0"/>
          <w:bCs w:val="0"/>
          <w:color w:val="auto"/>
          <w:sz w:val="32"/>
          <w:szCs w:val="32"/>
        </w:rPr>
        <w:t>49.76</w:t>
      </w:r>
      <w:r>
        <w:rPr>
          <w:rFonts w:hint="default" w:ascii="Times New Roman" w:hAnsi="Times New Roman" w:eastAsia="方正仿宋_GBK" w:cs="Times New Roman"/>
          <w:b w:val="0"/>
          <w:bCs w:val="0"/>
          <w:color w:val="auto"/>
          <w:sz w:val="32"/>
          <w:szCs w:val="32"/>
          <w:shd w:val="clear" w:color="auto" w:fill="FFFFFF"/>
        </w:rPr>
        <w:t>万元。收、支与2023年度相比，增加49.76万元，增长100.0%，主要原因是2024年依据财政局要求，本单位将事业单位划分为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2.收入情况。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度收入合计49.76万元，与2023年度相比，增加49.76万元，增长100.0%，主要原因是2024年依据财政局要求，本单位将事业单位划分为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其中：财政拨款收入</w:t>
      </w:r>
      <w:r>
        <w:rPr>
          <w:rFonts w:hint="default" w:ascii="Times New Roman" w:hAnsi="Times New Roman" w:eastAsia="方正仿宋_GBK" w:cs="Times New Roman"/>
          <w:b w:val="0"/>
          <w:bCs w:val="0"/>
          <w:color w:val="auto"/>
          <w:sz w:val="32"/>
          <w:szCs w:val="32"/>
        </w:rPr>
        <w:t>49.76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100.0</w:t>
      </w:r>
      <w:r>
        <w:rPr>
          <w:rFonts w:hint="default" w:ascii="Times New Roman" w:hAnsi="Times New Roman" w:eastAsia="方正仿宋_GBK" w:cs="Times New Roman"/>
          <w:b w:val="0"/>
          <w:bCs w:val="0"/>
          <w:color w:val="auto"/>
          <w:sz w:val="32"/>
          <w:szCs w:val="32"/>
          <w:shd w:val="clear" w:color="auto" w:fill="FFFFFF"/>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3.支出情况。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度支出合计</w:t>
      </w:r>
      <w:r>
        <w:rPr>
          <w:rFonts w:hint="default" w:ascii="Times New Roman" w:hAnsi="Times New Roman" w:eastAsia="方正仿宋_GBK" w:cs="Times New Roman"/>
          <w:b w:val="0"/>
          <w:bCs w:val="0"/>
          <w:color w:val="auto"/>
          <w:sz w:val="32"/>
          <w:szCs w:val="32"/>
        </w:rPr>
        <w:t>49.76</w:t>
      </w:r>
      <w:r>
        <w:rPr>
          <w:rFonts w:hint="default" w:ascii="Times New Roman" w:hAnsi="Times New Roman" w:eastAsia="方正仿宋_GBK" w:cs="Times New Roman"/>
          <w:b w:val="0"/>
          <w:bCs w:val="0"/>
          <w:color w:val="auto"/>
          <w:sz w:val="32"/>
          <w:szCs w:val="32"/>
          <w:shd w:val="clear" w:color="auto" w:fill="FFFFFF"/>
        </w:rPr>
        <w:t>万元，与2023年度相比，增加49.76万元，增长100.0%，主要原因是2024年依据财政局要求，本单位将事业单位划分为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为0</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其中：财政拨款收入</w:t>
      </w:r>
      <w:r>
        <w:rPr>
          <w:rFonts w:hint="default" w:ascii="Times New Roman" w:hAnsi="Times New Roman" w:eastAsia="方正仿宋_GBK" w:cs="Times New Roman"/>
          <w:b w:val="0"/>
          <w:bCs w:val="0"/>
          <w:color w:val="auto"/>
          <w:sz w:val="32"/>
          <w:szCs w:val="32"/>
        </w:rPr>
        <w:t>49.76</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100.0</w:t>
      </w:r>
      <w:r>
        <w:rPr>
          <w:rFonts w:hint="default" w:ascii="Times New Roman" w:hAnsi="Times New Roman" w:eastAsia="方正仿宋_GBK" w:cs="Times New Roman"/>
          <w:b w:val="0"/>
          <w:bCs w:val="0"/>
          <w:color w:val="auto"/>
          <w:sz w:val="32"/>
          <w:szCs w:val="32"/>
          <w:shd w:val="clear" w:color="auto" w:fill="FFFFFF"/>
        </w:rPr>
        <w:t>%。其中：基本支出</w:t>
      </w:r>
      <w:r>
        <w:rPr>
          <w:rFonts w:hint="default" w:ascii="Times New Roman" w:hAnsi="Times New Roman" w:eastAsia="方正仿宋_GBK" w:cs="Times New Roman"/>
          <w:b w:val="0"/>
          <w:bCs w:val="0"/>
          <w:color w:val="auto"/>
          <w:sz w:val="32"/>
          <w:szCs w:val="32"/>
        </w:rPr>
        <w:t>40.36</w:t>
      </w:r>
      <w:r>
        <w:rPr>
          <w:rFonts w:hint="default" w:ascii="Times New Roman" w:hAnsi="Times New Roman" w:eastAsia="方正仿宋_GBK" w:cs="Times New Roman"/>
          <w:b w:val="0"/>
          <w:bCs w:val="0"/>
          <w:color w:val="auto"/>
          <w:sz w:val="32"/>
          <w:szCs w:val="32"/>
          <w:shd w:val="clear" w:color="auto" w:fill="FFFFFF"/>
        </w:rPr>
        <w:t>万元，占81.1%；项目支出</w:t>
      </w:r>
      <w:r>
        <w:rPr>
          <w:rFonts w:hint="default" w:ascii="Times New Roman" w:hAnsi="Times New Roman" w:eastAsia="方正仿宋_GBK" w:cs="Times New Roman"/>
          <w:b w:val="0"/>
          <w:bCs w:val="0"/>
          <w:color w:val="auto"/>
          <w:sz w:val="32"/>
          <w:szCs w:val="32"/>
        </w:rPr>
        <w:t>9.4</w:t>
      </w:r>
      <w:r>
        <w:rPr>
          <w:rFonts w:hint="default" w:ascii="Times New Roman" w:hAnsi="Times New Roman" w:eastAsia="方正仿宋_GBK" w:cs="Times New Roman"/>
          <w:b w:val="0"/>
          <w:bCs w:val="0"/>
          <w:color w:val="auto"/>
          <w:sz w:val="32"/>
          <w:szCs w:val="32"/>
          <w:shd w:val="clear" w:color="auto" w:fill="FFFFFF"/>
        </w:rPr>
        <w:t>万元，占18.</w:t>
      </w:r>
      <w:r>
        <w:rPr>
          <w:rFonts w:hint="eastAsia" w:ascii="Times New Roman" w:hAnsi="Times New Roman" w:eastAsia="方正仿宋_GBK" w:cs="Times New Roman"/>
          <w:b w:val="0"/>
          <w:bCs w:val="0"/>
          <w:color w:val="auto"/>
          <w:sz w:val="32"/>
          <w:szCs w:val="32"/>
          <w:shd w:val="clear" w:color="auto" w:fill="FFFFFF"/>
          <w:lang w:val="en-US" w:eastAsia="zh-CN"/>
        </w:rPr>
        <w:t>9</w:t>
      </w:r>
      <w:r>
        <w:rPr>
          <w:rFonts w:hint="default" w:ascii="Times New Roman" w:hAnsi="Times New Roman" w:eastAsia="方正仿宋_GBK" w:cs="Times New Roman"/>
          <w:b w:val="0"/>
          <w:bCs w:val="0"/>
          <w:color w:val="auto"/>
          <w:sz w:val="32"/>
          <w:szCs w:val="32"/>
          <w:shd w:val="clear" w:color="auto" w:fill="FFFFFF"/>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4.结转结余情况。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eastAsia="zh-CN"/>
        </w:rPr>
        <w:t>本单位无结转结余。</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（二）财政拨款收入支出决算总体情况说明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度财政拨款收、支总计49.76万元。与202</w:t>
      </w:r>
      <w:r>
        <w:rPr>
          <w:rFonts w:hint="default"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年相比，财政拨款收、支总计各增加49.76万元，增长100.0%。主要原因是2024年依据财政局要求，本单位将事业单位划分为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收支</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（三）一般公共预算财政拨款收入支出决算情况说明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1.收入情况。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度一般公共预算财政拨款收入</w:t>
      </w:r>
      <w:r>
        <w:rPr>
          <w:rFonts w:hint="default" w:ascii="Times New Roman" w:hAnsi="Times New Roman" w:eastAsia="方正仿宋_GBK" w:cs="Times New Roman"/>
          <w:b w:val="0"/>
          <w:bCs w:val="0"/>
          <w:color w:val="auto"/>
          <w:sz w:val="32"/>
          <w:szCs w:val="32"/>
        </w:rPr>
        <w:t>49.76</w:t>
      </w:r>
      <w:r>
        <w:rPr>
          <w:rFonts w:hint="default" w:ascii="Times New Roman" w:hAnsi="Times New Roman" w:eastAsia="方正仿宋_GBK" w:cs="Times New Roman"/>
          <w:b w:val="0"/>
          <w:bCs w:val="0"/>
          <w:color w:val="auto"/>
          <w:sz w:val="32"/>
          <w:szCs w:val="32"/>
          <w:shd w:val="clear" w:color="auto" w:fill="FFFFFF"/>
        </w:rPr>
        <w:t>万元，与2023年度相比，增加49.76万元，增长100.0%。主要原因是2024年依据财政局要求，本单位将事业单位划分为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收入</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较年初预算数减少6.85万元，下降12.1%。主要原因是</w:t>
      </w:r>
      <w:r>
        <w:rPr>
          <w:rFonts w:hint="eastAsia" w:ascii="Times New Roman" w:hAnsi="Times New Roman" w:eastAsia="方正仿宋_GBK" w:cs="Times New Roman"/>
          <w:b w:val="0"/>
          <w:bCs w:val="0"/>
          <w:color w:val="auto"/>
          <w:sz w:val="32"/>
          <w:szCs w:val="32"/>
          <w:shd w:val="clear" w:color="auto" w:fill="FFFFFF"/>
          <w:lang w:eastAsia="zh-CN"/>
        </w:rPr>
        <w:t>年中追减退役军人服务站公用经费预算。</w:t>
      </w:r>
      <w:r>
        <w:rPr>
          <w:rFonts w:hint="default" w:ascii="Times New Roman" w:hAnsi="Times New Roman" w:eastAsia="方正仿宋_GBK" w:cs="Times New Roman"/>
          <w:b w:val="0"/>
          <w:bCs w:val="0"/>
          <w:color w:val="auto"/>
          <w:sz w:val="32"/>
          <w:szCs w:val="32"/>
          <w:shd w:val="clear" w:color="auto" w:fill="FFFFFF"/>
        </w:rPr>
        <w:t>此外，年初财政拨款结转和结余</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2.支出情况。</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w:t>
      </w:r>
      <w:r>
        <w:rPr>
          <w:rFonts w:hint="default" w:ascii="Times New Roman" w:hAnsi="Times New Roman" w:eastAsia="方正仿宋_GBK" w:cs="Times New Roman"/>
          <w:b w:val="0"/>
          <w:bCs w:val="0"/>
          <w:color w:val="auto"/>
          <w:sz w:val="32"/>
          <w:szCs w:val="32"/>
        </w:rPr>
        <w:t>49.76</w:t>
      </w:r>
      <w:r>
        <w:rPr>
          <w:rFonts w:hint="default" w:ascii="Times New Roman" w:hAnsi="Times New Roman" w:eastAsia="方正仿宋_GBK" w:cs="Times New Roman"/>
          <w:b w:val="0"/>
          <w:bCs w:val="0"/>
          <w:color w:val="auto"/>
          <w:sz w:val="32"/>
          <w:szCs w:val="32"/>
          <w:shd w:val="clear" w:color="auto" w:fill="FFFFFF"/>
        </w:rPr>
        <w:t>万元，与2023年度相比，增加49.76万元，增长100.0%。主要原因是2024年依据财政局要求，本单位将事业单位划分为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较年初预算数减少6.85万元，下降12.1%。主要原因是</w:t>
      </w:r>
      <w:r>
        <w:rPr>
          <w:rFonts w:hint="eastAsia" w:ascii="Times New Roman" w:hAnsi="Times New Roman" w:eastAsia="方正仿宋_GBK" w:cs="Times New Roman"/>
          <w:b w:val="0"/>
          <w:bCs w:val="0"/>
          <w:color w:val="auto"/>
          <w:sz w:val="32"/>
          <w:szCs w:val="32"/>
          <w:shd w:val="clear" w:color="auto" w:fill="FFFFFF"/>
          <w:lang w:eastAsia="zh-CN"/>
        </w:rPr>
        <w:t>年中追减退役军人服务站公用经费预算。</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Style w:val="8"/>
          <w:rFonts w:hint="default" w:ascii="Times New Roman" w:hAnsi="Times New Roman" w:eastAsia="方正仿宋_GBK" w:cs="Times New Roman"/>
          <w:b w:val="0"/>
          <w:bCs w:val="0"/>
          <w:color w:val="auto"/>
          <w:sz w:val="32"/>
          <w:szCs w:val="32"/>
          <w:shd w:val="clear" w:color="auto" w:fill="FFFFFF"/>
        </w:rPr>
        <w:t>3.结转结余情况。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w:t>
      </w:r>
      <w:r>
        <w:rPr>
          <w:rFonts w:hint="default" w:ascii="Times New Roman" w:hAnsi="Times New Roman" w:eastAsia="方正仿宋_GBK" w:cs="Times New Roman"/>
          <w:color w:val="auto"/>
          <w:sz w:val="32"/>
          <w:szCs w:val="32"/>
          <w:shd w:val="clear" w:color="auto" w:fill="FFFFFF"/>
          <w:lang w:eastAsia="zh-CN"/>
        </w:rPr>
        <w:t>本单位无结转结余。</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cyan"/>
          <w:shd w:val="clear" w:color="auto" w:fill="FFFFFF"/>
        </w:rPr>
      </w:pPr>
      <w:r>
        <w:rPr>
          <w:rStyle w:val="8"/>
          <w:rFonts w:hint="default" w:ascii="Times New Roman" w:hAnsi="Times New Roman" w:eastAsia="方正仿宋_GBK" w:cs="Times New Roman"/>
          <w:b w:val="0"/>
          <w:bCs w:val="0"/>
          <w:color w:val="auto"/>
          <w:sz w:val="32"/>
          <w:szCs w:val="32"/>
          <w:shd w:val="clear" w:color="auto" w:fill="FFFFFF"/>
        </w:rPr>
        <w:t>4.比较情况。</w:t>
      </w:r>
      <w:r>
        <w:rPr>
          <w:rFonts w:hint="default" w:ascii="Times New Roman" w:hAnsi="Times New Roman" w:eastAsia="方正仿宋_GBK" w:cs="Times New Roman"/>
          <w:b w:val="0"/>
          <w:bCs w:val="0"/>
          <w:color w:val="auto"/>
          <w:sz w:val="32"/>
          <w:szCs w:val="32"/>
          <w:shd w:val="clear" w:color="auto" w:fill="FFFFFF"/>
        </w:rPr>
        <w:t>本单位</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度一般公共预算财政拨款支出主要用于以下几个方面：</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1</w:t>
      </w:r>
      <w:r>
        <w:rPr>
          <w:rFonts w:hint="default" w:ascii="Times New Roman" w:hAnsi="Times New Roman" w:eastAsia="方正仿宋_GBK" w:cs="Times New Roman"/>
          <w:b w:val="0"/>
          <w:bCs w:val="0"/>
          <w:color w:val="auto"/>
          <w:sz w:val="32"/>
          <w:szCs w:val="32"/>
          <w:shd w:val="clear" w:color="auto" w:fill="FFFFFF"/>
        </w:rPr>
        <w:t>）社会保障与就业支出</w:t>
      </w:r>
      <w:r>
        <w:rPr>
          <w:rFonts w:hint="default" w:ascii="Times New Roman" w:hAnsi="Times New Roman" w:eastAsia="方正仿宋_GBK" w:cs="Times New Roman"/>
          <w:b w:val="0"/>
          <w:bCs w:val="0"/>
          <w:color w:val="auto"/>
          <w:sz w:val="32"/>
          <w:szCs w:val="32"/>
        </w:rPr>
        <w:t>46.23</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92.9</w:t>
      </w:r>
      <w:r>
        <w:rPr>
          <w:rFonts w:hint="default" w:ascii="Times New Roman" w:hAnsi="Times New Roman" w:eastAsia="方正仿宋_GBK" w:cs="Times New Roman"/>
          <w:b w:val="0"/>
          <w:bCs w:val="0"/>
          <w:color w:val="auto"/>
          <w:sz w:val="32"/>
          <w:szCs w:val="32"/>
          <w:shd w:val="clear" w:color="auto" w:fill="FFFFFF"/>
        </w:rPr>
        <w:t>%，较年初预算数增加3.03万元，增长7.0%，主要原因是</w:t>
      </w:r>
      <w:r>
        <w:rPr>
          <w:rFonts w:hint="eastAsia" w:ascii="Times New Roman" w:hAnsi="Times New Roman" w:eastAsia="方正仿宋_GBK" w:cs="Times New Roman"/>
          <w:b w:val="0"/>
          <w:bCs w:val="0"/>
          <w:color w:val="auto"/>
          <w:sz w:val="32"/>
          <w:szCs w:val="32"/>
          <w:shd w:val="clear" w:color="auto" w:fill="FFFFFF"/>
          <w:lang w:eastAsia="zh-CN"/>
        </w:rPr>
        <w:t>年中追加社会保障与就业预算用于人员保险调整。</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2</w:t>
      </w:r>
      <w:r>
        <w:rPr>
          <w:rFonts w:hint="default" w:ascii="Times New Roman" w:hAnsi="Times New Roman" w:eastAsia="方正仿宋_GBK" w:cs="Times New Roman"/>
          <w:b w:val="0"/>
          <w:bCs w:val="0"/>
          <w:color w:val="auto"/>
          <w:sz w:val="32"/>
          <w:szCs w:val="32"/>
          <w:shd w:val="clear" w:color="auto" w:fill="FFFFFF"/>
        </w:rPr>
        <w:t>）卫生健康支出</w:t>
      </w:r>
      <w:r>
        <w:rPr>
          <w:rFonts w:hint="default" w:ascii="Times New Roman" w:hAnsi="Times New Roman" w:eastAsia="方正仿宋_GBK" w:cs="Times New Roman"/>
          <w:b w:val="0"/>
          <w:bCs w:val="0"/>
          <w:color w:val="auto"/>
          <w:sz w:val="32"/>
          <w:szCs w:val="32"/>
        </w:rPr>
        <w:t>1.60</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3.2</w:t>
      </w:r>
      <w:r>
        <w:rPr>
          <w:rFonts w:hint="default" w:ascii="Times New Roman" w:hAnsi="Times New Roman" w:eastAsia="方正仿宋_GBK" w:cs="Times New Roman"/>
          <w:b w:val="0"/>
          <w:bCs w:val="0"/>
          <w:color w:val="auto"/>
          <w:sz w:val="32"/>
          <w:szCs w:val="32"/>
          <w:shd w:val="clear" w:color="auto" w:fill="FFFFFF"/>
        </w:rPr>
        <w:t>%，较年初预算数减少0.48万元，下降23.1%，主要原因</w:t>
      </w:r>
      <w:r>
        <w:rPr>
          <w:rFonts w:hint="eastAsia" w:ascii="Times New Roman" w:hAnsi="Times New Roman" w:eastAsia="方正仿宋_GBK" w:cs="Times New Roman"/>
          <w:b w:val="0"/>
          <w:bCs w:val="0"/>
          <w:color w:val="auto"/>
          <w:sz w:val="32"/>
          <w:szCs w:val="32"/>
          <w:shd w:val="clear" w:color="auto" w:fill="FFFFFF"/>
          <w:lang w:eastAsia="zh-CN"/>
        </w:rPr>
        <w:t>是年中追减卫生健康支出预算。</w:t>
      </w:r>
    </w:p>
    <w:p>
      <w:pPr>
        <w:keepNext w:val="0"/>
        <w:keepLines w:val="0"/>
        <w:pageBreakBefore w:val="0"/>
        <w:widowControl w:val="0"/>
        <w:kinsoku/>
        <w:wordWrap/>
        <w:overflowPunct/>
        <w:topLinePunct w:val="0"/>
        <w:autoSpaceDN/>
        <w:bidi w:val="0"/>
        <w:spacing w:beforeAutospacing="0" w:afterAutospacing="0" w:line="560" w:lineRule="exact"/>
        <w:ind w:firstLine="640" w:firstLineChars="200"/>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val="en-US" w:eastAsia="zh-CN"/>
        </w:rPr>
        <w:t>3</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color w:val="auto"/>
          <w:sz w:val="32"/>
          <w:szCs w:val="32"/>
        </w:rPr>
        <w:t>住房保障支出1.92</w:t>
      </w:r>
      <w:r>
        <w:rPr>
          <w:rFonts w:hint="default" w:ascii="Times New Roman" w:hAnsi="Times New Roman" w:eastAsia="方正仿宋_GBK" w:cs="Times New Roman"/>
          <w:b w:val="0"/>
          <w:bCs w:val="0"/>
          <w:color w:val="auto"/>
          <w:sz w:val="32"/>
          <w:szCs w:val="32"/>
          <w:shd w:val="clear" w:color="auto" w:fill="FFFFFF"/>
        </w:rPr>
        <w:t>万元，占</w:t>
      </w:r>
      <w:r>
        <w:rPr>
          <w:rFonts w:hint="default" w:ascii="Times New Roman" w:hAnsi="Times New Roman" w:eastAsia="方正仿宋_GBK" w:cs="Times New Roman"/>
          <w:b w:val="0"/>
          <w:bCs w:val="0"/>
          <w:color w:val="auto"/>
          <w:sz w:val="32"/>
          <w:szCs w:val="32"/>
        </w:rPr>
        <w:t>3.</w:t>
      </w:r>
      <w:r>
        <w:rPr>
          <w:rFonts w:hint="eastAsia" w:ascii="Times New Roman" w:hAnsi="Times New Roman" w:eastAsia="方正仿宋_GBK" w:cs="Times New Roman"/>
          <w:b w:val="0"/>
          <w:bCs w:val="0"/>
          <w:color w:val="auto"/>
          <w:sz w:val="32"/>
          <w:szCs w:val="32"/>
          <w:lang w:val="en-US" w:eastAsia="zh-CN"/>
        </w:rPr>
        <w:t>9</w:t>
      </w:r>
      <w:r>
        <w:rPr>
          <w:rFonts w:hint="default" w:ascii="Times New Roman" w:hAnsi="Times New Roman" w:eastAsia="方正仿宋_GBK" w:cs="Times New Roman"/>
          <w:b w:val="0"/>
          <w:bCs w:val="0"/>
          <w:color w:val="auto"/>
          <w:sz w:val="32"/>
          <w:szCs w:val="32"/>
          <w:shd w:val="clear" w:color="auto" w:fill="FFFFFF"/>
        </w:rPr>
        <w:t>%，较年初预算数无增减，</w:t>
      </w:r>
      <w:r>
        <w:rPr>
          <w:rFonts w:hint="eastAsia" w:ascii="Times New Roman" w:hAnsi="Times New Roman" w:eastAsia="方正仿宋_GBK" w:cs="Times New Roman"/>
          <w:b w:val="0"/>
          <w:bCs w:val="0"/>
          <w:color w:val="auto"/>
          <w:sz w:val="32"/>
          <w:szCs w:val="32"/>
          <w:shd w:val="clear" w:color="auto" w:fill="FFFFFF"/>
          <w:lang w:eastAsia="zh-CN"/>
        </w:rPr>
        <w:t>与预算数持平。</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（四）一般公共预算财政拨款基本支出决算情况说明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度一般公共财政拨款基本支出</w:t>
      </w:r>
      <w:r>
        <w:rPr>
          <w:rFonts w:hint="default" w:ascii="Times New Roman" w:hAnsi="Times New Roman" w:eastAsia="方正仿宋_GBK" w:cs="Times New Roman"/>
          <w:b w:val="0"/>
          <w:bCs w:val="0"/>
          <w:color w:val="auto"/>
          <w:sz w:val="32"/>
          <w:szCs w:val="32"/>
        </w:rPr>
        <w:t>40.36</w:t>
      </w:r>
      <w:r>
        <w:rPr>
          <w:rFonts w:hint="default" w:ascii="Times New Roman" w:hAnsi="Times New Roman" w:eastAsia="方正仿宋_GBK" w:cs="Times New Roman"/>
          <w:b w:val="0"/>
          <w:bCs w:val="0"/>
          <w:color w:val="auto"/>
          <w:sz w:val="32"/>
          <w:szCs w:val="32"/>
          <w:shd w:val="clear" w:color="auto" w:fill="FFFFFF"/>
        </w:rPr>
        <w:t>万元。其中：人员经费</w:t>
      </w:r>
      <w:r>
        <w:rPr>
          <w:rFonts w:hint="default" w:ascii="Times New Roman" w:hAnsi="Times New Roman" w:eastAsia="方正仿宋_GBK" w:cs="Times New Roman"/>
          <w:b w:val="0"/>
          <w:bCs w:val="0"/>
          <w:color w:val="auto"/>
          <w:sz w:val="32"/>
          <w:szCs w:val="32"/>
        </w:rPr>
        <w:t>36.07</w:t>
      </w:r>
      <w:r>
        <w:rPr>
          <w:rFonts w:hint="default" w:ascii="Times New Roman" w:hAnsi="Times New Roman" w:eastAsia="方正仿宋_GBK" w:cs="Times New Roman"/>
          <w:b w:val="0"/>
          <w:bCs w:val="0"/>
          <w:color w:val="auto"/>
          <w:sz w:val="32"/>
          <w:szCs w:val="32"/>
          <w:shd w:val="clear" w:color="auto" w:fill="FFFFFF"/>
        </w:rPr>
        <w:t>万元，与2023年度相比，增加36.07万元，增长100.0%，主要原因是2024年依据财政局要求，本单位将事业单位划分为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人员经费用途主要包括</w:t>
      </w:r>
      <w:r>
        <w:rPr>
          <w:rFonts w:ascii="Times New Roman" w:hAnsi="Times New Roman" w:eastAsia="方正仿宋_GBK" w:cs="Times New Roman"/>
          <w:color w:val="auto"/>
          <w:sz w:val="32"/>
          <w:szCs w:val="32"/>
          <w:shd w:val="clear" w:color="auto" w:fill="FFFFFF"/>
        </w:rPr>
        <w:t>基本工资、津贴补贴、奖金、社会保障缴费、其他工资福利支出、</w:t>
      </w:r>
      <w:r>
        <w:rPr>
          <w:rFonts w:hint="eastAsia" w:ascii="Times New Roman" w:hAnsi="Times New Roman" w:eastAsia="方正仿宋_GBK" w:cs="Times New Roman"/>
          <w:color w:val="auto"/>
          <w:sz w:val="32"/>
          <w:szCs w:val="32"/>
          <w:shd w:val="clear" w:color="auto" w:fill="FFFFFF"/>
          <w:lang w:eastAsia="zh-CN"/>
        </w:rPr>
        <w:t>住房公积金、</w:t>
      </w:r>
      <w:r>
        <w:rPr>
          <w:rFonts w:ascii="Times New Roman" w:hAnsi="Times New Roman" w:eastAsia="方正仿宋_GBK" w:cs="Times New Roman"/>
          <w:color w:val="auto"/>
          <w:sz w:val="32"/>
          <w:szCs w:val="32"/>
          <w:shd w:val="clear" w:color="auto" w:fill="FFFFFF"/>
        </w:rPr>
        <w:t>对个人家庭补助支出等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b w:val="0"/>
          <w:bCs w:val="0"/>
          <w:color w:val="auto"/>
          <w:sz w:val="32"/>
          <w:szCs w:val="32"/>
          <w:shd w:val="clear" w:color="auto" w:fill="FFFFFF"/>
        </w:rPr>
        <w:t>公用经费</w:t>
      </w:r>
      <w:r>
        <w:rPr>
          <w:rFonts w:hint="default" w:ascii="Times New Roman" w:hAnsi="Times New Roman" w:eastAsia="方正仿宋_GBK" w:cs="Times New Roman"/>
          <w:b w:val="0"/>
          <w:bCs w:val="0"/>
          <w:color w:val="auto"/>
          <w:sz w:val="32"/>
          <w:szCs w:val="32"/>
        </w:rPr>
        <w:t>4.29</w:t>
      </w:r>
      <w:r>
        <w:rPr>
          <w:rFonts w:hint="default" w:ascii="Times New Roman" w:hAnsi="Times New Roman" w:eastAsia="方正仿宋_GBK" w:cs="Times New Roman"/>
          <w:b w:val="0"/>
          <w:bCs w:val="0"/>
          <w:color w:val="auto"/>
          <w:sz w:val="32"/>
          <w:szCs w:val="32"/>
          <w:shd w:val="clear" w:color="auto" w:fill="FFFFFF"/>
        </w:rPr>
        <w:t>万元，与2023年度相比，增加4.29万元，增长100.0%，主要原因是2024年依据财政局要求，本单位将事业单位划分为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等七个账套单独核算，上年度未单独核算，</w:t>
      </w:r>
      <w:r>
        <w:rPr>
          <w:rFonts w:hint="eastAsia" w:ascii="Times New Roman" w:hAnsi="Times New Roman" w:eastAsia="方正仿宋_GBK" w:cs="Times New Roman"/>
          <w:b w:val="0"/>
          <w:bCs w:val="0"/>
          <w:color w:val="auto"/>
          <w:sz w:val="32"/>
          <w:szCs w:val="32"/>
          <w:shd w:val="clear" w:color="auto" w:fill="FFFFFF"/>
          <w:lang w:eastAsia="zh-CN"/>
        </w:rPr>
        <w:t>支出</w:t>
      </w:r>
      <w:r>
        <w:rPr>
          <w:rFonts w:hint="default" w:ascii="Times New Roman" w:hAnsi="Times New Roman" w:eastAsia="方正仿宋_GBK" w:cs="Times New Roman"/>
          <w:b w:val="0"/>
          <w:bCs w:val="0"/>
          <w:color w:val="auto"/>
          <w:sz w:val="32"/>
          <w:szCs w:val="32"/>
          <w:shd w:val="clear" w:color="auto" w:fill="FFFFFF"/>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故本年度增长100</w:t>
      </w:r>
      <w:r>
        <w:rPr>
          <w:rFonts w:hint="eastAsia" w:ascii="Times New Roman" w:hAnsi="Times New Roman" w:eastAsia="方正仿宋_GBK" w:cs="Times New Roman"/>
          <w:b w:val="0"/>
          <w:bCs w:val="0"/>
          <w:color w:val="auto"/>
          <w:sz w:val="32"/>
          <w:szCs w:val="32"/>
          <w:shd w:val="clear" w:color="auto" w:fill="FFFFFF"/>
          <w:lang w:val="en-US" w:eastAsia="zh-CN"/>
        </w:rPr>
        <w:t>.0</w:t>
      </w:r>
      <w:r>
        <w:rPr>
          <w:rFonts w:hint="default" w:ascii="Times New Roman" w:hAnsi="Times New Roman" w:eastAsia="方正仿宋_GBK" w:cs="Times New Roman"/>
          <w:b w:val="0"/>
          <w:bCs w:val="0"/>
          <w:color w:val="auto"/>
          <w:sz w:val="32"/>
          <w:szCs w:val="32"/>
          <w:shd w:val="clear" w:color="auto" w:fill="FFFFFF"/>
        </w:rPr>
        <w:t>%</w:t>
      </w:r>
      <w:r>
        <w:rPr>
          <w:rFonts w:hint="eastAsia" w:ascii="Times New Roman" w:hAnsi="Times New Roman" w:eastAsia="方正仿宋_GBK" w:cs="Times New Roman"/>
          <w:b w:val="0"/>
          <w:bCs w:val="0"/>
          <w:color w:val="auto"/>
          <w:sz w:val="32"/>
          <w:szCs w:val="32"/>
          <w:shd w:val="clear" w:color="auto" w:fill="FFFFFF"/>
          <w:lang w:eastAsia="zh-CN"/>
        </w:rPr>
        <w:t>。</w:t>
      </w:r>
      <w:r>
        <w:rPr>
          <w:rFonts w:hint="default" w:ascii="Times New Roman" w:hAnsi="Times New Roman" w:eastAsia="方正仿宋_GBK" w:cs="Times New Roman"/>
          <w:b w:val="0"/>
          <w:bCs w:val="0"/>
          <w:color w:val="auto"/>
          <w:sz w:val="32"/>
          <w:szCs w:val="32"/>
          <w:shd w:val="clear" w:color="auto" w:fill="FFFFFF"/>
        </w:rPr>
        <w:t>公用经费用途主要包括</w:t>
      </w:r>
      <w:r>
        <w:rPr>
          <w:rFonts w:hint="eastAsia" w:ascii="Times New Roman" w:hAnsi="Times New Roman" w:eastAsia="方正仿宋_GBK" w:cs="Times New Roman"/>
          <w:color w:val="auto"/>
          <w:sz w:val="32"/>
          <w:szCs w:val="32"/>
          <w:shd w:val="clear" w:fill="FFFFFF"/>
          <w:lang w:eastAsia="zh-CN"/>
        </w:rPr>
        <w:t>办公费、水电费、邮电费、会议费、维修（护）费、培训费、公务接待费、劳务费、其他交通费、工会会费等。</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（五）政府性基金预算收支决算情况说明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度无政府性基金预算财政拨款收支。</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（六）国有资本经营预算财政拨款支出决算情况说明</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auto"/>
        </w:rPr>
      </w:pPr>
      <w:r>
        <w:rPr>
          <w:rStyle w:val="8"/>
          <w:rFonts w:hint="default" w:ascii="Times New Roman" w:hAnsi="Times New Roman" w:eastAsia="方正仿宋_GBK" w:cs="Times New Roman"/>
          <w:b w:val="0"/>
          <w:bCs w:val="0"/>
          <w:color w:val="auto"/>
          <w:sz w:val="32"/>
          <w:szCs w:val="32"/>
          <w:shd w:val="clear" w:color="auto" w:fill="auto"/>
        </w:rPr>
        <w:t>本单位</w:t>
      </w:r>
      <w:r>
        <w:rPr>
          <w:rStyle w:val="8"/>
          <w:rFonts w:hint="default" w:ascii="Times New Roman" w:hAnsi="Times New Roman" w:eastAsia="方正仿宋_GBK" w:cs="Times New Roman"/>
          <w:b w:val="0"/>
          <w:bCs w:val="0"/>
          <w:color w:val="auto"/>
          <w:sz w:val="32"/>
          <w:szCs w:val="32"/>
          <w:shd w:val="clear" w:color="auto" w:fill="auto"/>
          <w:lang w:eastAsia="zh-CN"/>
        </w:rPr>
        <w:t>2024年</w:t>
      </w:r>
      <w:r>
        <w:rPr>
          <w:rStyle w:val="8"/>
          <w:rFonts w:hint="default" w:ascii="Times New Roman" w:hAnsi="Times New Roman" w:eastAsia="方正仿宋_GBK" w:cs="Times New Roman"/>
          <w:b w:val="0"/>
          <w:bCs w:val="0"/>
          <w:color w:val="auto"/>
          <w:sz w:val="32"/>
          <w:szCs w:val="32"/>
          <w:shd w:val="clear" w:color="auto" w:fill="auto"/>
        </w:rPr>
        <w:t>度无国有资本经营预算财政拨款支出。</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rPr>
      </w:pPr>
      <w:r>
        <w:rPr>
          <w:rStyle w:val="8"/>
          <w:rFonts w:hint="eastAsia" w:ascii="方正黑体_GBK" w:hAnsi="方正黑体_GBK" w:eastAsia="方正黑体_GBK" w:cs="方正黑体_GBK"/>
          <w:b w:val="0"/>
          <w:bCs w:val="0"/>
          <w:color w:val="auto"/>
          <w:sz w:val="32"/>
          <w:szCs w:val="32"/>
          <w:shd w:val="clear" w:color="auto" w:fill="FFFFFF"/>
        </w:rPr>
        <w:t>三、</w:t>
      </w:r>
      <w:r>
        <w:rPr>
          <w:rStyle w:val="8"/>
          <w:rFonts w:hint="eastAsia" w:ascii="方正黑体_GBK" w:hAnsi="方正黑体_GBK" w:eastAsia="方正黑体_GBK" w:cs="方正黑体_GBK"/>
          <w:b w:val="0"/>
          <w:bCs w:val="0"/>
          <w:color w:val="auto"/>
          <w:sz w:val="32"/>
          <w:szCs w:val="32"/>
          <w:shd w:val="clear" w:color="auto" w:fill="FFFFFF"/>
          <w:lang w:eastAsia="zh-CN"/>
        </w:rPr>
        <w:t>财政拨款</w:t>
      </w:r>
      <w:r>
        <w:rPr>
          <w:rStyle w:val="8"/>
          <w:rFonts w:hint="eastAsia" w:ascii="方正黑体_GBK" w:hAnsi="方正黑体_GBK" w:eastAsia="方正黑体_GBK" w:cs="方正黑体_GBK"/>
          <w:b w:val="0"/>
          <w:bCs w:val="0"/>
          <w:color w:val="auto"/>
          <w:sz w:val="32"/>
          <w:szCs w:val="32"/>
          <w:shd w:val="clear" w:color="auto" w:fill="FFFFFF"/>
        </w:rPr>
        <w:t>“三公”经费情况说明</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（一）“三公”经费支出总体情况说明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度“三公”经费支出共计</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，较年初预算数无增减，主要原因</w:t>
      </w:r>
      <w:r>
        <w:rPr>
          <w:rFonts w:hint="eastAsia" w:ascii="Times New Roman" w:hAnsi="Times New Roman" w:eastAsia="方正仿宋_GBK" w:cs="Times New Roman"/>
          <w:color w:val="auto"/>
          <w:sz w:val="32"/>
          <w:szCs w:val="32"/>
          <w:shd w:val="clear" w:color="auto" w:fill="FFFFFF"/>
          <w:lang w:eastAsia="zh-CN"/>
        </w:rPr>
        <w:t>是我单位</w:t>
      </w:r>
      <w:r>
        <w:rPr>
          <w:rFonts w:hint="eastAsia" w:ascii="Times New Roman" w:hAnsi="Times New Roman" w:eastAsia="方正仿宋_GBK" w:cs="Times New Roman"/>
          <w:color w:val="auto"/>
          <w:sz w:val="32"/>
          <w:szCs w:val="32"/>
          <w:shd w:val="clear" w:color="auto" w:fill="FFFFFF"/>
          <w:lang w:val="en-US" w:eastAsia="zh-CN"/>
        </w:rPr>
        <w:t>2024年度未发生“三公”经费支出。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（二）“三公”经费分项支出情况</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度本单位因公出国（境）费用</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因公出国（境）费用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公务车购置费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公务车购置费用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公务车运行维护费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公务车运行维护费用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公务接待费</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，费用支出较年初预算数无增减，主要原因是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b w:val="0"/>
          <w:bCs w:val="0"/>
          <w:color w:val="auto"/>
          <w:sz w:val="32"/>
          <w:szCs w:val="32"/>
          <w:shd w:val="clear" w:color="auto" w:fill="FFFFFF"/>
        </w:rPr>
        <w:t>公务接待费用</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val="en-US" w:eastAsia="zh-CN"/>
        </w:rPr>
        <w:t>2024年依据财政局要求，</w:t>
      </w:r>
      <w:r>
        <w:rPr>
          <w:rFonts w:hint="default" w:ascii="Times New Roman" w:hAnsi="Times New Roman" w:eastAsia="方正仿宋_GBK" w:cs="Times New Roman"/>
          <w:b w:val="0"/>
          <w:bCs w:val="0"/>
          <w:color w:val="auto"/>
          <w:sz w:val="32"/>
          <w:szCs w:val="32"/>
          <w:shd w:val="clear" w:color="auto" w:fill="FFFFFF"/>
        </w:rPr>
        <w:t>本单位将事业单位划分为</w:t>
      </w:r>
      <w:r>
        <w:rPr>
          <w:rFonts w:hint="default" w:ascii="Times New Roman" w:hAnsi="Times New Roman" w:eastAsia="方正仿宋_GBK" w:cs="Times New Roman"/>
          <w:b w:val="0"/>
          <w:bCs w:val="0"/>
          <w:color w:val="auto"/>
          <w:sz w:val="32"/>
          <w:szCs w:val="32"/>
        </w:rPr>
        <w:t>重庆市铜梁区庆隆镇退役军人服务站</w:t>
      </w:r>
      <w:r>
        <w:rPr>
          <w:rFonts w:hint="default" w:ascii="Times New Roman" w:hAnsi="Times New Roman" w:eastAsia="方正仿宋_GBK" w:cs="Times New Roman"/>
          <w:b w:val="0"/>
          <w:bCs w:val="0"/>
          <w:color w:val="auto"/>
          <w:sz w:val="32"/>
          <w:szCs w:val="32"/>
          <w:shd w:val="clear" w:color="auto" w:fill="FFFFFF"/>
        </w:rPr>
        <w:t>等七个账套单独核算，</w:t>
      </w:r>
      <w:r>
        <w:rPr>
          <w:rFonts w:hint="default" w:ascii="Times New Roman" w:hAnsi="Times New Roman" w:eastAsia="方正仿宋_GBK" w:cs="Times New Roman"/>
          <w:color w:val="auto"/>
          <w:sz w:val="32"/>
          <w:szCs w:val="32"/>
          <w:shd w:val="clear" w:color="auto" w:fill="FFFFFF"/>
          <w:lang w:val="en-US" w:eastAsia="zh-CN"/>
        </w:rPr>
        <w:t>上年度未单独核算，</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color w:val="auto"/>
          <w:sz w:val="32"/>
          <w:szCs w:val="32"/>
          <w:shd w:val="clear" w:color="auto" w:fill="FFFFFF"/>
          <w:lang w:val="en-US" w:eastAsia="zh-CN"/>
        </w:rPr>
        <w:t>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eastAsia" w:ascii="Times New Roman" w:hAnsi="Times New Roman" w:eastAsia="方正仿宋_GBK" w:cs="Times New Roman"/>
          <w:color w:val="auto"/>
          <w:sz w:val="32"/>
          <w:szCs w:val="32"/>
          <w:shd w:val="clear" w:color="auto" w:fill="FFFFFF"/>
          <w:lang w:val="en-US" w:eastAsia="zh-CN"/>
        </w:rPr>
        <w:t>。</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（三）“三公”经费实物量情况</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 </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度本单位因公出国（境）共计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个团组，</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人；公务用车购置</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辆，公务车保有量为</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辆；国内公务接待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人，其中：国内外事接待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人；国（境）外公务接待</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批次，</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人。</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本单位人均接待费</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元，车均购置费</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万元，车均维护费</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万元。</w:t>
      </w:r>
    </w:p>
    <w:p>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rPr>
      </w:pPr>
      <w:r>
        <w:rPr>
          <w:rStyle w:val="8"/>
          <w:rFonts w:hint="eastAsia" w:ascii="方正黑体_GBK" w:hAnsi="方正黑体_GBK" w:eastAsia="方正黑体_GBK" w:cs="方正黑体_GBK"/>
          <w:b w:val="0"/>
          <w:bCs w:val="0"/>
          <w:color w:val="auto"/>
          <w:sz w:val="32"/>
          <w:szCs w:val="32"/>
          <w:shd w:val="clear" w:color="auto" w:fill="FFFFFF"/>
        </w:rPr>
        <w:t>四、其他需要说明的事项</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（一）财政拨款会议费和培训费情况说明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本年度会议费支出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，与2023年度相比，无增减，主要原因是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default" w:ascii="Times New Roman" w:hAnsi="Times New Roman" w:eastAsia="方正仿宋_GBK" w:cs="Times New Roman"/>
          <w:color w:val="auto"/>
          <w:sz w:val="32"/>
          <w:szCs w:val="32"/>
          <w:shd w:val="clear" w:color="auto" w:fill="FFFFFF"/>
        </w:rPr>
        <w:t>会议费</w:t>
      </w:r>
      <w:r>
        <w:rPr>
          <w:rFonts w:hint="eastAsia" w:ascii="Times New Roman" w:hAnsi="Times New Roman" w:eastAsia="方正仿宋_GBK" w:cs="Times New Roman"/>
          <w:color w:val="auto"/>
          <w:sz w:val="32"/>
          <w:szCs w:val="32"/>
          <w:shd w:val="clear" w:color="auto" w:fill="FFFFFF"/>
          <w:lang w:val="en-US" w:eastAsia="zh-CN"/>
        </w:rPr>
        <w:t>支出。</w:t>
      </w:r>
      <w:r>
        <w:rPr>
          <w:rFonts w:hint="default" w:ascii="Times New Roman" w:hAnsi="Times New Roman" w:eastAsia="方正仿宋_GBK" w:cs="Times New Roman"/>
          <w:b w:val="0"/>
          <w:bCs w:val="0"/>
          <w:color w:val="auto"/>
          <w:sz w:val="32"/>
          <w:szCs w:val="32"/>
          <w:shd w:val="clear" w:color="auto" w:fill="FFFFFF"/>
        </w:rPr>
        <w:t>本年度培训费支出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color w:val="auto"/>
          <w:sz w:val="32"/>
          <w:szCs w:val="32"/>
          <w:shd w:val="clear" w:color="auto" w:fill="FFFFFF"/>
        </w:rPr>
        <w:t>，与2023年度相比，无变化，主要原因是</w:t>
      </w:r>
      <w:r>
        <w:rPr>
          <w:rFonts w:hint="eastAsia" w:ascii="Times New Roman" w:hAnsi="Times New Roman" w:eastAsia="方正仿宋_GBK" w:cs="Times New Roman"/>
          <w:color w:val="auto"/>
          <w:sz w:val="32"/>
          <w:szCs w:val="32"/>
          <w:shd w:val="clear" w:color="auto" w:fill="FFFFFF"/>
          <w:lang w:eastAsia="zh-CN"/>
        </w:rPr>
        <w:t>我单位</w:t>
      </w:r>
      <w:r>
        <w:rPr>
          <w:rFonts w:hint="eastAsia" w:ascii="Times New Roman" w:hAnsi="Times New Roman" w:eastAsia="方正仿宋_GBK" w:cs="Times New Roman"/>
          <w:color w:val="auto"/>
          <w:sz w:val="32"/>
          <w:szCs w:val="32"/>
          <w:shd w:val="clear" w:color="auto" w:fill="FFFFFF"/>
          <w:lang w:val="en-US" w:eastAsia="zh-CN"/>
        </w:rPr>
        <w:t>2024年度未发生</w:t>
      </w:r>
      <w:r>
        <w:rPr>
          <w:rFonts w:hint="eastAsia" w:ascii="Times New Roman" w:hAnsi="Times New Roman" w:eastAsia="方正仿宋_GBK" w:cs="Times New Roman"/>
          <w:color w:val="auto"/>
          <w:sz w:val="32"/>
          <w:szCs w:val="32"/>
          <w:shd w:val="clear" w:color="auto" w:fill="FFFFFF"/>
          <w:lang w:eastAsia="zh-CN"/>
        </w:rPr>
        <w:t>培训</w:t>
      </w:r>
      <w:r>
        <w:rPr>
          <w:rFonts w:hint="default" w:ascii="Times New Roman" w:hAnsi="Times New Roman" w:eastAsia="方正仿宋_GBK" w:cs="Times New Roman"/>
          <w:color w:val="auto"/>
          <w:sz w:val="32"/>
          <w:szCs w:val="32"/>
          <w:shd w:val="clear" w:color="auto" w:fill="FFFFFF"/>
        </w:rPr>
        <w:t>费</w:t>
      </w:r>
      <w:r>
        <w:rPr>
          <w:rFonts w:hint="eastAsia" w:ascii="Times New Roman" w:hAnsi="Times New Roman" w:eastAsia="方正仿宋_GBK" w:cs="Times New Roman"/>
          <w:color w:val="auto"/>
          <w:sz w:val="32"/>
          <w:szCs w:val="32"/>
          <w:shd w:val="clear" w:color="auto" w:fill="FFFFFF"/>
          <w:lang w:val="en-US" w:eastAsia="zh-CN"/>
        </w:rPr>
        <w:t>支出。</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（二）机关运行经费情况说明</w:t>
      </w:r>
    </w:p>
    <w:p>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度本单位机关运行经费支出</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color w:val="auto"/>
          <w:sz w:val="32"/>
          <w:szCs w:val="32"/>
          <w:shd w:val="clear" w:color="auto" w:fill="FFFFFF"/>
        </w:rPr>
        <w:t>，上年支出数无增减，主要原因是</w:t>
      </w:r>
      <w:r>
        <w:rPr>
          <w:rFonts w:hint="default" w:ascii="Times New Roman" w:hAnsi="Times New Roman" w:eastAsia="方正仿宋_GBK" w:cs="Times New Roman"/>
          <w:color w:val="auto"/>
          <w:sz w:val="32"/>
          <w:szCs w:val="32"/>
        </w:rPr>
        <w:t>按照部门决算列报口径，我单位不在机关运行经费统计范围之内。</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（三）国有资产占用情况说明</w:t>
      </w:r>
    </w:p>
    <w:p>
      <w:pPr>
        <w:pStyle w:val="5"/>
        <w:keepNext w:val="0"/>
        <w:keepLines w:val="0"/>
        <w:pageBreakBefore w:val="0"/>
        <w:widowControl w:val="0"/>
        <w:kinsoku/>
        <w:wordWrap/>
        <w:overflowPunct/>
        <w:topLinePunct w:val="0"/>
        <w:autoSpaceDN/>
        <w:bidi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shd w:val="clear" w:color="auto" w:fill="FFFFFF"/>
        </w:rPr>
        <w:t>截至</w:t>
      </w: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12月31日，本单位共有车辆</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辆，其中，副部（省）级及以上领导用车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辆、主要负责人用车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辆、机要通信用车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辆、应急保障用车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辆、执法执勤用车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辆，特种专业技术用车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辆，离退休干部用车</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辆。单价100万元（含）以上专用设备</w:t>
      </w:r>
      <w:r>
        <w:rPr>
          <w:rFonts w:hint="default" w:ascii="Times New Roman" w:hAnsi="Times New Roman" w:eastAsia="方正仿宋_GBK" w:cs="Times New Roman"/>
          <w:b w:val="0"/>
          <w:bCs w:val="0"/>
          <w:color w:val="auto"/>
          <w:sz w:val="32"/>
          <w:szCs w:val="32"/>
        </w:rPr>
        <w:t>0</w:t>
      </w:r>
      <w:r>
        <w:rPr>
          <w:rFonts w:hint="default" w:ascii="Times New Roman" w:hAnsi="Times New Roman" w:eastAsia="方正仿宋_GBK" w:cs="Times New Roman"/>
          <w:b w:val="0"/>
          <w:bCs w:val="0"/>
          <w:color w:val="auto"/>
          <w:sz w:val="32"/>
          <w:szCs w:val="32"/>
          <w:shd w:val="clear" w:color="auto" w:fill="FFFFFF"/>
        </w:rPr>
        <w:t>台（套）。</w:t>
      </w:r>
    </w:p>
    <w:p>
      <w:pPr>
        <w:pStyle w:val="9"/>
        <w:keepNext w:val="0"/>
        <w:keepLines w:val="0"/>
        <w:pageBreakBefore w:val="0"/>
        <w:widowControl w:val="0"/>
        <w:kinsoku/>
        <w:wordWrap/>
        <w:overflowPunct/>
        <w:topLinePunct w:val="0"/>
        <w:autoSpaceDE w:val="0"/>
        <w:autoSpaceDN/>
        <w:bidi w:val="0"/>
        <w:spacing w:beforeAutospacing="0" w:afterAutospacing="0" w:line="560" w:lineRule="exact"/>
        <w:ind w:firstLine="643"/>
        <w:textAlignment w:val="auto"/>
        <w:rPr>
          <w:rFonts w:hint="eastAsia" w:ascii="方正楷体_GBK" w:hAnsi="方正楷体_GBK" w:eastAsia="方正楷体_GBK" w:cs="方正楷体_GBK"/>
          <w:b w:val="0"/>
          <w:bCs w:val="0"/>
          <w:color w:val="auto"/>
          <w:sz w:val="32"/>
          <w:szCs w:val="32"/>
          <w:shd w:val="clear" w:color="auto" w:fill="FFFFFF"/>
        </w:rPr>
      </w:pPr>
      <w:r>
        <w:rPr>
          <w:rFonts w:hint="eastAsia" w:ascii="方正楷体_GBK" w:hAnsi="方正楷体_GBK" w:eastAsia="方正楷体_GBK" w:cs="方正楷体_GBK"/>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度我单位未发生政府采购事项，无相关经费支出。</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eastAsia" w:ascii="方正黑体_GBK" w:hAnsi="方正黑体_GBK" w:eastAsia="方正黑体_GBK" w:cs="方正黑体_GBK"/>
          <w:b w:val="0"/>
          <w:bCs w:val="0"/>
          <w:color w:val="auto"/>
          <w:sz w:val="32"/>
          <w:szCs w:val="32"/>
          <w:shd w:val="clear" w:color="auto" w:fill="FFFFFF"/>
          <w:lang w:val="en-US" w:eastAsia="zh-CN" w:bidi="ar-SA"/>
        </w:rPr>
      </w:pPr>
      <w:r>
        <w:rPr>
          <w:rStyle w:val="8"/>
          <w:rFonts w:hint="eastAsia" w:ascii="方正黑体_GBK" w:hAnsi="方正黑体_GBK" w:eastAsia="方正黑体_GBK" w:cs="方正黑体_GBK"/>
          <w:b w:val="0"/>
          <w:bCs w:val="0"/>
          <w:color w:val="auto"/>
          <w:sz w:val="32"/>
          <w:szCs w:val="32"/>
          <w:shd w:val="clear" w:color="auto" w:fill="FFFFFF"/>
          <w:lang w:val="en-US" w:eastAsia="zh-CN" w:bidi="ar-SA"/>
        </w:rPr>
        <w:t>五、2024年度预算绩效管理情况说明</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color w:val="auto"/>
          <w:kern w:val="0"/>
          <w:sz w:val="32"/>
          <w:szCs w:val="32"/>
          <w:shd w:val="clear" w:fill="FFFFFF"/>
        </w:rPr>
      </w:pPr>
      <w:r>
        <w:rPr>
          <w:rFonts w:hint="eastAsia" w:ascii="方正楷体_GBK" w:hAnsi="方正楷体_GBK" w:eastAsia="方正楷体_GBK" w:cs="方正楷体_GBK"/>
          <w:b w:val="0"/>
          <w:bCs w:val="0"/>
          <w:color w:val="auto"/>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根据预算绩效管理要求，我单位对</w:t>
      </w:r>
      <w:r>
        <w:rPr>
          <w:rFonts w:hint="eastAsia" w:ascii="Times New Roman" w:hAnsi="Times New Roman" w:eastAsia="方正仿宋_GBK" w:cs="Times New Roman"/>
          <w:b w:val="0"/>
          <w:bCs w:val="0"/>
          <w:color w:val="auto"/>
          <w:kern w:val="0"/>
          <w:sz w:val="32"/>
          <w:szCs w:val="32"/>
          <w:shd w:val="clear" w:fill="FFFFFF"/>
          <w:lang w:val="en-US" w:eastAsia="zh-CN"/>
        </w:rPr>
        <w:t>1</w:t>
      </w:r>
      <w:r>
        <w:rPr>
          <w:rFonts w:hint="default" w:ascii="Times New Roman" w:hAnsi="Times New Roman" w:eastAsia="方正仿宋_GBK" w:cs="Times New Roman"/>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color w:val="auto"/>
          <w:kern w:val="0"/>
          <w:sz w:val="32"/>
          <w:szCs w:val="32"/>
          <w:shd w:val="clear" w:fill="FFFFFF"/>
          <w:lang w:val="en-US" w:eastAsia="zh-CN"/>
        </w:rPr>
        <w:t>1</w:t>
      </w:r>
      <w:r>
        <w:rPr>
          <w:rFonts w:hint="default" w:ascii="Times New Roman" w:hAnsi="Times New Roman" w:eastAsia="方正仿宋_GBK" w:cs="Times New Roman"/>
          <w:b w:val="0"/>
          <w:bCs w:val="0"/>
          <w:color w:val="auto"/>
          <w:kern w:val="0"/>
          <w:sz w:val="32"/>
          <w:szCs w:val="32"/>
          <w:shd w:val="clear" w:fill="FFFFFF"/>
        </w:rPr>
        <w:t>项，涉及资金</w:t>
      </w:r>
      <w:r>
        <w:rPr>
          <w:rFonts w:hint="eastAsia" w:ascii="Times New Roman" w:hAnsi="Times New Roman" w:eastAsia="方正仿宋_GBK" w:cs="Times New Roman"/>
          <w:b w:val="0"/>
          <w:bCs w:val="0"/>
          <w:color w:val="auto"/>
          <w:kern w:val="0"/>
          <w:sz w:val="32"/>
          <w:szCs w:val="32"/>
          <w:shd w:val="clear" w:fill="FFFFFF"/>
          <w:lang w:val="en-US" w:eastAsia="zh-CN"/>
        </w:rPr>
        <w:t>9.4</w:t>
      </w:r>
      <w:r>
        <w:rPr>
          <w:rFonts w:hint="default" w:ascii="Times New Roman" w:hAnsi="Times New Roman" w:eastAsia="方正仿宋_GBK" w:cs="Times New Roman"/>
          <w:b w:val="0"/>
          <w:bCs w:val="0"/>
          <w:color w:val="auto"/>
          <w:kern w:val="0"/>
          <w:sz w:val="32"/>
          <w:szCs w:val="32"/>
          <w:shd w:val="clear" w:fill="FFFFFF"/>
        </w:rPr>
        <w:t>万元。</w:t>
      </w:r>
    </w:p>
    <w:p>
      <w:pPr>
        <w:pStyle w:val="10"/>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eastAsia" w:ascii="方正楷体_GBK" w:hAnsi="方正楷体_GBK" w:eastAsia="方正楷体_GBK" w:cs="方正楷体_GBK"/>
          <w:b w:val="0"/>
          <w:bCs w:val="0"/>
          <w:color w:val="auto"/>
          <w:kern w:val="0"/>
          <w:sz w:val="32"/>
          <w:szCs w:val="32"/>
          <w:shd w:val="clear" w:fill="FFFFFF"/>
        </w:rPr>
      </w:pPr>
      <w:r>
        <w:rPr>
          <w:rFonts w:hint="eastAsia" w:ascii="方正楷体_GBK" w:hAnsi="方正楷体_GBK" w:eastAsia="方正楷体_GBK" w:cs="方正楷体_GBK"/>
          <w:b w:val="0"/>
          <w:bCs w:val="0"/>
          <w:color w:val="auto"/>
          <w:kern w:val="0"/>
          <w:sz w:val="32"/>
          <w:szCs w:val="32"/>
          <w:shd w:val="clear" w:fill="FFFFFF"/>
        </w:rPr>
        <w:t>（二）绩效自评结果</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1.项目绩效自评表。</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详见附件。</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2.项目绩效自评报告或案例。</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我单位未委托第三方开展绩效评价。</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color w:val="auto"/>
          <w:kern w:val="0"/>
          <w:sz w:val="32"/>
          <w:szCs w:val="32"/>
          <w:shd w:val="clear" w:fill="FFFFFF"/>
        </w:rPr>
      </w:pPr>
      <w:r>
        <w:rPr>
          <w:rFonts w:hint="default" w:ascii="Times New Roman" w:hAnsi="Times New Roman" w:eastAsia="方正仿宋_GBK" w:cs="Times New Roman"/>
          <w:b w:val="0"/>
          <w:bCs w:val="0"/>
          <w:color w:val="auto"/>
          <w:kern w:val="0"/>
          <w:sz w:val="32"/>
          <w:szCs w:val="32"/>
          <w:shd w:val="clear" w:fill="FFFFFF"/>
        </w:rPr>
        <w:t>我单位对</w:t>
      </w:r>
      <w:r>
        <w:rPr>
          <w:rFonts w:hint="eastAsia" w:ascii="Times New Roman" w:hAnsi="Times New Roman" w:eastAsia="方正仿宋_GBK" w:cs="Times New Roman"/>
          <w:b w:val="0"/>
          <w:bCs w:val="0"/>
          <w:color w:val="auto"/>
          <w:kern w:val="0"/>
          <w:sz w:val="32"/>
          <w:szCs w:val="32"/>
          <w:shd w:val="clear" w:fill="FFFFFF"/>
          <w:lang w:val="en-US" w:eastAsia="zh-CN"/>
        </w:rPr>
        <w:t>1个</w:t>
      </w:r>
      <w:r>
        <w:rPr>
          <w:rFonts w:hint="default" w:ascii="Times New Roman" w:hAnsi="Times New Roman" w:eastAsia="方正仿宋_GBK" w:cs="Times New Roman"/>
          <w:b w:val="0"/>
          <w:bCs w:val="0"/>
          <w:color w:val="auto"/>
          <w:kern w:val="0"/>
          <w:sz w:val="32"/>
          <w:szCs w:val="32"/>
          <w:shd w:val="clear" w:fill="FFFFFF"/>
        </w:rPr>
        <w:t>项目进行绩效自评，已完成年度绩效目标。</w:t>
      </w:r>
    </w:p>
    <w:p>
      <w:pPr>
        <w:pStyle w:val="12"/>
        <w:keepNext w:val="0"/>
        <w:keepLines w:val="0"/>
        <w:pageBreakBefore w:val="0"/>
        <w:widowControl w:val="0"/>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eastAsia" w:ascii="方正楷体_GBK" w:hAnsi="方正楷体_GBK" w:eastAsia="方正楷体_GBK" w:cs="方正楷体_GBK"/>
          <w:b w:val="0"/>
          <w:bCs w:val="0"/>
          <w:color w:val="auto"/>
          <w:kern w:val="0"/>
          <w:sz w:val="32"/>
          <w:szCs w:val="32"/>
          <w:shd w:val="clear" w:fill="FFFFFF"/>
          <w:lang w:val="en-US" w:eastAsia="zh-CN" w:bidi="ar"/>
        </w:rPr>
      </w:pPr>
      <w:r>
        <w:rPr>
          <w:rFonts w:hint="eastAsia" w:ascii="方正楷体_GBK" w:hAnsi="方正楷体_GBK" w:eastAsia="方正楷体_GBK" w:cs="方正楷体_GBK"/>
          <w:b w:val="0"/>
          <w:bCs w:val="0"/>
          <w:color w:val="auto"/>
          <w:kern w:val="0"/>
          <w:sz w:val="32"/>
          <w:szCs w:val="32"/>
          <w:shd w:val="clear" w:fill="FFFFFF"/>
          <w:lang w:val="en-US" w:eastAsia="zh-CN" w:bidi="ar"/>
        </w:rPr>
        <w:t xml:space="preserve">（三）财政重点绩效评价情况 </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fill="FFFFFF"/>
          <w:lang w:val="en-US" w:eastAsia="zh-CN"/>
        </w:rPr>
      </w:pPr>
      <w:r>
        <w:rPr>
          <w:rFonts w:hint="default" w:ascii="Times New Roman" w:hAnsi="Times New Roman" w:eastAsia="方正仿宋_GBK" w:cs="Times New Roman"/>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val="0"/>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Style w:val="8"/>
          <w:rFonts w:hint="eastAsia" w:ascii="方正黑体_GBK" w:hAnsi="方正黑体_GBK" w:eastAsia="方正黑体_GBK" w:cs="方正黑体_GBK"/>
          <w:b w:val="0"/>
          <w:bCs w:val="0"/>
          <w:color w:val="auto"/>
          <w:sz w:val="32"/>
          <w:szCs w:val="32"/>
          <w:shd w:val="clear" w:color="auto" w:fill="FFFFFF"/>
          <w:lang w:val="en-US" w:eastAsia="zh-CN" w:bidi="ar-SA"/>
        </w:rPr>
        <w:t>六、专业名词解释</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（一）财政拨款收入：</w:t>
      </w:r>
      <w:r>
        <w:rPr>
          <w:rFonts w:hint="default" w:ascii="Times New Roman" w:hAnsi="Times New Roman" w:eastAsia="方正仿宋_GBK" w:cs="Times New Roman"/>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（二）事业收入：</w:t>
      </w:r>
      <w:r>
        <w:rPr>
          <w:rFonts w:hint="default" w:ascii="Times New Roman" w:hAnsi="Times New Roman" w:eastAsia="方正仿宋_GBK" w:cs="Times New Roman"/>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（三）经营收入：</w:t>
      </w:r>
      <w:r>
        <w:rPr>
          <w:rFonts w:hint="default" w:ascii="Times New Roman" w:hAnsi="Times New Roman" w:eastAsia="方正仿宋_GBK" w:cs="Times New Roman"/>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（四）其他收入：</w:t>
      </w:r>
      <w:r>
        <w:rPr>
          <w:rFonts w:hint="default" w:ascii="Times New Roman" w:hAnsi="Times New Roman" w:eastAsia="方正仿宋_GBK" w:cs="Times New Roman"/>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（六）年初结转和结余：</w:t>
      </w:r>
      <w:r>
        <w:rPr>
          <w:rFonts w:hint="default" w:ascii="Times New Roman" w:hAnsi="Times New Roman" w:eastAsia="方正仿宋_GBK" w:cs="Times New Roman"/>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（七）结余分配：</w:t>
      </w:r>
      <w:r>
        <w:rPr>
          <w:rFonts w:hint="default" w:ascii="Times New Roman" w:hAnsi="Times New Roman" w:eastAsia="方正仿宋_GBK" w:cs="Times New Roman"/>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（八）年末结转和结余：</w:t>
      </w:r>
      <w:r>
        <w:rPr>
          <w:rFonts w:hint="default" w:ascii="Times New Roman" w:hAnsi="Times New Roman" w:eastAsia="方正仿宋_GBK" w:cs="Times New Roman"/>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（九）基本支出：</w:t>
      </w:r>
      <w:r>
        <w:rPr>
          <w:rFonts w:hint="default" w:ascii="Times New Roman" w:hAnsi="Times New Roman" w:eastAsia="方正仿宋_GBK" w:cs="Times New Roman"/>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（十）项目支出：</w:t>
      </w:r>
      <w:r>
        <w:rPr>
          <w:rFonts w:hint="default" w:ascii="Times New Roman" w:hAnsi="Times New Roman" w:eastAsia="方正仿宋_GBK" w:cs="Times New Roman"/>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（十一）经营支出：</w:t>
      </w:r>
      <w:r>
        <w:rPr>
          <w:rFonts w:hint="default" w:ascii="Times New Roman" w:hAnsi="Times New Roman" w:eastAsia="方正仿宋_GBK" w:cs="Times New Roman"/>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（十二）“三公”经费：</w:t>
      </w:r>
      <w:r>
        <w:rPr>
          <w:rFonts w:hint="default" w:ascii="Times New Roman" w:hAnsi="Times New Roman" w:eastAsia="方正仿宋_GBK" w:cs="Times New Roman"/>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（十三）机关运行经费：</w:t>
      </w:r>
      <w:r>
        <w:rPr>
          <w:rFonts w:hint="default" w:ascii="Times New Roman" w:hAnsi="Times New Roman" w:eastAsia="方正仿宋_GBK" w:cs="Times New Roman"/>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shd w:val="clear" w:fill="FFFFFF"/>
        </w:rPr>
        <w:t>反映用于对个人和家庭的补助支出。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rPr>
      </w:pPr>
      <w:r>
        <w:rPr>
          <w:rStyle w:val="8"/>
          <w:rFonts w:hint="eastAsia" w:ascii="方正楷体_GBK" w:hAnsi="方正楷体_GBK" w:eastAsia="方正楷体_GBK" w:cs="方正楷体_GBK"/>
          <w:b w:val="0"/>
          <w:bCs w:val="0"/>
          <w:color w:val="auto"/>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val="0"/>
        <w:kinsoku/>
        <w:wordWrap/>
        <w:overflowPunct/>
        <w:topLinePunct w:val="0"/>
        <w:autoSpaceDN/>
        <w:bidi w:val="0"/>
        <w:adjustRightInd/>
        <w:snapToGrid/>
        <w:spacing w:before="0" w:beforeAutospacing="0" w:after="0" w:afterAutospacing="0" w:line="560" w:lineRule="exact"/>
        <w:ind w:firstLine="640" w:firstLineChars="200"/>
        <w:textAlignment w:val="auto"/>
        <w:rPr>
          <w:rFonts w:hint="eastAsia" w:ascii="方正黑体_GBK" w:hAnsi="方正黑体_GBK" w:eastAsia="方正黑体_GBK" w:cs="方正黑体_GBK"/>
          <w:b w:val="0"/>
          <w:bCs w:val="0"/>
          <w:color w:val="auto"/>
          <w:kern w:val="0"/>
          <w:sz w:val="32"/>
          <w:szCs w:val="32"/>
        </w:rPr>
      </w:pPr>
      <w:r>
        <w:rPr>
          <w:rStyle w:val="8"/>
          <w:rFonts w:hint="eastAsia" w:ascii="方正黑体_GBK" w:hAnsi="方正黑体_GBK" w:eastAsia="方正黑体_GBK" w:cs="方正黑体_GBK"/>
          <w:b w:val="0"/>
          <w:bCs w:val="0"/>
          <w:color w:val="auto"/>
          <w:sz w:val="32"/>
          <w:szCs w:val="32"/>
          <w:shd w:val="clear" w:color="auto" w:fill="FFFFFF"/>
          <w:lang w:val="en-US" w:eastAsia="zh-CN" w:bidi="ar-SA"/>
        </w:rPr>
        <w:t>七、决算公开联系方式及信息反馈渠道</w:t>
      </w:r>
    </w:p>
    <w:p>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lang w:val="en-US" w:eastAsia="zh-CN"/>
        </w:rPr>
      </w:pPr>
      <w:r>
        <w:rPr>
          <w:rFonts w:hint="default" w:ascii="Times New Roman" w:hAnsi="Times New Roman" w:eastAsia="方正仿宋_GBK" w:cs="Times New Roman"/>
          <w:b w:val="0"/>
          <w:bCs w:val="0"/>
          <w:color w:val="auto"/>
          <w:kern w:val="0"/>
          <w:sz w:val="32"/>
          <w:szCs w:val="32"/>
          <w:shd w:val="clear" w:fill="FFFFFF"/>
        </w:rPr>
        <w:t>本单位决算公开信息反馈和联系方式：</w:t>
      </w:r>
      <w:r>
        <w:rPr>
          <w:rFonts w:hint="eastAsia" w:ascii="Times New Roman" w:hAnsi="Times New Roman" w:eastAsia="方正仿宋_GBK" w:cs="Times New Roman"/>
          <w:b w:val="0"/>
          <w:bCs w:val="0"/>
          <w:color w:val="auto"/>
          <w:kern w:val="0"/>
          <w:sz w:val="32"/>
          <w:szCs w:val="32"/>
          <w:shd w:val="clear" w:fill="FFFFFF"/>
          <w:lang w:eastAsia="zh-CN"/>
        </w:rPr>
        <w:t>何妮颖</w:t>
      </w:r>
      <w:bookmarkStart w:id="0" w:name="_GoBack"/>
      <w:bookmarkEnd w:id="0"/>
      <w:r>
        <w:rPr>
          <w:rFonts w:hint="default" w:ascii="Times New Roman" w:hAnsi="Times New Roman" w:eastAsia="方正仿宋_GBK" w:cs="Times New Roman"/>
          <w:b w:val="0"/>
          <w:bCs w:val="0"/>
          <w:color w:val="auto"/>
          <w:kern w:val="0"/>
          <w:sz w:val="32"/>
          <w:szCs w:val="32"/>
          <w:shd w:val="clear" w:fill="FFFFFF"/>
        </w:rPr>
        <w:t>023-</w:t>
      </w:r>
      <w:r>
        <w:rPr>
          <w:rFonts w:hint="eastAsia" w:ascii="Times New Roman" w:hAnsi="Times New Roman" w:eastAsia="方正仿宋_GBK" w:cs="Times New Roman"/>
          <w:b w:val="0"/>
          <w:bCs w:val="0"/>
          <w:color w:val="auto"/>
          <w:kern w:val="0"/>
          <w:sz w:val="32"/>
          <w:szCs w:val="32"/>
          <w:shd w:val="clear" w:fill="FFFFFF"/>
          <w:lang w:val="en-US" w:eastAsia="zh-CN"/>
        </w:rPr>
        <w:t>45480016</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附件：</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1</w:t>
      </w:r>
      <w:r>
        <w:rPr>
          <w:rStyle w:val="11"/>
          <w:rFonts w:hint="eastAsia" w:ascii="Times New Roman" w:hAnsi="Times New Roman" w:eastAsia="方正仿宋_GBK" w:cs="Times New Roman"/>
          <w:b w:val="0"/>
          <w:bCs w:val="0"/>
          <w:color w:val="auto"/>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rPr>
        <w:t>重庆市铜梁区庆隆镇退役军人服务站</w:t>
      </w:r>
      <w:r>
        <w:rPr>
          <w:rStyle w:val="11"/>
          <w:rFonts w:hint="default" w:ascii="Times New Roman" w:hAnsi="Times New Roman" w:eastAsia="方正仿宋_GBK" w:cs="Times New Roman"/>
          <w:b w:val="0"/>
          <w:bCs w:val="0"/>
          <w:color w:val="auto"/>
          <w:sz w:val="32"/>
          <w:szCs w:val="32"/>
          <w:shd w:val="clear" w:color="auto" w:fill="auto"/>
          <w:lang w:val="en-US" w:eastAsia="zh-CN"/>
        </w:rPr>
        <w:t>2024年度决算公开说明</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2</w:t>
      </w:r>
      <w:r>
        <w:rPr>
          <w:rStyle w:val="11"/>
          <w:rFonts w:hint="eastAsia" w:ascii="Times New Roman" w:hAnsi="Times New Roman" w:eastAsia="方正仿宋_GBK" w:cs="Times New Roman"/>
          <w:b w:val="0"/>
          <w:bCs w:val="0"/>
          <w:color w:val="auto"/>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rPr>
        <w:t>重庆市铜梁区庆隆镇退役军人服务站</w:t>
      </w:r>
      <w:r>
        <w:rPr>
          <w:rStyle w:val="11"/>
          <w:rFonts w:hint="default" w:ascii="Times New Roman" w:hAnsi="Times New Roman" w:eastAsia="方正仿宋_GBK" w:cs="Times New Roman"/>
          <w:b w:val="0"/>
          <w:bCs w:val="0"/>
          <w:color w:val="auto"/>
          <w:sz w:val="32"/>
          <w:szCs w:val="32"/>
          <w:shd w:val="clear" w:color="auto" w:fill="auto"/>
          <w:lang w:val="en-US" w:eastAsia="zh-CN"/>
        </w:rPr>
        <w:t>2024年度决算公开报表</w:t>
      </w:r>
    </w:p>
    <w:p>
      <w:pPr>
        <w:pStyle w:val="9"/>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color w:val="auto"/>
          <w:sz w:val="32"/>
          <w:szCs w:val="32"/>
          <w:shd w:val="clear" w:color="auto" w:fill="auto"/>
          <w:lang w:val="en-US" w:eastAsia="zh-CN"/>
        </w:rPr>
      </w:pPr>
      <w:r>
        <w:rPr>
          <w:rStyle w:val="11"/>
          <w:rFonts w:hint="default" w:ascii="Times New Roman" w:hAnsi="Times New Roman" w:eastAsia="方正仿宋_GBK" w:cs="Times New Roman"/>
          <w:b w:val="0"/>
          <w:bCs w:val="0"/>
          <w:color w:val="auto"/>
          <w:sz w:val="32"/>
          <w:szCs w:val="32"/>
          <w:shd w:val="clear" w:color="auto" w:fill="auto"/>
          <w:lang w:val="en-US" w:eastAsia="zh-CN"/>
        </w:rPr>
        <w:t>3</w:t>
      </w:r>
      <w:r>
        <w:rPr>
          <w:rStyle w:val="11"/>
          <w:rFonts w:hint="eastAsia" w:ascii="Times New Roman" w:hAnsi="Times New Roman" w:eastAsia="方正仿宋_GBK" w:cs="Times New Roman"/>
          <w:b w:val="0"/>
          <w:bCs w:val="0"/>
          <w:color w:val="auto"/>
          <w:sz w:val="32"/>
          <w:szCs w:val="32"/>
          <w:shd w:val="clear" w:color="auto" w:fill="auto"/>
          <w:lang w:val="en-US" w:eastAsia="zh-CN"/>
        </w:rPr>
        <w:t>.</w:t>
      </w:r>
      <w:r>
        <w:rPr>
          <w:rFonts w:hint="default" w:ascii="Times New Roman" w:hAnsi="Times New Roman" w:eastAsia="方正仿宋_GBK" w:cs="Times New Roman"/>
          <w:b w:val="0"/>
          <w:bCs w:val="0"/>
          <w:color w:val="auto"/>
          <w:sz w:val="32"/>
          <w:szCs w:val="32"/>
        </w:rPr>
        <w:t>重庆市铜梁区庆隆镇退役军人服务站</w:t>
      </w:r>
      <w:r>
        <w:rPr>
          <w:rStyle w:val="11"/>
          <w:rFonts w:hint="default" w:ascii="Times New Roman" w:hAnsi="Times New Roman" w:eastAsia="方正仿宋_GBK" w:cs="Times New Roman"/>
          <w:b w:val="0"/>
          <w:bCs w:val="0"/>
          <w:color w:val="auto"/>
          <w:sz w:val="32"/>
          <w:szCs w:val="32"/>
          <w:shd w:val="clear" w:color="auto" w:fill="auto"/>
          <w:lang w:val="en-US" w:eastAsia="zh-CN"/>
        </w:rPr>
        <w:t xml:space="preserve">2024年度项目绩效自评表          </w:t>
      </w:r>
    </w:p>
    <w:sectPr>
      <w:headerReference r:id="rId3" w:type="default"/>
      <w:footerReference r:id="rId4" w:type="default"/>
      <w:pgSz w:w="11850" w:h="16783"/>
      <w:pgMar w:top="2098" w:right="1474" w:bottom="1984" w:left="158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kNzUzMGU3NmE4NTg1NWNlZGU1MWEzODJiNzZjOTc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84F60"/>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7A3E5A"/>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3CB0E27"/>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6FC41C7"/>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0DE1177"/>
    <w:rsid w:val="61025A59"/>
    <w:rsid w:val="613D5BBC"/>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BEE53C6"/>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autoRedefin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autoRedefine/>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2025-10-21T07:11:24Z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9EDAFD8FD9424A54844071572B3E9A06_13</vt:lpwstr>
  </property>
</Properties>
</file>