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重庆市铜梁区庆隆镇乡村产业培育中心</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一、</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rPr>
      </w:pPr>
      <w:r>
        <w:rPr>
          <w:rStyle w:val="8"/>
          <w:rFonts w:hint="default" w:ascii="Times New Roman" w:hAnsi="Times New Roman" w:eastAsia="方正楷体_GBK" w:cs="Times New Roman"/>
          <w:b w:val="0"/>
          <w:bCs w:val="0"/>
          <w:sz w:val="32"/>
          <w:szCs w:val="32"/>
          <w:shd w:val="clear" w:color="auto" w:fill="FFFFFF"/>
        </w:rPr>
        <w:t>（一）职能职责</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sz w:val="32"/>
          <w:szCs w:val="32"/>
          <w:lang w:eastAsia="zh-CN"/>
        </w:rPr>
        <w:t>的主要职责任务是承担产业规划、引进培育等工作，提振乡村经济发展，承担各类招商项目洽谈、推介活动等投资促进具体工作，承担扶贫开发等事务性工作，完成主管部门交办的其他任务。</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rPr>
      </w:pPr>
      <w:r>
        <w:rPr>
          <w:rStyle w:val="8"/>
          <w:rFonts w:hint="default" w:ascii="Times New Roman" w:hAnsi="Times New Roman" w:eastAsia="方正楷体_GBK" w:cs="Times New Roman"/>
          <w:b w:val="0"/>
          <w:bCs w:val="0"/>
          <w:sz w:val="32"/>
          <w:szCs w:val="32"/>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本单位共一个独立编制机构，即</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sz w:val="32"/>
          <w:szCs w:val="32"/>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方正黑体_GBK" w:cs="Times New Roman"/>
          <w:b w:val="0"/>
          <w:bCs w:val="0"/>
          <w:sz w:val="32"/>
          <w:szCs w:val="32"/>
          <w:shd w:val="clear" w:color="auto" w:fill="FFFFFF"/>
        </w:rPr>
      </w:pPr>
      <w:r>
        <w:rPr>
          <w:rStyle w:val="8"/>
          <w:rFonts w:hint="default" w:ascii="Times New Roman" w:hAnsi="Times New Roman" w:eastAsia="方正黑体_GBK" w:cs="Times New Roman"/>
          <w:b w:val="0"/>
          <w:bCs w:val="0"/>
          <w:sz w:val="32"/>
          <w:szCs w:val="32"/>
          <w:shd w:val="clear" w:color="auto" w:fill="FFFFFF"/>
        </w:rPr>
        <w:t>二、</w:t>
      </w:r>
      <w:r>
        <w:rPr>
          <w:rStyle w:val="8"/>
          <w:rFonts w:hint="default" w:ascii="Times New Roman" w:hAnsi="Times New Roman" w:eastAsia="方正黑体_GBK" w:cs="Times New Roman"/>
          <w:b w:val="0"/>
          <w:bCs w:val="0"/>
          <w:sz w:val="32"/>
          <w:szCs w:val="32"/>
          <w:shd w:val="clear" w:color="auto" w:fill="FFFFFF"/>
          <w:lang w:eastAsia="zh-CN"/>
        </w:rPr>
        <w:t>单位</w:t>
      </w:r>
      <w:r>
        <w:rPr>
          <w:rStyle w:val="8"/>
          <w:rFonts w:hint="default" w:ascii="Times New Roman" w:hAnsi="Times New Roman" w:eastAsia="方正黑体_GBK" w:cs="Times New Roman"/>
          <w:b w:val="0"/>
          <w:bCs w:val="0"/>
          <w:sz w:val="32"/>
          <w:szCs w:val="32"/>
          <w:shd w:val="clear" w:color="auto" w:fill="FFFFFF"/>
        </w:rPr>
        <w:t>决算</w:t>
      </w:r>
      <w:r>
        <w:rPr>
          <w:rStyle w:val="8"/>
          <w:rFonts w:hint="default" w:ascii="Times New Roman" w:hAnsi="Times New Roman" w:eastAsia="方正黑体_GBK" w:cs="Times New Roman"/>
          <w:b w:val="0"/>
          <w:bCs w:val="0"/>
          <w:sz w:val="32"/>
          <w:szCs w:val="32"/>
          <w:shd w:val="clear" w:color="auto" w:fill="FFFFFF"/>
          <w:lang w:eastAsia="zh-CN"/>
        </w:rPr>
        <w:t>收支</w:t>
      </w:r>
      <w:r>
        <w:rPr>
          <w:rStyle w:val="8"/>
          <w:rFonts w:hint="default" w:ascii="Times New Roman" w:hAnsi="Times New Roman" w:eastAsia="方正黑体_GBK" w:cs="Times New Roman"/>
          <w:b w:val="0"/>
          <w:bCs w:val="0"/>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left="0" w:leftChars="0"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adjustRightInd w:val="0"/>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度收入总计73.74万元，支出总计</w:t>
      </w:r>
      <w:r>
        <w:rPr>
          <w:rFonts w:hint="default" w:ascii="Times New Roman" w:hAnsi="Times New Roman" w:eastAsia="方正仿宋_GBK" w:cs="Times New Roman"/>
          <w:b w:val="0"/>
          <w:bCs w:val="0"/>
          <w:sz w:val="32"/>
          <w:szCs w:val="32"/>
        </w:rPr>
        <w:t>73.74</w:t>
      </w:r>
      <w:r>
        <w:rPr>
          <w:rFonts w:hint="default" w:ascii="Times New Roman" w:hAnsi="Times New Roman" w:eastAsia="方正仿宋_GBK" w:cs="Times New Roman"/>
          <w:b w:val="0"/>
          <w:bCs w:val="0"/>
          <w:sz w:val="32"/>
          <w:szCs w:val="32"/>
          <w:shd w:val="clear" w:color="auto" w:fill="FFFFFF"/>
        </w:rPr>
        <w:t>万元。收、支与2023年度相比，增加73.74万元，增长100.0%，主要原因是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度收入合计73.74万元，与2023年度相比，增加73.74万元，增长100.0%，主要原因是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73.74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73.74</w:t>
      </w:r>
      <w:r>
        <w:rPr>
          <w:rFonts w:hint="default" w:ascii="Times New Roman" w:hAnsi="Times New Roman" w:eastAsia="方正仿宋_GBK" w:cs="Times New Roman"/>
          <w:b w:val="0"/>
          <w:bCs w:val="0"/>
          <w:sz w:val="32"/>
          <w:szCs w:val="32"/>
          <w:shd w:val="clear" w:color="auto" w:fill="FFFFFF"/>
        </w:rPr>
        <w:t>万元，与2023年度相比，增加73.74万元，增长100.0%，主要原因是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56.43</w:t>
      </w:r>
      <w:r>
        <w:rPr>
          <w:rFonts w:hint="default" w:ascii="Times New Roman" w:hAnsi="Times New Roman" w:eastAsia="方正仿宋_GBK" w:cs="Times New Roman"/>
          <w:b w:val="0"/>
          <w:bCs w:val="0"/>
          <w:sz w:val="32"/>
          <w:szCs w:val="32"/>
          <w:shd w:val="clear" w:color="auto" w:fill="FFFFFF"/>
        </w:rPr>
        <w:t>万元，占76.5%；项目支出</w:t>
      </w:r>
      <w:r>
        <w:rPr>
          <w:rFonts w:hint="default" w:ascii="Times New Roman" w:hAnsi="Times New Roman" w:eastAsia="方正仿宋_GBK" w:cs="Times New Roman"/>
          <w:b w:val="0"/>
          <w:bCs w:val="0"/>
          <w:sz w:val="32"/>
          <w:szCs w:val="32"/>
        </w:rPr>
        <w:t>17.31</w:t>
      </w:r>
      <w:r>
        <w:rPr>
          <w:rFonts w:hint="default" w:ascii="Times New Roman" w:hAnsi="Times New Roman" w:eastAsia="方正仿宋_GBK" w:cs="Times New Roman"/>
          <w:b w:val="0"/>
          <w:bCs w:val="0"/>
          <w:sz w:val="32"/>
          <w:szCs w:val="32"/>
          <w:shd w:val="clear" w:color="auto" w:fill="FFFFFF"/>
        </w:rPr>
        <w:t>万元，占23.</w:t>
      </w:r>
      <w:r>
        <w:rPr>
          <w:rFonts w:hint="eastAsia" w:ascii="Times New Roman" w:hAnsi="Times New Roman" w:eastAsia="方正仿宋_GBK" w:cs="Times New Roman"/>
          <w:b w:val="0"/>
          <w:bCs w:val="0"/>
          <w:sz w:val="32"/>
          <w:szCs w:val="32"/>
          <w:shd w:val="clear" w:color="auto" w:fill="FFFFFF"/>
          <w:lang w:val="en-US" w:eastAsia="zh-CN"/>
        </w:rPr>
        <w:t>6</w:t>
      </w:r>
      <w:r>
        <w:rPr>
          <w:rFonts w:hint="default" w:ascii="Times New Roman" w:hAnsi="Times New Roman" w:eastAsia="方正仿宋_GBK" w:cs="Times New Roman"/>
          <w:b w:val="0"/>
          <w:bCs w:val="0"/>
          <w:sz w:val="32"/>
          <w:szCs w:val="32"/>
          <w:shd w:val="clear" w:color="auto" w:fill="FFFFFF"/>
        </w:rPr>
        <w:t>%。</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default" w:ascii="Times New Roman" w:hAnsi="Times New Roman" w:eastAsia="方正仿宋_GBK" w:cs="Times New Roman"/>
          <w:color w:val="auto"/>
          <w:sz w:val="32"/>
          <w:szCs w:val="32"/>
          <w:shd w:val="clear" w:color="auto" w:fill="FFFFFF"/>
          <w:lang w:eastAsia="zh-CN"/>
        </w:rPr>
        <w:t>本单位无结转结余。</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度财政拨款收、支总计73.74万元。与202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年相比，财政拨款收、支总计各增加73.74万元，增长100.0%。主要原因是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73.74</w:t>
      </w:r>
      <w:r>
        <w:rPr>
          <w:rFonts w:hint="default" w:ascii="Times New Roman" w:hAnsi="Times New Roman" w:eastAsia="方正仿宋_GBK" w:cs="Times New Roman"/>
          <w:b w:val="0"/>
          <w:bCs w:val="0"/>
          <w:sz w:val="32"/>
          <w:szCs w:val="32"/>
          <w:shd w:val="clear" w:color="auto" w:fill="FFFFFF"/>
        </w:rPr>
        <w:t>万元，与2023年度相比，增加73.74万元，增长100.0%。主要原因是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w:t>
      </w:r>
      <w:r>
        <w:rPr>
          <w:rFonts w:hint="default" w:ascii="Times New Roman" w:hAnsi="Times New Roman" w:eastAsia="方正仿宋_GBK" w:cs="Times New Roman"/>
          <w:b w:val="0"/>
          <w:bCs w:val="0"/>
          <w:color w:val="auto"/>
          <w:sz w:val="32"/>
          <w:szCs w:val="32"/>
          <w:shd w:val="clear" w:color="auto" w:fill="FFFFFF"/>
        </w:rPr>
        <w:t>减少11.22万元，下降13.2%。主要原因是</w:t>
      </w:r>
      <w:r>
        <w:rPr>
          <w:rFonts w:hint="eastAsia" w:ascii="Times New Roman" w:hAnsi="Times New Roman" w:eastAsia="方正仿宋_GBK" w:cs="Times New Roman"/>
          <w:b w:val="0"/>
          <w:bCs w:val="0"/>
          <w:color w:val="auto"/>
          <w:sz w:val="32"/>
          <w:szCs w:val="32"/>
          <w:shd w:val="clear" w:color="auto" w:fill="FFFFFF"/>
          <w:lang w:eastAsia="zh-CN"/>
        </w:rPr>
        <w:t>年中追减垃圾清运项目经费预算。</w:t>
      </w:r>
      <w:r>
        <w:rPr>
          <w:rFonts w:hint="default" w:ascii="Times New Roman" w:hAnsi="Times New Roman" w:eastAsia="方正仿宋_GBK" w:cs="Times New Roman"/>
          <w:b w:val="0"/>
          <w:bCs w:val="0"/>
          <w:color w:val="auto"/>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73.74</w:t>
      </w:r>
      <w:r>
        <w:rPr>
          <w:rFonts w:hint="default" w:ascii="Times New Roman" w:hAnsi="Times New Roman" w:eastAsia="方正仿宋_GBK" w:cs="Times New Roman"/>
          <w:b w:val="0"/>
          <w:bCs w:val="0"/>
          <w:sz w:val="32"/>
          <w:szCs w:val="32"/>
          <w:shd w:val="clear" w:color="auto" w:fill="FFFFFF"/>
        </w:rPr>
        <w:t>万元，与2023年度相比，增加73.74万元，增长100.0%。主要原因是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较年初预算数减少11.22万元，下降13.2%。主要原因是</w:t>
      </w:r>
      <w:r>
        <w:rPr>
          <w:rFonts w:hint="eastAsia" w:ascii="Times New Roman" w:hAnsi="Times New Roman" w:eastAsia="方正仿宋_GBK" w:cs="Times New Roman"/>
          <w:b w:val="0"/>
          <w:bCs w:val="0"/>
          <w:color w:val="auto"/>
          <w:sz w:val="32"/>
          <w:szCs w:val="32"/>
          <w:shd w:val="clear" w:color="auto" w:fill="FFFFFF"/>
          <w:lang w:eastAsia="zh-CN"/>
        </w:rPr>
        <w:t>年中追减垃圾清运项目经费预算。</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default" w:ascii="Times New Roman" w:hAnsi="Times New Roman" w:eastAsia="方正仿宋_GBK" w:cs="Times New Roman"/>
          <w:color w:val="auto"/>
          <w:sz w:val="32"/>
          <w:szCs w:val="32"/>
          <w:shd w:val="clear" w:color="auto" w:fill="FFFFFF"/>
          <w:lang w:eastAsia="zh-CN"/>
        </w:rPr>
        <w:t>本单位无结转结余。</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highlight w:val="cyan"/>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5.38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shd w:val="clear" w:color="auto" w:fill="FFFFFF"/>
        </w:rPr>
        <w:t>%，较年初预</w:t>
      </w:r>
      <w:r>
        <w:rPr>
          <w:rFonts w:hint="default" w:ascii="Times New Roman" w:hAnsi="Times New Roman" w:eastAsia="方正仿宋_GBK" w:cs="Times New Roman"/>
          <w:b w:val="0"/>
          <w:bCs w:val="0"/>
          <w:color w:val="auto"/>
          <w:sz w:val="32"/>
          <w:szCs w:val="32"/>
          <w:shd w:val="clear" w:color="auto" w:fill="FFFFFF"/>
        </w:rPr>
        <w:t>算数增加0.26万元，增长5.1%，主要原因是</w:t>
      </w:r>
      <w:r>
        <w:rPr>
          <w:rFonts w:hint="eastAsia" w:ascii="Times New Roman" w:hAnsi="Times New Roman" w:eastAsia="方正仿宋_GBK" w:cs="Times New Roman"/>
          <w:b w:val="0"/>
          <w:bCs w:val="0"/>
          <w:color w:val="auto"/>
          <w:sz w:val="32"/>
          <w:szCs w:val="32"/>
          <w:shd w:val="clear" w:color="auto" w:fill="FFFFFF"/>
          <w:lang w:eastAsia="zh-CN"/>
        </w:rPr>
        <w:t>年中追加社会保障与就业支出预算。</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）卫生健康支出</w:t>
      </w:r>
      <w:r>
        <w:rPr>
          <w:rFonts w:hint="default" w:ascii="Times New Roman" w:hAnsi="Times New Roman" w:eastAsia="方正仿宋_GBK" w:cs="Times New Roman"/>
          <w:b w:val="0"/>
          <w:bCs w:val="0"/>
          <w:color w:val="auto"/>
          <w:sz w:val="32"/>
          <w:szCs w:val="32"/>
        </w:rPr>
        <w:t>2.13</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shd w:val="clear" w:color="auto" w:fill="FFFFFF"/>
        </w:rPr>
        <w:t>%，较年初预算数减少0.64万元，下降23.1%，主要原因是</w:t>
      </w:r>
      <w:r>
        <w:rPr>
          <w:rFonts w:hint="eastAsia" w:ascii="Times New Roman" w:hAnsi="Times New Roman" w:eastAsia="方正仿宋_GBK" w:cs="Times New Roman"/>
          <w:b w:val="0"/>
          <w:bCs w:val="0"/>
          <w:color w:val="auto"/>
          <w:sz w:val="32"/>
          <w:szCs w:val="32"/>
          <w:shd w:val="clear" w:color="auto" w:fill="FFFFFF"/>
          <w:lang w:eastAsia="zh-CN"/>
        </w:rPr>
        <w:t>年中追减卫生健康支出预算。</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）城乡社区支出</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0.0</w:t>
      </w:r>
      <w:r>
        <w:rPr>
          <w:rFonts w:hint="default" w:ascii="Times New Roman" w:hAnsi="Times New Roman" w:eastAsia="方正仿宋_GBK" w:cs="Times New Roman"/>
          <w:b w:val="0"/>
          <w:bCs w:val="0"/>
          <w:sz w:val="32"/>
          <w:szCs w:val="32"/>
          <w:shd w:val="clear" w:color="auto" w:fill="FFFFFF"/>
        </w:rPr>
        <w:t>%，较年初预算数减</w:t>
      </w:r>
      <w:r>
        <w:rPr>
          <w:rFonts w:hint="default" w:ascii="Times New Roman" w:hAnsi="Times New Roman" w:eastAsia="方正仿宋_GBK" w:cs="Times New Roman"/>
          <w:b w:val="0"/>
          <w:bCs w:val="0"/>
          <w:color w:val="auto"/>
          <w:sz w:val="32"/>
          <w:szCs w:val="32"/>
          <w:shd w:val="clear" w:color="auto" w:fill="FFFFFF"/>
        </w:rPr>
        <w:t>少18.40万元，下降100.0%，主要原因是</w:t>
      </w:r>
      <w:r>
        <w:rPr>
          <w:rFonts w:hint="eastAsia" w:ascii="Times New Roman" w:hAnsi="Times New Roman" w:eastAsia="方正仿宋_GBK" w:cs="Times New Roman"/>
          <w:b w:val="0"/>
          <w:bCs w:val="0"/>
          <w:color w:val="auto"/>
          <w:sz w:val="32"/>
          <w:szCs w:val="32"/>
          <w:shd w:val="clear" w:color="auto" w:fill="FFFFFF"/>
          <w:lang w:eastAsia="zh-CN"/>
        </w:rPr>
        <w:t>年中追减城乡社区支出预算。</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63.67</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86.3</w:t>
      </w:r>
      <w:r>
        <w:rPr>
          <w:rFonts w:hint="default" w:ascii="Times New Roman" w:hAnsi="Times New Roman" w:eastAsia="方正仿宋_GBK" w:cs="Times New Roman"/>
          <w:b w:val="0"/>
          <w:bCs w:val="0"/>
          <w:sz w:val="32"/>
          <w:szCs w:val="32"/>
          <w:shd w:val="clear" w:color="auto" w:fill="FFFFFF"/>
        </w:rPr>
        <w:t>%，较年初预算数增</w:t>
      </w:r>
      <w:r>
        <w:rPr>
          <w:rFonts w:hint="default" w:ascii="Times New Roman" w:hAnsi="Times New Roman" w:eastAsia="方正仿宋_GBK" w:cs="Times New Roman"/>
          <w:b w:val="0"/>
          <w:bCs w:val="0"/>
          <w:color w:val="auto"/>
          <w:sz w:val="32"/>
          <w:szCs w:val="32"/>
          <w:shd w:val="clear" w:color="auto" w:fill="FFFFFF"/>
        </w:rPr>
        <w:t>加7.55万元，增长13.5%，主要原因是</w:t>
      </w:r>
      <w:r>
        <w:rPr>
          <w:rFonts w:hint="eastAsia" w:ascii="Times New Roman" w:hAnsi="Times New Roman" w:eastAsia="方正仿宋_GBK" w:cs="Times New Roman"/>
          <w:b w:val="0"/>
          <w:bCs w:val="0"/>
          <w:color w:val="auto"/>
          <w:sz w:val="32"/>
          <w:szCs w:val="32"/>
          <w:shd w:val="clear" w:color="auto" w:fill="FFFFFF"/>
          <w:lang w:eastAsia="zh-CN"/>
        </w:rPr>
        <w:t>年中追加农林水预算。</w:t>
      </w:r>
    </w:p>
    <w:p>
      <w:pPr>
        <w:keepNext w:val="0"/>
        <w:keepLines w:val="0"/>
        <w:pageBreakBefore w:val="0"/>
        <w:widowControl w:val="0"/>
        <w:kinsoku/>
        <w:wordWrap/>
        <w:overflowPunct/>
        <w:topLinePunct w:val="0"/>
        <w:autoSpaceDN/>
        <w:bidi w:val="0"/>
        <w:adjustRightInd w:val="0"/>
        <w:snapToGrid w:val="0"/>
        <w:spacing w:beforeAutospacing="0" w:afterAutospacing="0" w:line="560" w:lineRule="exact"/>
        <w:ind w:firstLine="640" w:firstLineChars="200"/>
        <w:jc w:val="both"/>
        <w:textAlignment w:val="auto"/>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5</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住房保障支出2.56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shd w:val="clear" w:color="auto" w:fill="FFFFFF"/>
        </w:rPr>
        <w:t>%，较年初预算数无增减，</w:t>
      </w:r>
      <w:r>
        <w:rPr>
          <w:rFonts w:hint="eastAsia" w:ascii="Times New Roman" w:hAnsi="Times New Roman" w:eastAsia="方正仿宋_GBK" w:cs="Times New Roman"/>
          <w:b w:val="0"/>
          <w:bCs w:val="0"/>
          <w:sz w:val="32"/>
          <w:szCs w:val="32"/>
          <w:shd w:val="clear" w:color="auto" w:fill="FFFFFF"/>
          <w:lang w:eastAsia="zh-CN"/>
        </w:rPr>
        <w:t>与预算数持平。</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56.43</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52.50</w:t>
      </w:r>
      <w:r>
        <w:rPr>
          <w:rFonts w:hint="default" w:ascii="Times New Roman" w:hAnsi="Times New Roman" w:eastAsia="方正仿宋_GBK" w:cs="Times New Roman"/>
          <w:b w:val="0"/>
          <w:bCs w:val="0"/>
          <w:sz w:val="32"/>
          <w:szCs w:val="32"/>
          <w:shd w:val="clear" w:color="auto" w:fill="FFFFFF"/>
        </w:rPr>
        <w:t>万元，与2023年度相比，增加52.5万元，增长100.0%，主要原因是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人员经费用途主要包括</w:t>
      </w:r>
      <w:r>
        <w:rPr>
          <w:rFonts w:ascii="Times New Roman" w:hAnsi="Times New Roman" w:eastAsia="方正仿宋_GBK" w:cs="Times New Roman"/>
          <w:color w:val="auto"/>
          <w:sz w:val="32"/>
          <w:szCs w:val="32"/>
          <w:shd w:val="clear" w:color="auto" w:fill="FFFFFF"/>
        </w:rPr>
        <w:t>基本工资、津贴补贴、奖金、社会保障缴费、其他工资福利支出、</w:t>
      </w:r>
      <w:r>
        <w:rPr>
          <w:rFonts w:hint="eastAsia" w:ascii="Times New Roman" w:hAnsi="Times New Roman" w:eastAsia="方正仿宋_GBK" w:cs="Times New Roman"/>
          <w:color w:val="auto"/>
          <w:sz w:val="32"/>
          <w:szCs w:val="32"/>
          <w:shd w:val="clear" w:color="auto" w:fill="FFFFFF"/>
          <w:lang w:eastAsia="zh-CN"/>
        </w:rPr>
        <w:t>住房公积金、</w:t>
      </w:r>
      <w:r>
        <w:rPr>
          <w:rFonts w:ascii="Times New Roman" w:hAnsi="Times New Roman" w:eastAsia="方正仿宋_GBK" w:cs="Times New Roman"/>
          <w:color w:val="auto"/>
          <w:sz w:val="32"/>
          <w:szCs w:val="32"/>
          <w:shd w:val="clear" w:color="auto" w:fill="FFFFFF"/>
        </w:rPr>
        <w:t>对个人家庭补助支出等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3.93</w:t>
      </w:r>
      <w:r>
        <w:rPr>
          <w:rFonts w:hint="default" w:ascii="Times New Roman" w:hAnsi="Times New Roman" w:eastAsia="方正仿宋_GBK" w:cs="Times New Roman"/>
          <w:b w:val="0"/>
          <w:bCs w:val="0"/>
          <w:sz w:val="32"/>
          <w:szCs w:val="32"/>
          <w:shd w:val="clear" w:color="auto" w:fill="FFFFFF"/>
        </w:rPr>
        <w:t>万元，与2023年度相比，增加3.93万元，增长100.0%，主要原因是</w:t>
      </w:r>
      <w:r>
        <w:rPr>
          <w:rFonts w:hint="default" w:ascii="Times New Roman" w:hAnsi="Times New Roman" w:eastAsia="方正仿宋_GBK" w:cs="Times New Roman"/>
          <w:b w:val="0"/>
          <w:bCs w:val="0"/>
          <w:color w:val="auto"/>
          <w:sz w:val="32"/>
          <w:szCs w:val="32"/>
          <w:shd w:val="clear" w:color="auto" w:fill="FFFFFF"/>
        </w:rPr>
        <w:t>2024年依据财政局要求，本单位将事业单位划分为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fill="FFFFFF"/>
          <w:lang w:eastAsia="zh-CN"/>
        </w:rPr>
        <w:t>办公费、水电费、邮电费、会议费、维修（护）费、培训费、公务接待费、劳务费、其他交通费、工会会费等。</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（一）“三公”经费支出总体情况说明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，较年初预算数无增减，主要原因</w:t>
      </w:r>
      <w:r>
        <w:rPr>
          <w:rFonts w:hint="eastAsia" w:ascii="Times New Roman" w:hAnsi="Times New Roman" w:eastAsia="方正仿宋_GBK" w:cs="Times New Roman"/>
          <w:color w:val="auto"/>
          <w:sz w:val="32"/>
          <w:szCs w:val="32"/>
          <w:shd w:val="clear" w:color="auto" w:fill="FFFFFF"/>
          <w:lang w:eastAsia="zh-CN"/>
        </w:rPr>
        <w:t>是我单位</w:t>
      </w:r>
      <w:r>
        <w:rPr>
          <w:rFonts w:hint="eastAsia" w:ascii="Times New Roman" w:hAnsi="Times New Roman" w:eastAsia="方正仿宋_GBK" w:cs="Times New Roman"/>
          <w:color w:val="auto"/>
          <w:sz w:val="32"/>
          <w:szCs w:val="32"/>
          <w:shd w:val="clear" w:color="auto" w:fill="FFFFFF"/>
          <w:lang w:val="en-US" w:eastAsia="zh-CN"/>
        </w:rPr>
        <w:t>2024年度未发生“三公”经费支出。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因公出国（境）费用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与2023年度相比，无增减，主要原因</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公务车购置费</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公务车购置费用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公务车运行维护费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公务车运行维护费用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公务接待费用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sz w:val="32"/>
          <w:szCs w:val="32"/>
        </w:rPr>
        <w:t>重庆市铜梁区庆隆镇乡村产业培育中心</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，与2023年度相比，无增减，主要原因是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color w:val="auto"/>
          <w:sz w:val="32"/>
          <w:szCs w:val="32"/>
          <w:shd w:val="clear" w:color="auto" w:fill="FFFFFF"/>
        </w:rPr>
        <w:t>会议费</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，与2023年度相比，无变化，主要原因是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eastAsia" w:ascii="Times New Roman" w:hAnsi="Times New Roman" w:eastAsia="方正仿宋_GBK" w:cs="Times New Roman"/>
          <w:color w:val="auto"/>
          <w:sz w:val="32"/>
          <w:szCs w:val="32"/>
          <w:shd w:val="clear" w:color="auto" w:fill="FFFFFF"/>
          <w:lang w:eastAsia="zh-CN"/>
        </w:rPr>
        <w:t>培训</w:t>
      </w:r>
      <w:r>
        <w:rPr>
          <w:rFonts w:hint="default" w:ascii="Times New Roman" w:hAnsi="Times New Roman" w:eastAsia="方正仿宋_GBK" w:cs="Times New Roman"/>
          <w:color w:val="auto"/>
          <w:sz w:val="32"/>
          <w:szCs w:val="32"/>
          <w:shd w:val="clear" w:color="auto" w:fill="FFFFFF"/>
        </w:rPr>
        <w:t>费</w:t>
      </w:r>
      <w:r>
        <w:rPr>
          <w:rFonts w:hint="eastAsia" w:ascii="Times New Roman" w:hAnsi="Times New Roman" w:eastAsia="方正仿宋_GBK" w:cs="Times New Roman"/>
          <w:color w:val="auto"/>
          <w:sz w:val="32"/>
          <w:szCs w:val="32"/>
          <w:shd w:val="clear" w:color="auto" w:fill="FFFFFF"/>
          <w:lang w:val="en-US" w:eastAsia="zh-CN"/>
        </w:rPr>
        <w:t>支出。</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，上年支出数无增减，主要原因是</w:t>
      </w:r>
      <w:r>
        <w:rPr>
          <w:rFonts w:hint="default" w:ascii="Times New Roman" w:hAnsi="Times New Roman" w:eastAsia="方正仿宋_GBK" w:cs="Times New Roman"/>
          <w:color w:val="auto"/>
          <w:sz w:val="32"/>
          <w:szCs w:val="32"/>
        </w:rPr>
        <w:t>按照部门决算列报口径，我单位不在机关运行经费统计范围之内。</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3"/>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lang w:val="en-US" w:eastAsia="zh-CN" w:bidi="ar-SA"/>
        </w:rPr>
      </w:pPr>
      <w:r>
        <w:rPr>
          <w:rStyle w:val="8"/>
          <w:rFonts w:hint="default" w:ascii="Times New Roman" w:hAnsi="Times New Roman" w:eastAsia="黑体" w:cs="Times New Roman"/>
          <w:b w:val="0"/>
          <w:bCs w:val="0"/>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根据预算绩效管理要求，我单位对</w:t>
      </w:r>
      <w:r>
        <w:rPr>
          <w:rFonts w:hint="eastAsia" w:ascii="Times New Roman" w:hAnsi="Times New Roman" w:eastAsia="方正仿宋_GBK" w:cs="Times New Roman"/>
          <w:b w:val="0"/>
          <w:bCs w:val="0"/>
          <w:color w:val="auto"/>
          <w:kern w:val="0"/>
          <w:sz w:val="32"/>
          <w:szCs w:val="32"/>
          <w:shd w:val="clear" w:fill="FFFFFF"/>
          <w:lang w:val="en-US" w:eastAsia="zh-CN"/>
        </w:rPr>
        <w:t>1</w:t>
      </w:r>
      <w:r>
        <w:rPr>
          <w:rFonts w:hint="default" w:ascii="Times New Roman" w:hAnsi="Times New Roman" w:eastAsia="方正仿宋_GBK" w:cs="Times New Roman"/>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color w:val="auto"/>
          <w:kern w:val="0"/>
          <w:sz w:val="32"/>
          <w:szCs w:val="32"/>
          <w:shd w:val="clear" w:fill="FFFFFF"/>
          <w:lang w:val="en-US" w:eastAsia="zh-CN"/>
        </w:rPr>
        <w:t>1</w:t>
      </w:r>
      <w:r>
        <w:rPr>
          <w:rFonts w:hint="default" w:ascii="Times New Roman" w:hAnsi="Times New Roman" w:eastAsia="方正仿宋_GBK" w:cs="Times New Roman"/>
          <w:b w:val="0"/>
          <w:bCs w:val="0"/>
          <w:color w:val="auto"/>
          <w:kern w:val="0"/>
          <w:sz w:val="32"/>
          <w:szCs w:val="32"/>
          <w:shd w:val="clear" w:fill="FFFFFF"/>
        </w:rPr>
        <w:t>项，涉及资金</w:t>
      </w:r>
      <w:r>
        <w:rPr>
          <w:rFonts w:hint="eastAsia" w:ascii="Times New Roman" w:hAnsi="Times New Roman" w:eastAsia="方正仿宋_GBK" w:cs="Times New Roman"/>
          <w:b w:val="0"/>
          <w:bCs w:val="0"/>
          <w:color w:val="auto"/>
          <w:kern w:val="0"/>
          <w:sz w:val="32"/>
          <w:szCs w:val="32"/>
          <w:shd w:val="clear" w:fill="FFFFFF"/>
          <w:lang w:val="en-US" w:eastAsia="zh-CN"/>
        </w:rPr>
        <w:t>17.31</w:t>
      </w:r>
      <w:r>
        <w:rPr>
          <w:rFonts w:hint="default" w:ascii="Times New Roman" w:hAnsi="Times New Roman" w:eastAsia="方正仿宋_GBK" w:cs="Times New Roman"/>
          <w:b w:val="0"/>
          <w:bCs w:val="0"/>
          <w:color w:val="auto"/>
          <w:kern w:val="0"/>
          <w:sz w:val="32"/>
          <w:szCs w:val="32"/>
          <w:shd w:val="clear" w:fill="FFFFFF"/>
        </w:rPr>
        <w:t>万元。</w:t>
      </w:r>
    </w:p>
    <w:p>
      <w:pPr>
        <w:pStyle w:val="1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（二）绩效自评结果</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我单位对</w:t>
      </w:r>
      <w:r>
        <w:rPr>
          <w:rFonts w:hint="eastAsia" w:ascii="Times New Roman" w:hAnsi="Times New Roman" w:eastAsia="方正仿宋_GBK" w:cs="Times New Roman"/>
          <w:b w:val="0"/>
          <w:bCs w:val="0"/>
          <w:color w:val="auto"/>
          <w:kern w:val="0"/>
          <w:sz w:val="32"/>
          <w:szCs w:val="32"/>
          <w:shd w:val="clear" w:fill="FFFFFF"/>
          <w:lang w:val="en-US" w:eastAsia="zh-CN"/>
        </w:rPr>
        <w:t>1个</w:t>
      </w:r>
      <w:r>
        <w:rPr>
          <w:rFonts w:hint="default" w:ascii="Times New Roman" w:hAnsi="Times New Roman" w:eastAsia="方正仿宋_GBK" w:cs="Times New Roman"/>
          <w:b w:val="0"/>
          <w:bCs w:val="0"/>
          <w:color w:val="auto"/>
          <w:kern w:val="0"/>
          <w:sz w:val="32"/>
          <w:szCs w:val="32"/>
          <w:shd w:val="clear" w:fill="FFFFFF"/>
        </w:rPr>
        <w:t>项目进行绩效自评，已完成年度绩效目标。</w:t>
      </w:r>
    </w:p>
    <w:p>
      <w:pPr>
        <w:pStyle w:val="12"/>
        <w:keepNext w:val="0"/>
        <w:keepLines w:val="0"/>
        <w:pageBreakBefore w:val="0"/>
        <w:widowControl w:val="0"/>
        <w:kinsoku/>
        <w:wordWrap/>
        <w:overflowPunct/>
        <w:topLinePunct w:val="0"/>
        <w:autoSpaceDE w:val="0"/>
        <w:autoSpaceDN/>
        <w:bidi w:val="0"/>
        <w:adjustRightInd w:val="0"/>
        <w:snapToGrid w:val="0"/>
        <w:spacing w:beforeAutospacing="0" w:after="0" w:afterAutospacing="0" w:line="560" w:lineRule="exact"/>
        <w:ind w:left="0" w:firstLine="640" w:firstLineChars="200"/>
        <w:jc w:val="both"/>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六、专业名词解释</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rPr>
        <w:t>本单位决算公开信息反馈和联系方式：</w:t>
      </w:r>
      <w:r>
        <w:rPr>
          <w:rFonts w:hint="eastAsia" w:ascii="Times New Roman" w:hAnsi="Times New Roman" w:eastAsia="方正仿宋_GBK" w:cs="Times New Roman"/>
          <w:b w:val="0"/>
          <w:bCs w:val="0"/>
          <w:color w:val="auto"/>
          <w:kern w:val="0"/>
          <w:sz w:val="32"/>
          <w:szCs w:val="32"/>
          <w:shd w:val="clear" w:fill="FFFFFF"/>
          <w:lang w:eastAsia="zh-CN"/>
        </w:rPr>
        <w:t>何妮颖</w:t>
      </w:r>
      <w:bookmarkStart w:id="0" w:name="_GoBack"/>
      <w:bookmarkEnd w:id="0"/>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45480016</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eastAsia" w:ascii="Times New Roman" w:hAnsi="Times New Roman" w:eastAsia="方正仿宋_GBK" w:cs="Times New Roman"/>
          <w:b w:val="0"/>
          <w:bCs w:val="0"/>
          <w:sz w:val="32"/>
          <w:szCs w:val="32"/>
          <w:shd w:val="clear" w:color="auto" w:fill="auto"/>
          <w:lang w:val="en-US" w:eastAsia="zh-CN"/>
        </w:rPr>
        <w:t>.</w:t>
      </w:r>
      <w:r>
        <w:rPr>
          <w:rFonts w:hint="default" w:ascii="Times New Roman" w:hAnsi="Times New Roman" w:eastAsia="方正仿宋_GBK" w:cs="Times New Roman"/>
          <w:b w:val="0"/>
          <w:bCs w:val="0"/>
          <w:sz w:val="32"/>
          <w:szCs w:val="32"/>
        </w:rPr>
        <w:t>重庆市铜梁区庆隆镇乡村产业培育中心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eastAsia" w:ascii="Times New Roman" w:hAnsi="Times New Roman" w:eastAsia="方正仿宋_GBK" w:cs="Times New Roman"/>
          <w:b w:val="0"/>
          <w:bCs w:val="0"/>
          <w:sz w:val="32"/>
          <w:szCs w:val="32"/>
          <w:shd w:val="clear" w:color="auto" w:fill="auto"/>
          <w:lang w:val="en-US" w:eastAsia="zh-CN"/>
        </w:rPr>
        <w:t>.</w:t>
      </w:r>
      <w:r>
        <w:rPr>
          <w:rFonts w:hint="default" w:ascii="Times New Roman" w:hAnsi="Times New Roman" w:eastAsia="方正仿宋_GBK" w:cs="Times New Roman"/>
          <w:b w:val="0"/>
          <w:bCs w:val="0"/>
          <w:sz w:val="32"/>
          <w:szCs w:val="32"/>
        </w:rPr>
        <w:t>重庆市铜梁区庆隆镇乡村产业培育中心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val="0"/>
        <w:kinsoku/>
        <w:wordWrap/>
        <w:overflowPunct/>
        <w:topLinePunct w:val="0"/>
        <w:autoSpaceDE w:val="0"/>
        <w:autoSpaceDN/>
        <w:bidi w:val="0"/>
        <w:adjustRightInd w:val="0"/>
        <w:snapToGrid w:val="0"/>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eastAsia" w:ascii="Times New Roman" w:hAnsi="Times New Roman" w:eastAsia="方正仿宋_GBK" w:cs="Times New Roman"/>
          <w:b w:val="0"/>
          <w:bCs w:val="0"/>
          <w:sz w:val="32"/>
          <w:szCs w:val="32"/>
          <w:shd w:val="clear" w:color="auto" w:fill="auto"/>
          <w:lang w:val="en-US" w:eastAsia="zh-CN"/>
        </w:rPr>
        <w:t>.</w:t>
      </w:r>
      <w:r>
        <w:rPr>
          <w:rFonts w:hint="default" w:ascii="Times New Roman" w:hAnsi="Times New Roman" w:eastAsia="方正仿宋_GBK" w:cs="Times New Roman"/>
          <w:b w:val="0"/>
          <w:bCs w:val="0"/>
          <w:sz w:val="32"/>
          <w:szCs w:val="32"/>
        </w:rPr>
        <w:t>重庆市铜梁区庆隆镇乡村产业培育中心</w:t>
      </w:r>
      <w:r>
        <w:rPr>
          <w:rStyle w:val="11"/>
          <w:rFonts w:hint="default" w:ascii="Times New Roman" w:hAnsi="Times New Roman" w:eastAsia="方正仿宋_GBK" w:cs="Times New Roman"/>
          <w:b w:val="0"/>
          <w:bCs w:val="0"/>
          <w:sz w:val="32"/>
          <w:szCs w:val="32"/>
          <w:shd w:val="clear" w:color="auto" w:fill="auto"/>
          <w:lang w:val="en-US" w:eastAsia="zh-CN"/>
        </w:rPr>
        <w:t xml:space="preserve">2024年度项目绩效自评表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UzMGU3NmE4NTg1NWNlZGU1MWEzODJiNzZjOTc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6F948B4"/>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357B5B"/>
    <w:rsid w:val="47674801"/>
    <w:rsid w:val="48225EF7"/>
    <w:rsid w:val="495C4A24"/>
    <w:rsid w:val="4AD70EE7"/>
    <w:rsid w:val="4B7951CB"/>
    <w:rsid w:val="4B7C315C"/>
    <w:rsid w:val="4BAB7F90"/>
    <w:rsid w:val="4DAC4ACA"/>
    <w:rsid w:val="4F186D58"/>
    <w:rsid w:val="50EC262C"/>
    <w:rsid w:val="515867F9"/>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2025-10-21T07:19:19Z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9EDAFD8FD9424A54844071572B3E9A06_13</vt:lpwstr>
  </property>
</Properties>
</file>